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B153" w14:textId="6DAF7176" w:rsidR="00B95162" w:rsidRDefault="00C405DD" w:rsidP="00B95162">
      <w:pPr>
        <w:spacing w:before="3120" w:after="1600"/>
        <w:rPr>
          <w:rFonts w:cs="Arial"/>
          <w:b/>
          <w:bCs/>
          <w:kern w:val="28"/>
          <w:sz w:val="36"/>
          <w:szCs w:val="32"/>
        </w:rPr>
      </w:pPr>
      <w:bookmarkStart w:id="0" w:name="_Toc93572423"/>
      <w:bookmarkStart w:id="1" w:name="_Toc93572503"/>
      <w:bookmarkStart w:id="2" w:name="_Toc104925090"/>
      <w:r w:rsidRPr="00B95162">
        <w:rPr>
          <w:b/>
          <w:sz w:val="52"/>
          <w:szCs w:val="52"/>
        </w:rPr>
        <w:t>Conducting Collabo</w:t>
      </w:r>
      <w:r w:rsidR="00E60368" w:rsidRPr="00B95162">
        <w:rPr>
          <w:b/>
          <w:sz w:val="52"/>
          <w:szCs w:val="52"/>
        </w:rPr>
        <w:t>r</w:t>
      </w:r>
      <w:r w:rsidRPr="00B95162">
        <w:rPr>
          <w:b/>
          <w:sz w:val="52"/>
          <w:szCs w:val="52"/>
        </w:rPr>
        <w:t>ative Research with Pe</w:t>
      </w:r>
      <w:r w:rsidR="00AE1505">
        <w:rPr>
          <w:b/>
          <w:sz w:val="52"/>
          <w:szCs w:val="52"/>
        </w:rPr>
        <w:t>ople</w:t>
      </w:r>
      <w:r w:rsidRPr="00B95162">
        <w:rPr>
          <w:b/>
          <w:sz w:val="52"/>
          <w:szCs w:val="52"/>
        </w:rPr>
        <w:t xml:space="preserve"> with Disabilities: A Literature Review</w:t>
      </w:r>
      <w:bookmarkEnd w:id="0"/>
      <w:bookmarkEnd w:id="1"/>
      <w:bookmarkEnd w:id="2"/>
    </w:p>
    <w:p w14:paraId="5BA99532" w14:textId="6DA4FF0F" w:rsidR="00527BB8" w:rsidRPr="0051006C" w:rsidRDefault="000A08B8" w:rsidP="00FB2D99">
      <w:pPr>
        <w:spacing w:before="3120" w:after="1600"/>
        <w:rPr>
          <w:rFonts w:cs="Arial"/>
          <w:b/>
          <w:bCs/>
          <w:kern w:val="28"/>
          <w:sz w:val="36"/>
          <w:szCs w:val="32"/>
        </w:rPr>
      </w:pPr>
      <w:r>
        <w:rPr>
          <w:rFonts w:cs="Arial"/>
          <w:b/>
          <w:bCs/>
          <w:kern w:val="28"/>
          <w:sz w:val="36"/>
          <w:szCs w:val="32"/>
        </w:rPr>
        <w:t>August</w:t>
      </w:r>
      <w:r w:rsidR="00FB2D99">
        <w:rPr>
          <w:rFonts w:cs="Arial"/>
          <w:b/>
          <w:bCs/>
          <w:kern w:val="28"/>
          <w:sz w:val="36"/>
          <w:szCs w:val="32"/>
        </w:rPr>
        <w:t xml:space="preserve"> </w:t>
      </w:r>
      <w:r w:rsidR="00571CBF">
        <w:rPr>
          <w:rFonts w:cs="Arial"/>
          <w:b/>
          <w:bCs/>
          <w:kern w:val="28"/>
          <w:sz w:val="36"/>
          <w:szCs w:val="32"/>
        </w:rPr>
        <w:t>202</w:t>
      </w:r>
      <w:r w:rsidR="002C6F9E">
        <w:rPr>
          <w:rFonts w:cs="Arial"/>
          <w:b/>
          <w:bCs/>
          <w:kern w:val="28"/>
          <w:sz w:val="36"/>
          <w:szCs w:val="32"/>
        </w:rPr>
        <w:t>2</w:t>
      </w:r>
    </w:p>
    <w:p w14:paraId="06BFC3B1" w14:textId="56AF39BA" w:rsidR="0051006C" w:rsidRPr="0051006C" w:rsidRDefault="00527BB8" w:rsidP="0051006C">
      <w:r w:rsidRPr="00527BB8">
        <w:rPr>
          <w:noProof/>
          <w:sz w:val="24"/>
          <w:lang w:eastAsia="en-IE"/>
        </w:rPr>
        <w:drawing>
          <wp:inline distT="0" distB="0" distL="0" distR="0" wp14:anchorId="3AE7A214" wp14:editId="44748B93">
            <wp:extent cx="2529205" cy="1805305"/>
            <wp:effectExtent l="0" t="0" r="4445" b="4445"/>
            <wp:docPr id="1" name="Picture 6"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A_LOGO_2010_COLOUR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205" cy="1805305"/>
                    </a:xfrm>
                    <a:prstGeom prst="rect">
                      <a:avLst/>
                    </a:prstGeom>
                    <a:noFill/>
                    <a:ln>
                      <a:noFill/>
                    </a:ln>
                  </pic:spPr>
                </pic:pic>
              </a:graphicData>
            </a:graphic>
          </wp:inline>
        </w:drawing>
      </w:r>
    </w:p>
    <w:p w14:paraId="395CB935" w14:textId="77777777" w:rsidR="00A608AE" w:rsidRDefault="00A608AE" w:rsidP="0051006C">
      <w:pPr>
        <w:pStyle w:val="Heading1"/>
        <w:sectPr w:rsidR="00A608AE" w:rsidSect="00A608AE">
          <w:footerReference w:type="default" r:id="rId9"/>
          <w:footerReference w:type="first" r:id="rId10"/>
          <w:pgSz w:w="12240" w:h="15840"/>
          <w:pgMar w:top="1440" w:right="1800" w:bottom="1440" w:left="1800" w:header="708" w:footer="708" w:gutter="0"/>
          <w:pgNumType w:start="1"/>
          <w:cols w:space="708"/>
          <w:titlePg/>
          <w:docGrid w:linePitch="360"/>
        </w:sectPr>
      </w:pPr>
    </w:p>
    <w:p w14:paraId="50ABA961" w14:textId="42FC1725" w:rsidR="00527BB8" w:rsidRPr="00082A2C" w:rsidRDefault="00FC37E4" w:rsidP="00002F98">
      <w:pPr>
        <w:rPr>
          <w:b/>
          <w:sz w:val="32"/>
          <w:szCs w:val="32"/>
        </w:rPr>
      </w:pPr>
      <w:bookmarkStart w:id="3" w:name="_Toc71551208"/>
      <w:bookmarkStart w:id="4" w:name="_Toc71551394"/>
      <w:bookmarkStart w:id="5" w:name="_Toc71552399"/>
      <w:bookmarkStart w:id="6" w:name="_Toc76069956"/>
      <w:bookmarkStart w:id="7" w:name="_Toc93572504"/>
      <w:bookmarkStart w:id="8" w:name="_Toc104925091"/>
      <w:r w:rsidRPr="00082A2C">
        <w:rPr>
          <w:b/>
          <w:sz w:val="32"/>
          <w:szCs w:val="32"/>
        </w:rPr>
        <w:lastRenderedPageBreak/>
        <w:t>Table of Contents</w:t>
      </w:r>
      <w:bookmarkEnd w:id="3"/>
      <w:bookmarkEnd w:id="4"/>
      <w:bookmarkEnd w:id="5"/>
      <w:bookmarkEnd w:id="6"/>
      <w:bookmarkEnd w:id="7"/>
      <w:bookmarkEnd w:id="8"/>
    </w:p>
    <w:p w14:paraId="11358B98" w14:textId="51637F82" w:rsidR="00C20EEC" w:rsidRDefault="008A377C">
      <w:pPr>
        <w:pStyle w:val="TOC1"/>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116916195" w:history="1">
        <w:r w:rsidR="00C20EEC" w:rsidRPr="00066F82">
          <w:rPr>
            <w:rStyle w:val="Hyperlink"/>
            <w:noProof/>
          </w:rPr>
          <w:t>Statement on Language</w:t>
        </w:r>
        <w:r w:rsidR="00C20EEC">
          <w:rPr>
            <w:noProof/>
            <w:webHidden/>
          </w:rPr>
          <w:tab/>
        </w:r>
        <w:r w:rsidR="00C20EEC">
          <w:rPr>
            <w:noProof/>
            <w:webHidden/>
          </w:rPr>
          <w:fldChar w:fldCharType="begin"/>
        </w:r>
        <w:r w:rsidR="00C20EEC">
          <w:rPr>
            <w:noProof/>
            <w:webHidden/>
          </w:rPr>
          <w:instrText xml:space="preserve"> PAGEREF _Toc116916195 \h </w:instrText>
        </w:r>
        <w:r w:rsidR="00C20EEC">
          <w:rPr>
            <w:noProof/>
            <w:webHidden/>
          </w:rPr>
        </w:r>
        <w:r w:rsidR="00C20EEC">
          <w:rPr>
            <w:noProof/>
            <w:webHidden/>
          </w:rPr>
          <w:fldChar w:fldCharType="separate"/>
        </w:r>
        <w:r w:rsidR="00C20EEC">
          <w:rPr>
            <w:noProof/>
            <w:webHidden/>
          </w:rPr>
          <w:t>4</w:t>
        </w:r>
        <w:r w:rsidR="00C20EEC">
          <w:rPr>
            <w:noProof/>
            <w:webHidden/>
          </w:rPr>
          <w:fldChar w:fldCharType="end"/>
        </w:r>
      </w:hyperlink>
    </w:p>
    <w:p w14:paraId="4E38F31A" w14:textId="68EC5DB6" w:rsidR="00C20EEC" w:rsidRDefault="00C20EEC">
      <w:pPr>
        <w:pStyle w:val="TOC1"/>
        <w:rPr>
          <w:rFonts w:asciiTheme="minorHAnsi" w:eastAsiaTheme="minorEastAsia" w:hAnsiTheme="minorHAnsi" w:cstheme="minorBidi"/>
          <w:b w:val="0"/>
          <w:noProof/>
          <w:sz w:val="22"/>
          <w:szCs w:val="22"/>
          <w:lang w:eastAsia="en-IE"/>
        </w:rPr>
      </w:pPr>
      <w:hyperlink w:anchor="_Toc116916196" w:history="1">
        <w:r w:rsidRPr="00066F82">
          <w:rPr>
            <w:rStyle w:val="Hyperlink"/>
            <w:noProof/>
          </w:rPr>
          <w:t>Executive Summary</w:t>
        </w:r>
        <w:r>
          <w:rPr>
            <w:noProof/>
            <w:webHidden/>
          </w:rPr>
          <w:tab/>
        </w:r>
        <w:r>
          <w:rPr>
            <w:noProof/>
            <w:webHidden/>
          </w:rPr>
          <w:fldChar w:fldCharType="begin"/>
        </w:r>
        <w:r>
          <w:rPr>
            <w:noProof/>
            <w:webHidden/>
          </w:rPr>
          <w:instrText xml:space="preserve"> PAGEREF _Toc116916196 \h </w:instrText>
        </w:r>
        <w:r>
          <w:rPr>
            <w:noProof/>
            <w:webHidden/>
          </w:rPr>
        </w:r>
        <w:r>
          <w:rPr>
            <w:noProof/>
            <w:webHidden/>
          </w:rPr>
          <w:fldChar w:fldCharType="separate"/>
        </w:r>
        <w:r>
          <w:rPr>
            <w:noProof/>
            <w:webHidden/>
          </w:rPr>
          <w:t>5</w:t>
        </w:r>
        <w:r>
          <w:rPr>
            <w:noProof/>
            <w:webHidden/>
          </w:rPr>
          <w:fldChar w:fldCharType="end"/>
        </w:r>
      </w:hyperlink>
    </w:p>
    <w:p w14:paraId="79D2FEB7" w14:textId="3742DB23"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197" w:history="1">
        <w:r w:rsidRPr="00066F82">
          <w:rPr>
            <w:rStyle w:val="Hyperlink"/>
            <w:noProof/>
          </w:rPr>
          <w:t>Introduction</w:t>
        </w:r>
        <w:r>
          <w:rPr>
            <w:noProof/>
            <w:webHidden/>
          </w:rPr>
          <w:tab/>
        </w:r>
        <w:r>
          <w:rPr>
            <w:noProof/>
            <w:webHidden/>
          </w:rPr>
          <w:fldChar w:fldCharType="begin"/>
        </w:r>
        <w:r>
          <w:rPr>
            <w:noProof/>
            <w:webHidden/>
          </w:rPr>
          <w:instrText xml:space="preserve"> PAGEREF _Toc116916197 \h </w:instrText>
        </w:r>
        <w:r>
          <w:rPr>
            <w:noProof/>
            <w:webHidden/>
          </w:rPr>
        </w:r>
        <w:r>
          <w:rPr>
            <w:noProof/>
            <w:webHidden/>
          </w:rPr>
          <w:fldChar w:fldCharType="separate"/>
        </w:r>
        <w:r>
          <w:rPr>
            <w:noProof/>
            <w:webHidden/>
          </w:rPr>
          <w:t>5</w:t>
        </w:r>
        <w:r>
          <w:rPr>
            <w:noProof/>
            <w:webHidden/>
          </w:rPr>
          <w:fldChar w:fldCharType="end"/>
        </w:r>
      </w:hyperlink>
    </w:p>
    <w:p w14:paraId="2E829D41" w14:textId="41A8E455"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198" w:history="1">
        <w:r w:rsidRPr="00066F82">
          <w:rPr>
            <w:rStyle w:val="Hyperlink"/>
            <w:noProof/>
          </w:rPr>
          <w:t>Research questions</w:t>
        </w:r>
        <w:r>
          <w:rPr>
            <w:noProof/>
            <w:webHidden/>
          </w:rPr>
          <w:tab/>
        </w:r>
        <w:r>
          <w:rPr>
            <w:noProof/>
            <w:webHidden/>
          </w:rPr>
          <w:fldChar w:fldCharType="begin"/>
        </w:r>
        <w:r>
          <w:rPr>
            <w:noProof/>
            <w:webHidden/>
          </w:rPr>
          <w:instrText xml:space="preserve"> PAGEREF _Toc116916198 \h </w:instrText>
        </w:r>
        <w:r>
          <w:rPr>
            <w:noProof/>
            <w:webHidden/>
          </w:rPr>
        </w:r>
        <w:r>
          <w:rPr>
            <w:noProof/>
            <w:webHidden/>
          </w:rPr>
          <w:fldChar w:fldCharType="separate"/>
        </w:r>
        <w:r>
          <w:rPr>
            <w:noProof/>
            <w:webHidden/>
          </w:rPr>
          <w:t>5</w:t>
        </w:r>
        <w:r>
          <w:rPr>
            <w:noProof/>
            <w:webHidden/>
          </w:rPr>
          <w:fldChar w:fldCharType="end"/>
        </w:r>
      </w:hyperlink>
    </w:p>
    <w:p w14:paraId="63D79A4E" w14:textId="1784BF17"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199" w:history="1">
        <w:r w:rsidRPr="00066F82">
          <w:rPr>
            <w:rStyle w:val="Hyperlink"/>
            <w:noProof/>
          </w:rPr>
          <w:t>Methods</w:t>
        </w:r>
        <w:r>
          <w:rPr>
            <w:noProof/>
            <w:webHidden/>
          </w:rPr>
          <w:tab/>
        </w:r>
        <w:r>
          <w:rPr>
            <w:noProof/>
            <w:webHidden/>
          </w:rPr>
          <w:fldChar w:fldCharType="begin"/>
        </w:r>
        <w:r>
          <w:rPr>
            <w:noProof/>
            <w:webHidden/>
          </w:rPr>
          <w:instrText xml:space="preserve"> PAGEREF _Toc116916199 \h </w:instrText>
        </w:r>
        <w:r>
          <w:rPr>
            <w:noProof/>
            <w:webHidden/>
          </w:rPr>
        </w:r>
        <w:r>
          <w:rPr>
            <w:noProof/>
            <w:webHidden/>
          </w:rPr>
          <w:fldChar w:fldCharType="separate"/>
        </w:r>
        <w:r>
          <w:rPr>
            <w:noProof/>
            <w:webHidden/>
          </w:rPr>
          <w:t>6</w:t>
        </w:r>
        <w:r>
          <w:rPr>
            <w:noProof/>
            <w:webHidden/>
          </w:rPr>
          <w:fldChar w:fldCharType="end"/>
        </w:r>
      </w:hyperlink>
    </w:p>
    <w:p w14:paraId="61479E6A" w14:textId="510F8AAB"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0" w:history="1">
        <w:r w:rsidRPr="00066F82">
          <w:rPr>
            <w:rStyle w:val="Hyperlink"/>
            <w:noProof/>
          </w:rPr>
          <w:t>Key Findings</w:t>
        </w:r>
        <w:r>
          <w:rPr>
            <w:noProof/>
            <w:webHidden/>
          </w:rPr>
          <w:tab/>
        </w:r>
        <w:r>
          <w:rPr>
            <w:noProof/>
            <w:webHidden/>
          </w:rPr>
          <w:fldChar w:fldCharType="begin"/>
        </w:r>
        <w:r>
          <w:rPr>
            <w:noProof/>
            <w:webHidden/>
          </w:rPr>
          <w:instrText xml:space="preserve"> PAGEREF _Toc116916200 \h </w:instrText>
        </w:r>
        <w:r>
          <w:rPr>
            <w:noProof/>
            <w:webHidden/>
          </w:rPr>
        </w:r>
        <w:r>
          <w:rPr>
            <w:noProof/>
            <w:webHidden/>
          </w:rPr>
          <w:fldChar w:fldCharType="separate"/>
        </w:r>
        <w:r>
          <w:rPr>
            <w:noProof/>
            <w:webHidden/>
          </w:rPr>
          <w:t>6</w:t>
        </w:r>
        <w:r>
          <w:rPr>
            <w:noProof/>
            <w:webHidden/>
          </w:rPr>
          <w:fldChar w:fldCharType="end"/>
        </w:r>
      </w:hyperlink>
    </w:p>
    <w:p w14:paraId="139540EC" w14:textId="42A43920"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1" w:history="1">
        <w:r w:rsidRPr="00066F82">
          <w:rPr>
            <w:rStyle w:val="Hyperlink"/>
            <w:noProof/>
          </w:rPr>
          <w:t>Conclusion</w:t>
        </w:r>
        <w:r>
          <w:rPr>
            <w:noProof/>
            <w:webHidden/>
          </w:rPr>
          <w:tab/>
        </w:r>
        <w:r>
          <w:rPr>
            <w:noProof/>
            <w:webHidden/>
          </w:rPr>
          <w:fldChar w:fldCharType="begin"/>
        </w:r>
        <w:r>
          <w:rPr>
            <w:noProof/>
            <w:webHidden/>
          </w:rPr>
          <w:instrText xml:space="preserve"> PAGEREF _Toc116916201 \h </w:instrText>
        </w:r>
        <w:r>
          <w:rPr>
            <w:noProof/>
            <w:webHidden/>
          </w:rPr>
        </w:r>
        <w:r>
          <w:rPr>
            <w:noProof/>
            <w:webHidden/>
          </w:rPr>
          <w:fldChar w:fldCharType="separate"/>
        </w:r>
        <w:r>
          <w:rPr>
            <w:noProof/>
            <w:webHidden/>
          </w:rPr>
          <w:t>9</w:t>
        </w:r>
        <w:r>
          <w:rPr>
            <w:noProof/>
            <w:webHidden/>
          </w:rPr>
          <w:fldChar w:fldCharType="end"/>
        </w:r>
      </w:hyperlink>
    </w:p>
    <w:p w14:paraId="5FE84D3D" w14:textId="26815F1D" w:rsidR="00C20EEC" w:rsidRDefault="00C20EEC">
      <w:pPr>
        <w:pStyle w:val="TOC1"/>
        <w:rPr>
          <w:rFonts w:asciiTheme="minorHAnsi" w:eastAsiaTheme="minorEastAsia" w:hAnsiTheme="minorHAnsi" w:cstheme="minorBidi"/>
          <w:b w:val="0"/>
          <w:noProof/>
          <w:sz w:val="22"/>
          <w:szCs w:val="22"/>
          <w:lang w:eastAsia="en-IE"/>
        </w:rPr>
      </w:pPr>
      <w:hyperlink w:anchor="_Toc116916202" w:history="1">
        <w:r w:rsidRPr="00066F82">
          <w:rPr>
            <w:rStyle w:val="Hyperlink"/>
            <w:noProof/>
          </w:rPr>
          <w:t>Section 1. Introduction</w:t>
        </w:r>
        <w:r>
          <w:rPr>
            <w:noProof/>
            <w:webHidden/>
          </w:rPr>
          <w:tab/>
        </w:r>
        <w:r>
          <w:rPr>
            <w:noProof/>
            <w:webHidden/>
          </w:rPr>
          <w:fldChar w:fldCharType="begin"/>
        </w:r>
        <w:r>
          <w:rPr>
            <w:noProof/>
            <w:webHidden/>
          </w:rPr>
          <w:instrText xml:space="preserve"> PAGEREF _Toc116916202 \h </w:instrText>
        </w:r>
        <w:r>
          <w:rPr>
            <w:noProof/>
            <w:webHidden/>
          </w:rPr>
        </w:r>
        <w:r>
          <w:rPr>
            <w:noProof/>
            <w:webHidden/>
          </w:rPr>
          <w:fldChar w:fldCharType="separate"/>
        </w:r>
        <w:r>
          <w:rPr>
            <w:noProof/>
            <w:webHidden/>
          </w:rPr>
          <w:t>10</w:t>
        </w:r>
        <w:r>
          <w:rPr>
            <w:noProof/>
            <w:webHidden/>
          </w:rPr>
          <w:fldChar w:fldCharType="end"/>
        </w:r>
      </w:hyperlink>
    </w:p>
    <w:p w14:paraId="6DE7FD24" w14:textId="1891EE32"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3" w:history="1">
        <w:r w:rsidRPr="00066F82">
          <w:rPr>
            <w:rStyle w:val="Hyperlink"/>
            <w:noProof/>
          </w:rPr>
          <w:t>Introduction</w:t>
        </w:r>
        <w:r>
          <w:rPr>
            <w:noProof/>
            <w:webHidden/>
          </w:rPr>
          <w:tab/>
        </w:r>
        <w:r>
          <w:rPr>
            <w:noProof/>
            <w:webHidden/>
          </w:rPr>
          <w:fldChar w:fldCharType="begin"/>
        </w:r>
        <w:r>
          <w:rPr>
            <w:noProof/>
            <w:webHidden/>
          </w:rPr>
          <w:instrText xml:space="preserve"> PAGEREF _Toc116916203 \h </w:instrText>
        </w:r>
        <w:r>
          <w:rPr>
            <w:noProof/>
            <w:webHidden/>
          </w:rPr>
        </w:r>
        <w:r>
          <w:rPr>
            <w:noProof/>
            <w:webHidden/>
          </w:rPr>
          <w:fldChar w:fldCharType="separate"/>
        </w:r>
        <w:r>
          <w:rPr>
            <w:noProof/>
            <w:webHidden/>
          </w:rPr>
          <w:t>10</w:t>
        </w:r>
        <w:r>
          <w:rPr>
            <w:noProof/>
            <w:webHidden/>
          </w:rPr>
          <w:fldChar w:fldCharType="end"/>
        </w:r>
      </w:hyperlink>
    </w:p>
    <w:p w14:paraId="77E74210" w14:textId="0A448DAB"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4" w:history="1">
        <w:r w:rsidRPr="00066F82">
          <w:rPr>
            <w:rStyle w:val="Hyperlink"/>
            <w:noProof/>
          </w:rPr>
          <w:t>Defining collaborative research</w:t>
        </w:r>
        <w:r>
          <w:rPr>
            <w:noProof/>
            <w:webHidden/>
          </w:rPr>
          <w:tab/>
        </w:r>
        <w:r>
          <w:rPr>
            <w:noProof/>
            <w:webHidden/>
          </w:rPr>
          <w:fldChar w:fldCharType="begin"/>
        </w:r>
        <w:r>
          <w:rPr>
            <w:noProof/>
            <w:webHidden/>
          </w:rPr>
          <w:instrText xml:space="preserve"> PAGEREF _Toc116916204 \h </w:instrText>
        </w:r>
        <w:r>
          <w:rPr>
            <w:noProof/>
            <w:webHidden/>
          </w:rPr>
        </w:r>
        <w:r>
          <w:rPr>
            <w:noProof/>
            <w:webHidden/>
          </w:rPr>
          <w:fldChar w:fldCharType="separate"/>
        </w:r>
        <w:r>
          <w:rPr>
            <w:noProof/>
            <w:webHidden/>
          </w:rPr>
          <w:t>11</w:t>
        </w:r>
        <w:r>
          <w:rPr>
            <w:noProof/>
            <w:webHidden/>
          </w:rPr>
          <w:fldChar w:fldCharType="end"/>
        </w:r>
      </w:hyperlink>
    </w:p>
    <w:p w14:paraId="7DDE66E8" w14:textId="0661E5DD"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5" w:history="1">
        <w:r w:rsidRPr="00066F82">
          <w:rPr>
            <w:rStyle w:val="Hyperlink"/>
            <w:noProof/>
          </w:rPr>
          <w:t>Continuum of involvement of people with disabilities in research collaborations</w:t>
        </w:r>
        <w:r>
          <w:rPr>
            <w:noProof/>
            <w:webHidden/>
          </w:rPr>
          <w:tab/>
        </w:r>
        <w:r>
          <w:rPr>
            <w:noProof/>
            <w:webHidden/>
          </w:rPr>
          <w:fldChar w:fldCharType="begin"/>
        </w:r>
        <w:r>
          <w:rPr>
            <w:noProof/>
            <w:webHidden/>
          </w:rPr>
          <w:instrText xml:space="preserve"> PAGEREF _Toc116916205 \h </w:instrText>
        </w:r>
        <w:r>
          <w:rPr>
            <w:noProof/>
            <w:webHidden/>
          </w:rPr>
        </w:r>
        <w:r>
          <w:rPr>
            <w:noProof/>
            <w:webHidden/>
          </w:rPr>
          <w:fldChar w:fldCharType="separate"/>
        </w:r>
        <w:r>
          <w:rPr>
            <w:noProof/>
            <w:webHidden/>
          </w:rPr>
          <w:t>17</w:t>
        </w:r>
        <w:r>
          <w:rPr>
            <w:noProof/>
            <w:webHidden/>
          </w:rPr>
          <w:fldChar w:fldCharType="end"/>
        </w:r>
      </w:hyperlink>
    </w:p>
    <w:p w14:paraId="581EBF4D" w14:textId="6A97E8F4"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6" w:history="1">
        <w:r w:rsidRPr="00066F82">
          <w:rPr>
            <w:rStyle w:val="Hyperlink"/>
            <w:noProof/>
          </w:rPr>
          <w:t>Principles of collaborative research</w:t>
        </w:r>
        <w:r>
          <w:rPr>
            <w:noProof/>
            <w:webHidden/>
          </w:rPr>
          <w:tab/>
        </w:r>
        <w:r>
          <w:rPr>
            <w:noProof/>
            <w:webHidden/>
          </w:rPr>
          <w:fldChar w:fldCharType="begin"/>
        </w:r>
        <w:r>
          <w:rPr>
            <w:noProof/>
            <w:webHidden/>
          </w:rPr>
          <w:instrText xml:space="preserve"> PAGEREF _Toc116916206 \h </w:instrText>
        </w:r>
        <w:r>
          <w:rPr>
            <w:noProof/>
            <w:webHidden/>
          </w:rPr>
        </w:r>
        <w:r>
          <w:rPr>
            <w:noProof/>
            <w:webHidden/>
          </w:rPr>
          <w:fldChar w:fldCharType="separate"/>
        </w:r>
        <w:r>
          <w:rPr>
            <w:noProof/>
            <w:webHidden/>
          </w:rPr>
          <w:t>21</w:t>
        </w:r>
        <w:r>
          <w:rPr>
            <w:noProof/>
            <w:webHidden/>
          </w:rPr>
          <w:fldChar w:fldCharType="end"/>
        </w:r>
      </w:hyperlink>
    </w:p>
    <w:p w14:paraId="2E9DD1E7" w14:textId="44640770"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7" w:history="1">
        <w:r w:rsidRPr="00066F82">
          <w:rPr>
            <w:rStyle w:val="Hyperlink"/>
            <w:noProof/>
          </w:rPr>
          <w:t>Terminology and approach used in this review</w:t>
        </w:r>
        <w:r>
          <w:rPr>
            <w:noProof/>
            <w:webHidden/>
          </w:rPr>
          <w:tab/>
        </w:r>
        <w:r>
          <w:rPr>
            <w:noProof/>
            <w:webHidden/>
          </w:rPr>
          <w:fldChar w:fldCharType="begin"/>
        </w:r>
        <w:r>
          <w:rPr>
            <w:noProof/>
            <w:webHidden/>
          </w:rPr>
          <w:instrText xml:space="preserve"> PAGEREF _Toc116916207 \h </w:instrText>
        </w:r>
        <w:r>
          <w:rPr>
            <w:noProof/>
            <w:webHidden/>
          </w:rPr>
        </w:r>
        <w:r>
          <w:rPr>
            <w:noProof/>
            <w:webHidden/>
          </w:rPr>
          <w:fldChar w:fldCharType="separate"/>
        </w:r>
        <w:r>
          <w:rPr>
            <w:noProof/>
            <w:webHidden/>
          </w:rPr>
          <w:t>22</w:t>
        </w:r>
        <w:r>
          <w:rPr>
            <w:noProof/>
            <w:webHidden/>
          </w:rPr>
          <w:fldChar w:fldCharType="end"/>
        </w:r>
      </w:hyperlink>
    </w:p>
    <w:p w14:paraId="778A5817" w14:textId="1F8E66C0"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8" w:history="1">
        <w:r w:rsidRPr="00066F82">
          <w:rPr>
            <w:rStyle w:val="Hyperlink"/>
            <w:noProof/>
          </w:rPr>
          <w:t>Research questions</w:t>
        </w:r>
        <w:r>
          <w:rPr>
            <w:noProof/>
            <w:webHidden/>
          </w:rPr>
          <w:tab/>
        </w:r>
        <w:r>
          <w:rPr>
            <w:noProof/>
            <w:webHidden/>
          </w:rPr>
          <w:fldChar w:fldCharType="begin"/>
        </w:r>
        <w:r>
          <w:rPr>
            <w:noProof/>
            <w:webHidden/>
          </w:rPr>
          <w:instrText xml:space="preserve"> PAGEREF _Toc116916208 \h </w:instrText>
        </w:r>
        <w:r>
          <w:rPr>
            <w:noProof/>
            <w:webHidden/>
          </w:rPr>
        </w:r>
        <w:r>
          <w:rPr>
            <w:noProof/>
            <w:webHidden/>
          </w:rPr>
          <w:fldChar w:fldCharType="separate"/>
        </w:r>
        <w:r>
          <w:rPr>
            <w:noProof/>
            <w:webHidden/>
          </w:rPr>
          <w:t>23</w:t>
        </w:r>
        <w:r>
          <w:rPr>
            <w:noProof/>
            <w:webHidden/>
          </w:rPr>
          <w:fldChar w:fldCharType="end"/>
        </w:r>
      </w:hyperlink>
    </w:p>
    <w:p w14:paraId="11626E02" w14:textId="2818159E"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09" w:history="1">
        <w:r w:rsidRPr="00066F82">
          <w:rPr>
            <w:rStyle w:val="Hyperlink"/>
            <w:noProof/>
          </w:rPr>
          <w:t>Report outline</w:t>
        </w:r>
        <w:r>
          <w:rPr>
            <w:noProof/>
            <w:webHidden/>
          </w:rPr>
          <w:tab/>
        </w:r>
        <w:r>
          <w:rPr>
            <w:noProof/>
            <w:webHidden/>
          </w:rPr>
          <w:fldChar w:fldCharType="begin"/>
        </w:r>
        <w:r>
          <w:rPr>
            <w:noProof/>
            <w:webHidden/>
          </w:rPr>
          <w:instrText xml:space="preserve"> PAGEREF _Toc116916209 \h </w:instrText>
        </w:r>
        <w:r>
          <w:rPr>
            <w:noProof/>
            <w:webHidden/>
          </w:rPr>
        </w:r>
        <w:r>
          <w:rPr>
            <w:noProof/>
            <w:webHidden/>
          </w:rPr>
          <w:fldChar w:fldCharType="separate"/>
        </w:r>
        <w:r>
          <w:rPr>
            <w:noProof/>
            <w:webHidden/>
          </w:rPr>
          <w:t>23</w:t>
        </w:r>
        <w:r>
          <w:rPr>
            <w:noProof/>
            <w:webHidden/>
          </w:rPr>
          <w:fldChar w:fldCharType="end"/>
        </w:r>
      </w:hyperlink>
    </w:p>
    <w:p w14:paraId="0822FBC0" w14:textId="4D2B27BC" w:rsidR="00C20EEC" w:rsidRDefault="00C20EEC">
      <w:pPr>
        <w:pStyle w:val="TOC1"/>
        <w:rPr>
          <w:rFonts w:asciiTheme="minorHAnsi" w:eastAsiaTheme="minorEastAsia" w:hAnsiTheme="minorHAnsi" w:cstheme="minorBidi"/>
          <w:b w:val="0"/>
          <w:noProof/>
          <w:sz w:val="22"/>
          <w:szCs w:val="22"/>
          <w:lang w:eastAsia="en-IE"/>
        </w:rPr>
      </w:pPr>
      <w:hyperlink w:anchor="_Toc116916210" w:history="1">
        <w:r w:rsidRPr="00066F82">
          <w:rPr>
            <w:rStyle w:val="Hyperlink"/>
            <w:noProof/>
          </w:rPr>
          <w:t>Section 2. Methodology</w:t>
        </w:r>
        <w:r>
          <w:rPr>
            <w:noProof/>
            <w:webHidden/>
          </w:rPr>
          <w:tab/>
        </w:r>
        <w:r>
          <w:rPr>
            <w:noProof/>
            <w:webHidden/>
          </w:rPr>
          <w:fldChar w:fldCharType="begin"/>
        </w:r>
        <w:r>
          <w:rPr>
            <w:noProof/>
            <w:webHidden/>
          </w:rPr>
          <w:instrText xml:space="preserve"> PAGEREF _Toc116916210 \h </w:instrText>
        </w:r>
        <w:r>
          <w:rPr>
            <w:noProof/>
            <w:webHidden/>
          </w:rPr>
        </w:r>
        <w:r>
          <w:rPr>
            <w:noProof/>
            <w:webHidden/>
          </w:rPr>
          <w:fldChar w:fldCharType="separate"/>
        </w:r>
        <w:r>
          <w:rPr>
            <w:noProof/>
            <w:webHidden/>
          </w:rPr>
          <w:t>24</w:t>
        </w:r>
        <w:r>
          <w:rPr>
            <w:noProof/>
            <w:webHidden/>
          </w:rPr>
          <w:fldChar w:fldCharType="end"/>
        </w:r>
      </w:hyperlink>
    </w:p>
    <w:p w14:paraId="4120B0FE" w14:textId="1A592B19"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11" w:history="1">
        <w:r w:rsidRPr="00066F82">
          <w:rPr>
            <w:rStyle w:val="Hyperlink"/>
            <w:noProof/>
          </w:rPr>
          <w:t>Literature search</w:t>
        </w:r>
        <w:r>
          <w:rPr>
            <w:noProof/>
            <w:webHidden/>
          </w:rPr>
          <w:tab/>
        </w:r>
        <w:r>
          <w:rPr>
            <w:noProof/>
            <w:webHidden/>
          </w:rPr>
          <w:fldChar w:fldCharType="begin"/>
        </w:r>
        <w:r>
          <w:rPr>
            <w:noProof/>
            <w:webHidden/>
          </w:rPr>
          <w:instrText xml:space="preserve"> PAGEREF _Toc116916211 \h </w:instrText>
        </w:r>
        <w:r>
          <w:rPr>
            <w:noProof/>
            <w:webHidden/>
          </w:rPr>
        </w:r>
        <w:r>
          <w:rPr>
            <w:noProof/>
            <w:webHidden/>
          </w:rPr>
          <w:fldChar w:fldCharType="separate"/>
        </w:r>
        <w:r>
          <w:rPr>
            <w:noProof/>
            <w:webHidden/>
          </w:rPr>
          <w:t>24</w:t>
        </w:r>
        <w:r>
          <w:rPr>
            <w:noProof/>
            <w:webHidden/>
          </w:rPr>
          <w:fldChar w:fldCharType="end"/>
        </w:r>
      </w:hyperlink>
    </w:p>
    <w:p w14:paraId="1E32DB9D" w14:textId="7CF153C9"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12" w:history="1">
        <w:r w:rsidRPr="00066F82">
          <w:rPr>
            <w:rStyle w:val="Hyperlink"/>
            <w:noProof/>
          </w:rPr>
          <w:t>Data extraction and synthesis</w:t>
        </w:r>
        <w:r>
          <w:rPr>
            <w:noProof/>
            <w:webHidden/>
          </w:rPr>
          <w:tab/>
        </w:r>
        <w:r>
          <w:rPr>
            <w:noProof/>
            <w:webHidden/>
          </w:rPr>
          <w:fldChar w:fldCharType="begin"/>
        </w:r>
        <w:r>
          <w:rPr>
            <w:noProof/>
            <w:webHidden/>
          </w:rPr>
          <w:instrText xml:space="preserve"> PAGEREF _Toc116916212 \h </w:instrText>
        </w:r>
        <w:r>
          <w:rPr>
            <w:noProof/>
            <w:webHidden/>
          </w:rPr>
        </w:r>
        <w:r>
          <w:rPr>
            <w:noProof/>
            <w:webHidden/>
          </w:rPr>
          <w:fldChar w:fldCharType="separate"/>
        </w:r>
        <w:r>
          <w:rPr>
            <w:noProof/>
            <w:webHidden/>
          </w:rPr>
          <w:t>25</w:t>
        </w:r>
        <w:r>
          <w:rPr>
            <w:noProof/>
            <w:webHidden/>
          </w:rPr>
          <w:fldChar w:fldCharType="end"/>
        </w:r>
      </w:hyperlink>
    </w:p>
    <w:p w14:paraId="201FD99F" w14:textId="13317267" w:rsidR="00C20EEC" w:rsidRDefault="00C20EEC">
      <w:pPr>
        <w:pStyle w:val="TOC1"/>
        <w:rPr>
          <w:rFonts w:asciiTheme="minorHAnsi" w:eastAsiaTheme="minorEastAsia" w:hAnsiTheme="minorHAnsi" w:cstheme="minorBidi"/>
          <w:b w:val="0"/>
          <w:noProof/>
          <w:sz w:val="22"/>
          <w:szCs w:val="22"/>
          <w:lang w:eastAsia="en-IE"/>
        </w:rPr>
      </w:pPr>
      <w:hyperlink w:anchor="_Toc116916213" w:history="1">
        <w:r w:rsidRPr="00066F82">
          <w:rPr>
            <w:rStyle w:val="Hyperlink"/>
            <w:noProof/>
          </w:rPr>
          <w:t>Section 3. Benefits of co-research</w:t>
        </w:r>
        <w:r>
          <w:rPr>
            <w:noProof/>
            <w:webHidden/>
          </w:rPr>
          <w:tab/>
        </w:r>
        <w:r>
          <w:rPr>
            <w:noProof/>
            <w:webHidden/>
          </w:rPr>
          <w:fldChar w:fldCharType="begin"/>
        </w:r>
        <w:r>
          <w:rPr>
            <w:noProof/>
            <w:webHidden/>
          </w:rPr>
          <w:instrText xml:space="preserve"> PAGEREF _Toc116916213 \h </w:instrText>
        </w:r>
        <w:r>
          <w:rPr>
            <w:noProof/>
            <w:webHidden/>
          </w:rPr>
        </w:r>
        <w:r>
          <w:rPr>
            <w:noProof/>
            <w:webHidden/>
          </w:rPr>
          <w:fldChar w:fldCharType="separate"/>
        </w:r>
        <w:r>
          <w:rPr>
            <w:noProof/>
            <w:webHidden/>
          </w:rPr>
          <w:t>25</w:t>
        </w:r>
        <w:r>
          <w:rPr>
            <w:noProof/>
            <w:webHidden/>
          </w:rPr>
          <w:fldChar w:fldCharType="end"/>
        </w:r>
      </w:hyperlink>
    </w:p>
    <w:p w14:paraId="00EC7C76" w14:textId="4386D252"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14" w:history="1">
        <w:r w:rsidRPr="00066F82">
          <w:rPr>
            <w:rStyle w:val="Hyperlink"/>
            <w:noProof/>
          </w:rPr>
          <w:t>Challenging the status quo</w:t>
        </w:r>
        <w:r>
          <w:rPr>
            <w:noProof/>
            <w:webHidden/>
          </w:rPr>
          <w:tab/>
        </w:r>
        <w:r>
          <w:rPr>
            <w:noProof/>
            <w:webHidden/>
          </w:rPr>
          <w:fldChar w:fldCharType="begin"/>
        </w:r>
        <w:r>
          <w:rPr>
            <w:noProof/>
            <w:webHidden/>
          </w:rPr>
          <w:instrText xml:space="preserve"> PAGEREF _Toc116916214 \h </w:instrText>
        </w:r>
        <w:r>
          <w:rPr>
            <w:noProof/>
            <w:webHidden/>
          </w:rPr>
        </w:r>
        <w:r>
          <w:rPr>
            <w:noProof/>
            <w:webHidden/>
          </w:rPr>
          <w:fldChar w:fldCharType="separate"/>
        </w:r>
        <w:r>
          <w:rPr>
            <w:noProof/>
            <w:webHidden/>
          </w:rPr>
          <w:t>26</w:t>
        </w:r>
        <w:r>
          <w:rPr>
            <w:noProof/>
            <w:webHidden/>
          </w:rPr>
          <w:fldChar w:fldCharType="end"/>
        </w:r>
      </w:hyperlink>
    </w:p>
    <w:p w14:paraId="0B6F6A3A" w14:textId="67E5279C"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15" w:history="1">
        <w:r w:rsidRPr="00066F82">
          <w:rPr>
            <w:rStyle w:val="Hyperlink"/>
            <w:noProof/>
          </w:rPr>
          <w:t>Improvements to the research process and outcomes</w:t>
        </w:r>
        <w:r>
          <w:rPr>
            <w:noProof/>
            <w:webHidden/>
          </w:rPr>
          <w:tab/>
        </w:r>
        <w:r>
          <w:rPr>
            <w:noProof/>
            <w:webHidden/>
          </w:rPr>
          <w:fldChar w:fldCharType="begin"/>
        </w:r>
        <w:r>
          <w:rPr>
            <w:noProof/>
            <w:webHidden/>
          </w:rPr>
          <w:instrText xml:space="preserve"> PAGEREF _Toc116916215 \h </w:instrText>
        </w:r>
        <w:r>
          <w:rPr>
            <w:noProof/>
            <w:webHidden/>
          </w:rPr>
        </w:r>
        <w:r>
          <w:rPr>
            <w:noProof/>
            <w:webHidden/>
          </w:rPr>
          <w:fldChar w:fldCharType="separate"/>
        </w:r>
        <w:r>
          <w:rPr>
            <w:noProof/>
            <w:webHidden/>
          </w:rPr>
          <w:t>27</w:t>
        </w:r>
        <w:r>
          <w:rPr>
            <w:noProof/>
            <w:webHidden/>
          </w:rPr>
          <w:fldChar w:fldCharType="end"/>
        </w:r>
      </w:hyperlink>
    </w:p>
    <w:p w14:paraId="4C4ADEC1" w14:textId="352E3B23"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16" w:history="1">
        <w:r w:rsidRPr="00066F82">
          <w:rPr>
            <w:rStyle w:val="Hyperlink"/>
            <w:noProof/>
          </w:rPr>
          <w:t>Personal and professional development of all researchers</w:t>
        </w:r>
        <w:r>
          <w:rPr>
            <w:noProof/>
            <w:webHidden/>
          </w:rPr>
          <w:tab/>
        </w:r>
        <w:r>
          <w:rPr>
            <w:noProof/>
            <w:webHidden/>
          </w:rPr>
          <w:fldChar w:fldCharType="begin"/>
        </w:r>
        <w:r>
          <w:rPr>
            <w:noProof/>
            <w:webHidden/>
          </w:rPr>
          <w:instrText xml:space="preserve"> PAGEREF _Toc116916216 \h </w:instrText>
        </w:r>
        <w:r>
          <w:rPr>
            <w:noProof/>
            <w:webHidden/>
          </w:rPr>
        </w:r>
        <w:r>
          <w:rPr>
            <w:noProof/>
            <w:webHidden/>
          </w:rPr>
          <w:fldChar w:fldCharType="separate"/>
        </w:r>
        <w:r>
          <w:rPr>
            <w:noProof/>
            <w:webHidden/>
          </w:rPr>
          <w:t>32</w:t>
        </w:r>
        <w:r>
          <w:rPr>
            <w:noProof/>
            <w:webHidden/>
          </w:rPr>
          <w:fldChar w:fldCharType="end"/>
        </w:r>
      </w:hyperlink>
    </w:p>
    <w:p w14:paraId="6F50737B" w14:textId="07232FA4"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17" w:history="1">
        <w:r w:rsidRPr="00066F82">
          <w:rPr>
            <w:rStyle w:val="Hyperlink"/>
            <w:noProof/>
          </w:rPr>
          <w:t>Sense of belonging and support in collaborative research teams</w:t>
        </w:r>
        <w:r>
          <w:rPr>
            <w:noProof/>
            <w:webHidden/>
          </w:rPr>
          <w:tab/>
        </w:r>
        <w:r>
          <w:rPr>
            <w:noProof/>
            <w:webHidden/>
          </w:rPr>
          <w:fldChar w:fldCharType="begin"/>
        </w:r>
        <w:r>
          <w:rPr>
            <w:noProof/>
            <w:webHidden/>
          </w:rPr>
          <w:instrText xml:space="preserve"> PAGEREF _Toc116916217 \h </w:instrText>
        </w:r>
        <w:r>
          <w:rPr>
            <w:noProof/>
            <w:webHidden/>
          </w:rPr>
        </w:r>
        <w:r>
          <w:rPr>
            <w:noProof/>
            <w:webHidden/>
          </w:rPr>
          <w:fldChar w:fldCharType="separate"/>
        </w:r>
        <w:r>
          <w:rPr>
            <w:noProof/>
            <w:webHidden/>
          </w:rPr>
          <w:t>34</w:t>
        </w:r>
        <w:r>
          <w:rPr>
            <w:noProof/>
            <w:webHidden/>
          </w:rPr>
          <w:fldChar w:fldCharType="end"/>
        </w:r>
      </w:hyperlink>
    </w:p>
    <w:p w14:paraId="7C6B2446" w14:textId="28003F88"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18" w:history="1">
        <w:r w:rsidRPr="00066F82">
          <w:rPr>
            <w:rStyle w:val="Hyperlink"/>
            <w:noProof/>
          </w:rPr>
          <w:t>An enjoyable and rewarding experience</w:t>
        </w:r>
        <w:r>
          <w:rPr>
            <w:noProof/>
            <w:webHidden/>
          </w:rPr>
          <w:tab/>
        </w:r>
        <w:r>
          <w:rPr>
            <w:noProof/>
            <w:webHidden/>
          </w:rPr>
          <w:fldChar w:fldCharType="begin"/>
        </w:r>
        <w:r>
          <w:rPr>
            <w:noProof/>
            <w:webHidden/>
          </w:rPr>
          <w:instrText xml:space="preserve"> PAGEREF _Toc116916218 \h </w:instrText>
        </w:r>
        <w:r>
          <w:rPr>
            <w:noProof/>
            <w:webHidden/>
          </w:rPr>
        </w:r>
        <w:r>
          <w:rPr>
            <w:noProof/>
            <w:webHidden/>
          </w:rPr>
          <w:fldChar w:fldCharType="separate"/>
        </w:r>
        <w:r>
          <w:rPr>
            <w:noProof/>
            <w:webHidden/>
          </w:rPr>
          <w:t>35</w:t>
        </w:r>
        <w:r>
          <w:rPr>
            <w:noProof/>
            <w:webHidden/>
          </w:rPr>
          <w:fldChar w:fldCharType="end"/>
        </w:r>
      </w:hyperlink>
    </w:p>
    <w:p w14:paraId="355B9587" w14:textId="7AF5BBB2" w:rsidR="00C20EEC" w:rsidRDefault="00C20EEC">
      <w:pPr>
        <w:pStyle w:val="TOC1"/>
        <w:rPr>
          <w:rFonts w:asciiTheme="minorHAnsi" w:eastAsiaTheme="minorEastAsia" w:hAnsiTheme="minorHAnsi" w:cstheme="minorBidi"/>
          <w:b w:val="0"/>
          <w:noProof/>
          <w:sz w:val="22"/>
          <w:szCs w:val="22"/>
          <w:lang w:eastAsia="en-IE"/>
        </w:rPr>
      </w:pPr>
      <w:hyperlink w:anchor="_Toc116916219" w:history="1">
        <w:r w:rsidRPr="00066F82">
          <w:rPr>
            <w:rStyle w:val="Hyperlink"/>
            <w:noProof/>
          </w:rPr>
          <w:t>Section 4. Important considerations on designing and conducting collaborative research projects</w:t>
        </w:r>
        <w:r>
          <w:rPr>
            <w:noProof/>
            <w:webHidden/>
          </w:rPr>
          <w:tab/>
        </w:r>
        <w:r>
          <w:rPr>
            <w:noProof/>
            <w:webHidden/>
          </w:rPr>
          <w:fldChar w:fldCharType="begin"/>
        </w:r>
        <w:r>
          <w:rPr>
            <w:noProof/>
            <w:webHidden/>
          </w:rPr>
          <w:instrText xml:space="preserve"> PAGEREF _Toc116916219 \h </w:instrText>
        </w:r>
        <w:r>
          <w:rPr>
            <w:noProof/>
            <w:webHidden/>
          </w:rPr>
        </w:r>
        <w:r>
          <w:rPr>
            <w:noProof/>
            <w:webHidden/>
          </w:rPr>
          <w:fldChar w:fldCharType="separate"/>
        </w:r>
        <w:r>
          <w:rPr>
            <w:noProof/>
            <w:webHidden/>
          </w:rPr>
          <w:t>37</w:t>
        </w:r>
        <w:r>
          <w:rPr>
            <w:noProof/>
            <w:webHidden/>
          </w:rPr>
          <w:fldChar w:fldCharType="end"/>
        </w:r>
      </w:hyperlink>
    </w:p>
    <w:p w14:paraId="15843EE0" w14:textId="5677ACE5"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0" w:history="1">
        <w:r w:rsidRPr="00066F82">
          <w:rPr>
            <w:rStyle w:val="Hyperlink"/>
            <w:noProof/>
          </w:rPr>
          <w:t>Aligning the traditional research approach with a collaborative research approach</w:t>
        </w:r>
        <w:r>
          <w:rPr>
            <w:noProof/>
            <w:webHidden/>
          </w:rPr>
          <w:tab/>
        </w:r>
        <w:r>
          <w:rPr>
            <w:noProof/>
            <w:webHidden/>
          </w:rPr>
          <w:fldChar w:fldCharType="begin"/>
        </w:r>
        <w:r>
          <w:rPr>
            <w:noProof/>
            <w:webHidden/>
          </w:rPr>
          <w:instrText xml:space="preserve"> PAGEREF _Toc116916220 \h </w:instrText>
        </w:r>
        <w:r>
          <w:rPr>
            <w:noProof/>
            <w:webHidden/>
          </w:rPr>
        </w:r>
        <w:r>
          <w:rPr>
            <w:noProof/>
            <w:webHidden/>
          </w:rPr>
          <w:fldChar w:fldCharType="separate"/>
        </w:r>
        <w:r>
          <w:rPr>
            <w:noProof/>
            <w:webHidden/>
          </w:rPr>
          <w:t>37</w:t>
        </w:r>
        <w:r>
          <w:rPr>
            <w:noProof/>
            <w:webHidden/>
          </w:rPr>
          <w:fldChar w:fldCharType="end"/>
        </w:r>
      </w:hyperlink>
    </w:p>
    <w:p w14:paraId="0D6CE142" w14:textId="0FD1F512"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1" w:history="1">
        <w:r w:rsidRPr="00066F82">
          <w:rPr>
            <w:rStyle w:val="Hyperlink"/>
            <w:noProof/>
          </w:rPr>
          <w:t>Recruitment of co-researchers</w:t>
        </w:r>
        <w:r>
          <w:rPr>
            <w:noProof/>
            <w:webHidden/>
          </w:rPr>
          <w:tab/>
        </w:r>
        <w:r>
          <w:rPr>
            <w:noProof/>
            <w:webHidden/>
          </w:rPr>
          <w:fldChar w:fldCharType="begin"/>
        </w:r>
        <w:r>
          <w:rPr>
            <w:noProof/>
            <w:webHidden/>
          </w:rPr>
          <w:instrText xml:space="preserve"> PAGEREF _Toc116916221 \h </w:instrText>
        </w:r>
        <w:r>
          <w:rPr>
            <w:noProof/>
            <w:webHidden/>
          </w:rPr>
        </w:r>
        <w:r>
          <w:rPr>
            <w:noProof/>
            <w:webHidden/>
          </w:rPr>
          <w:fldChar w:fldCharType="separate"/>
        </w:r>
        <w:r>
          <w:rPr>
            <w:noProof/>
            <w:webHidden/>
          </w:rPr>
          <w:t>48</w:t>
        </w:r>
        <w:r>
          <w:rPr>
            <w:noProof/>
            <w:webHidden/>
          </w:rPr>
          <w:fldChar w:fldCharType="end"/>
        </w:r>
      </w:hyperlink>
    </w:p>
    <w:p w14:paraId="250A5833" w14:textId="7152F852"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2" w:history="1">
        <w:r w:rsidRPr="00066F82">
          <w:rPr>
            <w:rStyle w:val="Hyperlink"/>
            <w:noProof/>
          </w:rPr>
          <w:t>Planning and preparing for a collaborative research project</w:t>
        </w:r>
        <w:r>
          <w:rPr>
            <w:noProof/>
            <w:webHidden/>
          </w:rPr>
          <w:tab/>
        </w:r>
        <w:r>
          <w:rPr>
            <w:noProof/>
            <w:webHidden/>
          </w:rPr>
          <w:fldChar w:fldCharType="begin"/>
        </w:r>
        <w:r>
          <w:rPr>
            <w:noProof/>
            <w:webHidden/>
          </w:rPr>
          <w:instrText xml:space="preserve"> PAGEREF _Toc116916222 \h </w:instrText>
        </w:r>
        <w:r>
          <w:rPr>
            <w:noProof/>
            <w:webHidden/>
          </w:rPr>
        </w:r>
        <w:r>
          <w:rPr>
            <w:noProof/>
            <w:webHidden/>
          </w:rPr>
          <w:fldChar w:fldCharType="separate"/>
        </w:r>
        <w:r>
          <w:rPr>
            <w:noProof/>
            <w:webHidden/>
          </w:rPr>
          <w:t>54</w:t>
        </w:r>
        <w:r>
          <w:rPr>
            <w:noProof/>
            <w:webHidden/>
          </w:rPr>
          <w:fldChar w:fldCharType="end"/>
        </w:r>
      </w:hyperlink>
    </w:p>
    <w:p w14:paraId="18E67159" w14:textId="76640B3A"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3" w:history="1">
        <w:r w:rsidRPr="00066F82">
          <w:rPr>
            <w:rStyle w:val="Hyperlink"/>
            <w:noProof/>
          </w:rPr>
          <w:t>Building a relationship between researchers and co-researchers</w:t>
        </w:r>
        <w:r>
          <w:rPr>
            <w:noProof/>
            <w:webHidden/>
          </w:rPr>
          <w:tab/>
        </w:r>
        <w:r>
          <w:rPr>
            <w:noProof/>
            <w:webHidden/>
          </w:rPr>
          <w:fldChar w:fldCharType="begin"/>
        </w:r>
        <w:r>
          <w:rPr>
            <w:noProof/>
            <w:webHidden/>
          </w:rPr>
          <w:instrText xml:space="preserve"> PAGEREF _Toc116916223 \h </w:instrText>
        </w:r>
        <w:r>
          <w:rPr>
            <w:noProof/>
            <w:webHidden/>
          </w:rPr>
        </w:r>
        <w:r>
          <w:rPr>
            <w:noProof/>
            <w:webHidden/>
          </w:rPr>
          <w:fldChar w:fldCharType="separate"/>
        </w:r>
        <w:r>
          <w:rPr>
            <w:noProof/>
            <w:webHidden/>
          </w:rPr>
          <w:t>63</w:t>
        </w:r>
        <w:r>
          <w:rPr>
            <w:noProof/>
            <w:webHidden/>
          </w:rPr>
          <w:fldChar w:fldCharType="end"/>
        </w:r>
      </w:hyperlink>
    </w:p>
    <w:p w14:paraId="5B972E7C" w14:textId="3106D273"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4" w:history="1">
        <w:r w:rsidRPr="00066F82">
          <w:rPr>
            <w:rStyle w:val="Hyperlink"/>
            <w:noProof/>
          </w:rPr>
          <w:t>Facilitating the involvement of co-researchers</w:t>
        </w:r>
        <w:r>
          <w:rPr>
            <w:noProof/>
            <w:webHidden/>
          </w:rPr>
          <w:tab/>
        </w:r>
        <w:r>
          <w:rPr>
            <w:noProof/>
            <w:webHidden/>
          </w:rPr>
          <w:fldChar w:fldCharType="begin"/>
        </w:r>
        <w:r>
          <w:rPr>
            <w:noProof/>
            <w:webHidden/>
          </w:rPr>
          <w:instrText xml:space="preserve"> PAGEREF _Toc116916224 \h </w:instrText>
        </w:r>
        <w:r>
          <w:rPr>
            <w:noProof/>
            <w:webHidden/>
          </w:rPr>
        </w:r>
        <w:r>
          <w:rPr>
            <w:noProof/>
            <w:webHidden/>
          </w:rPr>
          <w:fldChar w:fldCharType="separate"/>
        </w:r>
        <w:r>
          <w:rPr>
            <w:noProof/>
            <w:webHidden/>
          </w:rPr>
          <w:t>70</w:t>
        </w:r>
        <w:r>
          <w:rPr>
            <w:noProof/>
            <w:webHidden/>
          </w:rPr>
          <w:fldChar w:fldCharType="end"/>
        </w:r>
      </w:hyperlink>
    </w:p>
    <w:p w14:paraId="51DF2C01" w14:textId="1FF714B2"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5" w:history="1">
        <w:r w:rsidRPr="00066F82">
          <w:rPr>
            <w:rStyle w:val="Hyperlink"/>
            <w:noProof/>
          </w:rPr>
          <w:t>Involvement of co-researchers in different stages of research</w:t>
        </w:r>
        <w:r>
          <w:rPr>
            <w:noProof/>
            <w:webHidden/>
          </w:rPr>
          <w:tab/>
        </w:r>
        <w:r>
          <w:rPr>
            <w:noProof/>
            <w:webHidden/>
          </w:rPr>
          <w:fldChar w:fldCharType="begin"/>
        </w:r>
        <w:r>
          <w:rPr>
            <w:noProof/>
            <w:webHidden/>
          </w:rPr>
          <w:instrText xml:space="preserve"> PAGEREF _Toc116916225 \h </w:instrText>
        </w:r>
        <w:r>
          <w:rPr>
            <w:noProof/>
            <w:webHidden/>
          </w:rPr>
        </w:r>
        <w:r>
          <w:rPr>
            <w:noProof/>
            <w:webHidden/>
          </w:rPr>
          <w:fldChar w:fldCharType="separate"/>
        </w:r>
        <w:r>
          <w:rPr>
            <w:noProof/>
            <w:webHidden/>
          </w:rPr>
          <w:t>77</w:t>
        </w:r>
        <w:r>
          <w:rPr>
            <w:noProof/>
            <w:webHidden/>
          </w:rPr>
          <w:fldChar w:fldCharType="end"/>
        </w:r>
      </w:hyperlink>
    </w:p>
    <w:p w14:paraId="79A7FDD9" w14:textId="42092C3B"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6" w:history="1">
        <w:r w:rsidRPr="00066F82">
          <w:rPr>
            <w:rStyle w:val="Hyperlink"/>
            <w:noProof/>
          </w:rPr>
          <w:t>Documenting and evaluating the collaborative research process</w:t>
        </w:r>
        <w:r>
          <w:rPr>
            <w:noProof/>
            <w:webHidden/>
          </w:rPr>
          <w:tab/>
        </w:r>
        <w:r>
          <w:rPr>
            <w:noProof/>
            <w:webHidden/>
          </w:rPr>
          <w:fldChar w:fldCharType="begin"/>
        </w:r>
        <w:r>
          <w:rPr>
            <w:noProof/>
            <w:webHidden/>
          </w:rPr>
          <w:instrText xml:space="preserve"> PAGEREF _Toc116916226 \h </w:instrText>
        </w:r>
        <w:r>
          <w:rPr>
            <w:noProof/>
            <w:webHidden/>
          </w:rPr>
        </w:r>
        <w:r>
          <w:rPr>
            <w:noProof/>
            <w:webHidden/>
          </w:rPr>
          <w:fldChar w:fldCharType="separate"/>
        </w:r>
        <w:r>
          <w:rPr>
            <w:noProof/>
            <w:webHidden/>
          </w:rPr>
          <w:t>92</w:t>
        </w:r>
        <w:r>
          <w:rPr>
            <w:noProof/>
            <w:webHidden/>
          </w:rPr>
          <w:fldChar w:fldCharType="end"/>
        </w:r>
      </w:hyperlink>
    </w:p>
    <w:p w14:paraId="3CC265B8" w14:textId="1AD78029" w:rsidR="00C20EEC" w:rsidRDefault="00C20EEC">
      <w:pPr>
        <w:pStyle w:val="TOC1"/>
        <w:rPr>
          <w:rFonts w:asciiTheme="minorHAnsi" w:eastAsiaTheme="minorEastAsia" w:hAnsiTheme="minorHAnsi" w:cstheme="minorBidi"/>
          <w:b w:val="0"/>
          <w:noProof/>
          <w:sz w:val="22"/>
          <w:szCs w:val="22"/>
          <w:lang w:eastAsia="en-IE"/>
        </w:rPr>
      </w:pPr>
      <w:hyperlink w:anchor="_Toc116916227" w:history="1">
        <w:r w:rsidRPr="00066F82">
          <w:rPr>
            <w:rStyle w:val="Hyperlink"/>
            <w:noProof/>
          </w:rPr>
          <w:t>Section 5: Conclusion</w:t>
        </w:r>
        <w:r>
          <w:rPr>
            <w:noProof/>
            <w:webHidden/>
          </w:rPr>
          <w:tab/>
        </w:r>
        <w:r>
          <w:rPr>
            <w:noProof/>
            <w:webHidden/>
          </w:rPr>
          <w:fldChar w:fldCharType="begin"/>
        </w:r>
        <w:r>
          <w:rPr>
            <w:noProof/>
            <w:webHidden/>
          </w:rPr>
          <w:instrText xml:space="preserve"> PAGEREF _Toc116916227 \h </w:instrText>
        </w:r>
        <w:r>
          <w:rPr>
            <w:noProof/>
            <w:webHidden/>
          </w:rPr>
        </w:r>
        <w:r>
          <w:rPr>
            <w:noProof/>
            <w:webHidden/>
          </w:rPr>
          <w:fldChar w:fldCharType="separate"/>
        </w:r>
        <w:r>
          <w:rPr>
            <w:noProof/>
            <w:webHidden/>
          </w:rPr>
          <w:t>93</w:t>
        </w:r>
        <w:r>
          <w:rPr>
            <w:noProof/>
            <w:webHidden/>
          </w:rPr>
          <w:fldChar w:fldCharType="end"/>
        </w:r>
      </w:hyperlink>
    </w:p>
    <w:p w14:paraId="08C50F4D" w14:textId="69890840"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8" w:history="1">
        <w:r w:rsidRPr="00066F82">
          <w:rPr>
            <w:rStyle w:val="Hyperlink"/>
            <w:noProof/>
          </w:rPr>
          <w:t>Summary of findings</w:t>
        </w:r>
        <w:r>
          <w:rPr>
            <w:noProof/>
            <w:webHidden/>
          </w:rPr>
          <w:tab/>
        </w:r>
        <w:r>
          <w:rPr>
            <w:noProof/>
            <w:webHidden/>
          </w:rPr>
          <w:fldChar w:fldCharType="begin"/>
        </w:r>
        <w:r>
          <w:rPr>
            <w:noProof/>
            <w:webHidden/>
          </w:rPr>
          <w:instrText xml:space="preserve"> PAGEREF _Toc116916228 \h </w:instrText>
        </w:r>
        <w:r>
          <w:rPr>
            <w:noProof/>
            <w:webHidden/>
          </w:rPr>
        </w:r>
        <w:r>
          <w:rPr>
            <w:noProof/>
            <w:webHidden/>
          </w:rPr>
          <w:fldChar w:fldCharType="separate"/>
        </w:r>
        <w:r>
          <w:rPr>
            <w:noProof/>
            <w:webHidden/>
          </w:rPr>
          <w:t>93</w:t>
        </w:r>
        <w:r>
          <w:rPr>
            <w:noProof/>
            <w:webHidden/>
          </w:rPr>
          <w:fldChar w:fldCharType="end"/>
        </w:r>
      </w:hyperlink>
    </w:p>
    <w:p w14:paraId="0AE8AD15" w14:textId="4A8D2A36"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29" w:history="1">
        <w:r w:rsidRPr="00066F82">
          <w:rPr>
            <w:rStyle w:val="Hyperlink"/>
            <w:noProof/>
          </w:rPr>
          <w:t>Limitations</w:t>
        </w:r>
        <w:r>
          <w:rPr>
            <w:noProof/>
            <w:webHidden/>
          </w:rPr>
          <w:tab/>
        </w:r>
        <w:r>
          <w:rPr>
            <w:noProof/>
            <w:webHidden/>
          </w:rPr>
          <w:fldChar w:fldCharType="begin"/>
        </w:r>
        <w:r>
          <w:rPr>
            <w:noProof/>
            <w:webHidden/>
          </w:rPr>
          <w:instrText xml:space="preserve"> PAGEREF _Toc116916229 \h </w:instrText>
        </w:r>
        <w:r>
          <w:rPr>
            <w:noProof/>
            <w:webHidden/>
          </w:rPr>
        </w:r>
        <w:r>
          <w:rPr>
            <w:noProof/>
            <w:webHidden/>
          </w:rPr>
          <w:fldChar w:fldCharType="separate"/>
        </w:r>
        <w:r>
          <w:rPr>
            <w:noProof/>
            <w:webHidden/>
          </w:rPr>
          <w:t>94</w:t>
        </w:r>
        <w:r>
          <w:rPr>
            <w:noProof/>
            <w:webHidden/>
          </w:rPr>
          <w:fldChar w:fldCharType="end"/>
        </w:r>
      </w:hyperlink>
    </w:p>
    <w:p w14:paraId="1B44A345" w14:textId="24ED5A74" w:rsidR="00C20EEC" w:rsidRDefault="00C20EEC">
      <w:pPr>
        <w:pStyle w:val="TOC2"/>
        <w:tabs>
          <w:tab w:val="right" w:leader="dot" w:pos="8630"/>
        </w:tabs>
        <w:rPr>
          <w:rFonts w:asciiTheme="minorHAnsi" w:eastAsiaTheme="minorEastAsia" w:hAnsiTheme="minorHAnsi" w:cstheme="minorBidi"/>
          <w:noProof/>
          <w:sz w:val="22"/>
          <w:szCs w:val="22"/>
          <w:lang w:eastAsia="en-IE"/>
        </w:rPr>
      </w:pPr>
      <w:hyperlink w:anchor="_Toc116916230" w:history="1">
        <w:r w:rsidRPr="00066F82">
          <w:rPr>
            <w:rStyle w:val="Hyperlink"/>
            <w:noProof/>
          </w:rPr>
          <w:t>Next steps</w:t>
        </w:r>
        <w:r>
          <w:rPr>
            <w:noProof/>
            <w:webHidden/>
          </w:rPr>
          <w:tab/>
        </w:r>
        <w:r>
          <w:rPr>
            <w:noProof/>
            <w:webHidden/>
          </w:rPr>
          <w:fldChar w:fldCharType="begin"/>
        </w:r>
        <w:r>
          <w:rPr>
            <w:noProof/>
            <w:webHidden/>
          </w:rPr>
          <w:instrText xml:space="preserve"> PAGEREF _Toc116916230 \h </w:instrText>
        </w:r>
        <w:r>
          <w:rPr>
            <w:noProof/>
            <w:webHidden/>
          </w:rPr>
        </w:r>
        <w:r>
          <w:rPr>
            <w:noProof/>
            <w:webHidden/>
          </w:rPr>
          <w:fldChar w:fldCharType="separate"/>
        </w:r>
        <w:r>
          <w:rPr>
            <w:noProof/>
            <w:webHidden/>
          </w:rPr>
          <w:t>95</w:t>
        </w:r>
        <w:r>
          <w:rPr>
            <w:noProof/>
            <w:webHidden/>
          </w:rPr>
          <w:fldChar w:fldCharType="end"/>
        </w:r>
      </w:hyperlink>
    </w:p>
    <w:p w14:paraId="33386117" w14:textId="4E4DEF6E" w:rsidR="00C20EEC" w:rsidRDefault="00C20EEC">
      <w:pPr>
        <w:pStyle w:val="TOC1"/>
        <w:rPr>
          <w:rFonts w:asciiTheme="minorHAnsi" w:eastAsiaTheme="minorEastAsia" w:hAnsiTheme="minorHAnsi" w:cstheme="minorBidi"/>
          <w:b w:val="0"/>
          <w:noProof/>
          <w:sz w:val="22"/>
          <w:szCs w:val="22"/>
          <w:lang w:eastAsia="en-IE"/>
        </w:rPr>
      </w:pPr>
      <w:hyperlink w:anchor="_Toc116916231" w:history="1">
        <w:r w:rsidRPr="00066F82">
          <w:rPr>
            <w:rStyle w:val="Hyperlink"/>
            <w:noProof/>
          </w:rPr>
          <w:t>References</w:t>
        </w:r>
        <w:r>
          <w:rPr>
            <w:noProof/>
            <w:webHidden/>
          </w:rPr>
          <w:tab/>
        </w:r>
        <w:r>
          <w:rPr>
            <w:noProof/>
            <w:webHidden/>
          </w:rPr>
          <w:fldChar w:fldCharType="begin"/>
        </w:r>
        <w:r>
          <w:rPr>
            <w:noProof/>
            <w:webHidden/>
          </w:rPr>
          <w:instrText xml:space="preserve"> PAGEREF _Toc116916231 \h </w:instrText>
        </w:r>
        <w:r>
          <w:rPr>
            <w:noProof/>
            <w:webHidden/>
          </w:rPr>
        </w:r>
        <w:r>
          <w:rPr>
            <w:noProof/>
            <w:webHidden/>
          </w:rPr>
          <w:fldChar w:fldCharType="separate"/>
        </w:r>
        <w:r>
          <w:rPr>
            <w:noProof/>
            <w:webHidden/>
          </w:rPr>
          <w:t>96</w:t>
        </w:r>
        <w:r>
          <w:rPr>
            <w:noProof/>
            <w:webHidden/>
          </w:rPr>
          <w:fldChar w:fldCharType="end"/>
        </w:r>
      </w:hyperlink>
    </w:p>
    <w:p w14:paraId="14F16CBA" w14:textId="24461B75" w:rsidR="00C20EEC" w:rsidRDefault="00C20EEC">
      <w:pPr>
        <w:pStyle w:val="TOC1"/>
        <w:rPr>
          <w:rFonts w:asciiTheme="minorHAnsi" w:eastAsiaTheme="minorEastAsia" w:hAnsiTheme="minorHAnsi" w:cstheme="minorBidi"/>
          <w:b w:val="0"/>
          <w:noProof/>
          <w:sz w:val="22"/>
          <w:szCs w:val="22"/>
          <w:lang w:eastAsia="en-IE"/>
        </w:rPr>
      </w:pPr>
      <w:hyperlink w:anchor="_Toc116916232" w:history="1">
        <w:r w:rsidRPr="00066F82">
          <w:rPr>
            <w:rStyle w:val="Hyperlink"/>
            <w:noProof/>
          </w:rPr>
          <w:t>Appendix A – Search terms used in literature review</w:t>
        </w:r>
        <w:r>
          <w:rPr>
            <w:noProof/>
            <w:webHidden/>
          </w:rPr>
          <w:tab/>
        </w:r>
        <w:r>
          <w:rPr>
            <w:noProof/>
            <w:webHidden/>
          </w:rPr>
          <w:fldChar w:fldCharType="begin"/>
        </w:r>
        <w:r>
          <w:rPr>
            <w:noProof/>
            <w:webHidden/>
          </w:rPr>
          <w:instrText xml:space="preserve"> PAGEREF _Toc116916232 \h </w:instrText>
        </w:r>
        <w:r>
          <w:rPr>
            <w:noProof/>
            <w:webHidden/>
          </w:rPr>
        </w:r>
        <w:r>
          <w:rPr>
            <w:noProof/>
            <w:webHidden/>
          </w:rPr>
          <w:fldChar w:fldCharType="separate"/>
        </w:r>
        <w:r>
          <w:rPr>
            <w:noProof/>
            <w:webHidden/>
          </w:rPr>
          <w:t>119</w:t>
        </w:r>
        <w:r>
          <w:rPr>
            <w:noProof/>
            <w:webHidden/>
          </w:rPr>
          <w:fldChar w:fldCharType="end"/>
        </w:r>
      </w:hyperlink>
    </w:p>
    <w:p w14:paraId="0CE4C5FC" w14:textId="5811A101" w:rsidR="00C20EEC" w:rsidRDefault="00C20EEC">
      <w:pPr>
        <w:pStyle w:val="TOC1"/>
        <w:rPr>
          <w:rFonts w:asciiTheme="minorHAnsi" w:eastAsiaTheme="minorEastAsia" w:hAnsiTheme="minorHAnsi" w:cstheme="minorBidi"/>
          <w:b w:val="0"/>
          <w:noProof/>
          <w:sz w:val="22"/>
          <w:szCs w:val="22"/>
          <w:lang w:eastAsia="en-IE"/>
        </w:rPr>
      </w:pPr>
      <w:hyperlink w:anchor="_Toc116916233" w:history="1">
        <w:r w:rsidRPr="00066F82">
          <w:rPr>
            <w:rStyle w:val="Hyperlink"/>
            <w:noProof/>
          </w:rPr>
          <w:t>Appendix B - Campus Engage recommendations for funders</w:t>
        </w:r>
        <w:r>
          <w:rPr>
            <w:noProof/>
            <w:webHidden/>
          </w:rPr>
          <w:tab/>
        </w:r>
        <w:r>
          <w:rPr>
            <w:noProof/>
            <w:webHidden/>
          </w:rPr>
          <w:fldChar w:fldCharType="begin"/>
        </w:r>
        <w:r>
          <w:rPr>
            <w:noProof/>
            <w:webHidden/>
          </w:rPr>
          <w:instrText xml:space="preserve"> PAGEREF _Toc116916233 \h </w:instrText>
        </w:r>
        <w:r>
          <w:rPr>
            <w:noProof/>
            <w:webHidden/>
          </w:rPr>
        </w:r>
        <w:r>
          <w:rPr>
            <w:noProof/>
            <w:webHidden/>
          </w:rPr>
          <w:fldChar w:fldCharType="separate"/>
        </w:r>
        <w:r>
          <w:rPr>
            <w:noProof/>
            <w:webHidden/>
          </w:rPr>
          <w:t>120</w:t>
        </w:r>
        <w:r>
          <w:rPr>
            <w:noProof/>
            <w:webHidden/>
          </w:rPr>
          <w:fldChar w:fldCharType="end"/>
        </w:r>
      </w:hyperlink>
    </w:p>
    <w:p w14:paraId="3F8C00AE" w14:textId="26E67587" w:rsidR="00C20EEC" w:rsidRDefault="00C20EEC">
      <w:pPr>
        <w:pStyle w:val="TOC1"/>
        <w:rPr>
          <w:rFonts w:asciiTheme="minorHAnsi" w:eastAsiaTheme="minorEastAsia" w:hAnsiTheme="minorHAnsi" w:cstheme="minorBidi"/>
          <w:b w:val="0"/>
          <w:noProof/>
          <w:sz w:val="22"/>
          <w:szCs w:val="22"/>
          <w:lang w:eastAsia="en-IE"/>
        </w:rPr>
      </w:pPr>
      <w:hyperlink w:anchor="_Toc116916234" w:history="1">
        <w:r w:rsidRPr="00066F82">
          <w:rPr>
            <w:rStyle w:val="Hyperlink"/>
            <w:noProof/>
          </w:rPr>
          <w:t xml:space="preserve">Appendix C – Methods used by Munro </w:t>
        </w:r>
        <w:r w:rsidRPr="00066F82">
          <w:rPr>
            <w:rStyle w:val="Hyperlink"/>
            <w:i/>
            <w:noProof/>
          </w:rPr>
          <w:t xml:space="preserve">et al. </w:t>
        </w:r>
        <w:r w:rsidRPr="00066F82">
          <w:rPr>
            <w:rStyle w:val="Hyperlink"/>
            <w:noProof/>
          </w:rPr>
          <w:t>(2018)</w:t>
        </w:r>
        <w:r>
          <w:rPr>
            <w:noProof/>
            <w:webHidden/>
          </w:rPr>
          <w:tab/>
        </w:r>
        <w:r>
          <w:rPr>
            <w:noProof/>
            <w:webHidden/>
          </w:rPr>
          <w:fldChar w:fldCharType="begin"/>
        </w:r>
        <w:r>
          <w:rPr>
            <w:noProof/>
            <w:webHidden/>
          </w:rPr>
          <w:instrText xml:space="preserve"> PAGEREF _Toc116916234 \h </w:instrText>
        </w:r>
        <w:r>
          <w:rPr>
            <w:noProof/>
            <w:webHidden/>
          </w:rPr>
        </w:r>
        <w:r>
          <w:rPr>
            <w:noProof/>
            <w:webHidden/>
          </w:rPr>
          <w:fldChar w:fldCharType="separate"/>
        </w:r>
        <w:r>
          <w:rPr>
            <w:noProof/>
            <w:webHidden/>
          </w:rPr>
          <w:t>121</w:t>
        </w:r>
        <w:r>
          <w:rPr>
            <w:noProof/>
            <w:webHidden/>
          </w:rPr>
          <w:fldChar w:fldCharType="end"/>
        </w:r>
      </w:hyperlink>
    </w:p>
    <w:p w14:paraId="7902EC86" w14:textId="579526C2" w:rsidR="00C20EEC" w:rsidRDefault="00C20EEC">
      <w:pPr>
        <w:pStyle w:val="TOC1"/>
        <w:rPr>
          <w:rFonts w:asciiTheme="minorHAnsi" w:eastAsiaTheme="minorEastAsia" w:hAnsiTheme="minorHAnsi" w:cstheme="minorBidi"/>
          <w:b w:val="0"/>
          <w:noProof/>
          <w:sz w:val="22"/>
          <w:szCs w:val="22"/>
          <w:lang w:eastAsia="en-IE"/>
        </w:rPr>
      </w:pPr>
      <w:hyperlink w:anchor="_Toc116916235" w:history="1">
        <w:r w:rsidRPr="00066F82">
          <w:rPr>
            <w:rStyle w:val="Hyperlink"/>
            <w:noProof/>
          </w:rPr>
          <w:t>Appendix D - Short and long form Guidance for Reporting Involvement of Patients and the Public 2 (GRIPP 2) reporting checklist tool</w:t>
        </w:r>
        <w:r>
          <w:rPr>
            <w:noProof/>
            <w:webHidden/>
          </w:rPr>
          <w:tab/>
        </w:r>
        <w:r>
          <w:rPr>
            <w:noProof/>
            <w:webHidden/>
          </w:rPr>
          <w:fldChar w:fldCharType="begin"/>
        </w:r>
        <w:r>
          <w:rPr>
            <w:noProof/>
            <w:webHidden/>
          </w:rPr>
          <w:instrText xml:space="preserve"> PAGEREF _Toc116916235 \h </w:instrText>
        </w:r>
        <w:r>
          <w:rPr>
            <w:noProof/>
            <w:webHidden/>
          </w:rPr>
        </w:r>
        <w:r>
          <w:rPr>
            <w:noProof/>
            <w:webHidden/>
          </w:rPr>
          <w:fldChar w:fldCharType="separate"/>
        </w:r>
        <w:r>
          <w:rPr>
            <w:noProof/>
            <w:webHidden/>
          </w:rPr>
          <w:t>126</w:t>
        </w:r>
        <w:r>
          <w:rPr>
            <w:noProof/>
            <w:webHidden/>
          </w:rPr>
          <w:fldChar w:fldCharType="end"/>
        </w:r>
      </w:hyperlink>
    </w:p>
    <w:p w14:paraId="133E0D30" w14:textId="6F6BAF6B" w:rsidR="005D3ABD" w:rsidRDefault="008A377C" w:rsidP="00B02CA2">
      <w:pPr>
        <w:pStyle w:val="TOC1"/>
      </w:pPr>
      <w:r>
        <w:fldChar w:fldCharType="end"/>
      </w:r>
    </w:p>
    <w:p w14:paraId="0053DE27" w14:textId="77777777" w:rsidR="005D3ABD" w:rsidRDefault="005D3ABD">
      <w:pPr>
        <w:spacing w:after="0"/>
      </w:pPr>
      <w:bookmarkStart w:id="9" w:name="_GoBack"/>
      <w:r>
        <w:br w:type="page"/>
      </w:r>
    </w:p>
    <w:p w14:paraId="052A85B4" w14:textId="59761A30" w:rsidR="007B5471" w:rsidRDefault="006479B5" w:rsidP="00171866">
      <w:pPr>
        <w:pStyle w:val="Heading1"/>
      </w:pPr>
      <w:bookmarkStart w:id="10" w:name="_Toc116916195"/>
      <w:bookmarkEnd w:id="9"/>
      <w:r>
        <w:lastRenderedPageBreak/>
        <w:t>Statement on Language</w:t>
      </w:r>
      <w:bookmarkEnd w:id="10"/>
    </w:p>
    <w:p w14:paraId="05B90276" w14:textId="76E776F9" w:rsidR="006479B5" w:rsidRDefault="006479B5" w:rsidP="006479B5">
      <w:r>
        <w:t>In this report, we use the terms “people/persons with disabilities” and “disabled people” interchangeably. Many people within the disability rights movement in Ireland recognise the term ‘disabled people’ because it is considered to acknowledge the fact that people with an impairment are disabled by barriers in the environment and society and so aligns with the social and human rights model of disability. However we also recognise that others prefer the term “people/persons with disabilities”. This also reflects the language used in the UNCRPD. We also acknowledge that some people do not identify with either term.</w:t>
      </w:r>
    </w:p>
    <w:p w14:paraId="34E024FB" w14:textId="77777777" w:rsidR="006479B5" w:rsidRDefault="006479B5" w:rsidP="006479B5">
      <w:r>
        <w:t>The term ‘Deaf’ with an uppercase ‘d’ is used when referring to those who identify culturally and linguistically as part of the Deaf community.  A lower case ‘d’ is used to refer to those who are deaf or hard-of-hearing and who do not identify culturally and linguistically as a member of the Deaf community. The term ‘d/Deaf’ is used to refer to both groups.</w:t>
      </w:r>
    </w:p>
    <w:p w14:paraId="478984F6" w14:textId="774B623B" w:rsidR="007B5471" w:rsidRPr="007B5471" w:rsidRDefault="006479B5" w:rsidP="00171866">
      <w:r>
        <w:t>For further information on disability</w:t>
      </w:r>
      <w:r w:rsidR="00E5090A">
        <w:t>-</w:t>
      </w:r>
      <w:r>
        <w:t>related language and terminology, p</w:t>
      </w:r>
      <w:r w:rsidR="00C4256F">
        <w:t>lease refer to the NDA’s Advice Paper on Disability Language and Terminology</w:t>
      </w:r>
      <w:r w:rsidR="00993524">
        <w:t>.</w:t>
      </w:r>
      <w:r w:rsidR="00C4256F">
        <w:rPr>
          <w:rStyle w:val="FootnoteReference"/>
        </w:rPr>
        <w:footnoteReference w:id="2"/>
      </w:r>
      <w:r w:rsidR="00C4256F">
        <w:t xml:space="preserve"> </w:t>
      </w:r>
    </w:p>
    <w:p w14:paraId="28B2B71E" w14:textId="393A1AFF" w:rsidR="00190385" w:rsidRDefault="00190385" w:rsidP="00443CF0">
      <w:pPr>
        <w:pStyle w:val="Heading1"/>
      </w:pPr>
      <w:r>
        <w:br w:type="page"/>
      </w:r>
    </w:p>
    <w:p w14:paraId="163AB2ED" w14:textId="1C59CD50" w:rsidR="009C3BD7" w:rsidRDefault="00021E30" w:rsidP="009C3BD7">
      <w:pPr>
        <w:pStyle w:val="Heading1"/>
      </w:pPr>
      <w:bookmarkStart w:id="11" w:name="_Toc104925092"/>
      <w:bookmarkStart w:id="12" w:name="_Toc116916196"/>
      <w:r>
        <w:lastRenderedPageBreak/>
        <w:t>Executive Summary</w:t>
      </w:r>
      <w:bookmarkEnd w:id="11"/>
      <w:bookmarkEnd w:id="12"/>
    </w:p>
    <w:p w14:paraId="3D0C676A" w14:textId="7420F928" w:rsidR="0064336D" w:rsidRDefault="0064336D" w:rsidP="0064336D">
      <w:r>
        <w:t>This report sets out the findings of a literature review that synthesised recent literature pertaining to collaborative research partnerships between researchers and disabled persons.</w:t>
      </w:r>
    </w:p>
    <w:p w14:paraId="1FE81ECF" w14:textId="77777777" w:rsidR="0064336D" w:rsidRDefault="0064336D" w:rsidP="0064336D">
      <w:pPr>
        <w:pStyle w:val="Heading2"/>
      </w:pPr>
      <w:bookmarkStart w:id="13" w:name="_Toc116916197"/>
      <w:r>
        <w:t>Introduction</w:t>
      </w:r>
      <w:bookmarkEnd w:id="13"/>
    </w:p>
    <w:p w14:paraId="26F2A1C0" w14:textId="31BEFBFF" w:rsidR="0064336D" w:rsidRDefault="0064336D" w:rsidP="0064336D">
      <w:r>
        <w:t>The landscape in Ireland for conducting collaborative research with disabled persons has changed substantially over the past two decades, resulting in collaborative research approaches becoming much more common</w:t>
      </w:r>
      <w:r w:rsidR="00421F0E">
        <w:t>.</w:t>
      </w:r>
      <w:r w:rsidR="006460D3">
        <w:rPr>
          <w:rStyle w:val="FootnoteReference"/>
        </w:rPr>
        <w:footnoteReference w:id="3"/>
      </w:r>
      <w:r>
        <w:t xml:space="preserve"> This advancement is demonstrated by</w:t>
      </w:r>
      <w:r w:rsidR="00F054C6">
        <w:t xml:space="preserve"> a number of developments. For example,</w:t>
      </w:r>
      <w:r>
        <w:t xml:space="preserve"> the </w:t>
      </w:r>
      <w:r w:rsidR="00F5119D">
        <w:t xml:space="preserve">emergence </w:t>
      </w:r>
      <w:r>
        <w:t>of</w:t>
      </w:r>
      <w:r w:rsidR="00F5119D">
        <w:t xml:space="preserve"> more</w:t>
      </w:r>
      <w:r>
        <w:t xml:space="preserve"> </w:t>
      </w:r>
      <w:r w:rsidR="00F5119D">
        <w:t>D</w:t>
      </w:r>
      <w:r>
        <w:t xml:space="preserve">isabled </w:t>
      </w:r>
      <w:r w:rsidR="00F5119D">
        <w:t>P</w:t>
      </w:r>
      <w:r>
        <w:t xml:space="preserve">ersons </w:t>
      </w:r>
      <w:r w:rsidR="00F5119D">
        <w:t>O</w:t>
      </w:r>
      <w:r>
        <w:t xml:space="preserve">rganisations </w:t>
      </w:r>
      <w:r w:rsidR="00F5119D">
        <w:t>since Ireland’s ratification of the United Nations Convention on the Rights Persons with Disabilities</w:t>
      </w:r>
      <w:r w:rsidR="00D97FCC">
        <w:t xml:space="preserve"> </w:t>
      </w:r>
      <w:r>
        <w:t xml:space="preserve">who </w:t>
      </w:r>
      <w:r w:rsidR="00F054C6">
        <w:t>sometimes consult on</w:t>
      </w:r>
      <w:r w:rsidR="00AA1947">
        <w:t xml:space="preserve"> </w:t>
      </w:r>
      <w:r>
        <w:t>policy development</w:t>
      </w:r>
      <w:r w:rsidR="00AA1947">
        <w:t xml:space="preserve"> </w:t>
      </w:r>
      <w:r w:rsidR="00993524">
        <w:t>or</w:t>
      </w:r>
      <w:r w:rsidR="00F054C6">
        <w:t xml:space="preserve"> </w:t>
      </w:r>
      <w:r w:rsidR="00AA1947">
        <w:t>research</w:t>
      </w:r>
      <w:r>
        <w:t>, the establishment of collaborative research groups such as the I</w:t>
      </w:r>
      <w:r w:rsidR="009B0151">
        <w:t>nclusive</w:t>
      </w:r>
      <w:r>
        <w:t xml:space="preserve"> Research Network, the establishment of the Pub</w:t>
      </w:r>
      <w:r w:rsidR="00680894">
        <w:t>l</w:t>
      </w:r>
      <w:r>
        <w:t xml:space="preserve">ic and Patient Involvement (PPI) Ignite network and the emphasis on engagement with stakeholders by funding bodies such </w:t>
      </w:r>
      <w:r w:rsidR="00680894">
        <w:t xml:space="preserve">as Horizon 2020 </w:t>
      </w:r>
      <w:r>
        <w:t>and the Irish Research Council. These developments suggest that it is now a good time to reflect and develop up-to-date guidance on conducting collaborative research with disabled people. T</w:t>
      </w:r>
      <w:r w:rsidR="006B6BE1">
        <w:t>he aim of this literature review</w:t>
      </w:r>
      <w:r w:rsidR="00421F0E">
        <w:t>, therefore,</w:t>
      </w:r>
      <w:r w:rsidR="006B6BE1">
        <w:t xml:space="preserve"> </w:t>
      </w:r>
      <w:r>
        <w:t xml:space="preserve">was to synthesise recent evidence regarding </w:t>
      </w:r>
      <w:r w:rsidR="00633E19">
        <w:t xml:space="preserve">conducting </w:t>
      </w:r>
      <w:r>
        <w:t>collaborative research</w:t>
      </w:r>
      <w:r w:rsidR="00AE1505">
        <w:t xml:space="preserve"> with </w:t>
      </w:r>
      <w:r w:rsidR="00421F0E">
        <w:t>people with disabilities</w:t>
      </w:r>
      <w:r>
        <w:t xml:space="preserve"> to</w:t>
      </w:r>
      <w:r w:rsidR="00421F0E">
        <w:t xml:space="preserve"> </w:t>
      </w:r>
      <w:r w:rsidR="00633E19">
        <w:t>1)</w:t>
      </w:r>
      <w:r>
        <w:t xml:space="preserve"> identify recommendations for, and examples of, best practice</w:t>
      </w:r>
      <w:r w:rsidR="00633E19">
        <w:t xml:space="preserve"> and 2)</w:t>
      </w:r>
      <w:r>
        <w:t xml:space="preserve"> outline the benefits and challenges associated with this approach. </w:t>
      </w:r>
      <w:r w:rsidR="00172861">
        <w:t xml:space="preserve">This is intended to inform a guidance paper for the National Disability Authority and the wider research community. </w:t>
      </w:r>
      <w:r w:rsidR="00CF5344">
        <w:t>The focus of this investigation is on collaborative research as opposed to consultation, for which we have produced a separate guidance document</w:t>
      </w:r>
      <w:r w:rsidR="00993524">
        <w:t>.</w:t>
      </w:r>
      <w:r w:rsidR="00993524">
        <w:rPr>
          <w:rStyle w:val="FootnoteReference"/>
        </w:rPr>
        <w:footnoteReference w:id="4"/>
      </w:r>
      <w:r w:rsidR="00CF5344">
        <w:t xml:space="preserve">  </w:t>
      </w:r>
    </w:p>
    <w:p w14:paraId="4533FF38" w14:textId="77777777" w:rsidR="0064336D" w:rsidRDefault="0064336D" w:rsidP="0064336D">
      <w:pPr>
        <w:pStyle w:val="Heading2"/>
      </w:pPr>
      <w:bookmarkStart w:id="14" w:name="_Toc116916198"/>
      <w:r>
        <w:t>Research questions</w:t>
      </w:r>
      <w:bookmarkEnd w:id="14"/>
    </w:p>
    <w:p w14:paraId="76D2D138" w14:textId="77777777" w:rsidR="0064336D" w:rsidRDefault="0064336D" w:rsidP="0064336D">
      <w:r>
        <w:t>The research questions shaping this review are as follows:</w:t>
      </w:r>
    </w:p>
    <w:p w14:paraId="10B1554C" w14:textId="7DB4F827" w:rsidR="0064336D" w:rsidRDefault="0064336D" w:rsidP="0064336D">
      <w:pPr>
        <w:pStyle w:val="ListNumber"/>
        <w:tabs>
          <w:tab w:val="num" w:pos="360"/>
        </w:tabs>
        <w:spacing w:after="240"/>
        <w:contextualSpacing/>
      </w:pPr>
      <w:r>
        <w:t xml:space="preserve">What methods/models have been used in collaborative research projects with </w:t>
      </w:r>
      <w:r w:rsidR="00B32E6C">
        <w:t>people</w:t>
      </w:r>
      <w:r w:rsidR="00705388">
        <w:t xml:space="preserve"> with disabilities</w:t>
      </w:r>
      <w:r>
        <w:t>?</w:t>
      </w:r>
    </w:p>
    <w:p w14:paraId="7E21F323" w14:textId="14EA8E74" w:rsidR="0064336D" w:rsidRDefault="0064336D" w:rsidP="0064336D">
      <w:pPr>
        <w:pStyle w:val="ListNumber"/>
        <w:tabs>
          <w:tab w:val="num" w:pos="360"/>
        </w:tabs>
        <w:spacing w:after="240"/>
        <w:contextualSpacing/>
      </w:pPr>
      <w:r>
        <w:t xml:space="preserve">What are the benefits to engaging </w:t>
      </w:r>
      <w:r w:rsidR="00B32E6C">
        <w:t>people</w:t>
      </w:r>
      <w:r>
        <w:t xml:space="preserve"> </w:t>
      </w:r>
      <w:r w:rsidR="00705388">
        <w:t xml:space="preserve">with disabilities </w:t>
      </w:r>
      <w:r>
        <w:t>in collaborative research for people with disabilities, the researchers and the project?</w:t>
      </w:r>
    </w:p>
    <w:p w14:paraId="77797E32" w14:textId="285DBA6C" w:rsidR="0064336D" w:rsidRDefault="0064336D" w:rsidP="0064336D">
      <w:pPr>
        <w:pStyle w:val="ListNumber"/>
        <w:tabs>
          <w:tab w:val="num" w:pos="360"/>
        </w:tabs>
        <w:spacing w:after="240"/>
        <w:contextualSpacing/>
      </w:pPr>
      <w:r>
        <w:t xml:space="preserve">What are the challenges to engaging </w:t>
      </w:r>
      <w:r w:rsidR="00B32E6C">
        <w:t>people</w:t>
      </w:r>
      <w:r w:rsidR="00705388">
        <w:t xml:space="preserve"> with disabilities</w:t>
      </w:r>
      <w:r>
        <w:t xml:space="preserve"> in collaborative research for people with disabilities, the researchers and the project?</w:t>
      </w:r>
      <w:r w:rsidRPr="00496A56">
        <w:t xml:space="preserve"> </w:t>
      </w:r>
    </w:p>
    <w:p w14:paraId="0AEB475E" w14:textId="29D394A1" w:rsidR="0064336D" w:rsidRDefault="0064336D" w:rsidP="0064336D">
      <w:pPr>
        <w:pStyle w:val="ListNumber"/>
        <w:tabs>
          <w:tab w:val="num" w:pos="360"/>
        </w:tabs>
        <w:spacing w:after="240"/>
        <w:contextualSpacing/>
      </w:pPr>
      <w:r>
        <w:lastRenderedPageBreak/>
        <w:t xml:space="preserve">What is best practice/what lessons have been learned in collaborative research projects with </w:t>
      </w:r>
      <w:r w:rsidR="00B32E6C">
        <w:t>people</w:t>
      </w:r>
      <w:r w:rsidR="00705388">
        <w:t xml:space="preserve"> with disabilities</w:t>
      </w:r>
      <w:r>
        <w:t>?</w:t>
      </w:r>
    </w:p>
    <w:p w14:paraId="7F1D96B8" w14:textId="77777777" w:rsidR="0064336D" w:rsidRDefault="0064336D" w:rsidP="0064336D">
      <w:pPr>
        <w:pStyle w:val="Heading2"/>
      </w:pPr>
      <w:bookmarkStart w:id="15" w:name="_Toc116916199"/>
      <w:r>
        <w:t>Methods</w:t>
      </w:r>
      <w:bookmarkEnd w:id="15"/>
    </w:p>
    <w:p w14:paraId="2D2C0C2D" w14:textId="77777777" w:rsidR="0064336D" w:rsidRDefault="0064336D" w:rsidP="0064336D">
      <w:pPr>
        <w:pStyle w:val="Heading3"/>
      </w:pPr>
      <w:r>
        <w:t>Literature search, data extraction and synthesis</w:t>
      </w:r>
    </w:p>
    <w:p w14:paraId="0DDBF397" w14:textId="77C05BCB" w:rsidR="0064336D" w:rsidRDefault="0064336D" w:rsidP="0064336D">
      <w:pPr>
        <w:spacing w:after="0"/>
        <w:rPr>
          <w:szCs w:val="26"/>
        </w:rPr>
      </w:pPr>
      <w:r>
        <w:t>Literature searches were conducted across elect</w:t>
      </w:r>
      <w:r w:rsidR="00B559BA">
        <w:t>ronic databases, repositories, Google and Google S</w:t>
      </w:r>
      <w:r>
        <w:t>cholar. A</w:t>
      </w:r>
      <w:r w:rsidR="00B559BA">
        <w:t xml:space="preserve">fter screening for eligibility, </w:t>
      </w:r>
      <w:r w:rsidR="00F31CE6">
        <w:t>16</w:t>
      </w:r>
      <w:r w:rsidR="002E5CB4">
        <w:t>1</w:t>
      </w:r>
      <w:r w:rsidR="00F31CE6">
        <w:t xml:space="preserve"> </w:t>
      </w:r>
      <w:r>
        <w:t xml:space="preserve">documents, which either explored the topic of collaborative research or described collaborative projects, were included in the review. </w:t>
      </w:r>
      <w:r w:rsidR="00A60788">
        <w:rPr>
          <w:szCs w:val="26"/>
        </w:rPr>
        <w:t>R</w:t>
      </w:r>
      <w:r>
        <w:rPr>
          <w:szCs w:val="26"/>
        </w:rPr>
        <w:t xml:space="preserve">elevant information </w:t>
      </w:r>
      <w:r w:rsidR="00B559BA">
        <w:rPr>
          <w:szCs w:val="26"/>
        </w:rPr>
        <w:t xml:space="preserve">was </w:t>
      </w:r>
      <w:r>
        <w:rPr>
          <w:szCs w:val="26"/>
        </w:rPr>
        <w:t xml:space="preserve">extracted </w:t>
      </w:r>
      <w:r w:rsidR="00A60788">
        <w:rPr>
          <w:szCs w:val="26"/>
        </w:rPr>
        <w:t xml:space="preserve">from each article </w:t>
      </w:r>
      <w:r>
        <w:rPr>
          <w:szCs w:val="26"/>
        </w:rPr>
        <w:t>into a coding framework based on the study’s research questions.</w:t>
      </w:r>
      <w:r w:rsidR="00421F0E">
        <w:rPr>
          <w:rStyle w:val="FootnoteReference"/>
          <w:szCs w:val="26"/>
        </w:rPr>
        <w:footnoteReference w:id="5"/>
      </w:r>
      <w:r>
        <w:rPr>
          <w:szCs w:val="26"/>
        </w:rPr>
        <w:t xml:space="preserve"> The </w:t>
      </w:r>
      <w:r w:rsidR="00A60788">
        <w:rPr>
          <w:szCs w:val="26"/>
        </w:rPr>
        <w:t>data were</w:t>
      </w:r>
      <w:r>
        <w:rPr>
          <w:szCs w:val="26"/>
        </w:rPr>
        <w:t xml:space="preserve"> synthesised into common themes.</w:t>
      </w:r>
    </w:p>
    <w:p w14:paraId="4A1CA825" w14:textId="53EDCCC7" w:rsidR="0064336D" w:rsidRDefault="0064336D" w:rsidP="0064336D">
      <w:pPr>
        <w:spacing w:after="0"/>
      </w:pPr>
    </w:p>
    <w:p w14:paraId="7163FFA8" w14:textId="7240781F" w:rsidR="00796703" w:rsidRDefault="00796703" w:rsidP="0064336D">
      <w:pPr>
        <w:pStyle w:val="Heading2"/>
      </w:pPr>
      <w:bookmarkStart w:id="16" w:name="_Toc116916200"/>
      <w:r>
        <w:t>Key Findings</w:t>
      </w:r>
      <w:bookmarkEnd w:id="16"/>
    </w:p>
    <w:p w14:paraId="2E05723C" w14:textId="734EBB13" w:rsidR="0064336D" w:rsidRDefault="00796703" w:rsidP="001025EE">
      <w:pPr>
        <w:pStyle w:val="Heading3"/>
      </w:pPr>
      <w:r>
        <w:t>I</w:t>
      </w:r>
      <w:r w:rsidR="0064336D" w:rsidRPr="00322CF0">
        <w:t>nvolvement of persons with disabilities in collaborative research</w:t>
      </w:r>
      <w:r w:rsidR="0064336D">
        <w:t xml:space="preserve"> </w:t>
      </w:r>
    </w:p>
    <w:p w14:paraId="57F6D61A" w14:textId="5592C599" w:rsidR="0093296E" w:rsidRDefault="0093296E" w:rsidP="0093296E">
      <w:r>
        <w:t>The extent to which co-researchers</w:t>
      </w:r>
      <w:r w:rsidR="00172861">
        <w:t xml:space="preserve"> with disabilities</w:t>
      </w:r>
      <w:r>
        <w:t xml:space="preserve"> were involved in research projects varied across the studies reviewed. Co-researchers were most commonly involved in processes related to data collection (e.g. developing data collection instruments, collecting data).</w:t>
      </w:r>
      <w:r w:rsidR="00D70188">
        <w:t xml:space="preserve"> To a lesser extent they were involved in research planning, data analysis, write-up and dissemination.</w:t>
      </w:r>
      <w:r>
        <w:t xml:space="preserve"> Co-researchers were rarely involved in funding applications or the ethical approval process. </w:t>
      </w:r>
    </w:p>
    <w:p w14:paraId="611C66CA" w14:textId="30E965FB" w:rsidR="0064336D" w:rsidRPr="0064336D" w:rsidRDefault="0093296E" w:rsidP="0093296E">
      <w:r>
        <w:t>Not all studies reviewed specified the type of disability, illness or condition co-researchers had. Of those that did, co-researchers with intellectual disabilities, learning disabilities</w:t>
      </w:r>
      <w:r w:rsidR="00796703">
        <w:rPr>
          <w:rStyle w:val="FootnoteReference"/>
        </w:rPr>
        <w:footnoteReference w:id="6"/>
      </w:r>
      <w:r>
        <w:t xml:space="preserve"> or mental health issues were the most commonly involved in the included studies.</w:t>
      </w:r>
    </w:p>
    <w:p w14:paraId="486B6770" w14:textId="22A6FED2" w:rsidR="0064336D" w:rsidRPr="00D70188" w:rsidRDefault="0064336D" w:rsidP="001025EE">
      <w:pPr>
        <w:pStyle w:val="Heading3"/>
      </w:pPr>
      <w:r w:rsidRPr="001025EE">
        <w:rPr>
          <w:rStyle w:val="Heading3Char"/>
          <w:b/>
        </w:rPr>
        <w:t>Benefits</w:t>
      </w:r>
      <w:r w:rsidRPr="006907A2">
        <w:t xml:space="preserve"> of collaborative research</w:t>
      </w:r>
    </w:p>
    <w:p w14:paraId="296AEE77" w14:textId="03637366" w:rsidR="00ED4973" w:rsidRDefault="0064336D" w:rsidP="00B9731B">
      <w:r w:rsidRPr="00ED4973">
        <w:t xml:space="preserve">The included studies highlighted the many advantages </w:t>
      </w:r>
      <w:r w:rsidR="00BB0B9A" w:rsidRPr="00ED4973">
        <w:t>of</w:t>
      </w:r>
      <w:r w:rsidRPr="00ED4973">
        <w:t xml:space="preserve"> research collaborations between researchers and </w:t>
      </w:r>
      <w:r w:rsidR="00B32E6C">
        <w:t>disabled people</w:t>
      </w:r>
      <w:r w:rsidRPr="00ED4973">
        <w:t xml:space="preserve">. </w:t>
      </w:r>
      <w:r w:rsidR="00B67A92" w:rsidRPr="00ED4973">
        <w:t xml:space="preserve">Collaborative research had the power to challenge the status quo by giving </w:t>
      </w:r>
      <w:r w:rsidR="00B32E6C">
        <w:t>disabled people</w:t>
      </w:r>
      <w:r w:rsidR="00B67A92" w:rsidRPr="00ED4973">
        <w:t xml:space="preserve"> a ‘seat a</w:t>
      </w:r>
      <w:r w:rsidR="00223886" w:rsidRPr="00ED4973">
        <w:t>t</w:t>
      </w:r>
      <w:r w:rsidR="00B67A92" w:rsidRPr="00ED4973">
        <w:t xml:space="preserve"> the table’</w:t>
      </w:r>
      <w:r w:rsidR="00FB3564">
        <w:t>,</w:t>
      </w:r>
      <w:r w:rsidR="006460D3">
        <w:rPr>
          <w:rStyle w:val="FootnoteReference"/>
          <w:b/>
          <w:bCs/>
        </w:rPr>
        <w:footnoteReference w:id="7"/>
      </w:r>
      <w:r w:rsidR="00B67A92" w:rsidRPr="00ED4973">
        <w:t xml:space="preserve"> </w:t>
      </w:r>
      <w:r w:rsidR="00B67A92" w:rsidRPr="00ED4973">
        <w:lastRenderedPageBreak/>
        <w:t>challenging assumptions about disabled people</w:t>
      </w:r>
      <w:r w:rsidR="00FB3564">
        <w:t>,</w:t>
      </w:r>
      <w:r w:rsidR="006460D3">
        <w:rPr>
          <w:rStyle w:val="FootnoteReference"/>
          <w:b/>
          <w:bCs/>
        </w:rPr>
        <w:footnoteReference w:id="8"/>
      </w:r>
      <w:r w:rsidR="00B67A92" w:rsidRPr="00ED4973">
        <w:t xml:space="preserve"> tackling power imbalances</w:t>
      </w:r>
      <w:r w:rsidR="006460D3">
        <w:rPr>
          <w:rStyle w:val="FootnoteReference"/>
          <w:b/>
          <w:bCs/>
        </w:rPr>
        <w:footnoteReference w:id="9"/>
      </w:r>
      <w:r w:rsidR="00D568F7" w:rsidRPr="00ED4973">
        <w:t xml:space="preserve"> </w:t>
      </w:r>
      <w:r w:rsidR="00B67A92" w:rsidRPr="00ED4973">
        <w:t>and encouraging a rights</w:t>
      </w:r>
      <w:r w:rsidR="004E7C0F">
        <w:t>-</w:t>
      </w:r>
      <w:r w:rsidR="00B67A92" w:rsidRPr="00ED4973">
        <w:t>based approach to research</w:t>
      </w:r>
      <w:r w:rsidR="00FB3564">
        <w:t>.</w:t>
      </w:r>
      <w:r w:rsidR="006460D3">
        <w:rPr>
          <w:rStyle w:val="FootnoteReference"/>
          <w:rFonts w:eastAsia="SimSun"/>
          <w:b/>
          <w:bCs/>
        </w:rPr>
        <w:footnoteReference w:id="10"/>
      </w:r>
      <w:r w:rsidR="00B67A92" w:rsidRPr="00ED4973">
        <w:t xml:space="preserve"> Collaborative research was also reported to improve the research process and outcomes</w:t>
      </w:r>
      <w:r w:rsidR="00FB3564">
        <w:t>.</w:t>
      </w:r>
      <w:r w:rsidR="004E7C0F">
        <w:rPr>
          <w:rStyle w:val="FootnoteReference"/>
          <w:b/>
          <w:bCs/>
        </w:rPr>
        <w:footnoteReference w:id="11"/>
      </w:r>
      <w:r w:rsidR="00B67A92" w:rsidRPr="00ED4973">
        <w:t xml:space="preserve"> </w:t>
      </w:r>
      <w:r w:rsidR="00E96B97" w:rsidRPr="00ED4973">
        <w:t>T</w:t>
      </w:r>
      <w:r w:rsidR="00B67A92" w:rsidRPr="00ED4973">
        <w:t>his included improved recruitment of research participants</w:t>
      </w:r>
      <w:r w:rsidR="00FB3564">
        <w:t>,</w:t>
      </w:r>
      <w:r w:rsidR="0048241B">
        <w:rPr>
          <w:rStyle w:val="FootnoteReference"/>
          <w:b/>
          <w:bCs/>
        </w:rPr>
        <w:footnoteReference w:id="12"/>
      </w:r>
      <w:r w:rsidR="00B67A92" w:rsidRPr="00ED4973">
        <w:t xml:space="preserve"> better quality data</w:t>
      </w:r>
      <w:r w:rsidR="00FB3564">
        <w:t>,</w:t>
      </w:r>
      <w:r w:rsidR="0048241B">
        <w:rPr>
          <w:rStyle w:val="FootnoteReference"/>
          <w:b/>
          <w:bCs/>
        </w:rPr>
        <w:footnoteReference w:id="13"/>
      </w:r>
      <w:r w:rsidR="00B67A92" w:rsidRPr="00ED4973">
        <w:t xml:space="preserve"> more meaningful data analysis</w:t>
      </w:r>
      <w:r w:rsidR="00FB3564">
        <w:t>;</w:t>
      </w:r>
      <w:r w:rsidR="0048241B">
        <w:rPr>
          <w:rStyle w:val="FootnoteReference"/>
          <w:b/>
          <w:bCs/>
        </w:rPr>
        <w:footnoteReference w:id="14"/>
      </w:r>
      <w:r w:rsidR="00D568F7" w:rsidRPr="00ED4973">
        <w:t xml:space="preserve"> </w:t>
      </w:r>
      <w:r w:rsidR="00B67A92" w:rsidRPr="00ED4973">
        <w:t>and more impactful dissemination</w:t>
      </w:r>
      <w:r w:rsidR="00FB3564">
        <w:t>.</w:t>
      </w:r>
      <w:r w:rsidR="0048241B">
        <w:rPr>
          <w:rStyle w:val="FootnoteReference"/>
          <w:b/>
          <w:bCs/>
        </w:rPr>
        <w:footnoteReference w:id="15"/>
      </w:r>
      <w:r w:rsidR="00B67A92" w:rsidRPr="00ED4973">
        <w:t xml:space="preserve"> </w:t>
      </w:r>
      <w:r w:rsidR="00EF5FD7" w:rsidRPr="00ED4973">
        <w:t xml:space="preserve">Being involved in collaborative research was </w:t>
      </w:r>
      <w:r w:rsidR="00AF3A8C" w:rsidRPr="00ED4973">
        <w:t xml:space="preserve">also </w:t>
      </w:r>
      <w:r w:rsidR="00EF5FD7" w:rsidRPr="00ED4973">
        <w:t>reported to be beneficial to the personal and professional development of all researchers. Co-researchers</w:t>
      </w:r>
      <w:r w:rsidR="00232451">
        <w:t xml:space="preserve"> with disabilities</w:t>
      </w:r>
      <w:r w:rsidR="00EF5FD7" w:rsidRPr="00ED4973">
        <w:t xml:space="preserve"> developed valuable research-specific skills but also independent living skills</w:t>
      </w:r>
      <w:r w:rsidR="00FB3564">
        <w:t>.</w:t>
      </w:r>
      <w:r w:rsidR="0048241B">
        <w:rPr>
          <w:rStyle w:val="FootnoteReference"/>
          <w:b/>
          <w:bCs/>
        </w:rPr>
        <w:footnoteReference w:id="16"/>
      </w:r>
      <w:r w:rsidR="00EF5FD7" w:rsidRPr="00ED4973">
        <w:t xml:space="preserve"> </w:t>
      </w:r>
      <w:r w:rsidR="003F5F01" w:rsidRPr="00ED4973">
        <w:t>R</w:t>
      </w:r>
      <w:r w:rsidR="00EF5FD7" w:rsidRPr="00ED4973">
        <w:t>esearchers developed valuable skills for working with disabled individuals as researchers such as creating accessible materials</w:t>
      </w:r>
      <w:r w:rsidR="00FB3564">
        <w:t>.</w:t>
      </w:r>
      <w:r w:rsidR="0048241B">
        <w:rPr>
          <w:rStyle w:val="FootnoteReference"/>
          <w:b/>
          <w:bCs/>
        </w:rPr>
        <w:footnoteReference w:id="17"/>
      </w:r>
      <w:r w:rsidR="00EF5FD7" w:rsidRPr="00ED4973">
        <w:t xml:space="preserve"> Working in a</w:t>
      </w:r>
      <w:r w:rsidR="0068282B" w:rsidRPr="00ED4973">
        <w:t xml:space="preserve"> collaborative research </w:t>
      </w:r>
      <w:r w:rsidR="00EF5FD7" w:rsidRPr="00ED4973">
        <w:t xml:space="preserve">team </w:t>
      </w:r>
      <w:r w:rsidR="0068282B" w:rsidRPr="00ED4973">
        <w:t>was also reported to foster a</w:t>
      </w:r>
      <w:r w:rsidR="00E96B97" w:rsidRPr="00ED4973">
        <w:t xml:space="preserve"> sense of belonging and </w:t>
      </w:r>
      <w:r w:rsidR="0068282B" w:rsidRPr="00ED4973">
        <w:t xml:space="preserve">support. </w:t>
      </w:r>
      <w:r w:rsidR="00E96B97" w:rsidRPr="00ED4973">
        <w:t>Co-researchers reported feelings of solidarity</w:t>
      </w:r>
      <w:r w:rsidR="0068282B" w:rsidRPr="00ED4973">
        <w:t>, trust and equality</w:t>
      </w:r>
      <w:r w:rsidR="00E96B97" w:rsidRPr="00ED4973">
        <w:t xml:space="preserve"> with their </w:t>
      </w:r>
      <w:r w:rsidR="0068282B" w:rsidRPr="00ED4973">
        <w:t>colleagues</w:t>
      </w:r>
      <w:r w:rsidR="00FB3564">
        <w:t>.</w:t>
      </w:r>
      <w:r w:rsidR="0048241B">
        <w:rPr>
          <w:rStyle w:val="FootnoteReference"/>
          <w:b/>
          <w:bCs/>
        </w:rPr>
        <w:footnoteReference w:id="18"/>
      </w:r>
      <w:r w:rsidR="00EF5FD7" w:rsidRPr="00ED4973">
        <w:t xml:space="preserve"> Finally, both co-researchers and researchers reported that being involved in collaborative research was a rewarding and enjoyable </w:t>
      </w:r>
      <w:r w:rsidR="008D0E92" w:rsidRPr="00ED4973">
        <w:t>experience</w:t>
      </w:r>
      <w:r w:rsidR="00FB3564">
        <w:t>.</w:t>
      </w:r>
      <w:r w:rsidR="0048241B">
        <w:rPr>
          <w:rStyle w:val="FootnoteReference"/>
          <w:b/>
          <w:bCs/>
        </w:rPr>
        <w:footnoteReference w:id="19"/>
      </w:r>
    </w:p>
    <w:p w14:paraId="7702A73D" w14:textId="2BD25B6E" w:rsidR="0064336D" w:rsidRPr="00ED4973" w:rsidRDefault="0064336D" w:rsidP="008850A6">
      <w:pPr>
        <w:pStyle w:val="Heading3"/>
        <w:spacing w:before="120"/>
      </w:pPr>
      <w:r w:rsidRPr="00ED4973">
        <w:t>Important considerations for designing and conducting co-research</w:t>
      </w:r>
    </w:p>
    <w:p w14:paraId="2FEC27C2" w14:textId="0E41A7FC" w:rsidR="00AB2AD6" w:rsidRDefault="00BB0B9A" w:rsidP="00663DC1">
      <w:r>
        <w:t>The reviewed studies approached collaborative research projects in many different ways</w:t>
      </w:r>
      <w:r w:rsidR="00AF3A8C">
        <w:t>. For example</w:t>
      </w:r>
      <w:r>
        <w:t>, people with disabilities were involved at different</w:t>
      </w:r>
      <w:r w:rsidR="00AF3A8C">
        <w:t xml:space="preserve"> parts of the research process and </w:t>
      </w:r>
      <w:r>
        <w:t xml:space="preserve">to various extents, studies differed as to whether co-researchers were paid or otherwise acknowledged for their role and studies </w:t>
      </w:r>
      <w:r w:rsidR="00232451">
        <w:t xml:space="preserve">varied </w:t>
      </w:r>
      <w:r>
        <w:t>in how prepared they were for addressing accessibility and accommodation needs of co-researchers. Overall, there does not appear to be one best practice model of collaborative research</w:t>
      </w:r>
      <w:r w:rsidR="00FB3564">
        <w:t xml:space="preserve"> in the broadest sense</w:t>
      </w:r>
      <w:r>
        <w:t xml:space="preserve">. </w:t>
      </w:r>
      <w:r w:rsidR="001A7691" w:rsidRPr="001A7691">
        <w:t xml:space="preserve">However, the reviewed studies </w:t>
      </w:r>
      <w:r w:rsidR="006B6BE1">
        <w:t>had</w:t>
      </w:r>
      <w:r w:rsidR="001A7691" w:rsidRPr="001A7691">
        <w:t xml:space="preserve"> many commonalities with regard to issues </w:t>
      </w:r>
      <w:r w:rsidR="001A7691" w:rsidRPr="001A7691">
        <w:lastRenderedPageBreak/>
        <w:t>that seem important to consider</w:t>
      </w:r>
      <w:r w:rsidR="00663DC1">
        <w:t>, and challenges that might be faced</w:t>
      </w:r>
      <w:r w:rsidR="001A7691" w:rsidRPr="001A7691">
        <w:t xml:space="preserve"> when designing and con</w:t>
      </w:r>
      <w:r w:rsidR="00663DC1">
        <w:t xml:space="preserve">ducting collaborative research. </w:t>
      </w:r>
    </w:p>
    <w:p w14:paraId="0DEE8C1E" w14:textId="369F5F52" w:rsidR="00A2615F" w:rsidRDefault="003D729F" w:rsidP="001F64D7">
      <w:r>
        <w:t>C</w:t>
      </w:r>
      <w:r w:rsidR="005610A4">
        <w:t>onsideration</w:t>
      </w:r>
      <w:r w:rsidR="008C3D5D">
        <w:t xml:space="preserve"> </w:t>
      </w:r>
      <w:r>
        <w:t>is required</w:t>
      </w:r>
      <w:r w:rsidR="008C3D5D">
        <w:t xml:space="preserve"> with regards to aligning the traditional research approach with a collaborative research approach</w:t>
      </w:r>
      <w:r>
        <w:t xml:space="preserve"> as there</w:t>
      </w:r>
      <w:r w:rsidR="008C3D5D">
        <w:t xml:space="preserve"> may be a mismatch between priorities, procedures and underlying ethos</w:t>
      </w:r>
      <w:r w:rsidR="00FB3564">
        <w:t>.</w:t>
      </w:r>
      <w:r w:rsidR="0048241B">
        <w:rPr>
          <w:rStyle w:val="FootnoteReference"/>
        </w:rPr>
        <w:footnoteReference w:id="20"/>
      </w:r>
      <w:r>
        <w:t xml:space="preserve"> </w:t>
      </w:r>
      <w:r w:rsidR="00F82CA5">
        <w:t>There may be additional ethical considerations associated with collaborative research, such as maintaining anonymity when working with small communities</w:t>
      </w:r>
      <w:r w:rsidR="00FB3564">
        <w:t>.</w:t>
      </w:r>
      <w:r w:rsidR="0048241B">
        <w:rPr>
          <w:rStyle w:val="FootnoteReference"/>
          <w:rFonts w:eastAsia="SimSun"/>
        </w:rPr>
        <w:footnoteReference w:id="21"/>
      </w:r>
      <w:r w:rsidR="00F82CA5">
        <w:rPr>
          <w:rFonts w:eastAsia="SimSun"/>
        </w:rPr>
        <w:t xml:space="preserve"> </w:t>
      </w:r>
      <w:r>
        <w:t>Traditional means of obtaining funding and ethical approval</w:t>
      </w:r>
      <w:r w:rsidR="005610A4">
        <w:t>, as well as the need for additional time and resources</w:t>
      </w:r>
      <w:r>
        <w:t xml:space="preserve"> may cause difficulties for many collaborative </w:t>
      </w:r>
      <w:r w:rsidR="005610A4">
        <w:t>projects and must be given due consideration</w:t>
      </w:r>
      <w:r w:rsidR="001F64D7">
        <w:t xml:space="preserve"> early on</w:t>
      </w:r>
      <w:r w:rsidR="00FB3564">
        <w:t>.</w:t>
      </w:r>
      <w:r w:rsidR="0048241B">
        <w:rPr>
          <w:rStyle w:val="FootnoteReference"/>
          <w:rFonts w:eastAsia="SimSun"/>
        </w:rPr>
        <w:footnoteReference w:id="22"/>
      </w:r>
    </w:p>
    <w:p w14:paraId="79502A59" w14:textId="766C951E" w:rsidR="001F64D7" w:rsidRDefault="005610A4" w:rsidP="001F64D7">
      <w:pPr>
        <w:rPr>
          <w:rFonts w:eastAsia="SimSun"/>
        </w:rPr>
      </w:pPr>
      <w:r>
        <w:t xml:space="preserve">Researchers need to give careful thought as to </w:t>
      </w:r>
      <w:r w:rsidR="003B2A84">
        <w:t>who will be recruited</w:t>
      </w:r>
      <w:r>
        <w:t xml:space="preserve"> as co-researchers, to ensure diversity and meaningful representativeness</w:t>
      </w:r>
      <w:r w:rsidR="00FB3564">
        <w:t>.</w:t>
      </w:r>
      <w:r w:rsidR="0048241B">
        <w:rPr>
          <w:rStyle w:val="FootnoteReference"/>
          <w:rFonts w:eastAsia="SimSun"/>
        </w:rPr>
        <w:footnoteReference w:id="23"/>
      </w:r>
      <w:r>
        <w:t xml:space="preserve"> </w:t>
      </w:r>
      <w:r w:rsidR="00D102B2">
        <w:t>Consideration</w:t>
      </w:r>
      <w:r>
        <w:t xml:space="preserve"> should</w:t>
      </w:r>
      <w:r w:rsidR="00D102B2">
        <w:t xml:space="preserve"> also</w:t>
      </w:r>
      <w:r>
        <w:t xml:space="preserve"> be given to </w:t>
      </w:r>
      <w:r w:rsidR="00D102B2">
        <w:t>how and when co-researchers</w:t>
      </w:r>
      <w:r w:rsidR="003B2A84">
        <w:t xml:space="preserve"> will be recruited</w:t>
      </w:r>
      <w:r w:rsidR="001F64D7">
        <w:t xml:space="preserve"> and how they will be compensated for their time and contributions</w:t>
      </w:r>
      <w:r w:rsidR="00FB3564">
        <w:t>.</w:t>
      </w:r>
      <w:r w:rsidR="0048241B">
        <w:rPr>
          <w:rStyle w:val="FootnoteReference"/>
          <w:rFonts w:eastAsia="SimSun"/>
          <w:szCs w:val="26"/>
        </w:rPr>
        <w:footnoteReference w:id="24"/>
      </w:r>
      <w:r w:rsidR="003B2A84">
        <w:t xml:space="preserve"> </w:t>
      </w:r>
      <w:r w:rsidR="003B2A84">
        <w:rPr>
          <w:rFonts w:eastAsia="SimSun"/>
        </w:rPr>
        <w:t xml:space="preserve">There was a general consensus that collaborative research projects often </w:t>
      </w:r>
      <w:r w:rsidR="001F64D7">
        <w:rPr>
          <w:rFonts w:eastAsia="SimSun"/>
        </w:rPr>
        <w:t>require more planning and</w:t>
      </w:r>
      <w:r w:rsidR="003B2A84">
        <w:rPr>
          <w:rFonts w:eastAsia="SimSun"/>
        </w:rPr>
        <w:t xml:space="preserve"> preparation than traditional research projects. Care needs to be taken to clarify roles and </w:t>
      </w:r>
      <w:r w:rsidR="00D102B2">
        <w:rPr>
          <w:rFonts w:eastAsia="SimSun"/>
        </w:rPr>
        <w:t>responsibilities</w:t>
      </w:r>
      <w:r w:rsidR="003B2A84">
        <w:rPr>
          <w:rFonts w:eastAsia="SimSun"/>
        </w:rPr>
        <w:t xml:space="preserve"> from the outset and decisions are needed regarding training that m</w:t>
      </w:r>
      <w:r w:rsidR="00D102B2">
        <w:rPr>
          <w:rFonts w:eastAsia="SimSun"/>
        </w:rPr>
        <w:t>a</w:t>
      </w:r>
      <w:r w:rsidR="003B2A84">
        <w:rPr>
          <w:rFonts w:eastAsia="SimSun"/>
        </w:rPr>
        <w:t>y be required for both co-</w:t>
      </w:r>
      <w:r w:rsidR="00D102B2">
        <w:rPr>
          <w:rFonts w:eastAsia="SimSun"/>
        </w:rPr>
        <w:t>researchers</w:t>
      </w:r>
      <w:r w:rsidR="003B2A84">
        <w:rPr>
          <w:rFonts w:eastAsia="SimSun"/>
        </w:rPr>
        <w:t xml:space="preserve"> and researchers</w:t>
      </w:r>
      <w:r w:rsidR="00FB3564">
        <w:rPr>
          <w:rFonts w:eastAsia="SimSun"/>
        </w:rPr>
        <w:t>.</w:t>
      </w:r>
      <w:r w:rsidR="0048241B">
        <w:rPr>
          <w:rStyle w:val="FootnoteReference"/>
          <w:rFonts w:eastAsia="SimSun"/>
        </w:rPr>
        <w:footnoteReference w:id="25"/>
      </w:r>
      <w:r w:rsidR="003B2A84">
        <w:rPr>
          <w:rFonts w:eastAsia="SimSun"/>
        </w:rPr>
        <w:t xml:space="preserve"> </w:t>
      </w:r>
      <w:r w:rsidR="00D102B2">
        <w:rPr>
          <w:rFonts w:eastAsia="SimSun"/>
        </w:rPr>
        <w:t>Researchers need to consider what type of training would be most beneficial and appropriate, as well as how, when and by whom training will be delivered</w:t>
      </w:r>
      <w:r w:rsidR="00FB3564">
        <w:rPr>
          <w:rFonts w:eastAsia="SimSun"/>
        </w:rPr>
        <w:t>.</w:t>
      </w:r>
      <w:r w:rsidR="0048241B">
        <w:rPr>
          <w:rStyle w:val="FootnoteReference"/>
          <w:rFonts w:eastAsia="SimSun"/>
        </w:rPr>
        <w:footnoteReference w:id="26"/>
      </w:r>
      <w:r w:rsidR="00D102B2">
        <w:rPr>
          <w:rFonts w:eastAsia="SimSun"/>
        </w:rPr>
        <w:t xml:space="preserve"> Establishing trust, respect and honesty within the research team was important for meaningful involvement</w:t>
      </w:r>
      <w:r w:rsidR="00FB3564">
        <w:rPr>
          <w:rFonts w:eastAsia="SimSun"/>
        </w:rPr>
        <w:t>.</w:t>
      </w:r>
      <w:r w:rsidR="0048241B">
        <w:rPr>
          <w:rStyle w:val="FootnoteReference"/>
          <w:rFonts w:eastAsia="SimSun"/>
        </w:rPr>
        <w:footnoteReference w:id="27"/>
      </w:r>
      <w:r w:rsidR="00D102B2">
        <w:rPr>
          <w:rFonts w:eastAsia="SimSun"/>
        </w:rPr>
        <w:t xml:space="preserve"> Particular challenges to establishing good relationships and meaningful involvement</w:t>
      </w:r>
      <w:r w:rsidR="001F64D7">
        <w:rPr>
          <w:rFonts w:eastAsia="SimSun"/>
        </w:rPr>
        <w:t xml:space="preserve">, however, </w:t>
      </w:r>
      <w:r w:rsidR="00D102B2">
        <w:rPr>
          <w:rFonts w:eastAsia="SimSun"/>
        </w:rPr>
        <w:t>included communication and power inequalities.</w:t>
      </w:r>
      <w:r w:rsidR="00FB3564">
        <w:rPr>
          <w:rStyle w:val="FootnoteReference"/>
          <w:rFonts w:eastAsia="SimSun"/>
        </w:rPr>
        <w:footnoteReference w:id="28"/>
      </w:r>
      <w:r w:rsidR="00D102B2" w:rsidRPr="00D102B2">
        <w:rPr>
          <w:rFonts w:eastAsia="SimSun"/>
        </w:rPr>
        <w:t xml:space="preserve"> </w:t>
      </w:r>
    </w:p>
    <w:p w14:paraId="17070963" w14:textId="1BE7CE8E" w:rsidR="001F64D7" w:rsidRPr="00F236BD" w:rsidRDefault="00D102B2" w:rsidP="001F64D7">
      <w:pPr>
        <w:rPr>
          <w:rFonts w:eastAsia="SimSun"/>
        </w:rPr>
      </w:pPr>
      <w:r w:rsidRPr="003C77D6">
        <w:rPr>
          <w:rFonts w:eastAsia="SimSun"/>
        </w:rPr>
        <w:lastRenderedPageBreak/>
        <w:t>The studies reviewed used a range of methods to facilitate the involvement of co-researchers in research projects</w:t>
      </w:r>
      <w:r>
        <w:rPr>
          <w:rFonts w:eastAsia="SimSun"/>
        </w:rPr>
        <w:t>. These included ensuring materials, venues, communication and transport were accessible and accommodations were provided where required</w:t>
      </w:r>
      <w:r w:rsidR="00FB3564">
        <w:rPr>
          <w:rFonts w:eastAsia="SimSun"/>
        </w:rPr>
        <w:t>.</w:t>
      </w:r>
      <w:r w:rsidR="0048241B">
        <w:rPr>
          <w:rStyle w:val="FootnoteReference"/>
          <w:rFonts w:eastAsia="SimSun"/>
        </w:rPr>
        <w:footnoteReference w:id="29"/>
      </w:r>
      <w:r>
        <w:rPr>
          <w:rFonts w:eastAsia="SimSun"/>
        </w:rPr>
        <w:t xml:space="preserve"> Studies also highlighted that any potential negative impacts of the research on co-researchers, such as distress, need to be considered and addressed to ensure the positive involvement of co-researchers in the research process</w:t>
      </w:r>
      <w:r w:rsidR="00FB3564">
        <w:rPr>
          <w:rFonts w:eastAsia="SimSun"/>
        </w:rPr>
        <w:t>.</w:t>
      </w:r>
      <w:r w:rsidR="0048241B">
        <w:rPr>
          <w:rStyle w:val="FootnoteReference"/>
          <w:rFonts w:eastAsia="SimSun"/>
        </w:rPr>
        <w:footnoteReference w:id="30"/>
      </w:r>
      <w:r>
        <w:rPr>
          <w:rFonts w:eastAsia="SimSun"/>
        </w:rPr>
        <w:t xml:space="preserve"> </w:t>
      </w:r>
      <w:r w:rsidR="001F64D7" w:rsidRPr="004274EC">
        <w:rPr>
          <w:rFonts w:eastAsia="SimSun"/>
        </w:rPr>
        <w:t>Studies differed in their opinion as to how much of the research project co-researchers with disabilities should be involved in.</w:t>
      </w:r>
      <w:r w:rsidR="001F64D7" w:rsidRPr="001F64D7">
        <w:rPr>
          <w:rFonts w:eastAsia="SimSun"/>
        </w:rPr>
        <w:t xml:space="preserve"> </w:t>
      </w:r>
      <w:r w:rsidR="001F64D7">
        <w:rPr>
          <w:rFonts w:eastAsia="SimSun"/>
        </w:rPr>
        <w:t>Involving co-researchers in the ear</w:t>
      </w:r>
      <w:r w:rsidR="00D32C12">
        <w:rPr>
          <w:rFonts w:eastAsia="SimSun"/>
        </w:rPr>
        <w:t>ly stages of the research (e.g.</w:t>
      </w:r>
      <w:r w:rsidR="001F64D7">
        <w:rPr>
          <w:rFonts w:eastAsia="SimSun"/>
        </w:rPr>
        <w:t xml:space="preserve"> idea conceptualisation, ethics and funding applications) was seen as particularly challenging</w:t>
      </w:r>
      <w:r w:rsidR="0048241B">
        <w:rPr>
          <w:rStyle w:val="FootnoteReference"/>
          <w:rFonts w:eastAsia="SimSun"/>
        </w:rPr>
        <w:footnoteReference w:id="31"/>
      </w:r>
      <w:r w:rsidR="001F64D7">
        <w:rPr>
          <w:rFonts w:eastAsia="SimSun"/>
        </w:rPr>
        <w:t xml:space="preserve"> and frustration about perceived tokenistic involvement was noted</w:t>
      </w:r>
      <w:r w:rsidR="00FB3564">
        <w:rPr>
          <w:rFonts w:eastAsia="SimSun"/>
        </w:rPr>
        <w:t>.</w:t>
      </w:r>
      <w:r w:rsidR="0048241B">
        <w:rPr>
          <w:rStyle w:val="FootnoteReference"/>
          <w:rFonts w:eastAsia="SimSun"/>
        </w:rPr>
        <w:footnoteReference w:id="32"/>
      </w:r>
      <w:r w:rsidR="001F64D7">
        <w:rPr>
          <w:rFonts w:eastAsia="SimSun"/>
        </w:rPr>
        <w:t xml:space="preserve"> </w:t>
      </w:r>
      <w:r w:rsidR="00F54911">
        <w:rPr>
          <w:rFonts w:eastAsia="SimSun"/>
        </w:rPr>
        <w:t>Many studies referred to the importance of documenting and evaluating the collaborative research process</w:t>
      </w:r>
      <w:r w:rsidR="00FB3564">
        <w:rPr>
          <w:rFonts w:eastAsia="SimSun"/>
        </w:rPr>
        <w:t>.</w:t>
      </w:r>
      <w:r w:rsidR="0048241B">
        <w:rPr>
          <w:rStyle w:val="FootnoteReference"/>
          <w:rFonts w:eastAsia="SimSun"/>
        </w:rPr>
        <w:footnoteReference w:id="33"/>
      </w:r>
      <w:r w:rsidR="00F54911">
        <w:rPr>
          <w:rFonts w:eastAsia="SimSun"/>
        </w:rPr>
        <w:t xml:space="preserve"> </w:t>
      </w:r>
      <w:r w:rsidR="001F64D7" w:rsidRPr="007D632E">
        <w:rPr>
          <w:rFonts w:eastAsia="SimSun"/>
        </w:rPr>
        <w:t>Conducting formal evaluations of the collaborative research process would provide rigorous evidence on the impact of collaborative research on the research project and research partners, and would provide a more comprehensive evidence base as to what approaches work best in collaborative research.</w:t>
      </w:r>
    </w:p>
    <w:p w14:paraId="5F07EC9F" w14:textId="4B4A349E" w:rsidR="0064336D" w:rsidRDefault="0064336D" w:rsidP="0064336D">
      <w:pPr>
        <w:pStyle w:val="Heading2"/>
      </w:pPr>
      <w:bookmarkStart w:id="17" w:name="_Toc116916201"/>
      <w:r>
        <w:t>Conclusion</w:t>
      </w:r>
      <w:bookmarkEnd w:id="17"/>
      <w:r>
        <w:t xml:space="preserve"> </w:t>
      </w:r>
    </w:p>
    <w:p w14:paraId="45D8FD22" w14:textId="4DFA9430" w:rsidR="0057763D" w:rsidRDefault="0064336D" w:rsidP="0064336D">
      <w:r>
        <w:t xml:space="preserve">This review of literature has identified that there is no one best practice model of collaborative research between researchers and </w:t>
      </w:r>
      <w:r w:rsidR="00B32E6C">
        <w:t>disabled people</w:t>
      </w:r>
      <w:r w:rsidR="00B97DF0">
        <w:t>. Key considerations for designing and conducting collaborative research include the extra time, resources and planning that are likely to be needed for a collaborative research project. This review</w:t>
      </w:r>
      <w:r w:rsidR="00E6573B">
        <w:t>, along with input from an advisory group and feedback from relevant stakeholders,</w:t>
      </w:r>
      <w:r w:rsidR="00B97DF0">
        <w:t xml:space="preserve"> will form the basis of NDA </w:t>
      </w:r>
      <w:r w:rsidR="00B97DF0" w:rsidRPr="00BD6BD8">
        <w:t xml:space="preserve">guidance for researchers in conducting collaborative research with </w:t>
      </w:r>
      <w:r w:rsidR="00B32E6C">
        <w:t>disabled people</w:t>
      </w:r>
      <w:r w:rsidR="00B97DF0" w:rsidRPr="00BD6BD8">
        <w:t xml:space="preserve"> in Ireland. </w:t>
      </w:r>
      <w:r w:rsidR="00026380">
        <w:br w:type="page"/>
      </w:r>
    </w:p>
    <w:p w14:paraId="181F0544" w14:textId="73D97AA9" w:rsidR="00C014EE" w:rsidRDefault="002E5CB4" w:rsidP="00C014EE">
      <w:pPr>
        <w:pStyle w:val="Heading1"/>
      </w:pPr>
      <w:bookmarkStart w:id="18" w:name="_Toc104925093"/>
      <w:bookmarkStart w:id="19" w:name="_Toc116916202"/>
      <w:r>
        <w:lastRenderedPageBreak/>
        <w:t xml:space="preserve">Section 1. </w:t>
      </w:r>
      <w:r w:rsidR="00C014EE">
        <w:t>Introduction</w:t>
      </w:r>
      <w:bookmarkEnd w:id="18"/>
      <w:bookmarkEnd w:id="19"/>
    </w:p>
    <w:p w14:paraId="3729012A" w14:textId="312B1EF6" w:rsidR="00031AA5" w:rsidRDefault="00031AA5" w:rsidP="00031AA5">
      <w:pPr>
        <w:pStyle w:val="Heading2"/>
      </w:pPr>
      <w:bookmarkStart w:id="20" w:name="_Toc104925094"/>
      <w:bookmarkStart w:id="21" w:name="_Toc116916203"/>
      <w:r>
        <w:t>Introduction</w:t>
      </w:r>
      <w:bookmarkEnd w:id="20"/>
      <w:bookmarkEnd w:id="21"/>
      <w:r>
        <w:t xml:space="preserve"> </w:t>
      </w:r>
    </w:p>
    <w:p w14:paraId="780B868B" w14:textId="4552D005" w:rsidR="006A20FC" w:rsidRDefault="006A20FC" w:rsidP="006A20FC">
      <w:r>
        <w:t xml:space="preserve">The National Disability Authority (NDA) last published guidelines on conducting research with </w:t>
      </w:r>
      <w:r w:rsidR="00B32E6C">
        <w:t>disabled people</w:t>
      </w:r>
      <w:r w:rsidR="00C11D34">
        <w:t xml:space="preserve"> in 2002</w:t>
      </w:r>
      <w:r>
        <w:t xml:space="preserve">. </w:t>
      </w:r>
      <w:r w:rsidR="001161A3">
        <w:t xml:space="preserve">Those guidelines covered involving </w:t>
      </w:r>
      <w:r w:rsidR="00B32E6C">
        <w:t>disabled people</w:t>
      </w:r>
      <w:r w:rsidR="001161A3">
        <w:t xml:space="preserve"> in participatory research, on steering groups, in consultations and as research participants. </w:t>
      </w:r>
      <w:r w:rsidRPr="006A20FC">
        <w:t>The guidelines considered</w:t>
      </w:r>
      <w:r>
        <w:t xml:space="preserve"> that:</w:t>
      </w:r>
    </w:p>
    <w:p w14:paraId="0F8264FD" w14:textId="6A9B5D8C" w:rsidR="006A20FC" w:rsidRDefault="00697551" w:rsidP="006A20FC">
      <w:pPr>
        <w:pStyle w:val="BlockQuote"/>
      </w:pPr>
      <w:r>
        <w:t>…</w:t>
      </w:r>
      <w:r w:rsidR="006A20FC" w:rsidRPr="006A20FC">
        <w:t>the inclusion of people with disabilities in research on issues which affect their lives is an essential element of ensuring that disability research accurately reflects the perspectives of people with disabilities and remains focused on</w:t>
      </w:r>
      <w:r w:rsidR="006A20FC">
        <w:t xml:space="preserve"> </w:t>
      </w:r>
      <w:r w:rsidR="006A20FC" w:rsidRPr="006A20FC">
        <w:t>the issues of greatest importance to them</w:t>
      </w:r>
      <w:r w:rsidR="00FB3564">
        <w:t>.</w:t>
      </w:r>
      <w:r w:rsidR="0048241B">
        <w:rPr>
          <w:rStyle w:val="FootnoteReference"/>
        </w:rPr>
        <w:footnoteReference w:id="34"/>
      </w:r>
    </w:p>
    <w:p w14:paraId="1AA5DF73" w14:textId="465684D9" w:rsidR="00031AA5" w:rsidRPr="008A449E" w:rsidRDefault="00031AA5" w:rsidP="006A20FC">
      <w:pPr>
        <w:rPr>
          <w:rFonts w:eastAsia="SimSun" w:cs="HelveticaNeueLTStd-Lt"/>
          <w:szCs w:val="26"/>
          <w:lang w:eastAsia="en-IE"/>
        </w:rPr>
      </w:pPr>
      <w:r>
        <w:t>In the two decades since, the landscape in Ireland for collaborative research between researchers</w:t>
      </w:r>
      <w:r w:rsidR="009050EC">
        <w:rPr>
          <w:rStyle w:val="FootnoteReference"/>
        </w:rPr>
        <w:footnoteReference w:id="35"/>
      </w:r>
      <w:r>
        <w:t xml:space="preserve"> and </w:t>
      </w:r>
      <w:r w:rsidR="00B32E6C">
        <w:t>disabled people</w:t>
      </w:r>
      <w:r>
        <w:t xml:space="preserve"> has changed substantially. For instance, research groups, such as the Inclusive Research Network (IRN), which is led by self-advocates with intellectual disability and supported by academic researchers,</w:t>
      </w:r>
      <w:r w:rsidRPr="00C02C25">
        <w:t xml:space="preserve"> </w:t>
      </w:r>
      <w:r>
        <w:t>have been established. A number of Disabled Person’s Organisations (DPOs) have been founded,</w:t>
      </w:r>
      <w:r w:rsidR="00921AE1">
        <w:t xml:space="preserve"> who sometimes consult or advise on policy development </w:t>
      </w:r>
      <w:r w:rsidR="00194E98">
        <w:t xml:space="preserve">or research </w:t>
      </w:r>
      <w:r w:rsidR="00921AE1">
        <w:t>around issues affectin</w:t>
      </w:r>
      <w:r w:rsidR="0048241B">
        <w:t>g</w:t>
      </w:r>
      <w:r w:rsidR="00921AE1">
        <w:t xml:space="preserve"> the lives of people with disabilities and some of whom consult on research. </w:t>
      </w:r>
      <w:r>
        <w:t xml:space="preserve">The advancement in collaborative research </w:t>
      </w:r>
      <w:r w:rsidR="002D6769">
        <w:t xml:space="preserve">in general </w:t>
      </w:r>
      <w:r>
        <w:t>is further demonstrated by the establishment of funded initiatives such as the Public and Patient Involvement (PPI) Ignite Network, which supports researchers in higher education institutions and the public to collaborate in research. In addition, various f</w:t>
      </w:r>
      <w:r w:rsidR="003755E5">
        <w:t>unders</w:t>
      </w:r>
      <w:r w:rsidR="00632B42">
        <w:t>, including Horizon Europe</w:t>
      </w:r>
      <w:r w:rsidR="003755E5">
        <w:t xml:space="preserve"> and </w:t>
      </w:r>
      <w:r>
        <w:t xml:space="preserve">the Irish Research Council, </w:t>
      </w:r>
      <w:r w:rsidR="00AA1736">
        <w:t>now</w:t>
      </w:r>
      <w:r>
        <w:t xml:space="preserve"> promote engaging with stakeholders as part of the research process in their funding calls. Ireland’s ratification of the United Nations Convention of the Rights of Persons with Disabilities (UNCRPD) in 2018 is also important to note, as i</w:t>
      </w:r>
      <w:r>
        <w:rPr>
          <w:rFonts w:eastAsia="SimSun" w:cs="MinionPro-Regular"/>
          <w:szCs w:val="26"/>
          <w:lang w:eastAsia="en-IE"/>
        </w:rPr>
        <w:t>n</w:t>
      </w:r>
      <w:r w:rsidRPr="004554C3">
        <w:rPr>
          <w:rFonts w:eastAsia="SimSun" w:cs="MinionPro-Regular"/>
          <w:szCs w:val="26"/>
          <w:lang w:eastAsia="en-IE"/>
        </w:rPr>
        <w:t>volvement</w:t>
      </w:r>
      <w:r>
        <w:rPr>
          <w:rFonts w:eastAsia="SimSun" w:cs="MinionPro-Regular"/>
          <w:szCs w:val="26"/>
          <w:lang w:eastAsia="en-IE"/>
        </w:rPr>
        <w:t xml:space="preserve">, equality and participation of </w:t>
      </w:r>
      <w:r w:rsidR="00B32E6C">
        <w:rPr>
          <w:rFonts w:eastAsia="SimSun" w:cs="MinionPro-Regular"/>
          <w:szCs w:val="26"/>
          <w:lang w:eastAsia="en-IE"/>
        </w:rPr>
        <w:t>disabled people</w:t>
      </w:r>
      <w:r>
        <w:rPr>
          <w:rFonts w:eastAsia="SimSun" w:cs="MinionPro-Regular"/>
          <w:szCs w:val="26"/>
          <w:lang w:eastAsia="en-IE"/>
        </w:rPr>
        <w:t xml:space="preserve"> are key</w:t>
      </w:r>
      <w:r w:rsidRPr="004554C3">
        <w:rPr>
          <w:rFonts w:eastAsia="SimSun" w:cs="MinionPro-Regular"/>
          <w:szCs w:val="26"/>
          <w:lang w:eastAsia="en-IE"/>
        </w:rPr>
        <w:t xml:space="preserve"> principle</w:t>
      </w:r>
      <w:r>
        <w:rPr>
          <w:rFonts w:eastAsia="SimSun" w:cs="MinionPro-Regular"/>
          <w:szCs w:val="26"/>
          <w:lang w:eastAsia="en-IE"/>
        </w:rPr>
        <w:t>s</w:t>
      </w:r>
      <w:r w:rsidRPr="004554C3">
        <w:rPr>
          <w:rFonts w:eastAsia="SimSun" w:cs="MinionPro-Regular"/>
          <w:szCs w:val="26"/>
          <w:lang w:eastAsia="en-IE"/>
        </w:rPr>
        <w:t xml:space="preserve"> of the </w:t>
      </w:r>
      <w:r>
        <w:rPr>
          <w:rFonts w:eastAsia="SimSun" w:cs="MinionPro-Regular"/>
          <w:szCs w:val="26"/>
          <w:lang w:eastAsia="en-IE"/>
        </w:rPr>
        <w:t>UN</w:t>
      </w:r>
      <w:r w:rsidRPr="004554C3">
        <w:rPr>
          <w:rFonts w:eastAsia="SimSun" w:cs="MinionPro-Regular"/>
          <w:szCs w:val="26"/>
          <w:lang w:eastAsia="en-IE"/>
        </w:rPr>
        <w:t>CRPD</w:t>
      </w:r>
      <w:r w:rsidR="00AD1E64">
        <w:rPr>
          <w:rFonts w:eastAsia="SimSun" w:cs="MinionPro-Regular"/>
          <w:szCs w:val="26"/>
          <w:lang w:eastAsia="en-IE"/>
        </w:rPr>
        <w:t>.</w:t>
      </w:r>
      <w:r w:rsidR="0048241B">
        <w:rPr>
          <w:rStyle w:val="FootnoteReference"/>
          <w:rFonts w:eastAsia="SimSun" w:cs="MinionPro-Regular"/>
          <w:szCs w:val="26"/>
          <w:lang w:eastAsia="en-IE"/>
        </w:rPr>
        <w:footnoteReference w:id="36"/>
      </w:r>
      <w:r w:rsidR="00980175">
        <w:rPr>
          <w:rFonts w:eastAsia="SimSun" w:cs="MinionPro-Regular"/>
          <w:szCs w:val="26"/>
          <w:lang w:eastAsia="en-IE"/>
        </w:rPr>
        <w:t xml:space="preserve"> I</w:t>
      </w:r>
      <w:r w:rsidR="00980175" w:rsidRPr="00367D2C">
        <w:rPr>
          <w:rFonts w:eastAsia="SimSun" w:cs="HelveticaNeueLTStd-Lt"/>
          <w:szCs w:val="26"/>
          <w:lang w:eastAsia="en-IE"/>
        </w:rPr>
        <w:t xml:space="preserve">f </w:t>
      </w:r>
      <w:r w:rsidR="00980175">
        <w:rPr>
          <w:rFonts w:eastAsia="SimSun" w:cs="HelveticaNeueLTStd-Lt"/>
          <w:szCs w:val="26"/>
          <w:lang w:eastAsia="en-IE"/>
        </w:rPr>
        <w:t>Ireland is</w:t>
      </w:r>
      <w:r w:rsidR="00980175" w:rsidRPr="00367D2C">
        <w:rPr>
          <w:rFonts w:eastAsia="SimSun" w:cs="HelveticaNeueLTStd-Lt"/>
          <w:szCs w:val="26"/>
          <w:lang w:eastAsia="en-IE"/>
        </w:rPr>
        <w:t xml:space="preserve"> to </w:t>
      </w:r>
      <w:r w:rsidR="00980175">
        <w:rPr>
          <w:rFonts w:eastAsia="SimSun" w:cs="HelveticaNeueLTStd-Lt"/>
          <w:szCs w:val="26"/>
          <w:lang w:eastAsia="en-IE"/>
        </w:rPr>
        <w:t>fulfil</w:t>
      </w:r>
      <w:r w:rsidR="00980175" w:rsidRPr="00367D2C">
        <w:rPr>
          <w:rFonts w:eastAsia="SimSun" w:cs="HelveticaNeueLTStd-Lt"/>
          <w:szCs w:val="26"/>
          <w:lang w:eastAsia="en-IE"/>
        </w:rPr>
        <w:t xml:space="preserve"> </w:t>
      </w:r>
      <w:r w:rsidR="00980175">
        <w:rPr>
          <w:rFonts w:eastAsia="SimSun" w:cs="HelveticaNeueLTStd-Lt"/>
          <w:szCs w:val="26"/>
          <w:lang w:eastAsia="en-IE"/>
        </w:rPr>
        <w:t>its</w:t>
      </w:r>
      <w:r w:rsidR="00980175" w:rsidRPr="00367D2C">
        <w:rPr>
          <w:rFonts w:eastAsia="SimSun" w:cs="HelveticaNeueLTStd-Lt"/>
          <w:szCs w:val="26"/>
          <w:lang w:eastAsia="en-IE"/>
        </w:rPr>
        <w:t xml:space="preserve"> obligations under</w:t>
      </w:r>
      <w:r w:rsidR="00980175">
        <w:rPr>
          <w:rFonts w:eastAsia="SimSun" w:cs="HelveticaNeueLTStd-Lt"/>
          <w:szCs w:val="26"/>
          <w:lang w:eastAsia="en-IE"/>
        </w:rPr>
        <w:t xml:space="preserve"> the treaty,</w:t>
      </w:r>
      <w:r w:rsidR="00980175" w:rsidRPr="00367D2C">
        <w:rPr>
          <w:rFonts w:eastAsia="SimSun" w:cs="HelveticaNeueLTStd-Lt"/>
          <w:szCs w:val="26"/>
          <w:lang w:eastAsia="en-IE"/>
        </w:rPr>
        <w:t xml:space="preserve"> disabled people </w:t>
      </w:r>
      <w:r w:rsidR="00980175">
        <w:rPr>
          <w:rFonts w:eastAsia="SimSun" w:cs="HelveticaNeueLTStd-Lt"/>
          <w:szCs w:val="26"/>
          <w:lang w:eastAsia="en-IE"/>
        </w:rPr>
        <w:t>must be involved in</w:t>
      </w:r>
      <w:r w:rsidR="00980175" w:rsidRPr="00367D2C">
        <w:rPr>
          <w:rFonts w:eastAsia="SimSun" w:cs="HelveticaNeueLTStd-Lt"/>
          <w:szCs w:val="26"/>
          <w:lang w:eastAsia="en-IE"/>
        </w:rPr>
        <w:t xml:space="preserve"> all rese</w:t>
      </w:r>
      <w:r w:rsidR="00980175">
        <w:rPr>
          <w:rFonts w:eastAsia="SimSun" w:cs="HelveticaNeueLTStd-Lt"/>
          <w:szCs w:val="26"/>
          <w:lang w:eastAsia="en-IE"/>
        </w:rPr>
        <w:t>arch and decision-</w:t>
      </w:r>
      <w:r w:rsidR="00980175">
        <w:rPr>
          <w:rFonts w:eastAsia="SimSun" w:cs="HelveticaNeueLTStd-Lt"/>
          <w:szCs w:val="26"/>
          <w:lang w:eastAsia="en-IE"/>
        </w:rPr>
        <w:lastRenderedPageBreak/>
        <w:t>making in which they have a stake</w:t>
      </w:r>
      <w:r w:rsidR="00AD1E64">
        <w:rPr>
          <w:rFonts w:eastAsia="SimSun" w:cs="HelveticaNeueLTStd-Lt"/>
          <w:szCs w:val="26"/>
          <w:lang w:eastAsia="en-IE"/>
        </w:rPr>
        <w:t>.</w:t>
      </w:r>
      <w:r w:rsidR="009E5D8A">
        <w:rPr>
          <w:rStyle w:val="FootnoteReference"/>
          <w:rFonts w:eastAsia="SimSun" w:cs="HelveticaNeueLTStd-Lt"/>
          <w:szCs w:val="26"/>
          <w:lang w:eastAsia="en-IE"/>
        </w:rPr>
        <w:footnoteReference w:id="37"/>
      </w:r>
      <w:r w:rsidR="00FF5810">
        <w:rPr>
          <w:rFonts w:eastAsia="SimSun" w:cs="HelveticaNeueLTStd-Lt"/>
          <w:szCs w:val="26"/>
          <w:lang w:eastAsia="en-IE"/>
        </w:rPr>
        <w:t xml:space="preserve"> </w:t>
      </w:r>
      <w:r>
        <w:rPr>
          <w:rFonts w:eastAsia="SimSun" w:cs="HelveticaNeueLTStd-Lt"/>
          <w:szCs w:val="26"/>
          <w:lang w:eastAsia="en-IE"/>
        </w:rPr>
        <w:t>Unfortunately, t</w:t>
      </w:r>
      <w:r>
        <w:rPr>
          <w:rFonts w:eastAsia="SimSun" w:cs="MinionPro-Regular"/>
          <w:szCs w:val="26"/>
          <w:lang w:eastAsia="en-IE"/>
        </w:rPr>
        <w:t>raditional research approaches are often poorly aligne</w:t>
      </w:r>
      <w:r w:rsidR="00632B42">
        <w:rPr>
          <w:rFonts w:eastAsia="SimSun" w:cs="MinionPro-Regular"/>
          <w:szCs w:val="26"/>
          <w:lang w:eastAsia="en-IE"/>
        </w:rPr>
        <w:t xml:space="preserve">d with the CRPD </w:t>
      </w:r>
      <w:r>
        <w:rPr>
          <w:rFonts w:eastAsia="SimSun" w:cs="MinionPro-Regular"/>
          <w:szCs w:val="26"/>
          <w:lang w:eastAsia="en-IE"/>
        </w:rPr>
        <w:t>requirements</w:t>
      </w:r>
      <w:r w:rsidR="00AD1E64">
        <w:rPr>
          <w:rFonts w:eastAsia="SimSun" w:cs="MinionPro-Regular"/>
          <w:szCs w:val="26"/>
          <w:lang w:eastAsia="en-IE"/>
        </w:rPr>
        <w:t>.</w:t>
      </w:r>
      <w:r w:rsidR="009E5D8A">
        <w:rPr>
          <w:rStyle w:val="FootnoteReference"/>
          <w:rFonts w:eastAsia="SimSun" w:cs="MinionPro-Regular"/>
          <w:szCs w:val="26"/>
          <w:lang w:eastAsia="en-IE"/>
        </w:rPr>
        <w:footnoteReference w:id="38"/>
      </w:r>
      <w:r w:rsidR="00FF5810">
        <w:rPr>
          <w:rFonts w:eastAsia="SimSun" w:cs="MinionPro-Regular"/>
          <w:szCs w:val="26"/>
          <w:lang w:eastAsia="en-IE"/>
        </w:rPr>
        <w:t xml:space="preserve"> </w:t>
      </w:r>
      <w:r w:rsidR="00BA1BB9">
        <w:rPr>
          <w:rFonts w:eastAsia="SimSun" w:cs="HelveticaNeueLTStd-Lt"/>
          <w:szCs w:val="26"/>
          <w:lang w:eastAsia="en-IE"/>
        </w:rPr>
        <w:t>Collaborative research approaches</w:t>
      </w:r>
      <w:r w:rsidR="008A449E">
        <w:rPr>
          <w:rFonts w:eastAsia="SimSun" w:cs="HelveticaNeueLTStd-Lt"/>
          <w:szCs w:val="26"/>
          <w:lang w:eastAsia="en-IE"/>
        </w:rPr>
        <w:t>,</w:t>
      </w:r>
      <w:r w:rsidR="00BA1BB9">
        <w:rPr>
          <w:rFonts w:eastAsia="SimSun" w:cs="HelveticaNeueLTStd-Lt"/>
          <w:szCs w:val="26"/>
          <w:lang w:eastAsia="en-IE"/>
        </w:rPr>
        <w:t xml:space="preserve"> on the other hand, share similar underlying principles</w:t>
      </w:r>
      <w:r w:rsidR="008A449E">
        <w:rPr>
          <w:rFonts w:eastAsia="SimSun" w:cs="HelveticaNeueLTStd-Lt"/>
          <w:szCs w:val="26"/>
          <w:lang w:eastAsia="en-IE"/>
        </w:rPr>
        <w:t xml:space="preserve"> with the CRPD; specifically those</w:t>
      </w:r>
      <w:r w:rsidR="00BA1BB9">
        <w:rPr>
          <w:rFonts w:eastAsia="SimSun" w:cs="HelveticaNeueLTStd-Lt"/>
          <w:szCs w:val="26"/>
          <w:lang w:eastAsia="en-IE"/>
        </w:rPr>
        <w:t xml:space="preserve"> of </w:t>
      </w:r>
      <w:r w:rsidR="00853E82">
        <w:rPr>
          <w:rFonts w:eastAsia="SimSun" w:cs="HelveticaNeueLTStd-Lt"/>
          <w:szCs w:val="26"/>
          <w:lang w:eastAsia="en-IE"/>
        </w:rPr>
        <w:t xml:space="preserve">involvement, </w:t>
      </w:r>
      <w:r w:rsidR="00BA1BB9">
        <w:rPr>
          <w:rFonts w:eastAsia="SimSun" w:cs="HelveticaNeueLTStd-Lt"/>
          <w:szCs w:val="26"/>
          <w:lang w:eastAsia="en-IE"/>
        </w:rPr>
        <w:t>equality and participation</w:t>
      </w:r>
      <w:r w:rsidR="008A449E">
        <w:rPr>
          <w:rFonts w:eastAsia="SimSun" w:cs="HelveticaNeueLTStd-Lt"/>
          <w:szCs w:val="26"/>
          <w:lang w:eastAsia="en-IE"/>
        </w:rPr>
        <w:t>.</w:t>
      </w:r>
    </w:p>
    <w:p w14:paraId="34D7DA46" w14:textId="59B7CE67" w:rsidR="007E6DA7" w:rsidRDefault="00031AA5" w:rsidP="007E6DA7">
      <w:pPr>
        <w:rPr>
          <w:rFonts w:eastAsia="SimSun" w:cs="MinionPro-Regular"/>
          <w:szCs w:val="26"/>
          <w:lang w:eastAsia="en-IE"/>
        </w:rPr>
      </w:pPr>
      <w:r>
        <w:t>These advancements in the collaborative research and disability landscape in Ireland</w:t>
      </w:r>
      <w:r w:rsidR="00B24DDA">
        <w:t xml:space="preserve"> </w:t>
      </w:r>
      <w:r>
        <w:t xml:space="preserve">suggest that </w:t>
      </w:r>
      <w:r w:rsidR="002D6769">
        <w:t>now is</w:t>
      </w:r>
      <w:r>
        <w:t xml:space="preserve"> a good time to reflect </w:t>
      </w:r>
      <w:r w:rsidR="007B61A5">
        <w:t>on</w:t>
      </w:r>
      <w:r w:rsidR="00632B42">
        <w:t>,</w:t>
      </w:r>
      <w:r w:rsidR="007B61A5">
        <w:t xml:space="preserve"> </w:t>
      </w:r>
      <w:r w:rsidR="00853E82">
        <w:t>and update</w:t>
      </w:r>
      <w:r w:rsidR="00632B42">
        <w:t>,</w:t>
      </w:r>
      <w:r>
        <w:t xml:space="preserve"> the NDA’s guidance on </w:t>
      </w:r>
      <w:r w:rsidR="00853E82">
        <w:t>engaging in collaborative</w:t>
      </w:r>
      <w:r>
        <w:t xml:space="preserve"> research with people with disabilities.</w:t>
      </w:r>
      <w:r w:rsidR="007E6DA7" w:rsidRPr="007E6DA7">
        <w:rPr>
          <w:rFonts w:eastAsia="SimSun" w:cs="HelveticaNeueLTStd-Lt"/>
          <w:szCs w:val="26"/>
          <w:lang w:eastAsia="en-IE"/>
        </w:rPr>
        <w:t xml:space="preserve"> </w:t>
      </w:r>
      <w:r w:rsidR="00275084">
        <w:rPr>
          <w:rFonts w:eastAsia="SimSun" w:cs="HelveticaNeueLTStd-Lt"/>
          <w:szCs w:val="26"/>
          <w:lang w:eastAsia="en-IE"/>
        </w:rPr>
        <w:t>The need for such reflection</w:t>
      </w:r>
      <w:r w:rsidR="007E6DA7">
        <w:rPr>
          <w:rFonts w:eastAsia="SimSun" w:cs="HelveticaNeueLTStd-Lt"/>
          <w:szCs w:val="26"/>
          <w:lang w:eastAsia="en-IE"/>
        </w:rPr>
        <w:t xml:space="preserve"> is further supported by a Campus Engage</w:t>
      </w:r>
      <w:r w:rsidR="00465B7A">
        <w:rPr>
          <w:rStyle w:val="FootnoteReference"/>
          <w:rFonts w:eastAsia="SimSun" w:cs="HelveticaNeueLTStd-Lt" w:hint="eastAsia"/>
          <w:szCs w:val="26"/>
          <w:lang w:eastAsia="en-IE"/>
        </w:rPr>
        <w:footnoteReference w:id="39"/>
      </w:r>
      <w:r w:rsidR="007E6DA7">
        <w:rPr>
          <w:rFonts w:eastAsia="SimSun" w:cs="HelveticaNeueLTStd-Lt"/>
          <w:szCs w:val="26"/>
          <w:lang w:eastAsia="en-IE"/>
        </w:rPr>
        <w:t xml:space="preserve"> report, which recommended the development of a nationally agreed definition of collaborative approaches to research as well as the development of guidelines for best practice</w:t>
      </w:r>
      <w:r w:rsidR="00AD1E64">
        <w:rPr>
          <w:rFonts w:eastAsia="SimSun" w:cs="HelveticaNeueLTStd-Lt"/>
          <w:szCs w:val="26"/>
          <w:lang w:eastAsia="en-IE"/>
        </w:rPr>
        <w:t>.</w:t>
      </w:r>
      <w:r w:rsidR="009E5D8A">
        <w:rPr>
          <w:rStyle w:val="FootnoteReference"/>
          <w:rFonts w:eastAsia="SimSun" w:cs="HelveticaNeueLTStd-Lt"/>
          <w:szCs w:val="26"/>
          <w:lang w:eastAsia="en-IE"/>
        </w:rPr>
        <w:footnoteReference w:id="40"/>
      </w:r>
      <w:r w:rsidR="007E6DA7">
        <w:rPr>
          <w:rFonts w:eastAsia="SimSun" w:cs="HelveticaNeueLTStd-Lt"/>
          <w:szCs w:val="26"/>
          <w:lang w:eastAsia="en-IE"/>
        </w:rPr>
        <w:t xml:space="preserve"> </w:t>
      </w:r>
    </w:p>
    <w:p w14:paraId="6879F8FF" w14:textId="23A685DF" w:rsidR="00031AA5" w:rsidRDefault="00031AA5" w:rsidP="00031AA5">
      <w:r>
        <w:t xml:space="preserve">The aim of this literature review </w:t>
      </w:r>
      <w:r w:rsidR="008A449E">
        <w:t>was</w:t>
      </w:r>
      <w:r>
        <w:t xml:space="preserve"> to </w:t>
      </w:r>
      <w:r w:rsidR="00AA1736">
        <w:t xml:space="preserve">collate </w:t>
      </w:r>
      <w:r>
        <w:t xml:space="preserve">up-to-date evidence </w:t>
      </w:r>
      <w:r w:rsidR="00C05BDA">
        <w:t>regarding best practice in the conduct of c</w:t>
      </w:r>
      <w:r>
        <w:t>ollaborative research</w:t>
      </w:r>
      <w:r w:rsidR="008A449E">
        <w:t xml:space="preserve"> with persons with disabilities</w:t>
      </w:r>
      <w:r>
        <w:t xml:space="preserve">, along with the challenges and benefits associated with this approach. The information gathered will then be used to develop </w:t>
      </w:r>
      <w:r w:rsidR="00465B7A">
        <w:t xml:space="preserve">a separate publication offering </w:t>
      </w:r>
      <w:r>
        <w:t xml:space="preserve">guidance </w:t>
      </w:r>
      <w:r w:rsidR="00465B7A">
        <w:t>to</w:t>
      </w:r>
      <w:r>
        <w:t xml:space="preserve"> researchers </w:t>
      </w:r>
      <w:r w:rsidR="00AA1736">
        <w:t>regarding</w:t>
      </w:r>
      <w:r>
        <w:t xml:space="preserve"> collaborative research with </w:t>
      </w:r>
      <w:r w:rsidR="00B32E6C">
        <w:t xml:space="preserve">disabled </w:t>
      </w:r>
      <w:r>
        <w:t>people in Ireland. This gu</w:t>
      </w:r>
      <w:r w:rsidR="00632B42">
        <w:t>idance will differ from the 2002</w:t>
      </w:r>
      <w:r>
        <w:t xml:space="preserve"> guidelines as it will focus specifically on conducting collaborative research with </w:t>
      </w:r>
      <w:r w:rsidR="00664218">
        <w:t>people</w:t>
      </w:r>
      <w:r>
        <w:t xml:space="preserve"> with disabilities. </w:t>
      </w:r>
      <w:r w:rsidR="00465B7A">
        <w:t>In addition, it</w:t>
      </w:r>
      <w:r>
        <w:t xml:space="preserve"> will complement the NDA’s recently updated guidelines on </w:t>
      </w:r>
      <w:r w:rsidRPr="00414FCE">
        <w:t>engaging with disabled people in public participation processes</w:t>
      </w:r>
      <w:r w:rsidR="00AD1E64">
        <w:t>.</w:t>
      </w:r>
      <w:r w:rsidR="009E5D8A">
        <w:rPr>
          <w:rStyle w:val="FootnoteReference"/>
        </w:rPr>
        <w:footnoteReference w:id="41"/>
      </w:r>
      <w:r>
        <w:t xml:space="preserve"> </w:t>
      </w:r>
    </w:p>
    <w:p w14:paraId="2A522DA6" w14:textId="642F395C" w:rsidR="00031AA5" w:rsidRPr="00966B73" w:rsidRDefault="00031AA5" w:rsidP="00031AA5">
      <w:pPr>
        <w:pStyle w:val="Heading2"/>
        <w:rPr>
          <w:strike/>
        </w:rPr>
      </w:pPr>
      <w:bookmarkStart w:id="22" w:name="_Toc104925095"/>
      <w:bookmarkStart w:id="23" w:name="_Toc116916204"/>
      <w:r>
        <w:t>Defining collaborative research</w:t>
      </w:r>
      <w:bookmarkEnd w:id="22"/>
      <w:bookmarkEnd w:id="23"/>
    </w:p>
    <w:p w14:paraId="2DADF912" w14:textId="335F2CA7" w:rsidR="00031AA5" w:rsidRDefault="00031AA5" w:rsidP="00031AA5">
      <w:r>
        <w:t>Defining collaborative research is difficult as numerous terms are often used interchangeably to describe such an approach</w:t>
      </w:r>
      <w:r w:rsidR="00AD1E64">
        <w:t>.</w:t>
      </w:r>
      <w:r w:rsidR="00906A9B">
        <w:rPr>
          <w:rStyle w:val="FootnoteReference"/>
        </w:rPr>
        <w:footnoteReference w:id="42"/>
      </w:r>
      <w:r>
        <w:t xml:space="preserve"> For example, </w:t>
      </w:r>
      <w:proofErr w:type="spellStart"/>
      <w:r>
        <w:t>Nind</w:t>
      </w:r>
      <w:proofErr w:type="spellEnd"/>
      <w:r>
        <w:t xml:space="preserve"> (2014) noted that in the UK, the term ‘inclusive research’ is commonly used as an umbrella term to describe a range of methodologies and approaches</w:t>
      </w:r>
      <w:r w:rsidRPr="001F5796">
        <w:t xml:space="preserve"> </w:t>
      </w:r>
      <w:r>
        <w:t xml:space="preserve">that aim to democratise the research process by engaging policy makers and communities in research and decision making; whereas, in the USA, the term ‘collaborative </w:t>
      </w:r>
      <w:r>
        <w:lastRenderedPageBreak/>
        <w:t>research’ is more common</w:t>
      </w:r>
      <w:r w:rsidR="00AD1E64">
        <w:t>.</w:t>
      </w:r>
      <w:r w:rsidR="00906A9B">
        <w:rPr>
          <w:rStyle w:val="FootnoteReference"/>
        </w:rPr>
        <w:footnoteReference w:id="43"/>
      </w:r>
      <w:r>
        <w:t xml:space="preserve"> ‘Engaged research’ is another umbrella term which also describes a range of approaches that aim to understand and improve societal issues in collaboration with communities and stakeholders</w:t>
      </w:r>
      <w:r w:rsidR="00AD1E64">
        <w:t>.</w:t>
      </w:r>
      <w:r w:rsidR="00906A9B">
        <w:rPr>
          <w:rStyle w:val="FootnoteReference"/>
        </w:rPr>
        <w:footnoteReference w:id="44"/>
      </w:r>
      <w:r>
        <w:t xml:space="preserve"> Further, some terms associated with collaborative or inclusive research have been given slightly different definitions in the literature. For example, </w:t>
      </w:r>
      <w:r w:rsidR="00406E42">
        <w:t>Cornwall</w:t>
      </w:r>
      <w:r>
        <w:t xml:space="preserve"> </w:t>
      </w:r>
      <w:r w:rsidR="00B21BF6">
        <w:t>and</w:t>
      </w:r>
      <w:r>
        <w:t xml:space="preserve"> </w:t>
      </w:r>
      <w:proofErr w:type="spellStart"/>
      <w:r>
        <w:t>Jewkes</w:t>
      </w:r>
      <w:proofErr w:type="spellEnd"/>
      <w:r w:rsidR="00AD1E64">
        <w:rPr>
          <w:rStyle w:val="FootnoteReference"/>
        </w:rPr>
        <w:footnoteReference w:id="45"/>
      </w:r>
      <w:r w:rsidRPr="007201EE">
        <w:t xml:space="preserve"> defined</w:t>
      </w:r>
      <w:r>
        <w:t xml:space="preserve"> participatory research as a ‘research-to-action approach’ that directly engages with communities to promote local priorities and perspectives</w:t>
      </w:r>
      <w:r w:rsidR="00AD1E64">
        <w:t>.</w:t>
      </w:r>
      <w:r w:rsidR="00906A9B">
        <w:rPr>
          <w:rStyle w:val="FootnoteReference"/>
        </w:rPr>
        <w:footnoteReference w:id="46"/>
      </w:r>
      <w:r>
        <w:t xml:space="preserve"> Whereas, Banks </w:t>
      </w:r>
      <w:r w:rsidR="00B21BF6">
        <w:t>and</w:t>
      </w:r>
      <w:r>
        <w:t xml:space="preserve"> Brydon Miller</w:t>
      </w:r>
      <w:r w:rsidR="00AD1E64">
        <w:rPr>
          <w:rStyle w:val="FootnoteReference"/>
        </w:rPr>
        <w:footnoteReference w:id="47"/>
      </w:r>
      <w:r>
        <w:t xml:space="preserve"> defined participatory research as a: </w:t>
      </w:r>
    </w:p>
    <w:p w14:paraId="0638F11F" w14:textId="77777777" w:rsidR="00031AA5" w:rsidRDefault="00031AA5" w:rsidP="00031AA5">
      <w:pPr>
        <w:pStyle w:val="BlockQuote"/>
      </w:pPr>
      <w:r>
        <w:rPr>
          <w:rFonts w:eastAsia="SimSun"/>
          <w:lang w:eastAsia="en-IE"/>
        </w:rPr>
        <w:t xml:space="preserve">collaborative effort in which people whose lives are affected by the issues being researched are partners in designing, undertaking and disseminating research to influence socially just change. </w:t>
      </w:r>
    </w:p>
    <w:p w14:paraId="677C0C7A" w14:textId="07DBBB94" w:rsidR="008C4CEF" w:rsidRDefault="00031AA5" w:rsidP="008C4CEF">
      <w:r>
        <w:t>In addition, the term inclusive research is most often associated with people with intellectual disabilities</w:t>
      </w:r>
      <w:r w:rsidR="0025563E">
        <w:t>.</w:t>
      </w:r>
      <w:r w:rsidR="00906A9B">
        <w:rPr>
          <w:rStyle w:val="FootnoteReference"/>
        </w:rPr>
        <w:footnoteReference w:id="48"/>
      </w:r>
      <w:r>
        <w:t xml:space="preserve"> However, the term has also been </w:t>
      </w:r>
      <w:r w:rsidR="00FA4AF5">
        <w:t>used</w:t>
      </w:r>
      <w:r>
        <w:t xml:space="preserve"> in reference to other groups such as the LBGTQI+ community</w:t>
      </w:r>
      <w:r w:rsidR="00906A9B">
        <w:rPr>
          <w:rStyle w:val="FootnoteReference"/>
        </w:rPr>
        <w:footnoteReference w:id="49"/>
      </w:r>
      <w:r>
        <w:t xml:space="preserve"> or students</w:t>
      </w:r>
      <w:r w:rsidR="0025563E">
        <w:t>.</w:t>
      </w:r>
      <w:r w:rsidR="00906A9B">
        <w:rPr>
          <w:rStyle w:val="FootnoteReference"/>
        </w:rPr>
        <w:footnoteReference w:id="50"/>
      </w:r>
      <w:r>
        <w:t xml:space="preserve"> While it is beyond the scope of this review to provide a full account of the various approaches to, and definitions of, collaborative research, Table 1 provides a list of some of the most common terms and definitions. This list is not exhaustive and variations of the various terms and definitions exist in the literature. Table 1 provides some examples only</w:t>
      </w:r>
      <w:r w:rsidR="00E37214">
        <w:t>.</w:t>
      </w:r>
    </w:p>
    <w:p w14:paraId="13B7D2CB" w14:textId="0426276E" w:rsidR="00146AC8" w:rsidRDefault="00146AC8" w:rsidP="008C4CEF"/>
    <w:p w14:paraId="46C35019" w14:textId="77777777" w:rsidR="00146AC8" w:rsidRDefault="00146AC8" w:rsidP="008C4CEF"/>
    <w:p w14:paraId="4F90FF0D" w14:textId="5DF46C31" w:rsidR="00B355DC" w:rsidRDefault="00746E78" w:rsidP="008C4CEF">
      <w:pPr>
        <w:pStyle w:val="TableTitle"/>
      </w:pPr>
      <w:r>
        <w:t xml:space="preserve">Table 1 - </w:t>
      </w:r>
      <w:r w:rsidR="00466585">
        <w:t xml:space="preserve">Various terminology describing collaborative research </w:t>
      </w:r>
      <w:r w:rsidR="00452DFD">
        <w:t>approaches</w:t>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4315"/>
        <w:gridCol w:w="4315"/>
      </w:tblGrid>
      <w:tr w:rsidR="002736F0" w:rsidRPr="002736F0" w14:paraId="2FD5B783" w14:textId="77777777" w:rsidTr="002736F0">
        <w:trPr>
          <w:tblHeader/>
        </w:trPr>
        <w:tc>
          <w:tcPr>
            <w:tcW w:w="4315" w:type="dxa"/>
            <w:shd w:val="clear" w:color="auto" w:fill="auto"/>
          </w:tcPr>
          <w:p w14:paraId="28E8DB56" w14:textId="2C48AB56" w:rsidR="002736F0" w:rsidRPr="00F67922" w:rsidRDefault="002736F0" w:rsidP="002736F0">
            <w:pPr>
              <w:pStyle w:val="TableHead"/>
            </w:pPr>
            <w:r w:rsidRPr="00F67922">
              <w:t>Term</w:t>
            </w:r>
          </w:p>
        </w:tc>
        <w:tc>
          <w:tcPr>
            <w:tcW w:w="4315" w:type="dxa"/>
            <w:shd w:val="clear" w:color="auto" w:fill="auto"/>
          </w:tcPr>
          <w:p w14:paraId="0833371B" w14:textId="432D5F99" w:rsidR="002736F0" w:rsidRPr="002736F0" w:rsidRDefault="00F67922" w:rsidP="002736F0">
            <w:pPr>
              <w:pStyle w:val="TableHead"/>
            </w:pPr>
            <w:r>
              <w:t xml:space="preserve">Definition/description </w:t>
            </w:r>
          </w:p>
        </w:tc>
      </w:tr>
      <w:tr w:rsidR="002736F0" w:rsidRPr="002736F0" w14:paraId="28FAC3BC" w14:textId="77777777" w:rsidTr="002736F0">
        <w:tc>
          <w:tcPr>
            <w:tcW w:w="4315" w:type="dxa"/>
            <w:shd w:val="clear" w:color="auto" w:fill="auto"/>
          </w:tcPr>
          <w:p w14:paraId="7C25A2A4" w14:textId="58B341C4" w:rsidR="002736F0" w:rsidRPr="00F67922" w:rsidRDefault="002736F0" w:rsidP="002736F0">
            <w:pPr>
              <w:pStyle w:val="TableCellLeft"/>
              <w:rPr>
                <w:b/>
              </w:rPr>
            </w:pPr>
            <w:r w:rsidRPr="00F67922">
              <w:rPr>
                <w:b/>
                <w:szCs w:val="26"/>
              </w:rPr>
              <w:t>Advisory research</w:t>
            </w:r>
          </w:p>
        </w:tc>
        <w:tc>
          <w:tcPr>
            <w:tcW w:w="4315" w:type="dxa"/>
            <w:shd w:val="clear" w:color="auto" w:fill="auto"/>
          </w:tcPr>
          <w:p w14:paraId="4ADD5B0C" w14:textId="1A240DEA" w:rsidR="002736F0" w:rsidRPr="002736F0" w:rsidRDefault="000212E2" w:rsidP="000212E2">
            <w:pPr>
              <w:pStyle w:val="TableCellLeft"/>
            </w:pPr>
            <w:r w:rsidRPr="00A50128">
              <w:t>Advisory research involves</w:t>
            </w:r>
            <w:r>
              <w:t xml:space="preserve"> groups/communities, such as</w:t>
            </w:r>
            <w:r w:rsidRPr="00A50128">
              <w:t xml:space="preserve"> people with disabilities</w:t>
            </w:r>
            <w:r>
              <w:t>,</w:t>
            </w:r>
            <w:r w:rsidRPr="00A50128">
              <w:t xml:space="preserve"> in an advisory role only. Advisory research does not generally involve people with disabilities throughout the research process. It is therefore generally not considered to be collaborative research as people with disabilities do not tend to have ownership or control over the project</w:t>
            </w:r>
            <w:r>
              <w:t>.</w:t>
            </w:r>
            <w:r>
              <w:rPr>
                <w:rStyle w:val="FootnoteReference"/>
              </w:rPr>
              <w:footnoteReference w:id="51"/>
            </w:r>
          </w:p>
        </w:tc>
      </w:tr>
      <w:tr w:rsidR="002736F0" w:rsidRPr="002736F0" w14:paraId="6CC0C831" w14:textId="77777777" w:rsidTr="002736F0">
        <w:tc>
          <w:tcPr>
            <w:tcW w:w="4315" w:type="dxa"/>
            <w:shd w:val="clear" w:color="auto" w:fill="auto"/>
          </w:tcPr>
          <w:p w14:paraId="01ACF7EC" w14:textId="5A55B7CC" w:rsidR="002736F0" w:rsidRPr="00F67922" w:rsidRDefault="002736F0" w:rsidP="002736F0">
            <w:pPr>
              <w:pStyle w:val="TableCellLeft"/>
              <w:rPr>
                <w:b/>
              </w:rPr>
            </w:pPr>
            <w:r w:rsidRPr="00F67922">
              <w:rPr>
                <w:b/>
                <w:szCs w:val="26"/>
              </w:rPr>
              <w:t>Co-design</w:t>
            </w:r>
          </w:p>
        </w:tc>
        <w:tc>
          <w:tcPr>
            <w:tcW w:w="4315" w:type="dxa"/>
            <w:shd w:val="clear" w:color="auto" w:fill="auto"/>
          </w:tcPr>
          <w:p w14:paraId="63AFDD11" w14:textId="3CD382F0" w:rsidR="002736F0" w:rsidRPr="002736F0" w:rsidRDefault="002736F0" w:rsidP="002736F0">
            <w:pPr>
              <w:pStyle w:val="TableCellLeft"/>
            </w:pPr>
            <w:r w:rsidRPr="00A50128">
              <w:t>Co-design actively engages a diverse range of people in exploring, developing and testing responses to shared challenges</w:t>
            </w:r>
            <w:r>
              <w:t>.</w:t>
            </w:r>
            <w:r>
              <w:rPr>
                <w:rStyle w:val="FootnoteReference"/>
              </w:rPr>
              <w:footnoteReference w:id="52"/>
            </w:r>
          </w:p>
        </w:tc>
      </w:tr>
      <w:tr w:rsidR="002736F0" w:rsidRPr="002736F0" w14:paraId="5A6AB2A5" w14:textId="77777777" w:rsidTr="002736F0">
        <w:tc>
          <w:tcPr>
            <w:tcW w:w="4315" w:type="dxa"/>
            <w:shd w:val="clear" w:color="auto" w:fill="auto"/>
          </w:tcPr>
          <w:p w14:paraId="48731116" w14:textId="2DE9275A" w:rsidR="002736F0" w:rsidRPr="00F67922" w:rsidRDefault="002736F0" w:rsidP="002736F0">
            <w:pPr>
              <w:pStyle w:val="TableCellLeft"/>
              <w:rPr>
                <w:b/>
              </w:rPr>
            </w:pPr>
            <w:r w:rsidRPr="00F67922">
              <w:rPr>
                <w:b/>
                <w:szCs w:val="26"/>
              </w:rPr>
              <w:t xml:space="preserve">Collaborative research </w:t>
            </w:r>
          </w:p>
        </w:tc>
        <w:tc>
          <w:tcPr>
            <w:tcW w:w="4315" w:type="dxa"/>
            <w:shd w:val="clear" w:color="auto" w:fill="auto"/>
          </w:tcPr>
          <w:p w14:paraId="016352C3" w14:textId="3EE1AC20" w:rsidR="002736F0" w:rsidRPr="002736F0" w:rsidRDefault="002736F0" w:rsidP="002736F0">
            <w:pPr>
              <w:pStyle w:val="TableCellLeft"/>
            </w:pPr>
            <w:r w:rsidRPr="00A50128">
              <w:t xml:space="preserve">Collaborative research describes research that is conducted by </w:t>
            </w:r>
            <w:r>
              <w:t xml:space="preserve">groups/communities such as </w:t>
            </w:r>
            <w:r w:rsidRPr="00A50128">
              <w:t>people with disabilities and researchers in partnership. In collaborative research, people with disabilities can be involved in all or parts of the research process</w:t>
            </w:r>
            <w:r>
              <w:t>.</w:t>
            </w:r>
            <w:r>
              <w:rPr>
                <w:rStyle w:val="FootnoteReference"/>
              </w:rPr>
              <w:footnoteReference w:id="53"/>
            </w:r>
          </w:p>
        </w:tc>
      </w:tr>
      <w:tr w:rsidR="002736F0" w:rsidRPr="002736F0" w14:paraId="4B00A82A" w14:textId="77777777" w:rsidTr="002736F0">
        <w:tc>
          <w:tcPr>
            <w:tcW w:w="4315" w:type="dxa"/>
            <w:shd w:val="clear" w:color="auto" w:fill="auto"/>
          </w:tcPr>
          <w:p w14:paraId="3B920481" w14:textId="5D8158D5" w:rsidR="002736F0" w:rsidRPr="00F67922" w:rsidRDefault="002736F0" w:rsidP="002736F0">
            <w:pPr>
              <w:pStyle w:val="TableCellLeft"/>
              <w:rPr>
                <w:b/>
              </w:rPr>
            </w:pPr>
            <w:r w:rsidRPr="00F67922">
              <w:rPr>
                <w:b/>
                <w:szCs w:val="26"/>
              </w:rPr>
              <w:t>Co-research</w:t>
            </w:r>
          </w:p>
        </w:tc>
        <w:tc>
          <w:tcPr>
            <w:tcW w:w="4315" w:type="dxa"/>
            <w:shd w:val="clear" w:color="auto" w:fill="auto"/>
          </w:tcPr>
          <w:p w14:paraId="6BC3A0E7" w14:textId="47F8EACE" w:rsidR="002736F0" w:rsidRPr="002736F0" w:rsidRDefault="002736F0" w:rsidP="002736F0">
            <w:pPr>
              <w:pStyle w:val="TableCellLeft"/>
            </w:pPr>
            <w:r w:rsidRPr="00466585">
              <w:t>Co-research has been defined as research carried out ‘with’ or ‘by’ members of the public/patients rather than ‘to’, ‘about’ or ‘for’ them</w:t>
            </w:r>
            <w:r>
              <w:t>.</w:t>
            </w:r>
            <w:r>
              <w:rPr>
                <w:rStyle w:val="FootnoteReference"/>
              </w:rPr>
              <w:footnoteReference w:id="54"/>
            </w:r>
            <w:r w:rsidRPr="00466585">
              <w:t xml:space="preserve"> Co-research aims to foster empowerment of co-researchers by affording them more control over the project and offering opportunities to learn and reflect on their experience</w:t>
            </w:r>
            <w:r>
              <w:t>.</w:t>
            </w:r>
            <w:r>
              <w:rPr>
                <w:rStyle w:val="FootnoteReference"/>
              </w:rPr>
              <w:footnoteReference w:id="55"/>
            </w:r>
          </w:p>
        </w:tc>
      </w:tr>
      <w:tr w:rsidR="002736F0" w:rsidRPr="002736F0" w14:paraId="4C1F023C" w14:textId="77777777" w:rsidTr="002736F0">
        <w:tc>
          <w:tcPr>
            <w:tcW w:w="4315" w:type="dxa"/>
            <w:shd w:val="clear" w:color="auto" w:fill="auto"/>
          </w:tcPr>
          <w:p w14:paraId="5455E009" w14:textId="7FDADE03" w:rsidR="002736F0" w:rsidRPr="00F67922" w:rsidRDefault="002736F0" w:rsidP="002736F0">
            <w:pPr>
              <w:pStyle w:val="TableCellLeft"/>
              <w:rPr>
                <w:b/>
              </w:rPr>
            </w:pPr>
            <w:r w:rsidRPr="00F67922">
              <w:rPr>
                <w:b/>
              </w:rPr>
              <w:t>Community Based Participatory Research  (CBPR)</w:t>
            </w:r>
          </w:p>
        </w:tc>
        <w:tc>
          <w:tcPr>
            <w:tcW w:w="4315" w:type="dxa"/>
            <w:shd w:val="clear" w:color="auto" w:fill="auto"/>
          </w:tcPr>
          <w:p w14:paraId="7D80AAA2" w14:textId="58EDA29D" w:rsidR="002736F0" w:rsidRPr="002736F0" w:rsidRDefault="002736F0" w:rsidP="002736F0">
            <w:pPr>
              <w:pStyle w:val="TableCellLeft"/>
            </w:pPr>
            <w:r w:rsidRPr="00466585">
              <w:t>CBPR is a branch of action research which is often focused on health-related issues and involves all partners, including researchers and community members, equally in all phases of the research process, from study design to dissemination</w:t>
            </w:r>
            <w:r>
              <w:t>.</w:t>
            </w:r>
            <w:r>
              <w:rPr>
                <w:rStyle w:val="FootnoteReference"/>
              </w:rPr>
              <w:footnoteReference w:id="56"/>
            </w:r>
          </w:p>
        </w:tc>
      </w:tr>
      <w:tr w:rsidR="002736F0" w:rsidRPr="002736F0" w14:paraId="6E1BFC8E" w14:textId="77777777" w:rsidTr="002736F0">
        <w:tc>
          <w:tcPr>
            <w:tcW w:w="4315" w:type="dxa"/>
            <w:shd w:val="clear" w:color="auto" w:fill="auto"/>
          </w:tcPr>
          <w:p w14:paraId="5FE2C68C" w14:textId="04E20245" w:rsidR="002736F0" w:rsidRPr="00F67922" w:rsidRDefault="002736F0" w:rsidP="002736F0">
            <w:pPr>
              <w:pStyle w:val="TableCellLeft"/>
              <w:rPr>
                <w:b/>
              </w:rPr>
            </w:pPr>
            <w:r w:rsidRPr="00F67922">
              <w:rPr>
                <w:b/>
              </w:rPr>
              <w:t xml:space="preserve">Co-production </w:t>
            </w:r>
          </w:p>
        </w:tc>
        <w:tc>
          <w:tcPr>
            <w:tcW w:w="4315" w:type="dxa"/>
            <w:shd w:val="clear" w:color="auto" w:fill="auto"/>
          </w:tcPr>
          <w:p w14:paraId="19E7D67B" w14:textId="1607890A" w:rsidR="002736F0" w:rsidRPr="002736F0" w:rsidRDefault="002736F0" w:rsidP="002736F0">
            <w:pPr>
              <w:pStyle w:val="TableCellLeft"/>
            </w:pPr>
            <w:r w:rsidRPr="00466585">
              <w:t>'Co-production is an approach in which researchers, practitioners and the public work together, sharing power and responsibility from the start to the end of the project, includ</w:t>
            </w:r>
            <w:r>
              <w:t>ing the generation of knowledge</w:t>
            </w:r>
            <w:r w:rsidRPr="00466585">
              <w:t>'</w:t>
            </w:r>
            <w:r>
              <w:t>.</w:t>
            </w:r>
            <w:r>
              <w:rPr>
                <w:rStyle w:val="FootnoteReference"/>
              </w:rPr>
              <w:footnoteReference w:id="57"/>
            </w:r>
          </w:p>
        </w:tc>
      </w:tr>
      <w:tr w:rsidR="008147CB" w:rsidRPr="002736F0" w14:paraId="728D6B91" w14:textId="77777777" w:rsidTr="002736F0">
        <w:tc>
          <w:tcPr>
            <w:tcW w:w="4315" w:type="dxa"/>
            <w:shd w:val="clear" w:color="auto" w:fill="auto"/>
          </w:tcPr>
          <w:p w14:paraId="68C1FE5E" w14:textId="47759717" w:rsidR="008147CB" w:rsidRPr="00F67922" w:rsidRDefault="008147CB" w:rsidP="002736F0">
            <w:pPr>
              <w:pStyle w:val="TableCellLeft"/>
              <w:rPr>
                <w:b/>
              </w:rPr>
            </w:pPr>
            <w:r w:rsidRPr="00F67922">
              <w:rPr>
                <w:b/>
              </w:rPr>
              <w:t>Emancipatory research</w:t>
            </w:r>
          </w:p>
        </w:tc>
        <w:tc>
          <w:tcPr>
            <w:tcW w:w="4315" w:type="dxa"/>
            <w:shd w:val="clear" w:color="auto" w:fill="auto"/>
          </w:tcPr>
          <w:p w14:paraId="75485262" w14:textId="57B33831" w:rsidR="008147CB" w:rsidRPr="00466585" w:rsidRDefault="008147CB" w:rsidP="002736F0">
            <w:pPr>
              <w:pStyle w:val="TableCellLeft"/>
            </w:pPr>
            <w:r w:rsidRPr="00466585">
              <w:t>Emancipatory research is often used in the context of disability research. Emancipatory approaches challenge power structures that exist in research as all power and control of the research lies entirely with the community members as opposed to trained/academic researchers/organisations</w:t>
            </w:r>
            <w:r>
              <w:rPr>
                <w:rStyle w:val="FootnoteReference"/>
              </w:rPr>
              <w:footnoteReference w:id="58"/>
            </w:r>
            <w:r w:rsidRPr="00466585">
              <w:t>. In order to be considered truly emancipatory, some researchers argue that only people with disabilities should conduct disability research</w:t>
            </w:r>
            <w:r>
              <w:t>.</w:t>
            </w:r>
            <w:r>
              <w:rPr>
                <w:rStyle w:val="FootnoteReference"/>
              </w:rPr>
              <w:footnoteReference w:id="59"/>
            </w:r>
          </w:p>
        </w:tc>
      </w:tr>
      <w:tr w:rsidR="008147CB" w:rsidRPr="002736F0" w14:paraId="07D3207D" w14:textId="77777777" w:rsidTr="002736F0">
        <w:tc>
          <w:tcPr>
            <w:tcW w:w="4315" w:type="dxa"/>
            <w:shd w:val="clear" w:color="auto" w:fill="auto"/>
          </w:tcPr>
          <w:p w14:paraId="7FB20E2D" w14:textId="4A3934FA" w:rsidR="008147CB" w:rsidRPr="00F67922" w:rsidRDefault="008147CB" w:rsidP="002736F0">
            <w:pPr>
              <w:pStyle w:val="TableCellLeft"/>
              <w:rPr>
                <w:b/>
              </w:rPr>
            </w:pPr>
            <w:r w:rsidRPr="00F67922">
              <w:rPr>
                <w:b/>
              </w:rPr>
              <w:t>Engaged research</w:t>
            </w:r>
          </w:p>
        </w:tc>
        <w:tc>
          <w:tcPr>
            <w:tcW w:w="4315" w:type="dxa"/>
            <w:shd w:val="clear" w:color="auto" w:fill="auto"/>
          </w:tcPr>
          <w:p w14:paraId="6CD6CF14" w14:textId="4F7BCB85" w:rsidR="008147CB" w:rsidRPr="00466585" w:rsidRDefault="008147CB" w:rsidP="002736F0">
            <w:pPr>
              <w:pStyle w:val="TableCellLeft"/>
            </w:pPr>
            <w:r w:rsidRPr="00466585">
              <w:t>Engaged research describes a range of research approaches and methodologies that aim to improve, understand or investigate issues of public concern through engagement with communities. Engaged research is based on a collaborative ethos of researching with communities rather than about or for them</w:t>
            </w:r>
            <w:r>
              <w:t>.</w:t>
            </w:r>
            <w:r>
              <w:rPr>
                <w:rStyle w:val="FootnoteReference"/>
              </w:rPr>
              <w:footnoteReference w:id="60"/>
            </w:r>
          </w:p>
        </w:tc>
      </w:tr>
      <w:tr w:rsidR="008147CB" w:rsidRPr="002736F0" w14:paraId="10FC83AA" w14:textId="77777777" w:rsidTr="002736F0">
        <w:tc>
          <w:tcPr>
            <w:tcW w:w="4315" w:type="dxa"/>
            <w:shd w:val="clear" w:color="auto" w:fill="auto"/>
          </w:tcPr>
          <w:p w14:paraId="75420EAF" w14:textId="175842F8" w:rsidR="008147CB" w:rsidRPr="00F67922" w:rsidRDefault="008147CB" w:rsidP="002736F0">
            <w:pPr>
              <w:pStyle w:val="TableCellLeft"/>
              <w:rPr>
                <w:b/>
              </w:rPr>
            </w:pPr>
            <w:r w:rsidRPr="00F67922">
              <w:rPr>
                <w:b/>
              </w:rPr>
              <w:t>Experience-based co-design (EBCD)</w:t>
            </w:r>
          </w:p>
        </w:tc>
        <w:tc>
          <w:tcPr>
            <w:tcW w:w="4315" w:type="dxa"/>
            <w:shd w:val="clear" w:color="auto" w:fill="auto"/>
          </w:tcPr>
          <w:p w14:paraId="023A4883" w14:textId="0684B840" w:rsidR="008147CB" w:rsidRPr="00466585" w:rsidRDefault="000212E2" w:rsidP="002736F0">
            <w:pPr>
              <w:pStyle w:val="TableCellLeft"/>
            </w:pPr>
            <w:r w:rsidRPr="00466585">
              <w:t>Experience-based co-design (EBCD) is a participatory research approach that combines a user-centred approach and a collaborative change process</w:t>
            </w:r>
            <w:r>
              <w:t>.</w:t>
            </w:r>
            <w:r>
              <w:rPr>
                <w:rStyle w:val="FootnoteReference"/>
              </w:rPr>
              <w:footnoteReference w:id="61"/>
            </w:r>
            <w:r w:rsidRPr="00466585">
              <w:t xml:space="preserve"> EBCD brings end users and service providers together to collaboratively identify and design improvements to services</w:t>
            </w:r>
            <w:r>
              <w:t>.</w:t>
            </w:r>
            <w:r>
              <w:rPr>
                <w:rStyle w:val="FootnoteReference"/>
              </w:rPr>
              <w:footnoteReference w:id="62"/>
            </w:r>
          </w:p>
        </w:tc>
      </w:tr>
      <w:tr w:rsidR="008147CB" w:rsidRPr="002736F0" w14:paraId="6E5F49A9" w14:textId="77777777" w:rsidTr="002736F0">
        <w:tc>
          <w:tcPr>
            <w:tcW w:w="4315" w:type="dxa"/>
            <w:shd w:val="clear" w:color="auto" w:fill="auto"/>
          </w:tcPr>
          <w:p w14:paraId="304CCDCA" w14:textId="6B47574A" w:rsidR="008147CB" w:rsidRPr="00F67922" w:rsidRDefault="008147CB" w:rsidP="002736F0">
            <w:pPr>
              <w:pStyle w:val="TableCellLeft"/>
              <w:rPr>
                <w:b/>
              </w:rPr>
            </w:pPr>
            <w:r w:rsidRPr="00F67922">
              <w:rPr>
                <w:b/>
              </w:rPr>
              <w:t>Inclusive research</w:t>
            </w:r>
          </w:p>
        </w:tc>
        <w:tc>
          <w:tcPr>
            <w:tcW w:w="4315" w:type="dxa"/>
            <w:shd w:val="clear" w:color="auto" w:fill="auto"/>
          </w:tcPr>
          <w:p w14:paraId="0D7F795B" w14:textId="66B5DC71" w:rsidR="008147CB" w:rsidRPr="008147CB" w:rsidRDefault="000212E2" w:rsidP="002736F0">
            <w:pPr>
              <w:pStyle w:val="TableCellLeft"/>
            </w:pPr>
            <w:r w:rsidRPr="00466585">
              <w:t xml:space="preserve">Inclusive research was originally coined by </w:t>
            </w:r>
            <w:proofErr w:type="spellStart"/>
            <w:r w:rsidRPr="00466585">
              <w:t>Walmsley</w:t>
            </w:r>
            <w:proofErr w:type="spellEnd"/>
            <w:r w:rsidRPr="00466585">
              <w:t xml:space="preserve"> </w:t>
            </w:r>
            <w:r>
              <w:t>and</w:t>
            </w:r>
            <w:r w:rsidRPr="00466585">
              <w:t xml:space="preserve"> Johnson</w:t>
            </w:r>
            <w:r>
              <w:t xml:space="preserve"> </w:t>
            </w:r>
            <w:r w:rsidRPr="00466585">
              <w:t>(2003) as an umbrella term to describe a range of approaches and methodologies that aimed to democratically engage people with learning/intellectual disabilities</w:t>
            </w:r>
            <w:r>
              <w:rPr>
                <w:rStyle w:val="FootnoteReference"/>
              </w:rPr>
              <w:footnoteReference w:id="63"/>
            </w:r>
            <w:r w:rsidRPr="00466585">
              <w:t xml:space="preserve"> in the research process as ‘initiators, doers, writers, disseminators of research about themselves’</w:t>
            </w:r>
            <w:r>
              <w:t>.</w:t>
            </w:r>
            <w:r>
              <w:rPr>
                <w:rStyle w:val="FootnoteReference"/>
              </w:rPr>
              <w:footnoteReference w:id="64"/>
            </w:r>
          </w:p>
        </w:tc>
      </w:tr>
      <w:tr w:rsidR="008147CB" w:rsidRPr="002736F0" w14:paraId="1EACEAC6" w14:textId="77777777" w:rsidTr="002736F0">
        <w:tc>
          <w:tcPr>
            <w:tcW w:w="4315" w:type="dxa"/>
            <w:shd w:val="clear" w:color="auto" w:fill="auto"/>
          </w:tcPr>
          <w:p w14:paraId="385B0469" w14:textId="57ED898F" w:rsidR="008147CB" w:rsidRPr="00F67922" w:rsidRDefault="008147CB" w:rsidP="008147CB">
            <w:pPr>
              <w:pStyle w:val="TableCellLeft"/>
              <w:rPr>
                <w:b/>
              </w:rPr>
            </w:pPr>
            <w:r w:rsidRPr="00F67922">
              <w:rPr>
                <w:b/>
              </w:rPr>
              <w:t>Public and Patient Involvement (PPI)</w:t>
            </w:r>
          </w:p>
        </w:tc>
        <w:tc>
          <w:tcPr>
            <w:tcW w:w="4315" w:type="dxa"/>
            <w:shd w:val="clear" w:color="auto" w:fill="auto"/>
          </w:tcPr>
          <w:p w14:paraId="16C50065" w14:textId="0ABD97FE" w:rsidR="008147CB" w:rsidRPr="008147CB" w:rsidRDefault="008147CB" w:rsidP="008147CB">
            <w:pPr>
              <w:pStyle w:val="TableCellLeft"/>
            </w:pPr>
            <w:r w:rsidRPr="00466585">
              <w:t xml:space="preserve">PPI is ‘research carried out ‘with’ or ‘by’ members of the public rather than ‘to’, </w:t>
            </w:r>
            <w:r>
              <w:t>‘about’ or ‘for’ them’.</w:t>
            </w:r>
            <w:r>
              <w:rPr>
                <w:rStyle w:val="FootnoteReference"/>
              </w:rPr>
              <w:footnoteReference w:id="65"/>
            </w:r>
            <w:r w:rsidRPr="00466585">
              <w:t xml:space="preserve"> The term public in this definition refers to patients and potential patients, people who use health and social care services, carers, and people from organisations that represent people who use services</w:t>
            </w:r>
            <w:r>
              <w:t>.</w:t>
            </w:r>
            <w:r>
              <w:rPr>
                <w:rStyle w:val="FootnoteReference"/>
              </w:rPr>
              <w:footnoteReference w:id="66"/>
            </w:r>
            <w:r w:rsidRPr="00466585">
              <w:t xml:space="preserve"> PPI generally refers to health and social care research.</w:t>
            </w:r>
          </w:p>
        </w:tc>
      </w:tr>
      <w:tr w:rsidR="008147CB" w:rsidRPr="002736F0" w14:paraId="385664DD" w14:textId="77777777" w:rsidTr="002736F0">
        <w:tc>
          <w:tcPr>
            <w:tcW w:w="4315" w:type="dxa"/>
            <w:shd w:val="clear" w:color="auto" w:fill="auto"/>
          </w:tcPr>
          <w:p w14:paraId="7DF49284" w14:textId="5EA3C2B0" w:rsidR="008147CB" w:rsidRPr="00F67922" w:rsidRDefault="008147CB" w:rsidP="008147CB">
            <w:pPr>
              <w:pStyle w:val="TableCellLeft"/>
              <w:rPr>
                <w:b/>
              </w:rPr>
            </w:pPr>
            <w:r w:rsidRPr="00F67922">
              <w:rPr>
                <w:b/>
              </w:rPr>
              <w:t>Participatory research</w:t>
            </w:r>
          </w:p>
        </w:tc>
        <w:tc>
          <w:tcPr>
            <w:tcW w:w="4315" w:type="dxa"/>
            <w:shd w:val="clear" w:color="auto" w:fill="auto"/>
          </w:tcPr>
          <w:p w14:paraId="2AA5DE85" w14:textId="255A98C3" w:rsidR="008147CB" w:rsidRPr="00466585" w:rsidRDefault="008147CB" w:rsidP="008147CB">
            <w:pPr>
              <w:pStyle w:val="TableCellLeft"/>
            </w:pPr>
            <w:r w:rsidRPr="00466585">
              <w:t>Participatory research engages directly with the community of interest throughout the research process</w:t>
            </w:r>
            <w:r>
              <w:t>.</w:t>
            </w:r>
            <w:r>
              <w:rPr>
                <w:rStyle w:val="FootnoteReference"/>
              </w:rPr>
              <w:footnoteReference w:id="67"/>
            </w:r>
            <w:r w:rsidRPr="00466585">
              <w:t xml:space="preserve"> The aim of participatory research is action or change achieved through collaboration between trained researchers and those who are not trained researchers but who represent the interests of those who are the focus of the research</w:t>
            </w:r>
            <w:r>
              <w:t>.</w:t>
            </w:r>
            <w:r>
              <w:rPr>
                <w:rStyle w:val="FootnoteReference"/>
              </w:rPr>
              <w:footnoteReference w:id="68"/>
            </w:r>
          </w:p>
        </w:tc>
      </w:tr>
      <w:tr w:rsidR="008147CB" w:rsidRPr="002736F0" w14:paraId="5B4542E6" w14:textId="77777777" w:rsidTr="002736F0">
        <w:tc>
          <w:tcPr>
            <w:tcW w:w="4315" w:type="dxa"/>
            <w:shd w:val="clear" w:color="auto" w:fill="auto"/>
          </w:tcPr>
          <w:p w14:paraId="311FC065" w14:textId="6726E50D" w:rsidR="008147CB" w:rsidRPr="00F67922" w:rsidRDefault="008147CB" w:rsidP="008147CB">
            <w:pPr>
              <w:pStyle w:val="TableCellLeft"/>
              <w:rPr>
                <w:b/>
              </w:rPr>
            </w:pPr>
            <w:r w:rsidRPr="00F67922">
              <w:rPr>
                <w:b/>
              </w:rPr>
              <w:t>Participatory Action Research (PAR)</w:t>
            </w:r>
          </w:p>
        </w:tc>
        <w:tc>
          <w:tcPr>
            <w:tcW w:w="4315" w:type="dxa"/>
            <w:shd w:val="clear" w:color="auto" w:fill="auto"/>
          </w:tcPr>
          <w:p w14:paraId="2A24A7C7" w14:textId="2E8CC2C2" w:rsidR="008147CB" w:rsidRPr="00466585" w:rsidRDefault="008147CB" w:rsidP="008147CB">
            <w:pPr>
              <w:pStyle w:val="TableCellLeft"/>
            </w:pPr>
            <w:r w:rsidRPr="00466585">
              <w:t>PAR combines participation and action to address societal issues</w:t>
            </w:r>
            <w:r>
              <w:t>.</w:t>
            </w:r>
            <w:r>
              <w:rPr>
                <w:rStyle w:val="FootnoteReference"/>
              </w:rPr>
              <w:footnoteReference w:id="69"/>
            </w:r>
            <w:r w:rsidRPr="00466585">
              <w:t xml:space="preserve"> In PAR, researchers and participants engage in collective self-reflective inquiry in order to understand and improve their situations and practices</w:t>
            </w:r>
            <w:r>
              <w:t>.</w:t>
            </w:r>
            <w:r>
              <w:rPr>
                <w:rStyle w:val="FootnoteReference"/>
              </w:rPr>
              <w:footnoteReference w:id="70"/>
            </w:r>
            <w:r w:rsidRPr="00466585">
              <w:t xml:space="preserve"> Central to PAR is that reflection is directly linked to action whereby researchers and co-researchers work together to understand a problem and explicitly aim to use that research to make changes in the lives of people with disabilities</w:t>
            </w:r>
            <w:r>
              <w:t>.</w:t>
            </w:r>
            <w:r>
              <w:rPr>
                <w:rStyle w:val="FootnoteReference"/>
              </w:rPr>
              <w:footnoteReference w:id="71"/>
            </w:r>
            <w:r w:rsidRPr="00466585">
              <w:t xml:space="preserve"> PAR is based on an equal partnership between the researchers and co-researchers. The researcher acts as a consultant rather than an expert and the co-researchers, who are involved throughout the entire research process, make the key decisions around the focus and the d</w:t>
            </w:r>
            <w:r>
              <w:t>irection the research.</w:t>
            </w:r>
            <w:r>
              <w:rPr>
                <w:rStyle w:val="FootnoteReference"/>
              </w:rPr>
              <w:footnoteReference w:id="72"/>
            </w:r>
          </w:p>
        </w:tc>
      </w:tr>
      <w:tr w:rsidR="008147CB" w:rsidRPr="002736F0" w14:paraId="005EA624" w14:textId="77777777" w:rsidTr="002736F0">
        <w:tc>
          <w:tcPr>
            <w:tcW w:w="4315" w:type="dxa"/>
            <w:shd w:val="clear" w:color="auto" w:fill="auto"/>
          </w:tcPr>
          <w:p w14:paraId="09CFA7E2" w14:textId="2360862B" w:rsidR="008147CB" w:rsidRPr="00F67922" w:rsidRDefault="008147CB" w:rsidP="008147CB">
            <w:pPr>
              <w:pStyle w:val="TableCellLeft"/>
              <w:rPr>
                <w:b/>
              </w:rPr>
            </w:pPr>
            <w:r w:rsidRPr="00F67922">
              <w:rPr>
                <w:b/>
              </w:rPr>
              <w:t>User-centred design research</w:t>
            </w:r>
          </w:p>
        </w:tc>
        <w:tc>
          <w:tcPr>
            <w:tcW w:w="4315" w:type="dxa"/>
            <w:shd w:val="clear" w:color="auto" w:fill="auto"/>
          </w:tcPr>
          <w:p w14:paraId="7E683FA5" w14:textId="78B9F441" w:rsidR="008147CB" w:rsidRPr="00466585" w:rsidRDefault="008147CB" w:rsidP="008147CB">
            <w:pPr>
              <w:pStyle w:val="TableCellLeft"/>
            </w:pPr>
            <w:r w:rsidRPr="00466585">
              <w:t xml:space="preserve">User-centred design research is an evidence-based approach that uses an iterative process and actively involves the end user in the design and development of the product or </w:t>
            </w:r>
            <w:r>
              <w:t xml:space="preserve">a </w:t>
            </w:r>
            <w:r w:rsidRPr="00466585">
              <w:t>service</w:t>
            </w:r>
            <w:r>
              <w:t>.</w:t>
            </w:r>
            <w:r>
              <w:rPr>
                <w:rStyle w:val="FootnoteReference"/>
              </w:rPr>
              <w:footnoteReference w:id="73"/>
            </w:r>
          </w:p>
        </w:tc>
      </w:tr>
    </w:tbl>
    <w:p w14:paraId="04E76E2B" w14:textId="77777777" w:rsidR="008C4CEF" w:rsidRPr="008C4CEF" w:rsidRDefault="008C4CEF" w:rsidP="002736F0"/>
    <w:p w14:paraId="7BAA7B9E" w14:textId="3541D079" w:rsidR="00031AA5" w:rsidRDefault="00031AA5" w:rsidP="00E37214">
      <w:pPr>
        <w:spacing w:after="0"/>
      </w:pPr>
      <w:r>
        <w:t>Although there remain some difficulties around the conceptual clarity of the various collaborative research approaches, each approach and conceptualisation shares a common eth</w:t>
      </w:r>
      <w:r w:rsidR="00AA1736">
        <w:t xml:space="preserve">os of conducting research with and by </w:t>
      </w:r>
      <w:r>
        <w:t>individuals rather than on or about them.</w:t>
      </w:r>
      <w:r w:rsidR="00CE6478">
        <w:t xml:space="preserve"> </w:t>
      </w:r>
      <w:r>
        <w:t xml:space="preserve">So, rather than being the subjects of, or participants in, research, </w:t>
      </w:r>
      <w:r w:rsidR="00AA1736">
        <w:t xml:space="preserve">in collaborative research projects, </w:t>
      </w:r>
      <w:r w:rsidR="00B32E6C">
        <w:t>disabled people</w:t>
      </w:r>
      <w:r w:rsidR="009050EC">
        <w:t xml:space="preserve"> who are collaborating on the project,</w:t>
      </w:r>
      <w:r>
        <w:t xml:space="preserve"> have an active role in all or parts of the research process including, but not limited to, designing, steering, conducting and disseminating the research</w:t>
      </w:r>
      <w:r w:rsidR="0025563E">
        <w:t>.</w:t>
      </w:r>
      <w:r w:rsidR="00543203">
        <w:rPr>
          <w:rStyle w:val="FootnoteReference"/>
        </w:rPr>
        <w:footnoteReference w:id="74"/>
      </w:r>
      <w:r>
        <w:t xml:space="preserve"> As such, there is general agreement that collaborative research promotes control over the research process and its outcomes by people with disabilities</w:t>
      </w:r>
      <w:r w:rsidR="0025563E">
        <w:t>.</w:t>
      </w:r>
      <w:r w:rsidR="00543203">
        <w:rPr>
          <w:rStyle w:val="FootnoteReference"/>
        </w:rPr>
        <w:footnoteReference w:id="75"/>
      </w:r>
      <w:r>
        <w:t xml:space="preserve"> </w:t>
      </w:r>
    </w:p>
    <w:p w14:paraId="38E78FFE" w14:textId="77777777" w:rsidR="00F67922" w:rsidRDefault="00F67922" w:rsidP="00E37214">
      <w:pPr>
        <w:spacing w:after="0"/>
      </w:pPr>
    </w:p>
    <w:p w14:paraId="56555CF9" w14:textId="77777777" w:rsidR="00031AA5" w:rsidRDefault="00031AA5" w:rsidP="00031AA5">
      <w:pPr>
        <w:pStyle w:val="Heading2"/>
      </w:pPr>
      <w:bookmarkStart w:id="24" w:name="_Toc104925096"/>
      <w:bookmarkStart w:id="25" w:name="_Toc116916205"/>
      <w:r>
        <w:t>Continuum of involvement of people with disabilities in research collaborations</w:t>
      </w:r>
      <w:bookmarkEnd w:id="24"/>
      <w:bookmarkEnd w:id="25"/>
    </w:p>
    <w:p w14:paraId="0AAE4010" w14:textId="6C9CCA7F" w:rsidR="00F755BA" w:rsidRDefault="00031AA5" w:rsidP="00031AA5">
      <w:r w:rsidRPr="001947B8">
        <w:t xml:space="preserve">Although the various approaches under collaborative research all promote engagement with the communities of interest, the level of involvement of </w:t>
      </w:r>
      <w:r w:rsidR="00277D63">
        <w:t>communities and those with lived experience in research partnerships</w:t>
      </w:r>
      <w:r w:rsidRPr="001947B8">
        <w:t xml:space="preserve"> exists on a continuum</w:t>
      </w:r>
      <w:r w:rsidR="0025563E">
        <w:t>.</w:t>
      </w:r>
      <w:r w:rsidR="00543203">
        <w:rPr>
          <w:rStyle w:val="FootnoteReference"/>
        </w:rPr>
        <w:footnoteReference w:id="76"/>
      </w:r>
      <w:r w:rsidRPr="00D72853">
        <w:t xml:space="preserve"> In 1969, </w:t>
      </w:r>
      <w:proofErr w:type="spellStart"/>
      <w:r>
        <w:t>Arnstein</w:t>
      </w:r>
      <w:proofErr w:type="spellEnd"/>
      <w:r>
        <w:t xml:space="preserve"> published the Ladder of Participation which depicts the level of citizen participation in service planning (</w:t>
      </w:r>
      <w:r w:rsidR="003D2CB0">
        <w:t>F</w:t>
      </w:r>
      <w:r>
        <w:t xml:space="preserve">igure 1). Each rung of </w:t>
      </w:r>
      <w:proofErr w:type="spellStart"/>
      <w:r>
        <w:t>Arnstein’s</w:t>
      </w:r>
      <w:proofErr w:type="spellEnd"/>
      <w:r>
        <w:t xml:space="preserve"> ladder corresponds to the level of involvement and power citizens have in decision-making. This ranges from little or </w:t>
      </w:r>
      <w:r w:rsidR="00D32C12">
        <w:t xml:space="preserve">none at the bottom rungs (e.g. </w:t>
      </w:r>
      <w:r>
        <w:t>manipulation, informing) to having full control</w:t>
      </w:r>
      <w:r w:rsidR="00D32C12">
        <w:t xml:space="preserve"> at the top of the ladder (e.g.</w:t>
      </w:r>
      <w:r>
        <w:t xml:space="preserve"> partnership, delegated power, citizen control)</w:t>
      </w:r>
      <w:r w:rsidR="0025563E">
        <w:t>.</w:t>
      </w:r>
      <w:r w:rsidR="002675FB">
        <w:rPr>
          <w:rStyle w:val="FootnoteReference"/>
        </w:rPr>
        <w:footnoteReference w:id="77"/>
      </w:r>
      <w:r>
        <w:t xml:space="preserve"> </w:t>
      </w:r>
    </w:p>
    <w:p w14:paraId="01AB2704" w14:textId="38CE1417" w:rsidR="00443CF0" w:rsidRDefault="00443CF0" w:rsidP="00031AA5">
      <w:proofErr w:type="spellStart"/>
      <w:r>
        <w:t>Arnstein’s</w:t>
      </w:r>
      <w:proofErr w:type="spellEnd"/>
      <w:r>
        <w:t xml:space="preserve"> ladder has often been cited as the guiding theory for conducting collaborative research with some authors adapting the model to suit inclusive research practices</w:t>
      </w:r>
      <w:r w:rsidR="0025563E">
        <w:t>.</w:t>
      </w:r>
      <w:r>
        <w:rPr>
          <w:rStyle w:val="FootnoteReference"/>
        </w:rPr>
        <w:footnoteReference w:id="78"/>
      </w:r>
      <w:r>
        <w:t xml:space="preserve"> Hanley </w:t>
      </w:r>
      <w:r w:rsidRPr="00185C11">
        <w:rPr>
          <w:i/>
        </w:rPr>
        <w:t xml:space="preserve">et al. </w:t>
      </w:r>
      <w:r>
        <w:t xml:space="preserve">(2004), for example, developed a simpler version of </w:t>
      </w:r>
      <w:proofErr w:type="spellStart"/>
      <w:r>
        <w:t>Arnstein’s</w:t>
      </w:r>
      <w:proofErr w:type="spellEnd"/>
      <w:r>
        <w:t xml:space="preserve"> Ladder to apply specifically to service user involvement in research</w:t>
      </w:r>
      <w:r w:rsidR="0025563E">
        <w:t>.</w:t>
      </w:r>
      <w:r>
        <w:rPr>
          <w:rStyle w:val="FootnoteReference"/>
        </w:rPr>
        <w:footnoteReference w:id="79"/>
      </w:r>
      <w:r>
        <w:t xml:space="preserve"> Hanley categorises involvement into consultation, collaboration and user control. McLaughlin </w:t>
      </w:r>
      <w:r w:rsidRPr="00185C11">
        <w:rPr>
          <w:i/>
        </w:rPr>
        <w:t xml:space="preserve">et al. </w:t>
      </w:r>
      <w:r>
        <w:t xml:space="preserve">(2010) later made the argument that tokenism, which is detailed in </w:t>
      </w:r>
      <w:proofErr w:type="spellStart"/>
      <w:r>
        <w:t>Arnstein’s</w:t>
      </w:r>
      <w:proofErr w:type="spellEnd"/>
      <w:r>
        <w:t xml:space="preserve"> Ladder but not Hanley’s, is important to include in order to reflect that service users are not always meaningfully included. In a review of peer-reviewed literature on involving people with intellectual </w:t>
      </w:r>
      <w:r>
        <w:lastRenderedPageBreak/>
        <w:t xml:space="preserve">disabilities in research, </w:t>
      </w:r>
      <w:proofErr w:type="spellStart"/>
      <w:r>
        <w:t>Bigby</w:t>
      </w:r>
      <w:proofErr w:type="spellEnd"/>
      <w:r w:rsidRPr="00F210B9">
        <w:t xml:space="preserve">, </w:t>
      </w:r>
      <w:proofErr w:type="spellStart"/>
      <w:r w:rsidRPr="00F210B9">
        <w:t>Frawley</w:t>
      </w:r>
      <w:proofErr w:type="spellEnd"/>
      <w:r w:rsidRPr="00F210B9">
        <w:t xml:space="preserve"> and </w:t>
      </w:r>
      <w:proofErr w:type="spellStart"/>
      <w:r w:rsidRPr="00F210B9">
        <w:t>Ramcharan</w:t>
      </w:r>
      <w:proofErr w:type="spellEnd"/>
      <w:r w:rsidRPr="00F210B9">
        <w:t xml:space="preserve"> </w:t>
      </w:r>
      <w:r>
        <w:t xml:space="preserve">(2014b) also developed a conceptual framework which categorised the levels of involvement in inclusive research as advisory, collaborative, and leading and controlling. Below is a brief summary of the categories that correspond to </w:t>
      </w:r>
      <w:proofErr w:type="spellStart"/>
      <w:r>
        <w:t>Bigby</w:t>
      </w:r>
      <w:proofErr w:type="spellEnd"/>
      <w:r w:rsidRPr="00F210B9">
        <w:t xml:space="preserve">, </w:t>
      </w:r>
      <w:proofErr w:type="spellStart"/>
      <w:r w:rsidRPr="00F210B9">
        <w:t>Frawley</w:t>
      </w:r>
      <w:proofErr w:type="spellEnd"/>
      <w:r w:rsidRPr="00F210B9">
        <w:t xml:space="preserve"> and </w:t>
      </w:r>
      <w:proofErr w:type="spellStart"/>
      <w:r w:rsidRPr="00F210B9">
        <w:t>Ramcharan</w:t>
      </w:r>
      <w:r>
        <w:t>’s</w:t>
      </w:r>
      <w:proofErr w:type="spellEnd"/>
      <w:r w:rsidRPr="00F210B9">
        <w:t xml:space="preserve"> </w:t>
      </w:r>
      <w:r>
        <w:t>(2014b) and Hanley’s (2004) frameworks.</w:t>
      </w:r>
      <w:r w:rsidR="00A10477">
        <w:t xml:space="preserve">  </w:t>
      </w:r>
    </w:p>
    <w:p w14:paraId="39D1F2E2" w14:textId="77777777" w:rsidR="00146AC8" w:rsidRDefault="00146AC8" w:rsidP="00031AA5">
      <w:pPr>
        <w:rPr>
          <w:b/>
        </w:rPr>
      </w:pPr>
    </w:p>
    <w:p w14:paraId="17E58CEE" w14:textId="77777777" w:rsidR="00146AC8" w:rsidRDefault="00146AC8" w:rsidP="00031AA5">
      <w:pPr>
        <w:rPr>
          <w:b/>
        </w:rPr>
      </w:pPr>
    </w:p>
    <w:p w14:paraId="22150E79" w14:textId="77777777" w:rsidR="00146AC8" w:rsidRDefault="00146AC8" w:rsidP="00031AA5">
      <w:pPr>
        <w:rPr>
          <w:b/>
        </w:rPr>
      </w:pPr>
    </w:p>
    <w:p w14:paraId="6DD66BA0" w14:textId="77777777" w:rsidR="00146AC8" w:rsidRDefault="00146AC8" w:rsidP="00031AA5">
      <w:pPr>
        <w:rPr>
          <w:b/>
        </w:rPr>
      </w:pPr>
    </w:p>
    <w:p w14:paraId="504338B9" w14:textId="77777777" w:rsidR="00146AC8" w:rsidRDefault="00146AC8" w:rsidP="00031AA5">
      <w:pPr>
        <w:rPr>
          <w:b/>
        </w:rPr>
      </w:pPr>
    </w:p>
    <w:p w14:paraId="22B3ED42" w14:textId="77777777" w:rsidR="00146AC8" w:rsidRDefault="00146AC8" w:rsidP="00031AA5">
      <w:pPr>
        <w:rPr>
          <w:b/>
        </w:rPr>
      </w:pPr>
    </w:p>
    <w:p w14:paraId="14D22A15" w14:textId="77777777" w:rsidR="00146AC8" w:rsidRDefault="00146AC8" w:rsidP="00031AA5">
      <w:pPr>
        <w:rPr>
          <w:b/>
        </w:rPr>
      </w:pPr>
    </w:p>
    <w:p w14:paraId="6121FF03" w14:textId="77777777" w:rsidR="00146AC8" w:rsidRDefault="00146AC8" w:rsidP="00031AA5">
      <w:pPr>
        <w:rPr>
          <w:b/>
        </w:rPr>
      </w:pPr>
    </w:p>
    <w:p w14:paraId="39CDD915" w14:textId="145A23F4" w:rsidR="00626870" w:rsidRPr="00F67922" w:rsidRDefault="00626870" w:rsidP="00031AA5">
      <w:pPr>
        <w:rPr>
          <w:b/>
        </w:rPr>
      </w:pPr>
      <w:r w:rsidRPr="00F67922">
        <w:rPr>
          <w:b/>
        </w:rPr>
        <w:t xml:space="preserve">Figure 1. </w:t>
      </w:r>
      <w:proofErr w:type="spellStart"/>
      <w:r w:rsidRPr="00F67922">
        <w:rPr>
          <w:b/>
        </w:rPr>
        <w:t>Arstein’s</w:t>
      </w:r>
      <w:proofErr w:type="spellEnd"/>
      <w:r w:rsidRPr="00F67922">
        <w:rPr>
          <w:b/>
        </w:rPr>
        <w:t xml:space="preserve"> ladder of citizen participation</w:t>
      </w:r>
      <w:r w:rsidR="00D83425" w:rsidRPr="00F67922">
        <w:rPr>
          <w:rStyle w:val="FootnoteReference"/>
          <w:b/>
        </w:rPr>
        <w:footnoteReference w:id="80"/>
      </w:r>
    </w:p>
    <w:p w14:paraId="1F652716" w14:textId="3526CB4C" w:rsidR="00355E7A" w:rsidRDefault="00355E7A" w:rsidP="00031AA5">
      <w:r>
        <w:rPr>
          <w:noProof/>
          <w:lang w:eastAsia="en-IE"/>
        </w:rPr>
        <w:drawing>
          <wp:inline distT="0" distB="0" distL="0" distR="0" wp14:anchorId="418C5ADF" wp14:editId="55686BB6">
            <wp:extent cx="3849661" cy="4238625"/>
            <wp:effectExtent l="0" t="0" r="0" b="0"/>
            <wp:docPr id="3" name="Picture 3" descr="The bottom rung (rung 1) represents 'manipulation'; the second rung from the bottom (rung 2) represents 'therapy'; rung 3 represents 'informing'; rung 4 represents 'consultation'; rung 5 represents 'placation'; rung 6 represents 'partnership'; rung 7 represents 'delegagted power' and rung 8 which is the top rung, represents 'citizen control'.  Manipulation and Therpay (rungs 1 and 2) are grouped as 'non-particiation'. Informing, consultation and placation (rungs 3 to 5) are grouped as 'tokenism'. Partnership, delegated power, and citizen control (rungs 6 to 8) are groups as 'citizen power'." title="Arnstein's Ladder of Citizen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1296" cy="4240425"/>
                    </a:xfrm>
                    <a:prstGeom prst="rect">
                      <a:avLst/>
                    </a:prstGeom>
                    <a:noFill/>
                  </pic:spPr>
                </pic:pic>
              </a:graphicData>
            </a:graphic>
          </wp:inline>
        </w:drawing>
      </w:r>
    </w:p>
    <w:p w14:paraId="647E053D" w14:textId="77777777" w:rsidR="00031AA5" w:rsidRDefault="00031AA5" w:rsidP="00031AA5">
      <w:pPr>
        <w:pStyle w:val="Heading3"/>
      </w:pPr>
      <w:r>
        <w:t>Advisory/consultative approaches</w:t>
      </w:r>
    </w:p>
    <w:p w14:paraId="519BEB9F" w14:textId="0969A02B" w:rsidR="00031AA5" w:rsidRDefault="00031AA5" w:rsidP="00031AA5">
      <w:r>
        <w:t xml:space="preserve">Advisory roles often involve participating in activities such as setting research priorities, contributing as part of steering groups, making recommendations about research proposals, or giving advice </w:t>
      </w:r>
      <w:r w:rsidR="00E26B9E">
        <w:t>about specific issues or methods</w:t>
      </w:r>
      <w:r w:rsidR="002675FB">
        <w:rPr>
          <w:rStyle w:val="FootnoteReference"/>
        </w:rPr>
        <w:footnoteReference w:id="81"/>
      </w:r>
      <w:r>
        <w:t xml:space="preserve"> People with disabilities who are involved in an advisory capacity rarely have much control over the research</w:t>
      </w:r>
      <w:r w:rsidR="009050EC">
        <w:t xml:space="preserve"> processes</w:t>
      </w:r>
      <w:r>
        <w:t xml:space="preserve"> or decision-making, however. Rather, the decision making power tends to remain with the organisation or academic </w:t>
      </w:r>
      <w:r>
        <w:lastRenderedPageBreak/>
        <w:t>researchers</w:t>
      </w:r>
      <w:r w:rsidR="00E26B9E">
        <w:t>.</w:t>
      </w:r>
      <w:r w:rsidR="00E665D2">
        <w:rPr>
          <w:rStyle w:val="FootnoteReference"/>
        </w:rPr>
        <w:footnoteReference w:id="82"/>
      </w:r>
      <w:r>
        <w:t xml:space="preserve"> For this reason, advisory or consultative roles are not generally considered to be collaborative research and are sometimes criticised for being tokenistic</w:t>
      </w:r>
      <w:r w:rsidR="00E26B9E">
        <w:t>.</w:t>
      </w:r>
      <w:r w:rsidR="00E665D2">
        <w:rPr>
          <w:rStyle w:val="FootnoteReference"/>
        </w:rPr>
        <w:footnoteReference w:id="83"/>
      </w:r>
      <w:r>
        <w:t xml:space="preserve"> </w:t>
      </w:r>
    </w:p>
    <w:p w14:paraId="65AB1344" w14:textId="77777777" w:rsidR="00031AA5" w:rsidRDefault="00031AA5" w:rsidP="00031AA5">
      <w:pPr>
        <w:pStyle w:val="Heading3"/>
      </w:pPr>
      <w:r>
        <w:t>Collaborative approaches</w:t>
      </w:r>
    </w:p>
    <w:p w14:paraId="6F0F161B" w14:textId="03422034" w:rsidR="00031AA5" w:rsidRDefault="00031AA5" w:rsidP="00031AA5">
      <w:r>
        <w:t xml:space="preserve">Collaborative or participatory involvement generally refers to research partnerships between </w:t>
      </w:r>
      <w:r w:rsidR="00DC543A">
        <w:t>co-</w:t>
      </w:r>
      <w:r>
        <w:t>researchers with</w:t>
      </w:r>
      <w:r w:rsidR="00DC543A">
        <w:t xml:space="preserve"> lived experience of disability and professional researchers, such as academics</w:t>
      </w:r>
      <w:r w:rsidR="00E26B9E">
        <w:t>.</w:t>
      </w:r>
      <w:r w:rsidR="00E665D2">
        <w:rPr>
          <w:rStyle w:val="FootnoteReference"/>
        </w:rPr>
        <w:footnoteReference w:id="84"/>
      </w:r>
      <w:r>
        <w:t xml:space="preserve"> Both groups complement each other and are valued equally in the research process</w:t>
      </w:r>
      <w:r w:rsidR="00E26B9E">
        <w:t>.</w:t>
      </w:r>
      <w:r w:rsidR="00E665D2">
        <w:rPr>
          <w:rStyle w:val="FootnoteReference"/>
        </w:rPr>
        <w:footnoteReference w:id="85"/>
      </w:r>
      <w:r>
        <w:t xml:space="preserve"> Collaborative approaches tend to be flexible and context driven rather than overly structured</w:t>
      </w:r>
      <w:r w:rsidR="00E26B9E">
        <w:t>.</w:t>
      </w:r>
      <w:r w:rsidR="00E665D2">
        <w:rPr>
          <w:rStyle w:val="FootnoteReference"/>
        </w:rPr>
        <w:footnoteReference w:id="86"/>
      </w:r>
      <w:r>
        <w:t xml:space="preserve"> Such approaches afford more ownership and control of the research to </w:t>
      </w:r>
      <w:r w:rsidR="00451B49">
        <w:t xml:space="preserve">disabled </w:t>
      </w:r>
      <w:r w:rsidR="00664218">
        <w:t>people</w:t>
      </w:r>
      <w:r>
        <w:t xml:space="preserve"> than advisory or consultation roles, however leadership often remains with </w:t>
      </w:r>
      <w:r w:rsidR="00DC543A">
        <w:t xml:space="preserve">the </w:t>
      </w:r>
      <w:r>
        <w:t>senior/academic re</w:t>
      </w:r>
      <w:r w:rsidR="00B151F2">
        <w:t>searchers</w:t>
      </w:r>
      <w:r w:rsidR="00E26B9E">
        <w:t>.</w:t>
      </w:r>
      <w:r w:rsidR="00E665D2">
        <w:rPr>
          <w:rStyle w:val="FootnoteReference"/>
        </w:rPr>
        <w:footnoteReference w:id="87"/>
      </w:r>
    </w:p>
    <w:p w14:paraId="30CFF40F" w14:textId="77777777" w:rsidR="00031AA5" w:rsidRDefault="00031AA5" w:rsidP="00031AA5">
      <w:pPr>
        <w:pStyle w:val="Heading3"/>
      </w:pPr>
      <w:r>
        <w:t>User/consumer-led approaches</w:t>
      </w:r>
    </w:p>
    <w:p w14:paraId="34D2ACCE" w14:textId="228F6833" w:rsidR="00031AA5" w:rsidRDefault="00031AA5" w:rsidP="00031AA5">
      <w:r>
        <w:t xml:space="preserve">The highest level of involvement refers to </w:t>
      </w:r>
      <w:r w:rsidR="00451B49">
        <w:t xml:space="preserve">disabled </w:t>
      </w:r>
      <w:r w:rsidR="00664218">
        <w:t>people</w:t>
      </w:r>
      <w:r>
        <w:t xml:space="preserve"> having full control to initiate, lead and execu</w:t>
      </w:r>
      <w:r w:rsidR="003D2CB0">
        <w:t>te research</w:t>
      </w:r>
      <w:r w:rsidR="00E26B9E">
        <w:t>.</w:t>
      </w:r>
      <w:r w:rsidR="00E665D2">
        <w:rPr>
          <w:rStyle w:val="FootnoteReference"/>
        </w:rPr>
        <w:footnoteReference w:id="88"/>
      </w:r>
      <w:r>
        <w:t xml:space="preserve"> Under this approach,</w:t>
      </w:r>
      <w:r w:rsidR="0090538B">
        <w:t xml:space="preserve"> disabled</w:t>
      </w:r>
      <w:r>
        <w:t xml:space="preserve"> </w:t>
      </w:r>
      <w:r w:rsidR="00664218">
        <w:t>people</w:t>
      </w:r>
      <w:r>
        <w:t xml:space="preserve"> may conduct the res</w:t>
      </w:r>
      <w:r w:rsidR="00E26B9E">
        <w:t>earch entirely themselves (e.g.</w:t>
      </w:r>
      <w:r>
        <w:t xml:space="preserve"> truly emancipatory) or they may be supported by </w:t>
      </w:r>
      <w:r w:rsidR="00DC787C">
        <w:t>professional</w:t>
      </w:r>
      <w:r w:rsidR="00E26B9E">
        <w:t xml:space="preserve"> researchers (e.g. </w:t>
      </w:r>
      <w:r>
        <w:t>user-led), but they will generally have control over the direction of the research and decision-making, and tend to be involved in all stages of the research process</w:t>
      </w:r>
      <w:r w:rsidR="00E26B9E">
        <w:t>.</w:t>
      </w:r>
      <w:r w:rsidR="00E665D2">
        <w:rPr>
          <w:rStyle w:val="FootnoteReference"/>
        </w:rPr>
        <w:footnoteReference w:id="89"/>
      </w:r>
    </w:p>
    <w:p w14:paraId="113C2E02" w14:textId="0771FF25" w:rsidR="00031AA5" w:rsidRPr="00A20483" w:rsidRDefault="00031AA5" w:rsidP="00031AA5">
      <w:pPr>
        <w:rPr>
          <w:color w:val="FF0000"/>
        </w:rPr>
      </w:pPr>
      <w:r>
        <w:t>Considering the various contexts in which collaborative research takes place, as well as the various capabilities and experiences of the researchers, it is important to maintain a flexible approach to, and definition of, co</w:t>
      </w:r>
      <w:r w:rsidR="00344D25">
        <w:t>llaborative research</w:t>
      </w:r>
      <w:r w:rsidR="00E26B9E">
        <w:t>.</w:t>
      </w:r>
      <w:r w:rsidR="00E665D2">
        <w:rPr>
          <w:rStyle w:val="FootnoteReference"/>
        </w:rPr>
        <w:footnoteReference w:id="90"/>
      </w:r>
      <w:r>
        <w:t xml:space="preserve"> Whichever approach is taken, it is important that the level of involvement is meaningful, proportionate and appropriate to the project</w:t>
      </w:r>
      <w:r w:rsidR="00E26B9E">
        <w:t>.</w:t>
      </w:r>
      <w:r w:rsidR="00E665D2">
        <w:rPr>
          <w:rStyle w:val="FootnoteReference"/>
        </w:rPr>
        <w:footnoteReference w:id="91"/>
      </w:r>
      <w:r w:rsidR="00337F7B" w:rsidRPr="00337F7B">
        <w:t xml:space="preserve"> </w:t>
      </w:r>
      <w:r w:rsidR="00EB1BD9">
        <w:t>It may not always be appropriate or useful to include</w:t>
      </w:r>
      <w:r w:rsidR="0090538B">
        <w:t xml:space="preserve"> disabled</w:t>
      </w:r>
      <w:r w:rsidR="00EB1BD9">
        <w:t xml:space="preserve"> people in all stages of the research. For </w:t>
      </w:r>
      <w:r w:rsidR="00EB1BD9">
        <w:lastRenderedPageBreak/>
        <w:t xml:space="preserve">example, if looking at customer satisfaction among various social groups, including </w:t>
      </w:r>
      <w:r w:rsidR="0090538B">
        <w:t xml:space="preserve">disabled </w:t>
      </w:r>
      <w:r w:rsidR="00EB1BD9">
        <w:t xml:space="preserve">people, </w:t>
      </w:r>
      <w:r w:rsidR="0053144F">
        <w:t xml:space="preserve">it </w:t>
      </w:r>
      <w:r w:rsidR="00EB1BD9">
        <w:t>may</w:t>
      </w:r>
      <w:r w:rsidR="0053144F">
        <w:t xml:space="preserve"> be appropriate to involve </w:t>
      </w:r>
      <w:r w:rsidR="0090538B">
        <w:t xml:space="preserve">disabled </w:t>
      </w:r>
      <w:r w:rsidR="0053144F">
        <w:t>people in decision</w:t>
      </w:r>
      <w:r w:rsidR="00516880">
        <w:t>-</w:t>
      </w:r>
      <w:r w:rsidR="0053144F">
        <w:t xml:space="preserve">making </w:t>
      </w:r>
      <w:r w:rsidR="00EB1BD9">
        <w:t>around</w:t>
      </w:r>
      <w:r w:rsidR="00B90068">
        <w:t xml:space="preserve"> the disability</w:t>
      </w:r>
      <w:r w:rsidR="00516880">
        <w:t>-</w:t>
      </w:r>
      <w:r w:rsidR="00B90068">
        <w:t>related component</w:t>
      </w:r>
      <w:r w:rsidR="00EB1BD9">
        <w:t xml:space="preserve">. It </w:t>
      </w:r>
      <w:r w:rsidR="0053144F">
        <w:t>may be less appropriate</w:t>
      </w:r>
      <w:r w:rsidR="009541F0">
        <w:t xml:space="preserve"> or beneficial</w:t>
      </w:r>
      <w:r w:rsidR="0053144F">
        <w:t xml:space="preserve"> to involve them in decision</w:t>
      </w:r>
      <w:r w:rsidR="00516880">
        <w:t>-</w:t>
      </w:r>
      <w:r w:rsidR="00B90068">
        <w:t xml:space="preserve">making for </w:t>
      </w:r>
      <w:r w:rsidR="00EB1BD9">
        <w:t xml:space="preserve">content related to </w:t>
      </w:r>
      <w:r w:rsidR="00B90068">
        <w:t xml:space="preserve">other social groups. </w:t>
      </w:r>
      <w:r w:rsidR="003B7AFA">
        <w:t>O</w:t>
      </w:r>
      <w:r w:rsidR="00B90068">
        <w:t xml:space="preserve">n the other hand, </w:t>
      </w:r>
      <w:r w:rsidR="003B7AFA">
        <w:t>it would be appropriate to involve people with disabilities in</w:t>
      </w:r>
      <w:r w:rsidR="00EB1BD9">
        <w:t xml:space="preserve"> all stages of</w:t>
      </w:r>
      <w:r w:rsidR="003B7AFA">
        <w:t xml:space="preserve"> </w:t>
      </w:r>
      <w:r w:rsidR="00B90068">
        <w:t xml:space="preserve">a project which </w:t>
      </w:r>
      <w:r w:rsidR="003B7AFA">
        <w:t>is specific to a disability</w:t>
      </w:r>
      <w:r w:rsidR="00516880">
        <w:t>-</w:t>
      </w:r>
      <w:r w:rsidR="003B7AFA">
        <w:t>related issue, such as accessibility of public spaces</w:t>
      </w:r>
      <w:r w:rsidR="00E26B9E">
        <w:t>.</w:t>
      </w:r>
      <w:r w:rsidR="00E665D2">
        <w:rPr>
          <w:rStyle w:val="FootnoteReference"/>
        </w:rPr>
        <w:footnoteReference w:id="92"/>
      </w:r>
      <w:r w:rsidR="00EB1BD9" w:rsidRPr="00EB1BD9">
        <w:t xml:space="preserve"> </w:t>
      </w:r>
      <w:r w:rsidR="00EB1BD9">
        <w:t xml:space="preserve">Thus, the relevancy of the project to people with disabilities and disability–related issues should </w:t>
      </w:r>
      <w:r w:rsidR="009541F0">
        <w:t>guide</w:t>
      </w:r>
      <w:r w:rsidR="00EB1BD9">
        <w:t xml:space="preserve"> t</w:t>
      </w:r>
      <w:r w:rsidR="00EB1BD9" w:rsidRPr="00337F7B">
        <w:t>he level of involvement</w:t>
      </w:r>
      <w:r w:rsidR="00E26B9E">
        <w:t>.</w:t>
      </w:r>
      <w:r w:rsidR="00E665D2">
        <w:rPr>
          <w:rStyle w:val="FootnoteReference"/>
        </w:rPr>
        <w:footnoteReference w:id="93"/>
      </w:r>
    </w:p>
    <w:p w14:paraId="4CBDCE07" w14:textId="12C1DCD9" w:rsidR="00031AA5" w:rsidRDefault="00031AA5" w:rsidP="00031AA5">
      <w:pPr>
        <w:pStyle w:val="Heading2"/>
      </w:pPr>
      <w:bookmarkStart w:id="26" w:name="_Toc104925097"/>
      <w:bookmarkStart w:id="27" w:name="_Toc116916206"/>
      <w:r>
        <w:t xml:space="preserve">Principles of </w:t>
      </w:r>
      <w:r w:rsidR="00ED7C4F">
        <w:t>collaborative research</w:t>
      </w:r>
      <w:bookmarkEnd w:id="26"/>
      <w:bookmarkEnd w:id="27"/>
    </w:p>
    <w:p w14:paraId="0E5F6421" w14:textId="77777777" w:rsidR="00F755BA" w:rsidRDefault="00031AA5" w:rsidP="00031AA5">
      <w:r>
        <w:t xml:space="preserve">Guiding principles of the various types of </w:t>
      </w:r>
      <w:r w:rsidR="00ED7C4F">
        <w:t>collaborative research</w:t>
      </w:r>
      <w:r>
        <w:t xml:space="preserve"> have been articulated by various authors. According to INVOLVE (2015), the underlying principles of co-production are: </w:t>
      </w:r>
    </w:p>
    <w:p w14:paraId="09A4066E" w14:textId="0B45DFAD" w:rsidR="00F755BA" w:rsidRDefault="00031AA5" w:rsidP="0012121B">
      <w:pPr>
        <w:pStyle w:val="ListBullet"/>
      </w:pPr>
      <w:r>
        <w:t xml:space="preserve">equity of power, </w:t>
      </w:r>
    </w:p>
    <w:p w14:paraId="3556C03E" w14:textId="275BE2B3" w:rsidR="00F755BA" w:rsidRDefault="00031AA5" w:rsidP="0012121B">
      <w:pPr>
        <w:pStyle w:val="ListBullet"/>
      </w:pPr>
      <w:r>
        <w:t xml:space="preserve">respecting and valuing the knowledge of all involved in the research; </w:t>
      </w:r>
    </w:p>
    <w:p w14:paraId="49750043" w14:textId="3DFBD266" w:rsidR="00F755BA" w:rsidRDefault="00031AA5" w:rsidP="0012121B">
      <w:pPr>
        <w:pStyle w:val="ListBullet"/>
      </w:pPr>
      <w:r>
        <w:t xml:space="preserve">including all voices; </w:t>
      </w:r>
    </w:p>
    <w:p w14:paraId="39638646" w14:textId="09018F0F" w:rsidR="00F755BA" w:rsidRDefault="00031AA5" w:rsidP="0012121B">
      <w:pPr>
        <w:pStyle w:val="ListBullet"/>
      </w:pPr>
      <w:r>
        <w:t xml:space="preserve">reciprocity; and </w:t>
      </w:r>
    </w:p>
    <w:p w14:paraId="3AC6224E" w14:textId="68A7CBDF" w:rsidR="00F755BA" w:rsidRDefault="00031AA5" w:rsidP="0012121B">
      <w:pPr>
        <w:pStyle w:val="ListBullet"/>
      </w:pPr>
      <w:r>
        <w:t xml:space="preserve">building and maintaining relationships. </w:t>
      </w:r>
    </w:p>
    <w:p w14:paraId="3DA1FFC4" w14:textId="46221631" w:rsidR="00F755BA" w:rsidRDefault="00031AA5" w:rsidP="00031AA5">
      <w:r>
        <w:t xml:space="preserve">Similarly, according to </w:t>
      </w:r>
      <w:proofErr w:type="spellStart"/>
      <w:r>
        <w:t>Walmsl</w:t>
      </w:r>
      <w:r w:rsidR="00B151F2">
        <w:t>e</w:t>
      </w:r>
      <w:r>
        <w:t>y</w:t>
      </w:r>
      <w:proofErr w:type="spellEnd"/>
      <w:r>
        <w:t xml:space="preserve"> and Johnson (2003, p.</w:t>
      </w:r>
      <w:r w:rsidR="00023D93">
        <w:t xml:space="preserve"> </w:t>
      </w:r>
      <w:r>
        <w:t xml:space="preserve">64), inclusive research with people with learning disabilities: </w:t>
      </w:r>
    </w:p>
    <w:p w14:paraId="3BFE0148" w14:textId="7BAF5EFB" w:rsidR="00F755BA" w:rsidRDefault="00031AA5" w:rsidP="0012121B">
      <w:pPr>
        <w:pStyle w:val="ListBullet"/>
      </w:pPr>
      <w:r>
        <w:t xml:space="preserve">is owned by disabled people; </w:t>
      </w:r>
    </w:p>
    <w:p w14:paraId="01EF50DB" w14:textId="1B6008C8" w:rsidR="00F755BA" w:rsidRDefault="00031AA5" w:rsidP="0012121B">
      <w:pPr>
        <w:pStyle w:val="ListBullet"/>
      </w:pPr>
      <w:r>
        <w:t xml:space="preserve">is conducted to further their interests and address issues which matter to them and should ultimately lead to improved lives for them; </w:t>
      </w:r>
    </w:p>
    <w:p w14:paraId="39223768" w14:textId="3C16B670" w:rsidR="00F755BA" w:rsidRDefault="00031AA5" w:rsidP="0012121B">
      <w:pPr>
        <w:pStyle w:val="ListBullet"/>
      </w:pPr>
      <w:r>
        <w:t xml:space="preserve">is collaborative, involving people with learning disabilities in the process of doing the research and accessing and representing their views and experiences; </w:t>
      </w:r>
    </w:p>
    <w:p w14:paraId="2F8724A2" w14:textId="7E345842" w:rsidR="00F755BA" w:rsidRDefault="00031AA5" w:rsidP="0012121B">
      <w:pPr>
        <w:pStyle w:val="ListBullet"/>
      </w:pPr>
      <w:r>
        <w:t xml:space="preserve">assures people with learning disabilities have some control over process and outcome and are treated with respect by the research community; and </w:t>
      </w:r>
    </w:p>
    <w:p w14:paraId="24BAF3B9" w14:textId="494E5448" w:rsidR="00F755BA" w:rsidRDefault="00031AA5" w:rsidP="0012121B">
      <w:pPr>
        <w:pStyle w:val="ListBullet"/>
      </w:pPr>
      <w:r>
        <w:t xml:space="preserve">ensures the research question, process and reports are accessible to people with learning disabilities. </w:t>
      </w:r>
    </w:p>
    <w:p w14:paraId="2895D170" w14:textId="50CEB322" w:rsidR="00031AA5" w:rsidRPr="004F26F1" w:rsidRDefault="00031AA5" w:rsidP="00031AA5">
      <w:r>
        <w:t xml:space="preserve">Although these are guiding principles for different approaches, there are some clear commonalities, namely that it is important that power and control are </w:t>
      </w:r>
      <w:r>
        <w:lastRenderedPageBreak/>
        <w:t>shared, that research is conducted collaboratively and that the research should further the interests of disabled people.</w:t>
      </w:r>
    </w:p>
    <w:p w14:paraId="321B71F6" w14:textId="77777777" w:rsidR="00A455B8" w:rsidRDefault="00A455B8" w:rsidP="00A455B8">
      <w:pPr>
        <w:pStyle w:val="Heading2"/>
      </w:pPr>
      <w:bookmarkStart w:id="28" w:name="_Toc104925099"/>
      <w:bookmarkStart w:id="29" w:name="_Toc116916207"/>
      <w:r w:rsidRPr="00C90977">
        <w:t>Terminology and approach used in this review</w:t>
      </w:r>
      <w:bookmarkEnd w:id="29"/>
    </w:p>
    <w:p w14:paraId="61EFA842" w14:textId="77777777" w:rsidR="00A455B8" w:rsidRDefault="00A455B8" w:rsidP="00A455B8">
      <w:r>
        <w:t xml:space="preserve">For the purpose of this review, we defined collaborative research as a partnership between the co-researchers with disabilities and trained/professional researchers in which the contributions of all team members were considered meaningful. To be considered collaborative research, the co-researchers had to have some control or ownership of the research, or decision-making power over the research topic, approach, materials, processes or outputs. It is important to note here that this level of control, ownership or decision-making power was determined at face-value based on the information reported by the authors of the included studies. It is not possible to say with certainty if these reports reflected the true experiences and perceptions of the people with disabilities who were co-researchers. </w:t>
      </w:r>
    </w:p>
    <w:p w14:paraId="4216C72A" w14:textId="09F48CFA" w:rsidR="00A455B8" w:rsidRDefault="00A455B8" w:rsidP="00A455B8">
      <w:r>
        <w:t>In this review we use the term ‘co-researcher’ to identify people with lived experience of disability who are involved in the research process and we use the term ‘researcher’ to refer to trained</w:t>
      </w:r>
      <w:r w:rsidR="00D32C12">
        <w:t>/professional researchers (e.g.</w:t>
      </w:r>
      <w:r>
        <w:t xml:space="preserve"> academic researchers, organisations, clinicians). Seale </w:t>
      </w:r>
      <w:r w:rsidR="00185C11" w:rsidRPr="00185C11">
        <w:rPr>
          <w:i/>
        </w:rPr>
        <w:t xml:space="preserve">et al. </w:t>
      </w:r>
      <w:r>
        <w:t>(2015) highlight that some people argue that all researchers involved in the project should be called ‘researchers’ in an effort to remove power imbalances. However, due to the nature of this review, it was necessary to differentiate between co-researchers and researchers in order to describe the challenges and benefits of being involved in collaborative research for these different groups.</w:t>
      </w:r>
    </w:p>
    <w:p w14:paraId="7EE37244" w14:textId="77777777" w:rsidR="00A455B8" w:rsidRDefault="00A455B8" w:rsidP="00A455B8">
      <w:r>
        <w:t>For the purpose of this review, we considered studies that reported on research collaborations between researchers and co-researchers with a range of disabilities including, but not limited to, physical disabilities, intellectual disabilities, sensory disabilities, and mental health conditions. We have amalgamated the findings in this report in order to inform guidance that could be useful to consider when conducting collaborative research with people in disabilities in general. This is not to suggest that disabled people are a homogenous group of people. Rather, the aim was to highlight some of the key and common learnings across studies that may be applicable to research collaborations with any person with a disability, or indeed any person who may need support to overcome barriers to their inclusion as research partners.</w:t>
      </w:r>
    </w:p>
    <w:p w14:paraId="76A39D00" w14:textId="087F8B9C" w:rsidR="00A455B8" w:rsidRDefault="00A455B8" w:rsidP="00A455B8">
      <w:r>
        <w:t xml:space="preserve">It is important to note that this review refers to collaborative research as opposed to consultation with disabled persons. The NDA has developed a separate guidance document specifically for conducting consultations with </w:t>
      </w:r>
      <w:r>
        <w:lastRenderedPageBreak/>
        <w:t>persons with disabilities on policy and legislation surrounding disability-related matters, such as the implementation of the UNCRPD</w:t>
      </w:r>
      <w:r w:rsidR="00E26B9E">
        <w:t>.</w:t>
      </w:r>
      <w:r w:rsidR="00650FCD">
        <w:rPr>
          <w:rStyle w:val="FootnoteReference"/>
        </w:rPr>
        <w:footnoteReference w:id="94"/>
      </w:r>
      <w:r>
        <w:t xml:space="preserve"> </w:t>
      </w:r>
    </w:p>
    <w:p w14:paraId="65332B3F" w14:textId="77777777" w:rsidR="00031AA5" w:rsidRDefault="00031AA5" w:rsidP="00031AA5">
      <w:pPr>
        <w:pStyle w:val="Heading2"/>
      </w:pPr>
      <w:bookmarkStart w:id="30" w:name="_Toc116916208"/>
      <w:r>
        <w:t>Research questions</w:t>
      </w:r>
      <w:bookmarkEnd w:id="28"/>
      <w:bookmarkEnd w:id="30"/>
    </w:p>
    <w:p w14:paraId="770EF21D" w14:textId="7D757D75" w:rsidR="00031AA5" w:rsidRDefault="00031AA5" w:rsidP="003D2CB0">
      <w:r>
        <w:t xml:space="preserve">The research questions shaping this review </w:t>
      </w:r>
      <w:r w:rsidR="00AD4E4A">
        <w:t>we</w:t>
      </w:r>
      <w:r>
        <w:t>re as follows:</w:t>
      </w:r>
    </w:p>
    <w:p w14:paraId="136B47C3" w14:textId="2CCD6A36" w:rsidR="00031AA5" w:rsidRDefault="00031AA5" w:rsidP="00B50A8D">
      <w:pPr>
        <w:pStyle w:val="ListNumber"/>
        <w:numPr>
          <w:ilvl w:val="0"/>
          <w:numId w:val="36"/>
        </w:numPr>
        <w:spacing w:after="240"/>
        <w:contextualSpacing/>
      </w:pPr>
      <w:r>
        <w:t xml:space="preserve">What methods/models have been used in </w:t>
      </w:r>
      <w:r w:rsidR="002F48F6">
        <w:t>collaborative research</w:t>
      </w:r>
      <w:r>
        <w:t xml:space="preserve"> projects with people with disabilities?</w:t>
      </w:r>
    </w:p>
    <w:p w14:paraId="15ACB5D2" w14:textId="4AF50001" w:rsidR="00031AA5" w:rsidRDefault="00031AA5" w:rsidP="003D2CB0">
      <w:pPr>
        <w:pStyle w:val="ListNumber"/>
        <w:tabs>
          <w:tab w:val="num" w:pos="360"/>
        </w:tabs>
        <w:spacing w:after="240"/>
        <w:contextualSpacing/>
      </w:pPr>
      <w:r>
        <w:t xml:space="preserve">What are the benefits to engaging </w:t>
      </w:r>
      <w:r w:rsidR="00664218">
        <w:t>people</w:t>
      </w:r>
      <w:r>
        <w:t xml:space="preserve"> with disabilities in </w:t>
      </w:r>
      <w:r w:rsidR="002F48F6">
        <w:t>collaborative research</w:t>
      </w:r>
      <w:r>
        <w:t xml:space="preserve"> for</w:t>
      </w:r>
      <w:r w:rsidR="00DC543A">
        <w:t xml:space="preserve"> </w:t>
      </w:r>
      <w:r>
        <w:t>people with disabilities, the researchers and the project?</w:t>
      </w:r>
    </w:p>
    <w:p w14:paraId="1DC7F2B0" w14:textId="7D65109A" w:rsidR="00031AA5" w:rsidRDefault="00031AA5" w:rsidP="003D2CB0">
      <w:pPr>
        <w:pStyle w:val="ListNumber"/>
        <w:tabs>
          <w:tab w:val="num" w:pos="360"/>
        </w:tabs>
        <w:spacing w:after="240"/>
        <w:contextualSpacing/>
      </w:pPr>
      <w:r>
        <w:t xml:space="preserve">What are the challenges to engaging </w:t>
      </w:r>
      <w:r w:rsidR="00664218">
        <w:t>people</w:t>
      </w:r>
      <w:r>
        <w:t xml:space="preserve"> with disabilities in </w:t>
      </w:r>
      <w:r w:rsidR="002F48F6">
        <w:t>collaborative research</w:t>
      </w:r>
      <w:r>
        <w:t xml:space="preserve"> for people with disabilities, the researchers and the project?</w:t>
      </w:r>
      <w:r w:rsidRPr="00496A56">
        <w:t xml:space="preserve"> </w:t>
      </w:r>
    </w:p>
    <w:p w14:paraId="1AB602A9" w14:textId="5D4B9EA5" w:rsidR="00031AA5" w:rsidRDefault="00031AA5" w:rsidP="003D2CB0">
      <w:pPr>
        <w:pStyle w:val="ListNumber"/>
        <w:tabs>
          <w:tab w:val="num" w:pos="360"/>
        </w:tabs>
        <w:spacing w:after="240"/>
        <w:contextualSpacing/>
      </w:pPr>
      <w:r>
        <w:t>What is best practice/what lessons</w:t>
      </w:r>
      <w:r w:rsidR="009F5EC9">
        <w:t xml:space="preserve"> have been</w:t>
      </w:r>
      <w:r>
        <w:t xml:space="preserve"> learned in </w:t>
      </w:r>
      <w:r w:rsidR="002F48F6">
        <w:t>collaborative research</w:t>
      </w:r>
      <w:r>
        <w:t xml:space="preserve"> projects with people with disabilities?</w:t>
      </w:r>
    </w:p>
    <w:p w14:paraId="5390D420" w14:textId="05EFCC40" w:rsidR="00031AA5" w:rsidRDefault="00031AA5" w:rsidP="00031AA5">
      <w:pPr>
        <w:pStyle w:val="Heading2"/>
      </w:pPr>
      <w:bookmarkStart w:id="31" w:name="_Toc104925100"/>
      <w:bookmarkStart w:id="32" w:name="_Toc116916209"/>
      <w:r>
        <w:t xml:space="preserve">Report </w:t>
      </w:r>
      <w:r w:rsidR="002F48F6">
        <w:t>o</w:t>
      </w:r>
      <w:r>
        <w:t>utline</w:t>
      </w:r>
      <w:bookmarkEnd w:id="31"/>
      <w:bookmarkEnd w:id="32"/>
    </w:p>
    <w:p w14:paraId="46D29B22" w14:textId="42E84B89" w:rsidR="00021E30" w:rsidRDefault="00031AA5" w:rsidP="00D146E4">
      <w:r>
        <w:t xml:space="preserve">In the next section (section 2) of this report, the methodology for this review will be described. Section </w:t>
      </w:r>
      <w:r w:rsidR="000B7CCD">
        <w:t>3</w:t>
      </w:r>
      <w:r>
        <w:t xml:space="preserve"> will outline the reported benefits of </w:t>
      </w:r>
      <w:r w:rsidR="00C2612D">
        <w:t xml:space="preserve">collaborative research </w:t>
      </w:r>
      <w:r>
        <w:t xml:space="preserve">approaches and section </w:t>
      </w:r>
      <w:r w:rsidR="000B7CCD">
        <w:t>4</w:t>
      </w:r>
      <w:r>
        <w:t xml:space="preserve"> will detail the considerations for best practices related to conduc</w:t>
      </w:r>
      <w:r w:rsidR="002C0EF2">
        <w:t>t</w:t>
      </w:r>
      <w:r>
        <w:t xml:space="preserve">ing collaborative research, including </w:t>
      </w:r>
      <w:r w:rsidR="002C0EF2">
        <w:t>reference to</w:t>
      </w:r>
      <w:r w:rsidR="00D8337A">
        <w:t xml:space="preserve"> common challenges associated with this approach and potential solutions</w:t>
      </w:r>
      <w:r>
        <w:t xml:space="preserve">. Finally, section </w:t>
      </w:r>
      <w:r w:rsidR="000B7CCD">
        <w:t>5</w:t>
      </w:r>
      <w:r>
        <w:t xml:space="preserve"> will summarise the main findings of the report, outline the limitations of the review and outline the next steps in this work. </w:t>
      </w:r>
      <w:r w:rsidR="00021E30">
        <w:br w:type="page"/>
      </w:r>
    </w:p>
    <w:p w14:paraId="1E057E56" w14:textId="1940063E" w:rsidR="00DB5669" w:rsidRDefault="00C90977" w:rsidP="00DB5669">
      <w:pPr>
        <w:pStyle w:val="Heading1"/>
      </w:pPr>
      <w:bookmarkStart w:id="33" w:name="_Toc104925101"/>
      <w:bookmarkStart w:id="34" w:name="_Toc116916210"/>
      <w:r>
        <w:lastRenderedPageBreak/>
        <w:t xml:space="preserve">Section 2. </w:t>
      </w:r>
      <w:r w:rsidR="009B024D">
        <w:t>M</w:t>
      </w:r>
      <w:r w:rsidR="00DB5669">
        <w:t>ethodology</w:t>
      </w:r>
      <w:bookmarkEnd w:id="33"/>
      <w:bookmarkEnd w:id="34"/>
    </w:p>
    <w:p w14:paraId="7405712D" w14:textId="5048D121" w:rsidR="009B024D" w:rsidRDefault="009B024D" w:rsidP="009B024D">
      <w:pPr>
        <w:pStyle w:val="Heading2"/>
      </w:pPr>
      <w:bookmarkStart w:id="35" w:name="_Toc104925102"/>
      <w:bookmarkStart w:id="36" w:name="_Toc116916211"/>
      <w:r>
        <w:t>Literature search</w:t>
      </w:r>
      <w:bookmarkEnd w:id="35"/>
      <w:bookmarkEnd w:id="36"/>
    </w:p>
    <w:p w14:paraId="53CC6D6D" w14:textId="25C67E42" w:rsidR="00DB5669" w:rsidRPr="00FC3FB3" w:rsidRDefault="00DB5669" w:rsidP="00DB5669">
      <w:pPr>
        <w:spacing w:after="0"/>
      </w:pPr>
      <w:r>
        <w:t xml:space="preserve">Literature searches were conducted in 2020 on articles and reports published between 2015 </w:t>
      </w:r>
      <w:r w:rsidRPr="00AA1E6B">
        <w:t>and 2020</w:t>
      </w:r>
      <w:r w:rsidR="004864B5">
        <w:rPr>
          <w:rStyle w:val="FootnoteReference"/>
        </w:rPr>
        <w:footnoteReference w:id="95"/>
      </w:r>
      <w:r w:rsidRPr="00AA1E6B">
        <w:t xml:space="preserve"> using the search terms in Appendix </w:t>
      </w:r>
      <w:r w:rsidR="00AA632B">
        <w:t>A</w:t>
      </w:r>
      <w:r w:rsidRPr="00AA1E6B">
        <w:t xml:space="preserve"> using the following electronic databases: </w:t>
      </w:r>
      <w:proofErr w:type="spellStart"/>
      <w:r w:rsidRPr="00AA1E6B">
        <w:t>Pubmed</w:t>
      </w:r>
      <w:proofErr w:type="spellEnd"/>
      <w:r w:rsidRPr="00AA1E6B">
        <w:t xml:space="preserve">, </w:t>
      </w:r>
      <w:proofErr w:type="spellStart"/>
      <w:r w:rsidR="00AA1E6B" w:rsidRPr="00AA1E6B">
        <w:t>Psychinfo</w:t>
      </w:r>
      <w:proofErr w:type="spellEnd"/>
      <w:r w:rsidR="00AA1E6B" w:rsidRPr="00AA1E6B">
        <w:t xml:space="preserve">, </w:t>
      </w:r>
      <w:proofErr w:type="spellStart"/>
      <w:r w:rsidR="00AA1E6B" w:rsidRPr="00AA1E6B">
        <w:t>Cinahl</w:t>
      </w:r>
      <w:proofErr w:type="spellEnd"/>
      <w:r w:rsidR="00AA1E6B" w:rsidRPr="00AA1E6B">
        <w:t xml:space="preserve"> and Cochrane</w:t>
      </w:r>
      <w:r w:rsidR="00AA1E6B" w:rsidRPr="00AA1E6B">
        <w:rPr>
          <w:rFonts w:cs="Calibri"/>
          <w:color w:val="000000"/>
        </w:rPr>
        <w:t xml:space="preserve">, </w:t>
      </w:r>
      <w:proofErr w:type="spellStart"/>
      <w:r w:rsidR="00AA1E6B" w:rsidRPr="00AA1E6B">
        <w:rPr>
          <w:rFonts w:cs="Calibri"/>
          <w:color w:val="000000"/>
        </w:rPr>
        <w:t>Embase</w:t>
      </w:r>
      <w:proofErr w:type="spellEnd"/>
      <w:r w:rsidR="00AA1E6B" w:rsidRPr="00AA1E6B">
        <w:rPr>
          <w:rFonts w:cs="Calibri"/>
          <w:color w:val="000000"/>
        </w:rPr>
        <w:t xml:space="preserve"> and </w:t>
      </w:r>
      <w:r w:rsidR="00425DD6" w:rsidRPr="00AA1E6B">
        <w:rPr>
          <w:rFonts w:cs="Calibri"/>
          <w:color w:val="000000"/>
        </w:rPr>
        <w:t>Medline</w:t>
      </w:r>
      <w:r w:rsidR="00AA1E6B" w:rsidRPr="00AA1E6B">
        <w:rPr>
          <w:rFonts w:cs="Calibri"/>
          <w:color w:val="000000"/>
        </w:rPr>
        <w:t>,</w:t>
      </w:r>
      <w:r w:rsidR="00425DD6" w:rsidRPr="00AA1E6B">
        <w:rPr>
          <w:rFonts w:cs="Calibri"/>
          <w:color w:val="000000"/>
        </w:rPr>
        <w:t xml:space="preserve"> </w:t>
      </w:r>
      <w:r w:rsidRPr="00AA1E6B">
        <w:t xml:space="preserve">Google, Google Scholar, and repositories such as </w:t>
      </w:r>
      <w:proofErr w:type="spellStart"/>
      <w:r w:rsidRPr="00AA1E6B">
        <w:t>Lenus</w:t>
      </w:r>
      <w:proofErr w:type="spellEnd"/>
      <w:r w:rsidRPr="00AA1E6B">
        <w:t xml:space="preserve">, </w:t>
      </w:r>
      <w:proofErr w:type="spellStart"/>
      <w:r w:rsidRPr="00AA1E6B">
        <w:t>Rian</w:t>
      </w:r>
      <w:proofErr w:type="spellEnd"/>
      <w:r w:rsidRPr="00AA1E6B">
        <w:t xml:space="preserve"> and </w:t>
      </w:r>
      <w:r w:rsidR="00D87C3C">
        <w:t xml:space="preserve">other </w:t>
      </w:r>
      <w:r w:rsidRPr="00AA1E6B">
        <w:t>third level repositories</w:t>
      </w:r>
      <w:r w:rsidRPr="00FC3FB3">
        <w:t xml:space="preserve">. </w:t>
      </w:r>
      <w:r w:rsidR="002E5CB4">
        <w:t xml:space="preserve">Searches were limited to the English </w:t>
      </w:r>
      <w:r w:rsidR="00A455B8">
        <w:t>l</w:t>
      </w:r>
      <w:r w:rsidR="002E5CB4">
        <w:t>anguage.</w:t>
      </w:r>
      <w:r w:rsidR="002E5CB4" w:rsidRPr="00FC3FB3">
        <w:t xml:space="preserve"> This</w:t>
      </w:r>
      <w:r w:rsidRPr="00FC3FB3">
        <w:t xml:space="preserve"> identified over </w:t>
      </w:r>
      <w:r w:rsidR="0061575B">
        <w:t>500</w:t>
      </w:r>
      <w:r w:rsidRPr="00FC3FB3">
        <w:t xml:space="preserve"> articles or reports. Articles were excluded for review if:</w:t>
      </w:r>
    </w:p>
    <w:p w14:paraId="7E8FF998" w14:textId="19EBB2D2" w:rsidR="004E4A73" w:rsidRDefault="004E4A73" w:rsidP="00DB5669">
      <w:pPr>
        <w:pStyle w:val="ListBullet"/>
      </w:pPr>
      <w:r>
        <w:t>They did not specifically relate to or involve collaborative research between researchers and people with disabilities/conditions/</w:t>
      </w:r>
      <w:r w:rsidR="00FA3FE6">
        <w:t xml:space="preserve">chronic </w:t>
      </w:r>
      <w:r>
        <w:t>illnesses</w:t>
      </w:r>
    </w:p>
    <w:p w14:paraId="648ED3AD" w14:textId="653D8F8A" w:rsidR="00DB5669" w:rsidRDefault="00DB5669" w:rsidP="00DB5669">
      <w:pPr>
        <w:pStyle w:val="ListBullet"/>
      </w:pPr>
      <w:r>
        <w:t xml:space="preserve">People with </w:t>
      </w:r>
      <w:r w:rsidR="004E4A73">
        <w:t>disabilities/conditions/</w:t>
      </w:r>
      <w:r w:rsidR="00FA3FE6">
        <w:t xml:space="preserve">chronic </w:t>
      </w:r>
      <w:r w:rsidR="004E4A73">
        <w:t xml:space="preserve">illnesses </w:t>
      </w:r>
      <w:r>
        <w:t>were only research subjects/participants</w:t>
      </w:r>
    </w:p>
    <w:p w14:paraId="565B6EF6" w14:textId="7BC41812" w:rsidR="00DB5669" w:rsidRDefault="00DB5669" w:rsidP="00DB5669">
      <w:pPr>
        <w:pStyle w:val="ListBullet"/>
      </w:pPr>
      <w:r>
        <w:t xml:space="preserve">People with </w:t>
      </w:r>
      <w:r w:rsidR="007D4355">
        <w:t>disabilities/conditions/</w:t>
      </w:r>
      <w:r w:rsidR="00B14BC7">
        <w:t xml:space="preserve">chronic </w:t>
      </w:r>
      <w:r w:rsidR="007D4355">
        <w:t xml:space="preserve">illnesses </w:t>
      </w:r>
      <w:r w:rsidR="00A13A63">
        <w:t xml:space="preserve">had no ownership, </w:t>
      </w:r>
      <w:r>
        <w:t>power</w:t>
      </w:r>
      <w:r w:rsidR="00A13A63">
        <w:t xml:space="preserve"> or decision-making</w:t>
      </w:r>
      <w:r>
        <w:t xml:space="preserve"> over the subject, </w:t>
      </w:r>
      <w:r w:rsidR="008C3800">
        <w:t xml:space="preserve">materials, </w:t>
      </w:r>
      <w:r>
        <w:t xml:space="preserve">direction or </w:t>
      </w:r>
      <w:r w:rsidR="00BB2620">
        <w:t>outputs</w:t>
      </w:r>
      <w:r>
        <w:t xml:space="preserve"> of the research</w:t>
      </w:r>
      <w:r w:rsidR="00110AF1">
        <w:t>.</w:t>
      </w:r>
      <w:r w:rsidR="00110AF1">
        <w:rPr>
          <w:rStyle w:val="FootnoteReference"/>
        </w:rPr>
        <w:footnoteReference w:id="96"/>
      </w:r>
    </w:p>
    <w:p w14:paraId="1D94E4FD" w14:textId="43194F70" w:rsidR="0073225F" w:rsidRDefault="00DB5669" w:rsidP="0073225F">
      <w:r>
        <w:t xml:space="preserve">After screening for eligibility, </w:t>
      </w:r>
      <w:r w:rsidR="00F31CE6">
        <w:t>16</w:t>
      </w:r>
      <w:r w:rsidR="00272CD3">
        <w:t>1</w:t>
      </w:r>
      <w:r w:rsidR="0073225F">
        <w:t xml:space="preserve"> </w:t>
      </w:r>
      <w:r>
        <w:t xml:space="preserve">documents were included in the review. The type of articles included were projects conducted via </w:t>
      </w:r>
      <w:r w:rsidR="001B74EE">
        <w:t>collaborative research</w:t>
      </w:r>
      <w:r>
        <w:t xml:space="preserve"> or which explor</w:t>
      </w:r>
      <w:r w:rsidR="00840198">
        <w:t>ed</w:t>
      </w:r>
      <w:r>
        <w:t xml:space="preserve"> the topic of </w:t>
      </w:r>
      <w:r w:rsidR="001B74EE">
        <w:t>collaborative research</w:t>
      </w:r>
      <w:r>
        <w:t xml:space="preserve">. </w:t>
      </w:r>
      <w:r w:rsidR="0073225F">
        <w:t>The included papers comprised original research (n=9</w:t>
      </w:r>
      <w:r w:rsidR="00272CD3">
        <w:t>9</w:t>
      </w:r>
      <w:r w:rsidR="0073225F">
        <w:t>); scoping/narrative reviews, reflections, commentaries or summaries (n=5</w:t>
      </w:r>
      <w:r w:rsidR="00272CD3">
        <w:t>0</w:t>
      </w:r>
      <w:r w:rsidR="0073225F">
        <w:t>); systematic reviews (n=7); guidelines or guidance papers (n=</w:t>
      </w:r>
      <w:r w:rsidR="00272CD3">
        <w:t>2</w:t>
      </w:r>
      <w:r w:rsidR="0073225F">
        <w:t>); a Master’s thesis (n=1); a blog post (n=1)</w:t>
      </w:r>
      <w:r w:rsidR="00272CD3">
        <w:t xml:space="preserve"> and training materials (n=1)</w:t>
      </w:r>
      <w:r w:rsidR="0073225F">
        <w:t xml:space="preserve">. </w:t>
      </w:r>
    </w:p>
    <w:p w14:paraId="1799F62A" w14:textId="06ADB131" w:rsidR="00F7249B" w:rsidRPr="00290C50" w:rsidRDefault="00F7249B" w:rsidP="00F7249B">
      <w:pPr>
        <w:spacing w:after="0"/>
      </w:pPr>
      <w:r>
        <w:t>Not all collaborative research studies reviewed were specific to one type of disability and not all specified the type of disability, illness or condition they referred to (n=</w:t>
      </w:r>
      <w:r w:rsidR="001249D0">
        <w:t>30</w:t>
      </w:r>
      <w:r>
        <w:t>). Of those that did, studies most commonly involved or related to co-researchers with intellectual/learning</w:t>
      </w:r>
      <w:r>
        <w:rPr>
          <w:rStyle w:val="FootnoteReference"/>
        </w:rPr>
        <w:footnoteReference w:id="97"/>
      </w:r>
      <w:r>
        <w:t xml:space="preserve"> or developmental disabilities (n=5</w:t>
      </w:r>
      <w:r w:rsidR="001249D0">
        <w:t>3</w:t>
      </w:r>
      <w:r>
        <w:t>)</w:t>
      </w:r>
      <w:r w:rsidR="00E72934">
        <w:t xml:space="preserve"> </w:t>
      </w:r>
      <w:r>
        <w:t xml:space="preserve">or mental health issues (n=29). </w:t>
      </w:r>
      <w:r w:rsidRPr="00290C50">
        <w:t xml:space="preserve">A notable </w:t>
      </w:r>
      <w:r>
        <w:t>amount</w:t>
      </w:r>
      <w:r w:rsidRPr="00290C50">
        <w:t xml:space="preserve"> of studies also </w:t>
      </w:r>
      <w:r>
        <w:t xml:space="preserve">focused on co-researchers </w:t>
      </w:r>
      <w:r w:rsidRPr="00290C50">
        <w:t>with dementia</w:t>
      </w:r>
      <w:r>
        <w:t xml:space="preserve"> (n=2</w:t>
      </w:r>
      <w:r w:rsidR="001249D0">
        <w:t>5</w:t>
      </w:r>
      <w:r>
        <w:t>) or autism (n=</w:t>
      </w:r>
      <w:r w:rsidR="001249D0">
        <w:t>10</w:t>
      </w:r>
      <w:r>
        <w:t xml:space="preserve">). </w:t>
      </w:r>
      <w:r w:rsidRPr="00290C50">
        <w:t xml:space="preserve">The </w:t>
      </w:r>
      <w:r w:rsidR="00E72934">
        <w:t>remaining</w:t>
      </w:r>
      <w:r w:rsidRPr="00290C50">
        <w:t xml:space="preserve"> studies </w:t>
      </w:r>
      <w:r>
        <w:lastRenderedPageBreak/>
        <w:t>related to</w:t>
      </w:r>
      <w:r w:rsidRPr="00290C50">
        <w:t xml:space="preserve"> co-researchers </w:t>
      </w:r>
      <w:r>
        <w:t xml:space="preserve">who </w:t>
      </w:r>
      <w:r w:rsidRPr="00290C50">
        <w:t xml:space="preserve">were </w:t>
      </w:r>
      <w:r w:rsidR="006E357C">
        <w:t xml:space="preserve">D/deaf (n=4), </w:t>
      </w:r>
      <w:r w:rsidRPr="00290C50">
        <w:t>blind or visually impaired</w:t>
      </w:r>
      <w:r>
        <w:t xml:space="preserve"> (n=1)</w:t>
      </w:r>
      <w:r w:rsidRPr="00290C50">
        <w:t>, were wheelchair users or mobility impaired</w:t>
      </w:r>
      <w:r>
        <w:t xml:space="preserve"> (n=1)</w:t>
      </w:r>
      <w:r w:rsidRPr="00290C50">
        <w:t xml:space="preserve">, </w:t>
      </w:r>
      <w:r w:rsidR="001249D0">
        <w:t xml:space="preserve">had </w:t>
      </w:r>
      <w:proofErr w:type="spellStart"/>
      <w:r w:rsidR="001249D0">
        <w:t>neurodisabilities</w:t>
      </w:r>
      <w:proofErr w:type="spellEnd"/>
      <w:r w:rsidR="001249D0">
        <w:t xml:space="preserve"> (</w:t>
      </w:r>
      <w:r w:rsidR="000C122E">
        <w:t xml:space="preserve">e.g. </w:t>
      </w:r>
      <w:proofErr w:type="spellStart"/>
      <w:r w:rsidR="000C122E">
        <w:t>neurotrauma</w:t>
      </w:r>
      <w:proofErr w:type="spellEnd"/>
      <w:r w:rsidR="000C122E">
        <w:t xml:space="preserve">; </w:t>
      </w:r>
      <w:r w:rsidR="001249D0">
        <w:t>n=2)</w:t>
      </w:r>
      <w:r w:rsidR="008E23A8">
        <w:t xml:space="preserve">, </w:t>
      </w:r>
      <w:r>
        <w:t xml:space="preserve">or </w:t>
      </w:r>
      <w:r w:rsidRPr="00290C50">
        <w:t>had other chronic illn</w:t>
      </w:r>
      <w:r>
        <w:t>esses or conditions</w:t>
      </w:r>
      <w:r w:rsidR="001249D0">
        <w:t xml:space="preserve">, such as </w:t>
      </w:r>
      <w:r w:rsidRPr="00290C50">
        <w:t xml:space="preserve"> cerebral palsy,</w:t>
      </w:r>
      <w:r w:rsidR="00586B10">
        <w:t xml:space="preserve"> arthritis, heart conditions,</w:t>
      </w:r>
      <w:r w:rsidRPr="00290C50">
        <w:t xml:space="preserve"> Friedrich's ataxia, cancer, </w:t>
      </w:r>
      <w:r>
        <w:t xml:space="preserve">and </w:t>
      </w:r>
      <w:r w:rsidRPr="00290C50">
        <w:t>Type 1 diabetes</w:t>
      </w:r>
      <w:r w:rsidR="001249D0">
        <w:t xml:space="preserve"> (</w:t>
      </w:r>
      <w:r>
        <w:t>n=</w:t>
      </w:r>
      <w:r w:rsidR="001249D0">
        <w:t>6</w:t>
      </w:r>
      <w:r w:rsidR="00B342D8">
        <w:t>)</w:t>
      </w:r>
      <w:r w:rsidRPr="00290C50">
        <w:t>.</w:t>
      </w:r>
      <w:r w:rsidR="001249D0">
        <w:t xml:space="preserve"> </w:t>
      </w:r>
    </w:p>
    <w:p w14:paraId="645D52E9" w14:textId="68534176" w:rsidR="00840198" w:rsidRDefault="00840198" w:rsidP="00EB6117">
      <w:pPr>
        <w:pStyle w:val="Heading2"/>
        <w:spacing w:before="120"/>
        <w:rPr>
          <w:szCs w:val="26"/>
        </w:rPr>
      </w:pPr>
      <w:bookmarkStart w:id="37" w:name="_Toc104925103"/>
      <w:bookmarkStart w:id="38" w:name="_Toc116916212"/>
      <w:r>
        <w:rPr>
          <w:szCs w:val="26"/>
        </w:rPr>
        <w:t>Data extraction</w:t>
      </w:r>
      <w:r w:rsidR="00D87C3C">
        <w:rPr>
          <w:szCs w:val="26"/>
        </w:rPr>
        <w:t xml:space="preserve"> and synthesis</w:t>
      </w:r>
      <w:bookmarkEnd w:id="37"/>
      <w:bookmarkEnd w:id="38"/>
    </w:p>
    <w:p w14:paraId="028FC665" w14:textId="1895C61A" w:rsidR="00BA2FD8" w:rsidRDefault="00102C5B" w:rsidP="00D86EA8">
      <w:r>
        <w:rPr>
          <w:szCs w:val="26"/>
        </w:rPr>
        <w:t xml:space="preserve">Each article was reviewed and relevant information extracted into a coding framework based on the study’s research questions – namely, the methods used in </w:t>
      </w:r>
      <w:r w:rsidR="00C2612D">
        <w:rPr>
          <w:szCs w:val="26"/>
        </w:rPr>
        <w:t xml:space="preserve">collaborative research </w:t>
      </w:r>
      <w:r>
        <w:rPr>
          <w:szCs w:val="26"/>
        </w:rPr>
        <w:t>projects, benefits and challenges to the project, to researchers, to co-researchers and suggested best practice and solutions to challenges.</w:t>
      </w:r>
      <w:r w:rsidR="00EB6117" w:rsidRPr="00EB6117">
        <w:rPr>
          <w:rStyle w:val="FootnoteReference"/>
          <w:szCs w:val="26"/>
        </w:rPr>
        <w:t xml:space="preserve"> </w:t>
      </w:r>
      <w:r w:rsidR="00EB6117">
        <w:rPr>
          <w:rStyle w:val="FootnoteReference"/>
          <w:szCs w:val="26"/>
        </w:rPr>
        <w:footnoteReference w:id="98"/>
      </w:r>
      <w:r>
        <w:rPr>
          <w:szCs w:val="26"/>
        </w:rPr>
        <w:t xml:space="preserve"> </w:t>
      </w:r>
      <w:r w:rsidR="00D87C3C">
        <w:rPr>
          <w:szCs w:val="26"/>
        </w:rPr>
        <w:t xml:space="preserve">While there was no clear model of best practice in </w:t>
      </w:r>
      <w:r w:rsidR="00C2612D">
        <w:rPr>
          <w:szCs w:val="26"/>
        </w:rPr>
        <w:t xml:space="preserve">collaborative research </w:t>
      </w:r>
      <w:r w:rsidR="00D87C3C">
        <w:rPr>
          <w:szCs w:val="26"/>
        </w:rPr>
        <w:t>reported in the literature, c</w:t>
      </w:r>
      <w:r>
        <w:rPr>
          <w:szCs w:val="26"/>
        </w:rPr>
        <w:t xml:space="preserve">ommon themes were apparent in relation to areas to consider when designing and conducting a </w:t>
      </w:r>
      <w:r w:rsidR="00C2612D">
        <w:rPr>
          <w:szCs w:val="26"/>
        </w:rPr>
        <w:t xml:space="preserve">collaborative research </w:t>
      </w:r>
      <w:r>
        <w:rPr>
          <w:szCs w:val="26"/>
        </w:rPr>
        <w:t>project</w:t>
      </w:r>
      <w:r w:rsidR="00D87C3C">
        <w:rPr>
          <w:szCs w:val="26"/>
        </w:rPr>
        <w:t>. As such, the literature was synthesi</w:t>
      </w:r>
      <w:r w:rsidR="00B14BC7">
        <w:rPr>
          <w:szCs w:val="26"/>
        </w:rPr>
        <w:t>s</w:t>
      </w:r>
      <w:r w:rsidR="00D87C3C">
        <w:rPr>
          <w:szCs w:val="26"/>
        </w:rPr>
        <w:t xml:space="preserve">ed under these common themes. </w:t>
      </w:r>
    </w:p>
    <w:p w14:paraId="04F7B70A" w14:textId="4F381100" w:rsidR="00941E6E" w:rsidRDefault="002E5CB4" w:rsidP="00E41EBC">
      <w:pPr>
        <w:pStyle w:val="Heading1"/>
      </w:pPr>
      <w:bookmarkStart w:id="39" w:name="_Toc104925105"/>
      <w:bookmarkStart w:id="40" w:name="_Toc116916213"/>
      <w:r>
        <w:t xml:space="preserve">Section 3. </w:t>
      </w:r>
      <w:r w:rsidR="00941E6E">
        <w:t>Benefits of co-research</w:t>
      </w:r>
      <w:bookmarkEnd w:id="39"/>
      <w:bookmarkEnd w:id="40"/>
    </w:p>
    <w:p w14:paraId="2E35B8C0" w14:textId="52B0572F" w:rsidR="00941E6E" w:rsidRDefault="00941E6E" w:rsidP="00E41EBC">
      <w:r>
        <w:t xml:space="preserve">The included studies highlighted the many advantages that </w:t>
      </w:r>
      <w:r w:rsidR="00E41EBC">
        <w:t>may</w:t>
      </w:r>
      <w:r>
        <w:t xml:space="preserve"> be obtained </w:t>
      </w:r>
      <w:r w:rsidR="00D146E4">
        <w:t>through</w:t>
      </w:r>
      <w:r>
        <w:t xml:space="preserve"> research collaborations between researchers and </w:t>
      </w:r>
      <w:r w:rsidR="00664218">
        <w:t>people</w:t>
      </w:r>
      <w:r>
        <w:t xml:space="preserve"> with disabilities. It was clear that both researchers and co-researchers could benefit from these partnerships. There were also many instances which </w:t>
      </w:r>
      <w:r w:rsidR="00DE16C5">
        <w:t>suggested</w:t>
      </w:r>
      <w:r>
        <w:t xml:space="preserve"> that the research projects themselves were improved due to the collaborative approaches employed</w:t>
      </w:r>
      <w:r w:rsidR="006B3715">
        <w:t>, f</w:t>
      </w:r>
      <w:r w:rsidR="00D47434">
        <w:t>or example, collaborative research was noted to generate better quality data</w:t>
      </w:r>
      <w:r w:rsidR="005139CB">
        <w:rPr>
          <w:rStyle w:val="FootnoteReference"/>
        </w:rPr>
        <w:footnoteReference w:id="99"/>
      </w:r>
      <w:r w:rsidR="007446B0">
        <w:t xml:space="preserve"> </w:t>
      </w:r>
      <w:r w:rsidR="00D47434">
        <w:t>and more varied and accessible outputs</w:t>
      </w:r>
      <w:r w:rsidR="00E26B9E">
        <w:t>.</w:t>
      </w:r>
      <w:r w:rsidR="005139CB">
        <w:rPr>
          <w:rStyle w:val="FootnoteReference"/>
        </w:rPr>
        <w:footnoteReference w:id="100"/>
      </w:r>
      <w:r w:rsidR="00D47434">
        <w:t xml:space="preserve"> </w:t>
      </w:r>
      <w:r>
        <w:t xml:space="preserve">Research collaborations are not often formally evaluated however, and so the benefits outlined in this section have largely been obtained through anecdotal evidence provided by author reports in the included studies. Nonetheless, it is important to </w:t>
      </w:r>
      <w:r w:rsidR="00DE16C5">
        <w:t>outline</w:t>
      </w:r>
      <w:r>
        <w:t xml:space="preserve"> the </w:t>
      </w:r>
      <w:r w:rsidR="00DE16C5">
        <w:t xml:space="preserve">reported </w:t>
      </w:r>
      <w:r>
        <w:t xml:space="preserve">benefits as they </w:t>
      </w:r>
      <w:r w:rsidR="00D47434">
        <w:t xml:space="preserve">highlight </w:t>
      </w:r>
      <w:r>
        <w:t>why researchers and institutions should</w:t>
      </w:r>
      <w:r w:rsidR="00D04916">
        <w:t xml:space="preserve"> consider</w:t>
      </w:r>
      <w:r>
        <w:t xml:space="preserve"> invest</w:t>
      </w:r>
      <w:r w:rsidR="00D04916">
        <w:t>ing</w:t>
      </w:r>
      <w:r>
        <w:t xml:space="preserve"> their time, energy and resources into developing and maintaining research collaborations and partnerships.</w:t>
      </w:r>
    </w:p>
    <w:p w14:paraId="5DFD677A" w14:textId="77777777" w:rsidR="00941E6E" w:rsidRDefault="00941E6E" w:rsidP="00941E6E">
      <w:pPr>
        <w:pStyle w:val="Heading2"/>
      </w:pPr>
      <w:bookmarkStart w:id="41" w:name="_Toc104925106"/>
      <w:bookmarkStart w:id="42" w:name="_Toc116916214"/>
      <w:r>
        <w:lastRenderedPageBreak/>
        <w:t>Challenging the status quo</w:t>
      </w:r>
      <w:bookmarkEnd w:id="41"/>
      <w:bookmarkEnd w:id="42"/>
    </w:p>
    <w:p w14:paraId="27AC0025" w14:textId="3D57E9EB" w:rsidR="00BC1285" w:rsidRDefault="00941E6E" w:rsidP="00941E6E">
      <w:r>
        <w:t xml:space="preserve">Several studies noted that being involved in </w:t>
      </w:r>
      <w:r w:rsidR="00C2612D">
        <w:t>collaborative research</w:t>
      </w:r>
      <w:r w:rsidR="00014838">
        <w:t xml:space="preserve"> had the power to challenge assumptions and the status quo</w:t>
      </w:r>
      <w:r w:rsidR="006976E6">
        <w:t>. B</w:t>
      </w:r>
      <w:r w:rsidR="00014838">
        <w:t>eing involved in collaborative research</w:t>
      </w:r>
      <w:r w:rsidR="00C2612D">
        <w:t xml:space="preserve"> </w:t>
      </w:r>
      <w:r>
        <w:t xml:space="preserve">gave </w:t>
      </w:r>
      <w:r w:rsidR="0090538B">
        <w:t>disabled people</w:t>
      </w:r>
      <w:r>
        <w:t xml:space="preserve"> a ‘seat at the table’ and provided a platform </w:t>
      </w:r>
      <w:r w:rsidR="002E5CB4">
        <w:t>from</w:t>
      </w:r>
      <w:r>
        <w:t xml:space="preserve"> which they could be heard</w:t>
      </w:r>
      <w:r w:rsidR="005139CB">
        <w:t>.</w:t>
      </w:r>
      <w:r w:rsidR="005139CB">
        <w:rPr>
          <w:rStyle w:val="FootnoteReference"/>
        </w:rPr>
        <w:footnoteReference w:id="101"/>
      </w:r>
      <w:r w:rsidR="0090538B">
        <w:t xml:space="preserve"> </w:t>
      </w:r>
      <w:r>
        <w:t>Co-researchers reported having felt listened to as a result of their involvement in research and that the</w:t>
      </w:r>
      <w:r w:rsidRPr="0037646F">
        <w:t xml:space="preserve"> </w:t>
      </w:r>
      <w:r>
        <w:t>v</w:t>
      </w:r>
      <w:r w:rsidRPr="009400C8">
        <w:t>alue of the</w:t>
      </w:r>
      <w:r>
        <w:t>ir</w:t>
      </w:r>
      <w:r w:rsidRPr="009400C8">
        <w:t xml:space="preserve"> voices, experiences, thoughts and knowledge regarding their own lives </w:t>
      </w:r>
      <w:r>
        <w:t>was emphasis</w:t>
      </w:r>
      <w:r w:rsidRPr="009400C8">
        <w:t>ed</w:t>
      </w:r>
      <w:r w:rsidR="005139CB">
        <w:t>.</w:t>
      </w:r>
      <w:r w:rsidR="005139CB">
        <w:rPr>
          <w:rStyle w:val="FootnoteReference"/>
        </w:rPr>
        <w:footnoteReference w:id="102"/>
      </w:r>
      <w:r w:rsidR="00E26B9E">
        <w:t xml:space="preserve"> </w:t>
      </w:r>
      <w:r w:rsidR="00CD1CAD">
        <w:t xml:space="preserve">Involvement </w:t>
      </w:r>
      <w:r w:rsidR="005F106C">
        <w:t>as</w:t>
      </w:r>
      <w:r w:rsidR="00CD1CAD">
        <w:t xml:space="preserve"> co-researchers has</w:t>
      </w:r>
      <w:r>
        <w:t xml:space="preserve"> allowed </w:t>
      </w:r>
      <w:r w:rsidR="0090538B">
        <w:t xml:space="preserve">disabled </w:t>
      </w:r>
      <w:r>
        <w:t>people to influence the research agenda and gave them control of what and how research was conducted</w:t>
      </w:r>
      <w:r w:rsidR="005139CB">
        <w:t>.</w:t>
      </w:r>
      <w:r w:rsidR="005139CB">
        <w:rPr>
          <w:rStyle w:val="FootnoteReference"/>
        </w:rPr>
        <w:footnoteReference w:id="103"/>
      </w:r>
      <w:r>
        <w:t xml:space="preserve"> Being involved in </w:t>
      </w:r>
      <w:r w:rsidR="00C2612D">
        <w:t xml:space="preserve">collaborative research </w:t>
      </w:r>
      <w:r>
        <w:t xml:space="preserve">provided an opportunity for </w:t>
      </w:r>
      <w:r w:rsidR="0090538B">
        <w:t xml:space="preserve">disabled </w:t>
      </w:r>
      <w:r>
        <w:t>people to air their frustrations and contribute their ideas</w:t>
      </w:r>
      <w:r w:rsidR="00E26B9E">
        <w:t>.</w:t>
      </w:r>
      <w:r w:rsidR="0006067C">
        <w:rPr>
          <w:rStyle w:val="FootnoteReference"/>
        </w:rPr>
        <w:footnoteReference w:id="104"/>
      </w:r>
      <w:r w:rsidR="00E26B9E">
        <w:t xml:space="preserve"> </w:t>
      </w:r>
      <w:r>
        <w:t xml:space="preserve">It also allowed </w:t>
      </w:r>
      <w:r w:rsidR="000F15F8">
        <w:t>them</w:t>
      </w:r>
      <w:r>
        <w:t xml:space="preserve"> to directly represent themselves and their communities and take control over their own future</w:t>
      </w:r>
      <w:r w:rsidR="0006067C">
        <w:t>.</w:t>
      </w:r>
      <w:r w:rsidR="0006067C">
        <w:rPr>
          <w:rStyle w:val="FootnoteReference"/>
        </w:rPr>
        <w:footnoteReference w:id="105"/>
      </w:r>
      <w:r>
        <w:t xml:space="preserve"> </w:t>
      </w:r>
      <w:r w:rsidR="00BC1285">
        <w:t xml:space="preserve">As </w:t>
      </w:r>
      <w:r w:rsidR="00D82020">
        <w:t>one co</w:t>
      </w:r>
      <w:r w:rsidR="00BC1285">
        <w:t xml:space="preserve">-researcher put it: </w:t>
      </w:r>
    </w:p>
    <w:p w14:paraId="7945B7F9" w14:textId="17FEE98E" w:rsidR="00BC1285" w:rsidRDefault="00D04916" w:rsidP="00D82020">
      <w:pPr>
        <w:pStyle w:val="BlockQuote"/>
      </w:pPr>
      <w:r>
        <w:t>…</w:t>
      </w:r>
      <w:r w:rsidR="00BC1285">
        <w:t>it means an awful lot…you’re getting people’s perspective on their lives, their feelings, their thoughts, whatever ideas they have and whatever experiences they’ve had</w:t>
      </w:r>
      <w:r w:rsidR="0006067C">
        <w:t>.</w:t>
      </w:r>
      <w:r w:rsidR="0006067C">
        <w:rPr>
          <w:rStyle w:val="FootnoteReference"/>
        </w:rPr>
        <w:footnoteReference w:id="106"/>
      </w:r>
      <w:r w:rsidR="00BC1285">
        <w:t xml:space="preserve"> </w:t>
      </w:r>
    </w:p>
    <w:p w14:paraId="5D77A955" w14:textId="5963B253" w:rsidR="00941E6E" w:rsidRDefault="00941E6E" w:rsidP="00941E6E">
      <w:r>
        <w:t xml:space="preserve">It was reported that ensuring that the voices of </w:t>
      </w:r>
      <w:r w:rsidR="0090538B">
        <w:t xml:space="preserve">disabled </w:t>
      </w:r>
      <w:r>
        <w:t xml:space="preserve">people were heard could challenge stereotypes, stigmas and assumptions about </w:t>
      </w:r>
      <w:r w:rsidR="002413E2">
        <w:t xml:space="preserve">disabled </w:t>
      </w:r>
      <w:r>
        <w:t>people</w:t>
      </w:r>
      <w:r w:rsidR="0006067C">
        <w:rPr>
          <w:rStyle w:val="FootnoteReference"/>
        </w:rPr>
        <w:footnoteReference w:id="107"/>
      </w:r>
      <w:r>
        <w:t xml:space="preserve">. For example, involvement in </w:t>
      </w:r>
      <w:r w:rsidR="00C2612D">
        <w:t xml:space="preserve">collaborative research </w:t>
      </w:r>
      <w:r>
        <w:t xml:space="preserve">demonstrated that </w:t>
      </w:r>
      <w:r w:rsidR="006A79BE">
        <w:t xml:space="preserve">people </w:t>
      </w:r>
      <w:r w:rsidR="00D82020">
        <w:t xml:space="preserve">with </w:t>
      </w:r>
      <w:r w:rsidR="006A79BE">
        <w:t xml:space="preserve">intellectual </w:t>
      </w:r>
      <w:r>
        <w:t>disabilities could take the lead in decision</w:t>
      </w:r>
      <w:r w:rsidR="00E41EBC">
        <w:t>-</w:t>
      </w:r>
      <w:r>
        <w:t>making and make valuable contributions</w:t>
      </w:r>
      <w:r w:rsidR="0006067C">
        <w:t>.</w:t>
      </w:r>
      <w:r w:rsidR="0006067C">
        <w:rPr>
          <w:rStyle w:val="FootnoteReference"/>
        </w:rPr>
        <w:footnoteReference w:id="108"/>
      </w:r>
      <w:r>
        <w:t xml:space="preserve">  </w:t>
      </w:r>
    </w:p>
    <w:p w14:paraId="26383DFE" w14:textId="09624DBD" w:rsidR="006A79BE" w:rsidRDefault="00941E6E" w:rsidP="00941E6E">
      <w:r>
        <w:t xml:space="preserve">Several studies noted that the experience </w:t>
      </w:r>
      <w:r w:rsidR="00CD1CAD">
        <w:t>of working collaboratively with co-researchers</w:t>
      </w:r>
      <w:r>
        <w:t xml:space="preserve"> challenged researchers’ own perceptions and assumptions</w:t>
      </w:r>
      <w:r w:rsidR="00E26B9E">
        <w:t>.</w:t>
      </w:r>
      <w:r w:rsidR="003E079F">
        <w:rPr>
          <w:rStyle w:val="FootnoteReference"/>
        </w:rPr>
        <w:footnoteReference w:id="109"/>
      </w:r>
      <w:r w:rsidRPr="0064342F">
        <w:t xml:space="preserve"> </w:t>
      </w:r>
      <w:r w:rsidR="00EA73C3">
        <w:lastRenderedPageBreak/>
        <w:t>R</w:t>
      </w:r>
      <w:r>
        <w:t>esearchers in one study cited that meeting service users as colleagues as opposed to patients was thought provoking and helped them stay focused on the outcomes</w:t>
      </w:r>
      <w:r w:rsidR="00E26B9E">
        <w:t>.</w:t>
      </w:r>
      <w:r w:rsidR="003E079F">
        <w:rPr>
          <w:rStyle w:val="FootnoteReference"/>
        </w:rPr>
        <w:footnoteReference w:id="110"/>
      </w:r>
      <w:r>
        <w:t xml:space="preserve"> Further, some researchers became more aware of their own academic standards and frameworks</w:t>
      </w:r>
      <w:r w:rsidR="006A79BE">
        <w:t xml:space="preserve"> and how </w:t>
      </w:r>
      <w:r w:rsidR="00CD1CAD">
        <w:t>these</w:t>
      </w:r>
      <w:r w:rsidR="006A79BE">
        <w:t xml:space="preserve"> might interfere with an inclusive approach</w:t>
      </w:r>
      <w:r w:rsidR="00E26B9E">
        <w:t>.</w:t>
      </w:r>
      <w:r w:rsidR="003E079F">
        <w:rPr>
          <w:rStyle w:val="FootnoteReference"/>
        </w:rPr>
        <w:footnoteReference w:id="111"/>
      </w:r>
      <w:r w:rsidR="00F8441F">
        <w:t xml:space="preserve"> </w:t>
      </w:r>
    </w:p>
    <w:p w14:paraId="29D73551" w14:textId="27AF4F1B" w:rsidR="006A79BE" w:rsidRDefault="006A79BE" w:rsidP="00D82020">
      <w:pPr>
        <w:pStyle w:val="BlockQuote"/>
      </w:pPr>
      <w:r>
        <w:t>At the time I was working together with Liza to prepare the interview I was convinced that we worked it out together. After our talk at the university I started to reflect on it. Now I have my doubts about us working together. I was the one who guided this activity. My framework of conducting research was leading. I wanted to talk about a topic list and I invited Liza to join me. Now I see that this didn’t work out. My academic framework was not helpful, it even stood in the way</w:t>
      </w:r>
      <w:r w:rsidR="001A7B94">
        <w:t>.</w:t>
      </w:r>
      <w:r w:rsidR="00A96B08">
        <w:rPr>
          <w:rStyle w:val="FootnoteReference"/>
        </w:rPr>
        <w:footnoteReference w:id="112"/>
      </w:r>
    </w:p>
    <w:p w14:paraId="11EC2DF5" w14:textId="067413C8" w:rsidR="00941E6E" w:rsidRDefault="006A79BE" w:rsidP="00941E6E">
      <w:r>
        <w:t>T</w:t>
      </w:r>
      <w:r w:rsidR="00941E6E">
        <w:t>he researchers in one study noted that</w:t>
      </w:r>
      <w:r w:rsidR="00D82020">
        <w:t xml:space="preserve"> after conducting</w:t>
      </w:r>
      <w:r w:rsidR="00CD3984">
        <w:t xml:space="preserve"> an inclusive project,</w:t>
      </w:r>
      <w:r w:rsidR="00941E6E">
        <w:t xml:space="preserve"> they were now </w:t>
      </w:r>
      <w:r w:rsidR="00CD3984">
        <w:t xml:space="preserve">more </w:t>
      </w:r>
      <w:r w:rsidR="00941E6E">
        <w:t>open to conducting new forms of research</w:t>
      </w:r>
      <w:r w:rsidR="00A96B08">
        <w:rPr>
          <w:rStyle w:val="FootnoteReference"/>
        </w:rPr>
        <w:footnoteReference w:id="113"/>
      </w:r>
      <w:r w:rsidR="00941E6E">
        <w:t xml:space="preserve">. Additionally, some researchers experienced a </w:t>
      </w:r>
      <w:proofErr w:type="spellStart"/>
      <w:r w:rsidR="00941E6E">
        <w:t>reconceptualisation</w:t>
      </w:r>
      <w:proofErr w:type="spellEnd"/>
      <w:r w:rsidR="00941E6E">
        <w:t xml:space="preserve"> of their own personal values, with some taking a self-critical stance or moving towards a human rights-based perspective</w:t>
      </w:r>
      <w:r w:rsidR="001A7B94">
        <w:t>.</w:t>
      </w:r>
      <w:r w:rsidR="00A96B08">
        <w:rPr>
          <w:rStyle w:val="FootnoteReference"/>
        </w:rPr>
        <w:footnoteReference w:id="114"/>
      </w:r>
      <w:r w:rsidR="00941E6E">
        <w:t xml:space="preserve"> Finally, several studies noted that the involvement of </w:t>
      </w:r>
      <w:r w:rsidR="000E04EC">
        <w:t>co-</w:t>
      </w:r>
      <w:r w:rsidR="00941E6E">
        <w:t>researchers challenged the power imbalances that exist between researchers and research participants</w:t>
      </w:r>
      <w:r w:rsidR="001A7B94">
        <w:t>.</w:t>
      </w:r>
      <w:r w:rsidR="00A96B08">
        <w:rPr>
          <w:rStyle w:val="FootnoteReference"/>
        </w:rPr>
        <w:footnoteReference w:id="115"/>
      </w:r>
      <w:r w:rsidR="00941E6E">
        <w:t xml:space="preserve"> </w:t>
      </w:r>
    </w:p>
    <w:p w14:paraId="44D54BF9" w14:textId="5BA0EC89" w:rsidR="00F822C8" w:rsidRDefault="00F822C8" w:rsidP="00941E6E">
      <w:pPr>
        <w:pStyle w:val="Heading2"/>
      </w:pPr>
      <w:bookmarkStart w:id="43" w:name="_Toc104925110"/>
      <w:bookmarkStart w:id="44" w:name="_Toc116916215"/>
      <w:r>
        <w:t xml:space="preserve">Improvements to the research </w:t>
      </w:r>
      <w:r w:rsidR="006976E6">
        <w:t>process and outcomes</w:t>
      </w:r>
      <w:bookmarkEnd w:id="44"/>
    </w:p>
    <w:p w14:paraId="761A4EE7" w14:textId="2A70CF81" w:rsidR="00941E6E" w:rsidRDefault="00941E6E" w:rsidP="00F822C8">
      <w:pPr>
        <w:pStyle w:val="Heading4"/>
      </w:pPr>
      <w:r>
        <w:t>Improvements in research planning and preparation</w:t>
      </w:r>
      <w:bookmarkEnd w:id="43"/>
      <w:r>
        <w:t xml:space="preserve"> </w:t>
      </w:r>
    </w:p>
    <w:p w14:paraId="43E04930" w14:textId="67EC431B" w:rsidR="00EC2DD2" w:rsidRDefault="00AD48B4" w:rsidP="00941E6E">
      <w:r>
        <w:t>T</w:t>
      </w:r>
      <w:r w:rsidR="00014838">
        <w:t xml:space="preserve">he findings </w:t>
      </w:r>
      <w:r w:rsidR="00B232D5">
        <w:t>indicated that</w:t>
      </w:r>
      <w:r w:rsidR="00014838">
        <w:t xml:space="preserve"> the contributions of co-researchers often resulted in more relevant and culturally appropriate research projects. </w:t>
      </w:r>
      <w:r w:rsidR="00941E6E">
        <w:t xml:space="preserve">Several studies noted the benefits co-researchers can </w:t>
      </w:r>
      <w:r w:rsidR="00557A4F">
        <w:t>bring to</w:t>
      </w:r>
      <w:r w:rsidR="00941E6E">
        <w:t xml:space="preserve"> the planning and preparation stages of research. </w:t>
      </w:r>
      <w:r w:rsidR="00941E6E" w:rsidRPr="0038527E">
        <w:t xml:space="preserve">There was a general sense across the included studies that </w:t>
      </w:r>
      <w:r w:rsidR="000E04EC">
        <w:t>co-</w:t>
      </w:r>
      <w:r w:rsidR="00941E6E" w:rsidRPr="0038527E">
        <w:t xml:space="preserve">researchers </w:t>
      </w:r>
      <w:r w:rsidR="00941E6E">
        <w:t>positively influenced the overall design of the study</w:t>
      </w:r>
      <w:r w:rsidR="001A7B94">
        <w:t>.</w:t>
      </w:r>
      <w:r w:rsidR="00A96B08">
        <w:rPr>
          <w:rStyle w:val="FootnoteReference"/>
        </w:rPr>
        <w:footnoteReference w:id="116"/>
      </w:r>
      <w:r w:rsidR="00941E6E" w:rsidRPr="00A05A6E">
        <w:t xml:space="preserve"> One study </w:t>
      </w:r>
      <w:r w:rsidR="00941E6E" w:rsidRPr="00A05A6E">
        <w:lastRenderedPageBreak/>
        <w:t>noted that discussion with members of an advisory group of people on the autism spectrum led to profound changes</w:t>
      </w:r>
      <w:r w:rsidR="00941E6E">
        <w:t xml:space="preserve"> in the research</w:t>
      </w:r>
      <w:r w:rsidR="001847BB">
        <w:t xml:space="preserve">, </w:t>
      </w:r>
      <w:r w:rsidR="001847BB" w:rsidRPr="00A05A6E">
        <w:t>such as changing the eligibility criteria of participants</w:t>
      </w:r>
      <w:r w:rsidR="001847BB">
        <w:t xml:space="preserve">, </w:t>
      </w:r>
      <w:r w:rsidR="00941E6E">
        <w:t>which improved the study</w:t>
      </w:r>
      <w:r w:rsidR="001A7B94">
        <w:t>.</w:t>
      </w:r>
      <w:r w:rsidR="00A96B08">
        <w:rPr>
          <w:rStyle w:val="FootnoteReference"/>
        </w:rPr>
        <w:footnoteReference w:id="117"/>
      </w:r>
      <w:r w:rsidR="00941E6E" w:rsidRPr="00A05A6E">
        <w:t xml:space="preserve"> Another study noted that the co-researchers provided important support in deciding whether specific measures or interventions were included, excluded or revised to make the project better</w:t>
      </w:r>
      <w:r w:rsidR="001A7B94">
        <w:t>.</w:t>
      </w:r>
      <w:r w:rsidR="00A96B08">
        <w:rPr>
          <w:rStyle w:val="FootnoteReference"/>
        </w:rPr>
        <w:footnoteReference w:id="118"/>
      </w:r>
      <w:r w:rsidR="00941E6E" w:rsidRPr="00A05A6E">
        <w:t xml:space="preserve"> </w:t>
      </w:r>
      <w:r w:rsidR="00941E6E">
        <w:t>Co-researchers were also considered</w:t>
      </w:r>
      <w:r w:rsidR="00941E6E" w:rsidRPr="0038527E">
        <w:t xml:space="preserve"> invaluable for identifying research priorities and generating new thinking for future </w:t>
      </w:r>
      <w:r w:rsidR="00426AD7">
        <w:t>research</w:t>
      </w:r>
      <w:r w:rsidR="006F565D">
        <w:t>.</w:t>
      </w:r>
      <w:r w:rsidR="00A96B08">
        <w:rPr>
          <w:rStyle w:val="FootnoteReference"/>
        </w:rPr>
        <w:footnoteReference w:id="119"/>
      </w:r>
      <w:r w:rsidR="00941E6E" w:rsidRPr="0038527E">
        <w:t xml:space="preserve"> For example, a couple of studies noted that the </w:t>
      </w:r>
      <w:r w:rsidR="000E04EC">
        <w:t>co-</w:t>
      </w:r>
      <w:r w:rsidR="00941E6E" w:rsidRPr="0038527E">
        <w:t>researchers were instrumental in identifying appropriate research questions and informing the type of research that should be conducted</w:t>
      </w:r>
      <w:r w:rsidR="001A7B94">
        <w:t>.</w:t>
      </w:r>
      <w:r w:rsidR="00A96B08">
        <w:rPr>
          <w:rStyle w:val="FootnoteReference"/>
        </w:rPr>
        <w:footnoteReference w:id="120"/>
      </w:r>
      <w:r w:rsidR="00941E6E">
        <w:t xml:space="preserve"> </w:t>
      </w:r>
    </w:p>
    <w:p w14:paraId="6A51F910" w14:textId="16CFE20E" w:rsidR="00941E6E" w:rsidRDefault="00941E6E" w:rsidP="00941E6E">
      <w:r>
        <w:t>Several studies also noted that co-researchers thought of things that researchers had not thought of, such as research ideas and questions to ask during research interviews</w:t>
      </w:r>
      <w:r w:rsidR="006F565D">
        <w:t>.</w:t>
      </w:r>
      <w:r w:rsidR="00A96B08">
        <w:rPr>
          <w:rStyle w:val="FootnoteReference"/>
        </w:rPr>
        <w:footnoteReference w:id="121"/>
      </w:r>
      <w:r w:rsidR="00AB085B" w:rsidRPr="00AB085B">
        <w:t xml:space="preserve"> </w:t>
      </w:r>
      <w:r w:rsidR="00B503D9">
        <w:t>T</w:t>
      </w:r>
      <w:r w:rsidR="00557A4F">
        <w:t>he involvement of co-rese</w:t>
      </w:r>
      <w:r w:rsidR="00B503D9">
        <w:t>ar</w:t>
      </w:r>
      <w:r w:rsidR="00557A4F">
        <w:t>chers also helped to ensure that research designs were implementable. A</w:t>
      </w:r>
      <w:r>
        <w:t xml:space="preserve"> number of studies noted that </w:t>
      </w:r>
      <w:r w:rsidR="00EE49F2">
        <w:t>co-</w:t>
      </w:r>
      <w:r>
        <w:t>researchers were able to foresee logistical issues in conducting the research that researchers may not have anticipated</w:t>
      </w:r>
      <w:r w:rsidR="006F565D">
        <w:t>.</w:t>
      </w:r>
      <w:r w:rsidR="00A96B08">
        <w:rPr>
          <w:rStyle w:val="FootnoteReference"/>
        </w:rPr>
        <w:footnoteReference w:id="122"/>
      </w:r>
      <w:r>
        <w:t xml:space="preserve"> This included barriers to implementing interventions, issues with the overall design of the research and recruitment plans</w:t>
      </w:r>
      <w:r w:rsidR="006F565D">
        <w:t>.</w:t>
      </w:r>
      <w:r w:rsidR="00A96B08">
        <w:rPr>
          <w:rStyle w:val="FootnoteReference"/>
        </w:rPr>
        <w:footnoteReference w:id="123"/>
      </w:r>
      <w:r>
        <w:t xml:space="preserve"> Involving </w:t>
      </w:r>
      <w:r w:rsidR="00EE49F2">
        <w:t>co-</w:t>
      </w:r>
      <w:r>
        <w:t>researchers in the early stages can mitigate such issues without negatively impacting on research timelines or budget as potential problems can be identified and addressed in advance</w:t>
      </w:r>
      <w:r w:rsidR="006F565D">
        <w:t>.</w:t>
      </w:r>
      <w:r w:rsidR="00A96B08">
        <w:rPr>
          <w:rStyle w:val="FootnoteReference"/>
        </w:rPr>
        <w:footnoteReference w:id="124"/>
      </w:r>
      <w:r w:rsidRPr="00E770EB">
        <w:t xml:space="preserve"> </w:t>
      </w:r>
      <w:r w:rsidR="000B2859">
        <w:t>A</w:t>
      </w:r>
      <w:r w:rsidR="006A0B9F">
        <w:t xml:space="preserve">s one </w:t>
      </w:r>
      <w:r w:rsidR="000B2859">
        <w:t>researcher</w:t>
      </w:r>
      <w:r w:rsidR="006A0B9F">
        <w:t xml:space="preserve"> reflected: </w:t>
      </w:r>
    </w:p>
    <w:p w14:paraId="6FD61FD2" w14:textId="37F14F77" w:rsidR="006A0B9F" w:rsidRDefault="006A0B9F" w:rsidP="00A632A1">
      <w:pPr>
        <w:pStyle w:val="BlockQuote"/>
      </w:pPr>
      <w:r w:rsidRPr="006A0B9F">
        <w:t>.</w:t>
      </w:r>
      <w:r w:rsidR="008F348D">
        <w:t>.</w:t>
      </w:r>
      <w:r w:rsidRPr="006A0B9F">
        <w:t xml:space="preserve">.well I can’t imagine how the trial would have run without it [PPI] because there were so many things we overlooked. We were so </w:t>
      </w:r>
      <w:r w:rsidRPr="006A0B9F">
        <w:lastRenderedPageBreak/>
        <w:t>focused on methodology and how things are going to work statistically. But their priority was</w:t>
      </w:r>
      <w:r w:rsidR="00E37956">
        <w:t xml:space="preserve"> what is actually going to work</w:t>
      </w:r>
      <w:r w:rsidR="006F565D">
        <w:t>.</w:t>
      </w:r>
      <w:r w:rsidR="00A96B08">
        <w:rPr>
          <w:rStyle w:val="FootnoteReference"/>
        </w:rPr>
        <w:footnoteReference w:id="125"/>
      </w:r>
    </w:p>
    <w:p w14:paraId="65CCD279" w14:textId="77777777" w:rsidR="00941E6E" w:rsidRDefault="00941E6E" w:rsidP="00F822C8">
      <w:pPr>
        <w:pStyle w:val="Heading4"/>
      </w:pPr>
      <w:bookmarkStart w:id="45" w:name="_Toc104925111"/>
      <w:r>
        <w:t>Improvements to data collection</w:t>
      </w:r>
      <w:bookmarkEnd w:id="45"/>
    </w:p>
    <w:p w14:paraId="37865BC3" w14:textId="30735E48" w:rsidR="00F91133" w:rsidRDefault="00941E6E" w:rsidP="00941E6E">
      <w:r>
        <w:t xml:space="preserve">Data collection was one of the most common stages of the research process in which co-researchers were involved. As a result, many studies noted the advantages of their involvement in relation to </w:t>
      </w:r>
      <w:r w:rsidR="002E1106">
        <w:t>data collection</w:t>
      </w:r>
      <w:r>
        <w:t xml:space="preserve">. </w:t>
      </w:r>
      <w:r w:rsidR="002E1106">
        <w:t>One of the main advantages related to</w:t>
      </w:r>
      <w:r>
        <w:t xml:space="preserve"> recruiting and</w:t>
      </w:r>
      <w:r w:rsidR="00F91133">
        <w:t xml:space="preserve"> re</w:t>
      </w:r>
      <w:r>
        <w:t xml:space="preserve">taining participants. </w:t>
      </w:r>
      <w:r w:rsidR="00EE49F2">
        <w:t>Co-</w:t>
      </w:r>
      <w:r>
        <w:t>researchers often had wide networks</w:t>
      </w:r>
      <w:r w:rsidRPr="00BB52B1">
        <w:t xml:space="preserve"> </w:t>
      </w:r>
      <w:r>
        <w:t>and their ‘insider status’ could increase access to target populations, especially harder to reach groups</w:t>
      </w:r>
      <w:r w:rsidR="006F565D">
        <w:t>.</w:t>
      </w:r>
      <w:r w:rsidR="00A96B08">
        <w:rPr>
          <w:rStyle w:val="FootnoteReference"/>
        </w:rPr>
        <w:footnoteReference w:id="126"/>
      </w:r>
      <w:r w:rsidR="006F565D">
        <w:t xml:space="preserve"> </w:t>
      </w:r>
      <w:r>
        <w:t>There</w:t>
      </w:r>
      <w:r w:rsidRPr="00BB52B1">
        <w:t xml:space="preserve"> was a general co</w:t>
      </w:r>
      <w:r>
        <w:t>nsensus that people with disabilities</w:t>
      </w:r>
      <w:r w:rsidRPr="00BB52B1">
        <w:t xml:space="preserve"> </w:t>
      </w:r>
      <w:r>
        <w:t>may be</w:t>
      </w:r>
      <w:r w:rsidRPr="00BB52B1">
        <w:t xml:space="preserve"> more likely to be involve</w:t>
      </w:r>
      <w:r w:rsidR="002E1106">
        <w:t>d in research when their peers we</w:t>
      </w:r>
      <w:r w:rsidRPr="00BB52B1">
        <w:t>re involved as researchers</w:t>
      </w:r>
      <w:r w:rsidR="006F565D">
        <w:t>.</w:t>
      </w:r>
      <w:r w:rsidR="00A96B08">
        <w:rPr>
          <w:rStyle w:val="FootnoteReference"/>
        </w:rPr>
        <w:footnoteReference w:id="127"/>
      </w:r>
      <w:r w:rsidRPr="00434453">
        <w:t xml:space="preserve"> In addition, some studies noted that recruitment</w:t>
      </w:r>
      <w:r>
        <w:t xml:space="preserve"> of participants</w:t>
      </w:r>
      <w:r w:rsidRPr="00434453">
        <w:t xml:space="preserve"> was </w:t>
      </w:r>
      <w:r>
        <w:t>more successful</w:t>
      </w:r>
      <w:r w:rsidRPr="00434453">
        <w:t xml:space="preserve"> because </w:t>
      </w:r>
      <w:r w:rsidR="00EE49F2">
        <w:t>co-</w:t>
      </w:r>
      <w:r w:rsidRPr="00434453">
        <w:t>researchers improved the accessibility of research and recruitment materials</w:t>
      </w:r>
      <w:r w:rsidR="006F565D">
        <w:t>.</w:t>
      </w:r>
      <w:r w:rsidR="00A96B08">
        <w:rPr>
          <w:rStyle w:val="FootnoteReference"/>
        </w:rPr>
        <w:footnoteReference w:id="128"/>
      </w:r>
      <w:r w:rsidRPr="00434453">
        <w:t xml:space="preserve"> </w:t>
      </w:r>
      <w:r>
        <w:t xml:space="preserve">It was also noted participants were less likely to drop out or withdraw from studies when </w:t>
      </w:r>
      <w:r w:rsidR="00EE49F2">
        <w:t>co-</w:t>
      </w:r>
      <w:r>
        <w:t>researchers were involved</w:t>
      </w:r>
      <w:r w:rsidR="00A96B08">
        <w:rPr>
          <w:rStyle w:val="FootnoteReference"/>
        </w:rPr>
        <w:footnoteReference w:id="129"/>
      </w:r>
      <w:r>
        <w:t xml:space="preserve">. </w:t>
      </w:r>
      <w:r w:rsidR="002E1106">
        <w:t>In some cases,</w:t>
      </w:r>
      <w:r>
        <w:t xml:space="preserve"> this meant that researchers had access to longer term data and could spend less time recruiting</w:t>
      </w:r>
      <w:r w:rsidR="006F565D">
        <w:t>.</w:t>
      </w:r>
      <w:r w:rsidR="00A96B08">
        <w:rPr>
          <w:rStyle w:val="FootnoteReference"/>
        </w:rPr>
        <w:footnoteReference w:id="130"/>
      </w:r>
      <w:r>
        <w:t xml:space="preserve"> Co-researchers also had a positive impact on research interviews. </w:t>
      </w:r>
      <w:r w:rsidR="002E1106">
        <w:t>C</w:t>
      </w:r>
      <w:r w:rsidR="00EE49F2">
        <w:t>o-</w:t>
      </w:r>
      <w:r>
        <w:t>researchers were</w:t>
      </w:r>
      <w:r w:rsidR="002E1106">
        <w:t xml:space="preserve"> reported to be</w:t>
      </w:r>
      <w:r>
        <w:t xml:space="preserve"> able to achieve better rapport with research participants due to their shared experiences</w:t>
      </w:r>
      <w:r w:rsidR="006F565D">
        <w:t>.</w:t>
      </w:r>
      <w:r w:rsidR="00A96B08">
        <w:rPr>
          <w:rStyle w:val="FootnoteReference"/>
        </w:rPr>
        <w:footnoteReference w:id="131"/>
      </w:r>
      <w:r>
        <w:t xml:space="preserve"> </w:t>
      </w:r>
      <w:r w:rsidR="00C86D21">
        <w:t>One researcher noted:</w:t>
      </w:r>
    </w:p>
    <w:p w14:paraId="633899D9" w14:textId="67D5516E" w:rsidR="00F91133" w:rsidRPr="00C86D21" w:rsidRDefault="00C86D21" w:rsidP="004C4B91">
      <w:pPr>
        <w:pStyle w:val="BlockQuote"/>
      </w:pPr>
      <w:r w:rsidRPr="004C4B91">
        <w:rPr>
          <w:rFonts w:eastAsia="Lato-Regular"/>
          <w:lang w:eastAsia="en-IE"/>
        </w:rPr>
        <w:t>When participants told stories about challenges, he</w:t>
      </w:r>
      <w:r>
        <w:rPr>
          <w:rFonts w:eastAsia="Lato-Regular"/>
          <w:lang w:eastAsia="en-IE"/>
        </w:rPr>
        <w:t xml:space="preserve"> [co-researcher]</w:t>
      </w:r>
      <w:r w:rsidRPr="004C4B91">
        <w:rPr>
          <w:rFonts w:eastAsia="Lato-Regular"/>
          <w:lang w:eastAsia="en-IE"/>
        </w:rPr>
        <w:t xml:space="preserve"> provided validation</w:t>
      </w:r>
      <w:r>
        <w:rPr>
          <w:rFonts w:eastAsia="Lato-Regular"/>
          <w:lang w:eastAsia="en-IE"/>
        </w:rPr>
        <w:t xml:space="preserve"> </w:t>
      </w:r>
      <w:r w:rsidRPr="004C4B91">
        <w:rPr>
          <w:rFonts w:eastAsia="Lato-Regular"/>
          <w:lang w:eastAsia="en-IE"/>
        </w:rPr>
        <w:t>by acknowledging the difficulty of the situation and sharing a</w:t>
      </w:r>
      <w:r>
        <w:rPr>
          <w:rFonts w:eastAsia="Lato-Regular"/>
          <w:lang w:eastAsia="en-IE"/>
        </w:rPr>
        <w:t xml:space="preserve"> </w:t>
      </w:r>
      <w:r w:rsidRPr="004C4B91">
        <w:rPr>
          <w:rFonts w:eastAsia="Lato-Regular"/>
          <w:lang w:eastAsia="en-IE"/>
        </w:rPr>
        <w:t>similar story from his life. Additionally, he expressed enthusiasm for</w:t>
      </w:r>
      <w:r>
        <w:rPr>
          <w:rFonts w:eastAsia="Lato-Regular"/>
          <w:lang w:eastAsia="en-IE"/>
        </w:rPr>
        <w:t xml:space="preserve"> </w:t>
      </w:r>
      <w:r w:rsidR="00D477EF">
        <w:rPr>
          <w:rFonts w:eastAsia="Lato-Regular"/>
          <w:lang w:eastAsia="en-IE"/>
        </w:rPr>
        <w:t xml:space="preserve">the participants’ </w:t>
      </w:r>
      <w:r w:rsidRPr="004C4B91">
        <w:rPr>
          <w:rFonts w:eastAsia="Lato-Regular"/>
          <w:lang w:eastAsia="en-IE"/>
        </w:rPr>
        <w:t>research, which encouraged them to share more inf</w:t>
      </w:r>
      <w:r>
        <w:rPr>
          <w:rFonts w:eastAsia="Lato-Regular"/>
          <w:lang w:eastAsia="en-IE"/>
        </w:rPr>
        <w:t>ormation</w:t>
      </w:r>
      <w:r w:rsidR="006F565D">
        <w:rPr>
          <w:rFonts w:eastAsia="Lato-Regular"/>
          <w:lang w:eastAsia="en-IE"/>
        </w:rPr>
        <w:t>.</w:t>
      </w:r>
      <w:r w:rsidR="00A96B08">
        <w:rPr>
          <w:rStyle w:val="FootnoteReference"/>
          <w:rFonts w:eastAsia="Lato-Regular"/>
          <w:lang w:eastAsia="en-IE"/>
        </w:rPr>
        <w:footnoteReference w:id="132"/>
      </w:r>
    </w:p>
    <w:p w14:paraId="61FF4F7A" w14:textId="08F6722D" w:rsidR="00941E6E" w:rsidRDefault="00D477EF" w:rsidP="00941E6E">
      <w:r>
        <w:lastRenderedPageBreak/>
        <w:t>C</w:t>
      </w:r>
      <w:r w:rsidR="00EE49F2">
        <w:t>o-</w:t>
      </w:r>
      <w:r w:rsidR="00941E6E">
        <w:t>researchers helped ensure that field work was conducted in a sensitive manner, which helped to establish trust in interview participants and helped them feel more at ease</w:t>
      </w:r>
      <w:r w:rsidR="006F565D">
        <w:t>.</w:t>
      </w:r>
      <w:r w:rsidR="00A96B08">
        <w:rPr>
          <w:rStyle w:val="FootnoteReference"/>
        </w:rPr>
        <w:footnoteReference w:id="133"/>
      </w:r>
      <w:r w:rsidR="00941E6E">
        <w:t xml:space="preserve"> </w:t>
      </w:r>
      <w:r w:rsidR="00941E6E" w:rsidRPr="00616CB6">
        <w:t>This helped participants to speak more openly and frankly</w:t>
      </w:r>
      <w:r w:rsidR="006F565D">
        <w:t>.</w:t>
      </w:r>
      <w:r w:rsidR="00A96B08">
        <w:rPr>
          <w:rStyle w:val="FootnoteReference"/>
        </w:rPr>
        <w:footnoteReference w:id="134"/>
      </w:r>
      <w:r w:rsidR="00941E6E">
        <w:t xml:space="preserve"> Several studies also noted that co-researchers enhanced the accessibility and suitability of </w:t>
      </w:r>
      <w:r w:rsidR="00F421F2">
        <w:t xml:space="preserve">recruitment and </w:t>
      </w:r>
      <w:r w:rsidR="00941E6E">
        <w:t>data collection tools and materials including interview schedules, participant information sheets and consent forms</w:t>
      </w:r>
      <w:r w:rsidR="006F565D">
        <w:t>.</w:t>
      </w:r>
      <w:r w:rsidR="00A96B08">
        <w:rPr>
          <w:rStyle w:val="FootnoteReference"/>
        </w:rPr>
        <w:footnoteReference w:id="135"/>
      </w:r>
      <w:r w:rsidR="00941E6E">
        <w:t xml:space="preserve"> One study noted that the co-researchers asked novel follow-up questions based on their shared experiences with the participants</w:t>
      </w:r>
      <w:r w:rsidR="006F565D">
        <w:t>.</w:t>
      </w:r>
      <w:r w:rsidR="00A96B08">
        <w:rPr>
          <w:rStyle w:val="FootnoteReference"/>
        </w:rPr>
        <w:footnoteReference w:id="136"/>
      </w:r>
      <w:r w:rsidR="00941E6E">
        <w:t xml:space="preserve"> Such improvements </w:t>
      </w:r>
      <w:r w:rsidR="00F421F2">
        <w:t xml:space="preserve">in general could enable </w:t>
      </w:r>
      <w:r w:rsidR="00941E6E">
        <w:t>participants to engage more meaningfully with the research without feeling patronised</w:t>
      </w:r>
      <w:r w:rsidR="006F565D">
        <w:t>.</w:t>
      </w:r>
      <w:r w:rsidR="00A96B08">
        <w:rPr>
          <w:rStyle w:val="FootnoteReference"/>
        </w:rPr>
        <w:footnoteReference w:id="137"/>
      </w:r>
      <w:r w:rsidR="00941E6E">
        <w:t xml:space="preserve"> </w:t>
      </w:r>
      <w:r>
        <w:t xml:space="preserve">These improvements to data collection generated </w:t>
      </w:r>
      <w:r w:rsidR="00941E6E">
        <w:t>a general sense across the included studies that the co-researchers</w:t>
      </w:r>
      <w:r w:rsidR="007205F3">
        <w:t>’ contributions</w:t>
      </w:r>
      <w:r w:rsidR="00941E6E">
        <w:t xml:space="preserve"> </w:t>
      </w:r>
      <w:r>
        <w:t>resulted in</w:t>
      </w:r>
      <w:r w:rsidR="00941E6E">
        <w:t xml:space="preserve"> richer, better quality data</w:t>
      </w:r>
      <w:r w:rsidR="006F565D">
        <w:t>.</w:t>
      </w:r>
      <w:r w:rsidR="00B96867">
        <w:rPr>
          <w:rStyle w:val="FootnoteReference"/>
        </w:rPr>
        <w:footnoteReference w:id="138"/>
      </w:r>
      <w:r w:rsidR="00941E6E">
        <w:t xml:space="preserve">  </w:t>
      </w:r>
    </w:p>
    <w:p w14:paraId="1A98EBA4" w14:textId="77777777" w:rsidR="00941E6E" w:rsidRDefault="00941E6E" w:rsidP="00F822C8">
      <w:pPr>
        <w:pStyle w:val="Heading4"/>
      </w:pPr>
      <w:bookmarkStart w:id="46" w:name="_Toc104925112"/>
      <w:r>
        <w:t>Improvements to data analysis</w:t>
      </w:r>
      <w:bookmarkEnd w:id="46"/>
    </w:p>
    <w:p w14:paraId="7794B0C4" w14:textId="22DA2214" w:rsidR="00941E6E" w:rsidRDefault="008D5A38" w:rsidP="00941E6E">
      <w:r>
        <w:t>In most of the studies reviewed, co-researchers were involved in analysis of qualitative data.</w:t>
      </w:r>
      <w:r w:rsidR="00D477EF" w:rsidRPr="00D477EF">
        <w:t xml:space="preserve"> </w:t>
      </w:r>
      <w:r w:rsidR="00941E6E">
        <w:t xml:space="preserve">Several studies noted that </w:t>
      </w:r>
      <w:r w:rsidR="00EE49F2">
        <w:t>co-</w:t>
      </w:r>
      <w:r w:rsidR="00941E6E">
        <w:t>researchers improved the</w:t>
      </w:r>
      <w:r w:rsidR="002E5CB4">
        <w:t xml:space="preserve"> quality of the</w:t>
      </w:r>
      <w:r w:rsidR="00941E6E">
        <w:t xml:space="preserve"> data analysis and led to deeper insights into, and better understanding of, the data and the topic under study</w:t>
      </w:r>
      <w:r w:rsidR="006F565D">
        <w:t>.</w:t>
      </w:r>
      <w:r w:rsidR="00B96867">
        <w:rPr>
          <w:rStyle w:val="FootnoteReference"/>
        </w:rPr>
        <w:footnoteReference w:id="139"/>
      </w:r>
      <w:r w:rsidR="00941E6E">
        <w:t xml:space="preserve"> It was reported that </w:t>
      </w:r>
      <w:r w:rsidR="00EE49F2">
        <w:t>co-</w:t>
      </w:r>
      <w:r w:rsidR="00941E6E">
        <w:t>researchers were often better able than researchers to interpret participants’ experiences and stories, and could offer explanations and nuances around participants’ narratives</w:t>
      </w:r>
      <w:r w:rsidR="00941E6E" w:rsidRPr="005C1BE6">
        <w:t xml:space="preserve"> </w:t>
      </w:r>
      <w:r w:rsidR="00941E6E">
        <w:t>due to a shared understanding</w:t>
      </w:r>
      <w:r w:rsidR="006F565D">
        <w:t>.</w:t>
      </w:r>
      <w:r w:rsidR="00B96867">
        <w:rPr>
          <w:rStyle w:val="FootnoteReference"/>
        </w:rPr>
        <w:footnoteReference w:id="140"/>
      </w:r>
      <w:r w:rsidR="00941E6E">
        <w:t xml:space="preserve"> Additionally, </w:t>
      </w:r>
      <w:r w:rsidR="002D4BEA">
        <w:t>it was</w:t>
      </w:r>
      <w:r w:rsidR="00941E6E">
        <w:t xml:space="preserve"> noted that </w:t>
      </w:r>
      <w:r w:rsidR="00EE49F2">
        <w:t>co-</w:t>
      </w:r>
      <w:r w:rsidR="00941E6E">
        <w:t xml:space="preserve">researchers brought a different perspective to the data analysis and interpretation, thinking about </w:t>
      </w:r>
      <w:r w:rsidR="00941E6E">
        <w:lastRenderedPageBreak/>
        <w:t xml:space="preserve">problems in ways that the </w:t>
      </w:r>
      <w:r w:rsidR="00E72FEB">
        <w:t>researchers may not have</w:t>
      </w:r>
      <w:r w:rsidR="006F565D">
        <w:t>.</w:t>
      </w:r>
      <w:r w:rsidR="00B96867">
        <w:rPr>
          <w:rStyle w:val="FootnoteReference"/>
        </w:rPr>
        <w:footnoteReference w:id="141"/>
      </w:r>
      <w:r w:rsidR="00941E6E">
        <w:t xml:space="preserve"> Such insights and perspectives, which were unlikely to have been gained through traditional research paradigms, helped to explain things that researchers may not have understood or considered otherwise and could therefore strengthen the evidence base</w:t>
      </w:r>
      <w:r w:rsidR="006F565D">
        <w:t>.</w:t>
      </w:r>
      <w:r w:rsidR="00B96867">
        <w:rPr>
          <w:rStyle w:val="FootnoteReference"/>
        </w:rPr>
        <w:footnoteReference w:id="142"/>
      </w:r>
      <w:r w:rsidR="00941E6E">
        <w:t xml:space="preserve"> </w:t>
      </w:r>
      <w:r w:rsidR="00D477EF">
        <w:t>Some studies also noted that the involvement of co-researchers added credibility and validity to the findings by bringing an added richness to the data and by combatting criticisms of bias and enhancing transparency of the research process</w:t>
      </w:r>
      <w:r w:rsidR="006F565D">
        <w:t>.</w:t>
      </w:r>
      <w:r w:rsidR="00B96867">
        <w:rPr>
          <w:rStyle w:val="FootnoteReference"/>
        </w:rPr>
        <w:footnoteReference w:id="143"/>
      </w:r>
    </w:p>
    <w:p w14:paraId="1E4E4644" w14:textId="66D6D856" w:rsidR="00941E6E" w:rsidRDefault="00941E6E" w:rsidP="00941E6E">
      <w:pPr>
        <w:pStyle w:val="BlockQuote"/>
      </w:pPr>
      <w:r w:rsidRPr="00B11E96">
        <w:t>I found the experience very rewarding, working closely with the co-researchers to analyse the qualitative data provided me with alternative analytical perspectives. I believe this led to a more comprehensive and contextualised interpretation of the data, which would not have been possible without that collaboration</w:t>
      </w:r>
      <w:r w:rsidR="006F565D">
        <w:t>.</w:t>
      </w:r>
      <w:r w:rsidR="00B96867">
        <w:rPr>
          <w:rStyle w:val="FootnoteReference"/>
        </w:rPr>
        <w:footnoteReference w:id="144"/>
      </w:r>
    </w:p>
    <w:p w14:paraId="2AFD16BE" w14:textId="4A022747" w:rsidR="00941E6E" w:rsidRPr="00945668" w:rsidRDefault="00941E6E" w:rsidP="00F822C8">
      <w:pPr>
        <w:pStyle w:val="Heading4"/>
      </w:pPr>
      <w:bookmarkStart w:id="47" w:name="_Toc104925113"/>
      <w:r>
        <w:t>Improvements to dissemination and research impact</w:t>
      </w:r>
      <w:bookmarkEnd w:id="47"/>
    </w:p>
    <w:p w14:paraId="1FC3F89D" w14:textId="643485DA" w:rsidR="00A42B94" w:rsidRDefault="00F50DC5" w:rsidP="00A42B94">
      <w:r>
        <w:t>I</w:t>
      </w:r>
      <w:r w:rsidR="00941E6E">
        <w:t xml:space="preserve">nvolving </w:t>
      </w:r>
      <w:r w:rsidR="00EE49F2">
        <w:t>co-</w:t>
      </w:r>
      <w:r w:rsidR="00941E6E">
        <w:t>researchers in the project had advantages with relation to the dissemination and impact of research findings. Some studies reported that co-researchers helped ensure that dissemination materials and strategies were accessible and appropriate and could therefore be disseminated back to the community</w:t>
      </w:r>
      <w:r w:rsidR="006F565D">
        <w:t>.</w:t>
      </w:r>
      <w:r w:rsidR="00E41688">
        <w:rPr>
          <w:rStyle w:val="FootnoteReference"/>
        </w:rPr>
        <w:footnoteReference w:id="145"/>
      </w:r>
      <w:r w:rsidR="00941E6E">
        <w:t xml:space="preserve"> </w:t>
      </w:r>
      <w:r w:rsidR="00DB490A">
        <w:t xml:space="preserve">Being involved in the research process motivated some </w:t>
      </w:r>
      <w:r w:rsidR="00941E6E">
        <w:t>co-researchers to share the findings of the study they were involved in with their communities, family and friends who may not have accessed the research otherwise</w:t>
      </w:r>
      <w:r w:rsidR="006F565D">
        <w:t>.</w:t>
      </w:r>
      <w:r w:rsidR="00E41688">
        <w:rPr>
          <w:rStyle w:val="FootnoteReference"/>
        </w:rPr>
        <w:footnoteReference w:id="146"/>
      </w:r>
      <w:r w:rsidR="00A42B94" w:rsidRPr="00A42B94">
        <w:t xml:space="preserve"> </w:t>
      </w:r>
      <w:r w:rsidR="00A42B94">
        <w:t>The authors of one study reported that:</w:t>
      </w:r>
    </w:p>
    <w:p w14:paraId="3C25591B" w14:textId="1F6002AD" w:rsidR="00A42B94" w:rsidRDefault="00A42B94" w:rsidP="00A42B94">
      <w:pPr>
        <w:pStyle w:val="BlockQuote"/>
      </w:pPr>
      <w:r>
        <w:t xml:space="preserve">Throughout the co-design process, the participant was motivated to share the results of the research with her friends on the network. </w:t>
      </w:r>
      <w:r>
        <w:lastRenderedPageBreak/>
        <w:t>Her vision was always to share the results of her work with other people who have similar disabilities</w:t>
      </w:r>
      <w:r w:rsidR="006F565D">
        <w:t>.</w:t>
      </w:r>
      <w:r w:rsidR="00E41688">
        <w:rPr>
          <w:rStyle w:val="FootnoteReference"/>
        </w:rPr>
        <w:footnoteReference w:id="147"/>
      </w:r>
    </w:p>
    <w:p w14:paraId="61648855" w14:textId="0151C3D3" w:rsidR="005273D2" w:rsidRDefault="00941E6E" w:rsidP="00A42B94">
      <w:r>
        <w:t xml:space="preserve">In terms of impact, the involvement of </w:t>
      </w:r>
      <w:r w:rsidR="00EE49F2">
        <w:t>co-</w:t>
      </w:r>
      <w:r>
        <w:t>researchers was reported to have improved interventions, maximised the impact of the research and ensured that the findings were genuinely useful and relevant to stakeholders and the populations of interest</w:t>
      </w:r>
      <w:r w:rsidR="006F565D">
        <w:t>.</w:t>
      </w:r>
      <w:r w:rsidR="00E41688">
        <w:rPr>
          <w:rStyle w:val="FootnoteReference"/>
        </w:rPr>
        <w:footnoteReference w:id="148"/>
      </w:r>
      <w:r>
        <w:t xml:space="preserve"> Ensuring that the research was grounded in the real concerns of people with disabilities ensured that issues that were important to them were highlighted and that research priorities were matched to those of the people with disabilities</w:t>
      </w:r>
      <w:r w:rsidR="006F565D">
        <w:t>,</w:t>
      </w:r>
      <w:r w:rsidR="00E41688">
        <w:rPr>
          <w:rStyle w:val="FootnoteReference"/>
        </w:rPr>
        <w:footnoteReference w:id="149"/>
      </w:r>
      <w:r w:rsidR="00DB490A">
        <w:t xml:space="preserve"> which</w:t>
      </w:r>
      <w:r>
        <w:t xml:space="preserve"> may have helped to increase the value of the research to participants</w:t>
      </w:r>
      <w:r w:rsidR="006F565D">
        <w:t>.</w:t>
      </w:r>
      <w:r w:rsidR="00E41688">
        <w:rPr>
          <w:rStyle w:val="FootnoteReference"/>
        </w:rPr>
        <w:footnoteReference w:id="150"/>
      </w:r>
      <w:r>
        <w:t xml:space="preserve"> A couple of studies noted that co-researchers also felt that they had had a positive impact on policy, practice and social change as part of their participation</w:t>
      </w:r>
      <w:r w:rsidR="006F565D">
        <w:t>.</w:t>
      </w:r>
      <w:r w:rsidR="00E41688">
        <w:rPr>
          <w:rStyle w:val="FootnoteReference"/>
        </w:rPr>
        <w:footnoteReference w:id="151"/>
      </w:r>
      <w:r w:rsidR="00A42B94">
        <w:t xml:space="preserve"> </w:t>
      </w:r>
    </w:p>
    <w:p w14:paraId="7223E34A" w14:textId="77777777" w:rsidR="00F67E37" w:rsidRDefault="00F67E37" w:rsidP="00F67E37">
      <w:pPr>
        <w:pStyle w:val="Heading2"/>
      </w:pPr>
      <w:bookmarkStart w:id="48" w:name="_Toc116916216"/>
      <w:r>
        <w:t>Personal and professional development of all researchers</w:t>
      </w:r>
      <w:bookmarkEnd w:id="48"/>
    </w:p>
    <w:p w14:paraId="243AAD22" w14:textId="467BE73C" w:rsidR="00900B40" w:rsidRDefault="00F67E37" w:rsidP="00F67E37">
      <w:r>
        <w:t>Many studies highlighted the personal and professional development experienced by both researchers and co-researchers</w:t>
      </w:r>
      <w:r w:rsidR="006F565D">
        <w:t>.</w:t>
      </w:r>
      <w:r w:rsidR="00A61C61">
        <w:rPr>
          <w:rStyle w:val="FootnoteReference"/>
        </w:rPr>
        <w:footnoteReference w:id="152"/>
      </w:r>
      <w:r w:rsidRPr="00455880">
        <w:t xml:space="preserve"> </w:t>
      </w:r>
      <w:r>
        <w:t>Co-</w:t>
      </w:r>
      <w:r w:rsidRPr="00455880">
        <w:t>researchers</w:t>
      </w:r>
      <w:r>
        <w:t xml:space="preserve"> gained valuable experience and</w:t>
      </w:r>
      <w:r w:rsidRPr="00455880">
        <w:t xml:space="preserve"> developed their research skillsets</w:t>
      </w:r>
      <w:r w:rsidR="006F565D">
        <w:t>.</w:t>
      </w:r>
      <w:r w:rsidR="00A61C61">
        <w:rPr>
          <w:rStyle w:val="FootnoteReference"/>
        </w:rPr>
        <w:footnoteReference w:id="153"/>
      </w:r>
      <w:r>
        <w:t xml:space="preserve"> M</w:t>
      </w:r>
      <w:r w:rsidRPr="00455880">
        <w:t xml:space="preserve">any </w:t>
      </w:r>
      <w:r w:rsidR="00900B40">
        <w:t xml:space="preserve">of </w:t>
      </w:r>
      <w:r>
        <w:t>these skills</w:t>
      </w:r>
      <w:r w:rsidRPr="00455880">
        <w:t xml:space="preserve"> were transferable and so could improve their </w:t>
      </w:r>
      <w:r>
        <w:t>prospects for future employment or being involved in future research projects</w:t>
      </w:r>
      <w:r w:rsidR="006F565D">
        <w:t>.</w:t>
      </w:r>
      <w:r w:rsidR="00A61C61">
        <w:rPr>
          <w:rStyle w:val="FootnoteReference"/>
        </w:rPr>
        <w:footnoteReference w:id="154"/>
      </w:r>
      <w:r w:rsidRPr="00455880">
        <w:t xml:space="preserve"> </w:t>
      </w:r>
      <w:r>
        <w:t>One study noted that co-researchers were given professional recommendations by the researchers, which enhanced their CVs</w:t>
      </w:r>
      <w:r w:rsidR="006F565D">
        <w:t>.</w:t>
      </w:r>
      <w:r w:rsidR="00253449">
        <w:rPr>
          <w:rStyle w:val="FootnoteReference"/>
        </w:rPr>
        <w:footnoteReference w:id="155"/>
      </w:r>
      <w:r>
        <w:t xml:space="preserve"> For some co-researchers, being involved in collaborative research was an opportunity to move </w:t>
      </w:r>
      <w:r w:rsidR="00900B40">
        <w:t xml:space="preserve">away </w:t>
      </w:r>
      <w:r>
        <w:t xml:space="preserve">from receiving benefits to paid </w:t>
      </w:r>
      <w:r>
        <w:lastRenderedPageBreak/>
        <w:t>employment for the first time</w:t>
      </w:r>
      <w:r w:rsidR="006F565D">
        <w:t>.</w:t>
      </w:r>
      <w:r w:rsidR="00253449">
        <w:rPr>
          <w:rStyle w:val="FootnoteReference"/>
        </w:rPr>
        <w:footnoteReference w:id="156"/>
      </w:r>
      <w:r>
        <w:t xml:space="preserve"> </w:t>
      </w:r>
      <w:r w:rsidRPr="00455880">
        <w:t xml:space="preserve">By being involved as </w:t>
      </w:r>
      <w:r>
        <w:t>co-</w:t>
      </w:r>
      <w:r w:rsidRPr="00455880">
        <w:t xml:space="preserve">researchers, </w:t>
      </w:r>
      <w:r>
        <w:t xml:space="preserve">some </w:t>
      </w:r>
      <w:r w:rsidR="00451B49">
        <w:t xml:space="preserve">disabled </w:t>
      </w:r>
      <w:r>
        <w:t>people</w:t>
      </w:r>
      <w:r w:rsidRPr="00455880">
        <w:t xml:space="preserve"> also </w:t>
      </w:r>
      <w:r>
        <w:t xml:space="preserve">reported </w:t>
      </w:r>
      <w:r w:rsidRPr="00455880">
        <w:t>develo</w:t>
      </w:r>
      <w:r>
        <w:t>ping</w:t>
      </w:r>
      <w:r w:rsidRPr="00455880">
        <w:t xml:space="preserve"> independent living skills, such as using public transport independently</w:t>
      </w:r>
      <w:r w:rsidR="006F565D">
        <w:t>.</w:t>
      </w:r>
      <w:r w:rsidR="00253449">
        <w:rPr>
          <w:rStyle w:val="FootnoteReference"/>
        </w:rPr>
        <w:footnoteReference w:id="157"/>
      </w:r>
      <w:r w:rsidRPr="00455880">
        <w:t xml:space="preserve"> </w:t>
      </w:r>
      <w:r>
        <w:t>Researchers also developed transferable skills through conducting collaborative research, such as how to develop and use accessible materials</w:t>
      </w:r>
      <w:r w:rsidR="00900B40">
        <w:t>,</w:t>
      </w:r>
      <w:r>
        <w:t xml:space="preserve"> how to build trust with co-researchers, how to meet the needs of a team of people with disabilities, and </w:t>
      </w:r>
      <w:r w:rsidR="002E5CB4">
        <w:t>how to</w:t>
      </w:r>
      <w:r>
        <w:t xml:space="preserve"> develop an appropriate informed consent process</w:t>
      </w:r>
      <w:r w:rsidR="006F565D">
        <w:t>.</w:t>
      </w:r>
      <w:r w:rsidR="00253449">
        <w:rPr>
          <w:rStyle w:val="FootnoteReference"/>
        </w:rPr>
        <w:footnoteReference w:id="158"/>
      </w:r>
      <w:r>
        <w:t xml:space="preserve"> </w:t>
      </w:r>
    </w:p>
    <w:p w14:paraId="7F8BB8E9" w14:textId="657A7E4C" w:rsidR="00F67E37" w:rsidRDefault="00F67E37" w:rsidP="00F67E37">
      <w:r w:rsidRPr="00455880">
        <w:t xml:space="preserve">In addition to developing new skills, many studies noted that </w:t>
      </w:r>
      <w:r>
        <w:t>researchers and co-</w:t>
      </w:r>
      <w:r w:rsidRPr="00455880">
        <w:t xml:space="preserve">researchers gained new knowledge. For example, some </w:t>
      </w:r>
      <w:r>
        <w:t>co-researchers reported learning</w:t>
      </w:r>
      <w:r w:rsidRPr="00455880">
        <w:t xml:space="preserve"> more about their own condition or situation</w:t>
      </w:r>
      <w:r w:rsidR="00253449">
        <w:rPr>
          <w:rStyle w:val="FootnoteReference"/>
        </w:rPr>
        <w:footnoteReference w:id="159"/>
      </w:r>
      <w:r w:rsidRPr="00455880">
        <w:t xml:space="preserve"> and about issues important to them such as housing accessibility</w:t>
      </w:r>
      <w:r w:rsidR="006F565D">
        <w:t>.</w:t>
      </w:r>
      <w:r w:rsidR="00253449">
        <w:rPr>
          <w:rStyle w:val="FootnoteReference"/>
        </w:rPr>
        <w:footnoteReference w:id="160"/>
      </w:r>
      <w:r>
        <w:t xml:space="preserve"> As one co-researcher with intellectual disability stated:</w:t>
      </w:r>
    </w:p>
    <w:p w14:paraId="2E41AE65" w14:textId="21DACF90" w:rsidR="00F67E37" w:rsidRDefault="00F67E37" w:rsidP="00F67E37">
      <w:pPr>
        <w:pStyle w:val="BlockQuote"/>
      </w:pPr>
      <w:r>
        <w:t>[Through research] you found more things about everything – what you need to know….about your own life.</w:t>
      </w:r>
      <w:r w:rsidR="009B34F4">
        <w:rPr>
          <w:rStyle w:val="FootnoteReference"/>
        </w:rPr>
        <w:footnoteReference w:id="161"/>
      </w:r>
    </w:p>
    <w:p w14:paraId="28CC13F6" w14:textId="0238FCBC" w:rsidR="00F67E37" w:rsidRPr="00455880" w:rsidRDefault="00F67E37" w:rsidP="00F67E37">
      <w:r>
        <w:t>Researchers also reported gaining valuable insight into the realities and daily lives of people with disabilities</w:t>
      </w:r>
      <w:r w:rsidR="006F565D">
        <w:t>.</w:t>
      </w:r>
      <w:r w:rsidR="009B34F4">
        <w:rPr>
          <w:rStyle w:val="FootnoteReference"/>
        </w:rPr>
        <w:footnoteReference w:id="162"/>
      </w:r>
      <w:r>
        <w:t xml:space="preserve">  </w:t>
      </w:r>
    </w:p>
    <w:p w14:paraId="382691D8" w14:textId="48FC7D0D" w:rsidR="00F67E37" w:rsidRDefault="00F67E37" w:rsidP="00F67E37">
      <w:r w:rsidRPr="00455880">
        <w:t>Sever</w:t>
      </w:r>
      <w:r>
        <w:t>al studies highlighted that t</w:t>
      </w:r>
      <w:r w:rsidRPr="00455880">
        <w:t>he skills, knowledge and experiences gained</w:t>
      </w:r>
      <w:r>
        <w:t xml:space="preserve"> by</w:t>
      </w:r>
      <w:r w:rsidRPr="00455880">
        <w:t xml:space="preserve"> </w:t>
      </w:r>
      <w:r>
        <w:t>co-</w:t>
      </w:r>
      <w:r w:rsidRPr="00455880">
        <w:t>researchers</w:t>
      </w:r>
      <w:r>
        <w:t xml:space="preserve"> </w:t>
      </w:r>
      <w:r w:rsidRPr="00455880">
        <w:t>contributed to an increase</w:t>
      </w:r>
      <w:r>
        <w:t>d</w:t>
      </w:r>
      <w:r w:rsidRPr="00455880">
        <w:t xml:space="preserve"> sense of </w:t>
      </w:r>
      <w:r>
        <w:t>self-</w:t>
      </w:r>
      <w:r w:rsidRPr="00455880">
        <w:t>confidence, motivation and empowerment</w:t>
      </w:r>
      <w:r w:rsidR="006F565D">
        <w:t>.</w:t>
      </w:r>
      <w:r w:rsidR="006D53DD">
        <w:rPr>
          <w:rStyle w:val="FootnoteReference"/>
        </w:rPr>
        <w:footnoteReference w:id="163"/>
      </w:r>
      <w:r w:rsidRPr="00455880">
        <w:t xml:space="preserve"> </w:t>
      </w:r>
    </w:p>
    <w:p w14:paraId="3AB5DE44" w14:textId="3FF921C4" w:rsidR="00F67E37" w:rsidRDefault="00F67E37" w:rsidP="00F67E37">
      <w:pPr>
        <w:pStyle w:val="BlockQuote"/>
      </w:pPr>
      <w:r w:rsidRPr="00B11E96">
        <w:t xml:space="preserve">Being a part of this team has been wonderful and extraordinary, and “empowered” is not a strong enough word for how I feel. Thank you for letting me be involved – this project has completely </w:t>
      </w:r>
      <w:r w:rsidRPr="00B11E96">
        <w:lastRenderedPageBreak/>
        <w:t>transformed how I view the world of research and technology,</w:t>
      </w:r>
      <w:r w:rsidR="006F565D">
        <w:t xml:space="preserve"> and I will be forever grateful.</w:t>
      </w:r>
      <w:r w:rsidR="007D3B8D">
        <w:rPr>
          <w:rStyle w:val="FootnoteReference"/>
        </w:rPr>
        <w:footnoteReference w:id="164"/>
      </w:r>
    </w:p>
    <w:p w14:paraId="6E1CA586" w14:textId="6307DDF7" w:rsidR="00F67E37" w:rsidRDefault="00F67E37" w:rsidP="00F67E37">
      <w:r>
        <w:t>A number of studies noted that co-researchers reported feeling empowered to identify and make changes in their own lives or become activists or advocates</w:t>
      </w:r>
      <w:r w:rsidR="006F565D">
        <w:t>,</w:t>
      </w:r>
      <w:r w:rsidR="007D3B8D">
        <w:rPr>
          <w:rStyle w:val="FootnoteReference"/>
        </w:rPr>
        <w:footnoteReference w:id="165"/>
      </w:r>
      <w:r>
        <w:t xml:space="preserve"> for example:</w:t>
      </w:r>
    </w:p>
    <w:p w14:paraId="5C07092D" w14:textId="36799CCA" w:rsidR="00F67E37" w:rsidRDefault="00F67E37" w:rsidP="00F67E37">
      <w:pPr>
        <w:pStyle w:val="BlockQuote"/>
        <w:rPr>
          <w:lang w:eastAsia="en-IE"/>
        </w:rPr>
      </w:pPr>
      <w:r w:rsidRPr="00DE7E40">
        <w:rPr>
          <w:lang w:eastAsia="en-IE"/>
        </w:rPr>
        <w:t>Taking part in the Patient and Public Involvement forum has</w:t>
      </w:r>
      <w:r>
        <w:rPr>
          <w:lang w:eastAsia="en-IE"/>
        </w:rPr>
        <w:t xml:space="preserve"> </w:t>
      </w:r>
      <w:r w:rsidRPr="00DE7E40">
        <w:rPr>
          <w:lang w:eastAsia="en-IE"/>
        </w:rPr>
        <w:t>boosted my self-confidence and knowledge that I can still make a useful contribution to society</w:t>
      </w:r>
      <w:r w:rsidR="006F565D">
        <w:rPr>
          <w:lang w:eastAsia="en-IE"/>
        </w:rPr>
        <w:t>.</w:t>
      </w:r>
      <w:r w:rsidR="007D3B8D">
        <w:rPr>
          <w:rStyle w:val="FootnoteReference"/>
          <w:lang w:eastAsia="en-IE"/>
        </w:rPr>
        <w:footnoteReference w:id="166"/>
      </w:r>
    </w:p>
    <w:p w14:paraId="14F7FB29" w14:textId="0B249A49" w:rsidR="00F67E37" w:rsidRPr="00455880" w:rsidRDefault="00F67E37" w:rsidP="00F67E37">
      <w:r>
        <w:t>Other studies reported that being involved in collaborative research had motivated co-researchers to pursue new opportunities and some had already been able to use their new skills in jobs inside and outside of academic settings or had gone on to higher education</w:t>
      </w:r>
      <w:r w:rsidR="006F565D">
        <w:t>.</w:t>
      </w:r>
      <w:r w:rsidR="007D3B8D">
        <w:rPr>
          <w:rStyle w:val="FootnoteReference"/>
        </w:rPr>
        <w:footnoteReference w:id="167"/>
      </w:r>
    </w:p>
    <w:p w14:paraId="086B1862" w14:textId="11F14C92" w:rsidR="00F67E37" w:rsidRDefault="00F67E37" w:rsidP="00F67E37">
      <w:r>
        <w:t xml:space="preserve">The social element of involvement in collaborative research was something that the </w:t>
      </w:r>
      <w:r w:rsidR="00900B40">
        <w:t>co-researchers</w:t>
      </w:r>
      <w:r>
        <w:t xml:space="preserve"> also enjoyed as they made new friendships and widened their networks</w:t>
      </w:r>
      <w:r w:rsidR="006F565D">
        <w:t>.</w:t>
      </w:r>
      <w:r w:rsidR="007D3B8D">
        <w:rPr>
          <w:rStyle w:val="FootnoteReference"/>
        </w:rPr>
        <w:footnoteReference w:id="168"/>
      </w:r>
      <w:r>
        <w:t xml:space="preserve"> Researchers also benefitted from widening their research networks</w:t>
      </w:r>
      <w:r w:rsidR="007D3B8D">
        <w:rPr>
          <w:rStyle w:val="FootnoteReference"/>
        </w:rPr>
        <w:footnoteReference w:id="169"/>
      </w:r>
      <w:r>
        <w:t xml:space="preserve"> with a couple of studies noting that they were able to develop </w:t>
      </w:r>
      <w:r w:rsidR="001B39B1">
        <w:t>long-term</w:t>
      </w:r>
      <w:r>
        <w:t xml:space="preserve"> relationships with the communities of interest</w:t>
      </w:r>
      <w:r w:rsidR="006F565D">
        <w:t>.</w:t>
      </w:r>
      <w:r w:rsidR="007D3B8D">
        <w:rPr>
          <w:rStyle w:val="FootnoteReference"/>
        </w:rPr>
        <w:footnoteReference w:id="170"/>
      </w:r>
    </w:p>
    <w:p w14:paraId="0912BBA4" w14:textId="77777777" w:rsidR="00F67E37" w:rsidRDefault="00F67E37" w:rsidP="00F67E37">
      <w:pPr>
        <w:pStyle w:val="Heading2"/>
      </w:pPr>
      <w:bookmarkStart w:id="49" w:name="_Toc116916217"/>
      <w:r>
        <w:t>Sense of belonging and support in collaborative research teams</w:t>
      </w:r>
      <w:bookmarkEnd w:id="49"/>
    </w:p>
    <w:p w14:paraId="2EB53DC6" w14:textId="66E8AFFB" w:rsidR="00F67E37" w:rsidRDefault="00014838" w:rsidP="00F67E37">
      <w:r>
        <w:t>T</w:t>
      </w:r>
      <w:r w:rsidR="00F67E37">
        <w:t xml:space="preserve">he sense of belonging and being part of a team and the associated benefits experienced by researchers and co-researchers </w:t>
      </w:r>
      <w:r>
        <w:t>was a common observation</w:t>
      </w:r>
      <w:r w:rsidR="006F565D">
        <w:t>.</w:t>
      </w:r>
      <w:r w:rsidR="002960A4">
        <w:rPr>
          <w:rStyle w:val="FootnoteReference"/>
        </w:rPr>
        <w:footnoteReference w:id="171"/>
      </w:r>
      <w:r w:rsidR="00F67E37">
        <w:t xml:space="preserve"> As one co-researcher with an intellectual disability noted: </w:t>
      </w:r>
    </w:p>
    <w:p w14:paraId="7A0F9B6F" w14:textId="08CEFA44" w:rsidR="00F67E37" w:rsidRDefault="00F67E37" w:rsidP="00F67E37">
      <w:pPr>
        <w:pStyle w:val="BlockQuote"/>
      </w:pPr>
      <w:r>
        <w:lastRenderedPageBreak/>
        <w:t>Being part of a group…I’m less scared now and feel more confident because I came over to this country from Pakistan</w:t>
      </w:r>
      <w:r w:rsidR="006F565D">
        <w:t>.</w:t>
      </w:r>
      <w:r w:rsidR="002960A4">
        <w:rPr>
          <w:rStyle w:val="FootnoteReference"/>
        </w:rPr>
        <w:footnoteReference w:id="172"/>
      </w:r>
      <w:r>
        <w:t xml:space="preserve"> </w:t>
      </w:r>
    </w:p>
    <w:p w14:paraId="43CAEE9B" w14:textId="32635694" w:rsidR="00F67E37" w:rsidRDefault="00F67E37" w:rsidP="00F67E37">
      <w:r>
        <w:t>A number of studies commented that co-researchers reported feelings of solidarity with one another and felt they had a stronger voice together</w:t>
      </w:r>
      <w:r w:rsidR="006F565D">
        <w:t>.</w:t>
      </w:r>
      <w:r w:rsidR="002960A4">
        <w:rPr>
          <w:rStyle w:val="FootnoteReference"/>
        </w:rPr>
        <w:footnoteReference w:id="173"/>
      </w:r>
      <w:r>
        <w:t xml:space="preserve"> Some co-researchers also experienced a s</w:t>
      </w:r>
      <w:r w:rsidRPr="00956ED9">
        <w:t>ense of cohesion</w:t>
      </w:r>
      <w:r>
        <w:t xml:space="preserve"> and</w:t>
      </w:r>
      <w:r w:rsidRPr="00956ED9">
        <w:t xml:space="preserve"> trust</w:t>
      </w:r>
      <w:r>
        <w:t xml:space="preserve"> in collegial and equal relationships with researchers</w:t>
      </w:r>
      <w:r w:rsidR="006F565D">
        <w:t>.</w:t>
      </w:r>
      <w:r w:rsidR="002960A4">
        <w:rPr>
          <w:rStyle w:val="FootnoteReference"/>
        </w:rPr>
        <w:footnoteReference w:id="174"/>
      </w:r>
      <w:r>
        <w:t xml:space="preserve"> </w:t>
      </w:r>
    </w:p>
    <w:p w14:paraId="5B307EC2" w14:textId="72A1CCAA" w:rsidR="00F67E37" w:rsidRDefault="00F67E37" w:rsidP="00F67E37">
      <w:pPr>
        <w:pStyle w:val="BlockQuote"/>
      </w:pPr>
      <w:r>
        <w:t>Going back to the very beginning the feelings of respect have been present. . . It has developed into trust</w:t>
      </w:r>
      <w:r w:rsidR="006F565D">
        <w:t>.</w:t>
      </w:r>
      <w:r w:rsidR="002960A4">
        <w:rPr>
          <w:rStyle w:val="FootnoteReference"/>
        </w:rPr>
        <w:footnoteReference w:id="175"/>
      </w:r>
    </w:p>
    <w:p w14:paraId="6E7BB922" w14:textId="48CBEB72" w:rsidR="00F67E37" w:rsidRDefault="00F67E37" w:rsidP="00F67E37">
      <w:r>
        <w:t>This sense of equality may have been obtained because the experience of involvement led to increased mutual understanding between the researchers and co-researchers</w:t>
      </w:r>
      <w:r w:rsidR="00DF02B7">
        <w:rPr>
          <w:rStyle w:val="FootnoteReference"/>
        </w:rPr>
        <w:footnoteReference w:id="176"/>
      </w:r>
      <w:r>
        <w:t>. Further, acknowledging each other’s diversity and valuing differences enabled the various members to empower each other and facilitated them in feeling more connected to each other</w:t>
      </w:r>
      <w:r w:rsidR="006F565D">
        <w:t>.</w:t>
      </w:r>
      <w:r w:rsidR="00DF02B7">
        <w:rPr>
          <w:rStyle w:val="FootnoteReference"/>
        </w:rPr>
        <w:footnoteReference w:id="177"/>
      </w:r>
      <w:r>
        <w:t xml:space="preserve"> Several studies also noted that co-researchers reported feeling supported by their peers and the researchers both within and outside the project environment</w:t>
      </w:r>
      <w:r w:rsidR="006F565D">
        <w:t>.</w:t>
      </w:r>
      <w:r w:rsidR="00DF02B7">
        <w:rPr>
          <w:rStyle w:val="FootnoteReference"/>
        </w:rPr>
        <w:footnoteReference w:id="178"/>
      </w:r>
      <w:r>
        <w:t xml:space="preserve"> </w:t>
      </w:r>
    </w:p>
    <w:p w14:paraId="173AF485" w14:textId="77777777" w:rsidR="00F67E37" w:rsidRDefault="00F67E37" w:rsidP="00F67E37">
      <w:pPr>
        <w:pStyle w:val="Heading2"/>
      </w:pPr>
      <w:bookmarkStart w:id="50" w:name="_Toc116916218"/>
      <w:r>
        <w:t>An enjoyable and rewarding experience</w:t>
      </w:r>
      <w:bookmarkEnd w:id="50"/>
    </w:p>
    <w:p w14:paraId="4BC35F1E" w14:textId="41493BEC" w:rsidR="00F67E37" w:rsidRDefault="00F67E37" w:rsidP="00F67E37">
      <w:r>
        <w:t>Several studies noted that both researchers and co-researchers found the experience of conducting collaborative research enjoyable</w:t>
      </w:r>
      <w:r w:rsidR="006F565D">
        <w:t>.</w:t>
      </w:r>
      <w:r w:rsidR="008227A8">
        <w:rPr>
          <w:rStyle w:val="FootnoteReference"/>
        </w:rPr>
        <w:footnoteReference w:id="179"/>
      </w:r>
      <w:r>
        <w:t xml:space="preserve"> Researchers reported finding the experience uplifting and rewarding as they were able to support people to achieve their desired outcomes</w:t>
      </w:r>
      <w:r w:rsidR="006F565D">
        <w:t>.</w:t>
      </w:r>
      <w:r w:rsidR="008227A8">
        <w:rPr>
          <w:rStyle w:val="FootnoteReference"/>
        </w:rPr>
        <w:footnoteReference w:id="180"/>
      </w:r>
      <w:r>
        <w:t xml:space="preserve"> In one study, the </w:t>
      </w:r>
      <w:r w:rsidR="006F565D">
        <w:lastRenderedPageBreak/>
        <w:t>r</w:t>
      </w:r>
      <w:r>
        <w:t>esearchers found the process liberating, as they could be creative when responding to ideas from co-researchers</w:t>
      </w:r>
      <w:r w:rsidR="006F565D">
        <w:t>.</w:t>
      </w:r>
      <w:r w:rsidR="008227A8">
        <w:rPr>
          <w:rStyle w:val="FootnoteReference"/>
        </w:rPr>
        <w:footnoteReference w:id="181"/>
      </w:r>
      <w:r>
        <w:t xml:space="preserve"> As one researcher stated:</w:t>
      </w:r>
    </w:p>
    <w:p w14:paraId="2124E2B5" w14:textId="5AA16C52" w:rsidR="00F67E37" w:rsidRDefault="00F67E37" w:rsidP="00F67E37">
      <w:pPr>
        <w:pStyle w:val="BlockQuote"/>
      </w:pPr>
      <w:r>
        <w:t>I’d just like you to note that it has been an amazing and uplifting experience for me, I’ve done lots of work around mental health and disability and</w:t>
      </w:r>
      <w:r w:rsidR="00C334D7">
        <w:t xml:space="preserve"> this has been right up there. T</w:t>
      </w:r>
      <w:r>
        <w:t>he researchers are an absolute pleasure to work with, it’s been brilliant to see them come alive and begin to fulfil their potential</w:t>
      </w:r>
      <w:r w:rsidR="006F565D">
        <w:t>.</w:t>
      </w:r>
      <w:r w:rsidR="008227A8">
        <w:rPr>
          <w:rStyle w:val="FootnoteReference"/>
        </w:rPr>
        <w:footnoteReference w:id="182"/>
      </w:r>
    </w:p>
    <w:p w14:paraId="1F1A074F" w14:textId="2E1FD821" w:rsidR="00F67E37" w:rsidRDefault="00F67E37" w:rsidP="00F67E37">
      <w:r>
        <w:t>Co-researchers also reported finding the experience rewarding and fun</w:t>
      </w:r>
      <w:r w:rsidR="006F565D">
        <w:t>.</w:t>
      </w:r>
      <w:r w:rsidR="008227A8">
        <w:rPr>
          <w:rStyle w:val="FootnoteReference"/>
        </w:rPr>
        <w:footnoteReference w:id="183"/>
      </w:r>
      <w:r>
        <w:t xml:space="preserve"> They reported enjoying applying the skills they had learned and presenting at conferences</w:t>
      </w:r>
      <w:r w:rsidR="006F565D">
        <w:t>.</w:t>
      </w:r>
      <w:r w:rsidR="008227A8">
        <w:rPr>
          <w:rStyle w:val="FootnoteReference"/>
        </w:rPr>
        <w:footnoteReference w:id="184"/>
      </w:r>
      <w:r>
        <w:t xml:space="preserve"> In some cases, i</w:t>
      </w:r>
      <w:r w:rsidDel="005A1F7E">
        <w:t xml:space="preserve">nvolvement </w:t>
      </w:r>
      <w:r>
        <w:t xml:space="preserve">was also reported to have </w:t>
      </w:r>
      <w:r w:rsidDel="005A1F7E">
        <w:t>had a positive effect on co-researchers’ wellbeing</w:t>
      </w:r>
      <w:r w:rsidR="006F565D">
        <w:t>.</w:t>
      </w:r>
      <w:r w:rsidR="008227A8">
        <w:rPr>
          <w:rStyle w:val="FootnoteReference"/>
        </w:rPr>
        <w:footnoteReference w:id="185"/>
      </w:r>
      <w:r w:rsidDel="005A1F7E">
        <w:t xml:space="preserve"> </w:t>
      </w:r>
      <w:r>
        <w:t>In addition to enjoying the experience, a number of studies reported that co-researchers felt their involvement gave them a sense of being able to help others and to give back to the community</w:t>
      </w:r>
      <w:r w:rsidR="006F565D">
        <w:t>.</w:t>
      </w:r>
      <w:r w:rsidR="008227A8">
        <w:rPr>
          <w:rStyle w:val="FootnoteReference"/>
        </w:rPr>
        <w:footnoteReference w:id="186"/>
      </w:r>
      <w:r>
        <w:t xml:space="preserve"> As a result, many co-researchers reported that they felt valued and developed a sense of pride and achievement in their involvement</w:t>
      </w:r>
      <w:r w:rsidR="006F565D">
        <w:t>.</w:t>
      </w:r>
      <w:r w:rsidR="008227A8">
        <w:rPr>
          <w:rStyle w:val="FootnoteReference"/>
        </w:rPr>
        <w:footnoteReference w:id="187"/>
      </w:r>
      <w:r>
        <w:t xml:space="preserve"> In a study examining mental healthcare and cancer services users’ experiences of involvement in research, one participant stated:</w:t>
      </w:r>
    </w:p>
    <w:p w14:paraId="4497151A" w14:textId="20EFA850" w:rsidR="00F67E37" w:rsidRDefault="00F67E37" w:rsidP="00F67E37">
      <w:pPr>
        <w:pStyle w:val="BlockQuote"/>
      </w:pPr>
      <w:r>
        <w:t>More than anything I feel I have had an impact, generally beneficial for others. That level of satisfaction is often hard to achieve I have found over th</w:t>
      </w:r>
      <w:r w:rsidR="00C334D7">
        <w:t>e years</w:t>
      </w:r>
      <w:r w:rsidR="006F565D">
        <w:t>.</w:t>
      </w:r>
      <w:r w:rsidR="008227A8">
        <w:rPr>
          <w:rStyle w:val="FootnoteReference"/>
        </w:rPr>
        <w:footnoteReference w:id="188"/>
      </w:r>
    </w:p>
    <w:p w14:paraId="73115125" w14:textId="18BE0515" w:rsidR="00F67E37" w:rsidRDefault="00F67E37" w:rsidP="00F67E37">
      <w:r>
        <w:t>Working as co-researchers also offered the opportunities for new experiences such as travelling abroad</w:t>
      </w:r>
      <w:r w:rsidR="006F565D">
        <w:t>.</w:t>
      </w:r>
      <w:r w:rsidR="008227A8">
        <w:rPr>
          <w:rStyle w:val="FootnoteReference"/>
        </w:rPr>
        <w:footnoteReference w:id="189"/>
      </w:r>
      <w:r>
        <w:t xml:space="preserve"> Finally, a few studies reported that some co-</w:t>
      </w:r>
      <w:r>
        <w:lastRenderedPageBreak/>
        <w:t>researchers who had mental health difficulties gained therapeutic benefits as part of their involvement and felt it helped in their recovery</w:t>
      </w:r>
      <w:r w:rsidR="006F565D">
        <w:t>.</w:t>
      </w:r>
      <w:r w:rsidR="00A60449">
        <w:rPr>
          <w:rStyle w:val="FootnoteReference"/>
        </w:rPr>
        <w:footnoteReference w:id="190"/>
      </w:r>
    </w:p>
    <w:p w14:paraId="5606A5C5" w14:textId="693C0332" w:rsidR="00DB5669" w:rsidRDefault="002E5CB4" w:rsidP="00DB5669">
      <w:pPr>
        <w:pStyle w:val="Heading1"/>
      </w:pPr>
      <w:bookmarkStart w:id="51" w:name="_Toc104925114"/>
      <w:bookmarkStart w:id="52" w:name="_Toc116916219"/>
      <w:r>
        <w:t xml:space="preserve">Section 4. </w:t>
      </w:r>
      <w:r w:rsidR="00DB5669">
        <w:t xml:space="preserve">Important considerations on designing and conducting </w:t>
      </w:r>
      <w:r w:rsidR="00C2612D">
        <w:t xml:space="preserve">collaborative research </w:t>
      </w:r>
      <w:r w:rsidR="00DB5669">
        <w:t>projects</w:t>
      </w:r>
      <w:bookmarkEnd w:id="51"/>
      <w:bookmarkEnd w:id="52"/>
    </w:p>
    <w:p w14:paraId="5812604A" w14:textId="46F7A1D8" w:rsidR="00DB5669" w:rsidRDefault="00DB5669" w:rsidP="00DB5669">
      <w:r>
        <w:t xml:space="preserve">The reviewed studies approached </w:t>
      </w:r>
      <w:r w:rsidR="00C2612D">
        <w:t xml:space="preserve">collaborative research </w:t>
      </w:r>
      <w:r>
        <w:t>projects in many different ways</w:t>
      </w:r>
      <w:r w:rsidR="00ED58F0">
        <w:t>.</w:t>
      </w:r>
      <w:r w:rsidR="000640AD">
        <w:t xml:space="preserve"> </w:t>
      </w:r>
      <w:r w:rsidR="00ED58F0">
        <w:t>Pe</w:t>
      </w:r>
      <w:r w:rsidR="000640AD">
        <w:t>ople with disabilities were involved</w:t>
      </w:r>
      <w:r w:rsidR="00014C5C">
        <w:t xml:space="preserve"> at different parts of the research process</w:t>
      </w:r>
      <w:r w:rsidR="00ED58F0">
        <w:t xml:space="preserve"> and</w:t>
      </w:r>
      <w:r w:rsidR="00014C5C">
        <w:t xml:space="preserve"> to various extents, studies differed as to whether co-researchers were paid or otherwise acknowledged for their role and studies ranged in how prepared they were for addressing accessibility and accommodation needs of co-researchers. Overall, </w:t>
      </w:r>
      <w:r>
        <w:t>there does not appear to be one best practice</w:t>
      </w:r>
      <w:r w:rsidR="00CC141E">
        <w:t xml:space="preserve"> model of</w:t>
      </w:r>
      <w:r>
        <w:t xml:space="preserve"> </w:t>
      </w:r>
      <w:r w:rsidR="009237D2">
        <w:t>collaborative research.</w:t>
      </w:r>
      <w:r>
        <w:t xml:space="preserve"> This is perhaps not surprising given such collaborations and partnerships are quite recent endeavours and </w:t>
      </w:r>
      <w:r w:rsidR="00325DD5">
        <w:t>with that,</w:t>
      </w:r>
      <w:r>
        <w:t xml:space="preserve"> appear still to be developmental in nature. </w:t>
      </w:r>
      <w:r w:rsidR="009F3611">
        <w:t xml:space="preserve">In addition, </w:t>
      </w:r>
      <w:r w:rsidR="00312BB9">
        <w:t xml:space="preserve">as previously noted, </w:t>
      </w:r>
      <w:r w:rsidR="009F3611">
        <w:t xml:space="preserve">there have been limited systematic evaluations of the involvement of </w:t>
      </w:r>
      <w:r w:rsidR="00451B49">
        <w:t xml:space="preserve">disabled </w:t>
      </w:r>
      <w:r w:rsidR="009F3611">
        <w:t>people as partners in research</w:t>
      </w:r>
      <w:r w:rsidR="002772E3">
        <w:t xml:space="preserve"> so there is a lack of empirical evidence regarding </w:t>
      </w:r>
      <w:r w:rsidR="007C1157">
        <w:t>effective</w:t>
      </w:r>
      <w:r w:rsidR="002772E3">
        <w:t xml:space="preserve"> practice</w:t>
      </w:r>
      <w:r w:rsidR="007C1157">
        <w:t>s</w:t>
      </w:r>
      <w:r w:rsidR="002772E3">
        <w:t>.</w:t>
      </w:r>
      <w:r w:rsidR="007C1157">
        <w:t xml:space="preserve"> </w:t>
      </w:r>
      <w:r>
        <w:t>However, the reviewed studies</w:t>
      </w:r>
      <w:r w:rsidR="002772E3">
        <w:t xml:space="preserve"> do</w:t>
      </w:r>
      <w:r>
        <w:t xml:space="preserve"> have many commonalities with regard to issues that </w:t>
      </w:r>
      <w:r w:rsidR="002772E3">
        <w:t xml:space="preserve">seem </w:t>
      </w:r>
      <w:r>
        <w:t xml:space="preserve">important to consider when designing and conducting </w:t>
      </w:r>
      <w:r w:rsidR="009237D2">
        <w:t>collaborative research,</w:t>
      </w:r>
      <w:r w:rsidR="002772E3">
        <w:t xml:space="preserve"> </w:t>
      </w:r>
      <w:r w:rsidR="007C1157">
        <w:t>including</w:t>
      </w:r>
      <w:r w:rsidR="002772E3">
        <w:t xml:space="preserve"> the </w:t>
      </w:r>
      <w:r w:rsidR="007C1157">
        <w:t xml:space="preserve">potential </w:t>
      </w:r>
      <w:r w:rsidR="002772E3">
        <w:t xml:space="preserve">challenges faced by those engaged in </w:t>
      </w:r>
      <w:r w:rsidR="009237D2">
        <w:t>collaborative research.</w:t>
      </w:r>
      <w:r>
        <w:t xml:space="preserve"> These common issues and challenges are discussed in the sections below, as are solutions and recommended best practice suggested </w:t>
      </w:r>
      <w:r w:rsidR="00FF36D3">
        <w:t>within</w:t>
      </w:r>
      <w:r>
        <w:t xml:space="preserve"> these studies. </w:t>
      </w:r>
    </w:p>
    <w:p w14:paraId="13C3B7B5" w14:textId="2B75B297" w:rsidR="00DB5669" w:rsidRDefault="00DB5669" w:rsidP="00DB5669">
      <w:pPr>
        <w:pStyle w:val="Heading2"/>
      </w:pPr>
      <w:bookmarkStart w:id="53" w:name="_Toc104925116"/>
      <w:bookmarkStart w:id="54" w:name="_Toc116916220"/>
      <w:r>
        <w:t xml:space="preserve">Aligning the traditional </w:t>
      </w:r>
      <w:r w:rsidR="007B69A0">
        <w:t>research</w:t>
      </w:r>
      <w:r>
        <w:t xml:space="preserve"> approach with</w:t>
      </w:r>
      <w:r w:rsidR="001637CE">
        <w:t xml:space="preserve"> a</w:t>
      </w:r>
      <w:r>
        <w:t xml:space="preserve"> </w:t>
      </w:r>
      <w:r w:rsidR="00C2612D">
        <w:t xml:space="preserve">collaborative research </w:t>
      </w:r>
      <w:r>
        <w:t>approach</w:t>
      </w:r>
      <w:bookmarkEnd w:id="53"/>
      <w:bookmarkEnd w:id="54"/>
    </w:p>
    <w:p w14:paraId="7292D526" w14:textId="4BF9A4A1" w:rsidR="002F0A1F" w:rsidRDefault="00DB5669" w:rsidP="00DB5669">
      <w:r>
        <w:t>The studies reviewed highlighted that there can be t</w:t>
      </w:r>
      <w:r w:rsidRPr="00254EEC">
        <w:t xml:space="preserve">ensions between traditional </w:t>
      </w:r>
      <w:r>
        <w:t>research</w:t>
      </w:r>
      <w:r w:rsidRPr="00254EEC">
        <w:t xml:space="preserve"> and </w:t>
      </w:r>
      <w:r>
        <w:t xml:space="preserve">the </w:t>
      </w:r>
      <w:r w:rsidR="00C2612D">
        <w:t xml:space="preserve">collaborative research </w:t>
      </w:r>
      <w:r>
        <w:t xml:space="preserve">approach. For example, there can be a mismatch between organisational priorities and </w:t>
      </w:r>
      <w:r w:rsidR="00C2612D">
        <w:t xml:space="preserve">collaborative research </w:t>
      </w:r>
      <w:r>
        <w:t>prioriti</w:t>
      </w:r>
      <w:r w:rsidR="00963946">
        <w:t>es</w:t>
      </w:r>
      <w:r w:rsidR="00CF1E96">
        <w:t>.</w:t>
      </w:r>
      <w:r w:rsidR="00023D93">
        <w:rPr>
          <w:rStyle w:val="FootnoteReference"/>
        </w:rPr>
        <w:footnoteReference w:id="191"/>
      </w:r>
      <w:r w:rsidRPr="001A7792">
        <w:t xml:space="preserve"> </w:t>
      </w:r>
      <w:r>
        <w:t>For academic organisations, priorities are often focused on academic outputs, meeting deadlines and attracting funding</w:t>
      </w:r>
      <w:r w:rsidR="00CF1E96">
        <w:t>,</w:t>
      </w:r>
      <w:r w:rsidR="00023D93">
        <w:rPr>
          <w:rStyle w:val="FootnoteReference"/>
        </w:rPr>
        <w:footnoteReference w:id="192"/>
      </w:r>
      <w:r>
        <w:t xml:space="preserve"> whereas </w:t>
      </w:r>
      <w:r w:rsidR="00C2612D">
        <w:t xml:space="preserve">collaborative research </w:t>
      </w:r>
      <w:r>
        <w:t>approaches may be more focused on societal impact an</w:t>
      </w:r>
      <w:r w:rsidR="00963946">
        <w:t>d benefit</w:t>
      </w:r>
      <w:r w:rsidR="00CF1E96">
        <w:t>.</w:t>
      </w:r>
      <w:r w:rsidR="00023D93">
        <w:rPr>
          <w:rStyle w:val="FootnoteReference"/>
        </w:rPr>
        <w:footnoteReference w:id="193"/>
      </w:r>
      <w:r>
        <w:t xml:space="preserve"> A </w:t>
      </w:r>
      <w:r>
        <w:lastRenderedPageBreak/>
        <w:t xml:space="preserve">divergence between academic culture, interests, and goals with those of community partners and co-researchers was also </w:t>
      </w:r>
      <w:r w:rsidR="00963946">
        <w:t>noted as a challenge</w:t>
      </w:r>
      <w:r w:rsidR="00CF1E96">
        <w:t>.</w:t>
      </w:r>
      <w:r w:rsidR="00023D93">
        <w:rPr>
          <w:rStyle w:val="FootnoteReference"/>
        </w:rPr>
        <w:footnoteReference w:id="194"/>
      </w:r>
      <w:r>
        <w:t xml:space="preserve"> </w:t>
      </w:r>
    </w:p>
    <w:p w14:paraId="566B4922" w14:textId="493E8EF5" w:rsidR="00DB5669" w:rsidRDefault="00DB5669" w:rsidP="00DB5669">
      <w:r>
        <w:t xml:space="preserve">Experiential knowledge is an important element of </w:t>
      </w:r>
      <w:r w:rsidR="009237D2">
        <w:t>collaborative research,</w:t>
      </w:r>
      <w:r>
        <w:t xml:space="preserve"> but academic knowledge tends to be valued more than experiential knowledge in tr</w:t>
      </w:r>
      <w:r w:rsidR="00963946">
        <w:t>aditional and clinical research</w:t>
      </w:r>
      <w:r w:rsidR="00CF1E96">
        <w:t>.</w:t>
      </w:r>
      <w:r w:rsidR="00023D93">
        <w:rPr>
          <w:rStyle w:val="FootnoteReference"/>
        </w:rPr>
        <w:footnoteReference w:id="195"/>
      </w:r>
      <w:r w:rsidR="0033340A">
        <w:t xml:space="preserve"> Of course, there will be research studies where the input of academic knowledge and professional researchers needs to be prioritised, but where there is an important place for experiential knowledge in a study, it should be equally as valued. </w:t>
      </w:r>
      <w:r>
        <w:t xml:space="preserve"> Researchers have reported that it can be a challenge to let go of their own academic framework and this can create barriers to integrating different types of knowledge</w:t>
      </w:r>
      <w:r w:rsidR="00396B00">
        <w:t xml:space="preserve"> into the work</w:t>
      </w:r>
      <w:r w:rsidR="00CF1E96">
        <w:t>.</w:t>
      </w:r>
      <w:r w:rsidR="00023D93">
        <w:rPr>
          <w:rStyle w:val="FootnoteReference"/>
        </w:rPr>
        <w:footnoteReference w:id="196"/>
      </w:r>
      <w:r>
        <w:t xml:space="preserve"> It has been reported that a</w:t>
      </w:r>
      <w:r w:rsidRPr="00221C81">
        <w:t>cademic standards may perpetuate power imbalances</w:t>
      </w:r>
      <w:r w:rsidR="00023D93">
        <w:rPr>
          <w:rStyle w:val="FootnoteReference"/>
        </w:rPr>
        <w:footnoteReference w:id="197"/>
      </w:r>
      <w:r>
        <w:t xml:space="preserve"> and </w:t>
      </w:r>
      <w:r w:rsidRPr="00221C81">
        <w:t>may cr</w:t>
      </w:r>
      <w:r>
        <w:t xml:space="preserve">eate feelings that </w:t>
      </w:r>
      <w:r w:rsidR="00C2612D">
        <w:t xml:space="preserve">collaborative research </w:t>
      </w:r>
      <w:r>
        <w:t>will</w:t>
      </w:r>
      <w:r w:rsidRPr="00221C81">
        <w:t xml:space="preserve"> not be taken seriously</w:t>
      </w:r>
      <w:r w:rsidR="00CF1E96">
        <w:t>.</w:t>
      </w:r>
      <w:r w:rsidR="00C86640">
        <w:rPr>
          <w:rStyle w:val="FootnoteReference"/>
        </w:rPr>
        <w:footnoteReference w:id="198"/>
      </w:r>
      <w:r>
        <w:t xml:space="preserve"> Several studies also noted the difficulty for researchers in trying to balance the demands of an academic career with being an effective inclusive researcher, which </w:t>
      </w:r>
      <w:r w:rsidR="00AD004D">
        <w:t>often</w:t>
      </w:r>
      <w:r w:rsidR="00963946">
        <w:t xml:space="preserve"> require</w:t>
      </w:r>
      <w:r w:rsidR="00AD004D">
        <w:t>s</w:t>
      </w:r>
      <w:r w:rsidR="00963946">
        <w:t xml:space="preserve"> more time and effort</w:t>
      </w:r>
      <w:r w:rsidR="00CF1E96">
        <w:t>.</w:t>
      </w:r>
      <w:r w:rsidR="00C86640">
        <w:rPr>
          <w:rStyle w:val="FootnoteReference"/>
        </w:rPr>
        <w:footnoteReference w:id="199"/>
      </w:r>
      <w:r>
        <w:t xml:space="preserve"> In addition, </w:t>
      </w:r>
      <w:r w:rsidR="00C2612D">
        <w:t xml:space="preserve">collaborative research </w:t>
      </w:r>
      <w:r w:rsidRPr="00570DFC">
        <w:t xml:space="preserve">may not be </w:t>
      </w:r>
      <w:r w:rsidR="009F1B37">
        <w:t>valued by organisations</w:t>
      </w:r>
      <w:r w:rsidR="00C86640">
        <w:rPr>
          <w:rStyle w:val="FootnoteReference"/>
        </w:rPr>
        <w:footnoteReference w:id="200"/>
      </w:r>
      <w:r w:rsidR="009F1B37">
        <w:t xml:space="preserve"> or </w:t>
      </w:r>
      <w:r w:rsidRPr="00570DFC">
        <w:t>adequately accounted for in professional evaluation</w:t>
      </w:r>
      <w:r w:rsidR="004C27D1">
        <w:rPr>
          <w:rStyle w:val="FootnoteReference"/>
        </w:rPr>
        <w:footnoteReference w:id="201"/>
      </w:r>
      <w:r w:rsidR="009F1B37">
        <w:t xml:space="preserve"> </w:t>
      </w:r>
      <w:r w:rsidRPr="00570DFC">
        <w:t>and so may not adequately support career advancement for academic researchers</w:t>
      </w:r>
      <w:r w:rsidR="00FB1BFA">
        <w:t xml:space="preserve"> as effectively as traditional research</w:t>
      </w:r>
      <w:r w:rsidRPr="00570DFC">
        <w:t>.</w:t>
      </w:r>
      <w:r>
        <w:t xml:space="preserve"> </w:t>
      </w:r>
    </w:p>
    <w:p w14:paraId="232767A3" w14:textId="5B0DCC0F" w:rsidR="00DB5669" w:rsidRPr="0042419D" w:rsidRDefault="00DB5669" w:rsidP="00DB5669">
      <w:r>
        <w:t xml:space="preserve">Traditional </w:t>
      </w:r>
      <w:r w:rsidR="009237D2">
        <w:t>research</w:t>
      </w:r>
      <w:r>
        <w:t xml:space="preserve"> procedures and red tape were highlighted as causing iss</w:t>
      </w:r>
      <w:r w:rsidR="00963946">
        <w:t>ues for collaborative projects</w:t>
      </w:r>
      <w:r w:rsidR="00CF1E96">
        <w:t>.</w:t>
      </w:r>
      <w:r w:rsidR="00C86640">
        <w:rPr>
          <w:rStyle w:val="FootnoteReference"/>
        </w:rPr>
        <w:footnoteReference w:id="202"/>
      </w:r>
      <w:r>
        <w:t xml:space="preserve">These issues included funding and ethics constraints, being bound to short timeframes </w:t>
      </w:r>
      <w:r w:rsidR="007143B5">
        <w:t>which made</w:t>
      </w:r>
      <w:r w:rsidR="00396B00">
        <w:t xml:space="preserve"> </w:t>
      </w:r>
      <w:r>
        <w:t xml:space="preserve">it difficult to develop good working relationships, and working within environments that favoured bureaucratic </w:t>
      </w:r>
      <w:r>
        <w:lastRenderedPageBreak/>
        <w:t>control and in</w:t>
      </w:r>
      <w:r w:rsidR="00396B00">
        <w:t>dividual performance assessment</w:t>
      </w:r>
      <w:r w:rsidR="00CF1E96">
        <w:t>.</w:t>
      </w:r>
      <w:r w:rsidR="00C86640">
        <w:rPr>
          <w:rStyle w:val="FootnoteReference"/>
        </w:rPr>
        <w:footnoteReference w:id="203"/>
      </w:r>
      <w:r>
        <w:t xml:space="preserve"> </w:t>
      </w:r>
      <w:r w:rsidR="00ED58F0">
        <w:t>Due to academic pre-requisites, co-researchers are generally excluded from research grade appointments</w:t>
      </w:r>
      <w:r w:rsidR="00CF1E96">
        <w:t>.</w:t>
      </w:r>
      <w:r w:rsidR="00C86640">
        <w:rPr>
          <w:rStyle w:val="FootnoteReference"/>
        </w:rPr>
        <w:footnoteReference w:id="204"/>
      </w:r>
    </w:p>
    <w:p w14:paraId="74D7E64F" w14:textId="77777777" w:rsidR="001B39B1" w:rsidRPr="00F26918" w:rsidRDefault="001B39B1" w:rsidP="001B39B1">
      <w:pPr>
        <w:pStyle w:val="Heading3"/>
      </w:pPr>
      <w:r w:rsidRPr="00F26918">
        <w:t xml:space="preserve">Potential for bias and challenges to rigour </w:t>
      </w:r>
    </w:p>
    <w:p w14:paraId="27B72705" w14:textId="791F2C7E" w:rsidR="00F50817" w:rsidRDefault="001B39B1" w:rsidP="001B39B1">
      <w:r>
        <w:t>The traditional research process does not always fit the needs of everyone</w:t>
      </w:r>
      <w:r w:rsidRPr="00EC07A8">
        <w:t xml:space="preserve"> </w:t>
      </w:r>
      <w:r>
        <w:t>and researchers often need to develop innovative ways of facilitating the involvement of disabled people in research</w:t>
      </w:r>
      <w:r w:rsidR="00CF1E96">
        <w:t>.</w:t>
      </w:r>
      <w:r w:rsidR="000004EF">
        <w:rPr>
          <w:rStyle w:val="FootnoteReference"/>
        </w:rPr>
        <w:footnoteReference w:id="205"/>
      </w:r>
      <w:r>
        <w:t xml:space="preserve"> This may pose challenges to balancing the practicalities of collaborative research and maintaining research fidelity and rigour</w:t>
      </w:r>
      <w:r w:rsidR="00CF1E96">
        <w:t>.</w:t>
      </w:r>
      <w:r w:rsidR="000004EF">
        <w:rPr>
          <w:rStyle w:val="FootnoteReference"/>
        </w:rPr>
        <w:footnoteReference w:id="206"/>
      </w:r>
      <w:r>
        <w:t xml:space="preserve"> Several studies highlighted the potential for bias and challenges to rigour in collaborative projects. Some researchers argue that collaborative research cannot be objective</w:t>
      </w:r>
      <w:r w:rsidR="000004EF">
        <w:rPr>
          <w:rStyle w:val="FootnoteReference"/>
        </w:rPr>
        <w:footnoteReference w:id="207"/>
      </w:r>
      <w:r w:rsidRPr="00615BAB">
        <w:t xml:space="preserve"> </w:t>
      </w:r>
      <w:r w:rsidR="0042532F">
        <w:t xml:space="preserve">and </w:t>
      </w:r>
      <w:r>
        <w:t>concerns</w:t>
      </w:r>
      <w:r w:rsidR="0042532F">
        <w:t xml:space="preserve"> were raised</w:t>
      </w:r>
      <w:r>
        <w:t xml:space="preserve"> that co-researchers may bring their own biases to various stages of the research (although this could be true of all researchers)</w:t>
      </w:r>
      <w:r w:rsidR="00CF1E96">
        <w:t>.</w:t>
      </w:r>
      <w:r w:rsidR="000004EF">
        <w:rPr>
          <w:rStyle w:val="FootnoteReference"/>
        </w:rPr>
        <w:footnoteReference w:id="208"/>
      </w:r>
      <w:r w:rsidR="00CF1E96">
        <w:t xml:space="preserve"> </w:t>
      </w:r>
      <w:r>
        <w:t>For example, concern was highlighted in one study,</w:t>
      </w:r>
      <w:r w:rsidRPr="00C7788F">
        <w:t xml:space="preserve"> particularly during data collection, about whose story might </w:t>
      </w:r>
      <w:r>
        <w:t xml:space="preserve">dominate </w:t>
      </w:r>
      <w:r w:rsidRPr="004C5A76">
        <w:t xml:space="preserve">during data collection </w:t>
      </w:r>
      <w:r>
        <w:t xml:space="preserve">within the interviews, </w:t>
      </w:r>
      <w:r w:rsidRPr="00C7788F">
        <w:t>due to shared experiences</w:t>
      </w:r>
      <w:r>
        <w:t xml:space="preserve"> between the co-researchers and the participants</w:t>
      </w:r>
      <w:r w:rsidR="00CF1E96">
        <w:t>.</w:t>
      </w:r>
      <w:r w:rsidR="000004EF">
        <w:rPr>
          <w:rStyle w:val="FootnoteReference"/>
        </w:rPr>
        <w:footnoteReference w:id="209"/>
      </w:r>
      <w:r w:rsidR="00CF1E96">
        <w:t xml:space="preserve"> </w:t>
      </w:r>
      <w:r>
        <w:t>Therefore, t</w:t>
      </w:r>
      <w:r w:rsidRPr="004F1ACA">
        <w:t xml:space="preserve">he advantage brought by the co-researcher- i.e. the lived experience- </w:t>
      </w:r>
      <w:r>
        <w:t>may</w:t>
      </w:r>
      <w:r w:rsidRPr="004F1ACA">
        <w:t xml:space="preserve"> also be a disadvantage if it blurs the co-researcher/participant roles and results in a loss of objectivity</w:t>
      </w:r>
      <w:r>
        <w:t xml:space="preserve">. Similarly, there could be </w:t>
      </w:r>
      <w:r w:rsidRPr="00C7788F">
        <w:t xml:space="preserve">difficulties associated with balancing the insider–outsider status, where the </w:t>
      </w:r>
      <w:r>
        <w:t>co-</w:t>
      </w:r>
      <w:r w:rsidRPr="00C7788F">
        <w:t>researchers believed they ‘knew’ what informants were implying</w:t>
      </w:r>
      <w:r w:rsidR="00CF1E96">
        <w:t>.</w:t>
      </w:r>
      <w:r w:rsidR="000004EF">
        <w:rPr>
          <w:rStyle w:val="FootnoteReference"/>
        </w:rPr>
        <w:footnoteReference w:id="210"/>
      </w:r>
    </w:p>
    <w:p w14:paraId="19AB5325" w14:textId="7552AF08" w:rsidR="001B39B1" w:rsidRDefault="001B39B1" w:rsidP="001B39B1">
      <w:r>
        <w:t xml:space="preserve">Concern has also been raised that </w:t>
      </w:r>
      <w:r w:rsidRPr="00C7788F">
        <w:t>co-researchers may</w:t>
      </w:r>
      <w:r>
        <w:t xml:space="preserve"> unintentionally or</w:t>
      </w:r>
      <w:r w:rsidRPr="00C7788F">
        <w:t xml:space="preserve"> unconsciously </w:t>
      </w:r>
      <w:r>
        <w:t>influence</w:t>
      </w:r>
      <w:r w:rsidRPr="00C7788F">
        <w:t xml:space="preserve"> participants’ </w:t>
      </w:r>
      <w:r>
        <w:t>r</w:t>
      </w:r>
      <w:r w:rsidRPr="00C7788F">
        <w:t>espon</w:t>
      </w:r>
      <w:r>
        <w:t>ses</w:t>
      </w:r>
      <w:r w:rsidR="00CF1E96">
        <w:t>.</w:t>
      </w:r>
      <w:r w:rsidR="000004EF">
        <w:rPr>
          <w:rStyle w:val="FootnoteReference"/>
        </w:rPr>
        <w:footnoteReference w:id="211"/>
      </w:r>
      <w:r>
        <w:t xml:space="preserve"> In one study, it was noted that co-researchers had to work to avoid using leading questions in their interviews</w:t>
      </w:r>
      <w:r w:rsidR="00CF1E96">
        <w:t>.</w:t>
      </w:r>
      <w:r w:rsidR="000004EF">
        <w:rPr>
          <w:rStyle w:val="FootnoteReference"/>
        </w:rPr>
        <w:footnoteReference w:id="212"/>
      </w:r>
      <w:r>
        <w:t xml:space="preserve"> </w:t>
      </w:r>
      <w:r w:rsidRPr="00C92B57">
        <w:lastRenderedPageBreak/>
        <w:t xml:space="preserve">Some studies </w:t>
      </w:r>
      <w:r>
        <w:t xml:space="preserve">also </w:t>
      </w:r>
      <w:r w:rsidRPr="00C92B57">
        <w:t>noted that co-researchers may face challe</w:t>
      </w:r>
      <w:r>
        <w:t>nges in collecting quality data</w:t>
      </w:r>
      <w:r w:rsidR="00CF1E96">
        <w:t>.</w:t>
      </w:r>
      <w:r w:rsidR="000004EF">
        <w:rPr>
          <w:rStyle w:val="FootnoteReference"/>
        </w:rPr>
        <w:footnoteReference w:id="213"/>
      </w:r>
      <w:r>
        <w:t xml:space="preserve"> For example, co-researchers’ interviewing skills may vary, and data collection tools may not be thorough enough or suitable for some co-researchers and so ma</w:t>
      </w:r>
      <w:r w:rsidR="0042532F">
        <w:t>y miss important information</w:t>
      </w:r>
      <w:r w:rsidR="00CF1E96">
        <w:t>.</w:t>
      </w:r>
      <w:r w:rsidR="000004EF">
        <w:rPr>
          <w:rStyle w:val="FootnoteReference"/>
        </w:rPr>
        <w:footnoteReference w:id="214"/>
      </w:r>
      <w:r>
        <w:t xml:space="preserve"> An issue identified in some interviews was that opportunities for probing were missed by some co-researchers. Burke </w:t>
      </w:r>
      <w:r w:rsidR="00185C11" w:rsidRPr="00185C11">
        <w:rPr>
          <w:i/>
        </w:rPr>
        <w:t xml:space="preserve">et al. </w:t>
      </w:r>
      <w:r>
        <w:t xml:space="preserve">(2018) recommend that transcripts could be peer reviewed as part of training to highlight these opportunities. </w:t>
      </w:r>
    </w:p>
    <w:p w14:paraId="5CA18263" w14:textId="28C30925" w:rsidR="001B39B1" w:rsidRDefault="001B39B1" w:rsidP="001B39B1">
      <w:r>
        <w:t>The potential for the researchers to bring bias to collaborative research projects was also raised. For example, one study involving Deaf and hearing researchers, noted the potential for the hearing academic researcher’s majority cultural view to influence the interpretations of Deaf participants’ contributions</w:t>
      </w:r>
      <w:r w:rsidR="00CF1E96">
        <w:t>.</w:t>
      </w:r>
      <w:r w:rsidR="001632F9">
        <w:rPr>
          <w:rStyle w:val="FootnoteReference"/>
        </w:rPr>
        <w:footnoteReference w:id="215"/>
      </w:r>
      <w:r>
        <w:t xml:space="preserve"> The study also noted the potential for data to be influenced due to adaptations/modifications to signing required to facilitate interpretation by the hearing academic.</w:t>
      </w:r>
      <w:r w:rsidRPr="00AF07B9">
        <w:t xml:space="preserve"> </w:t>
      </w:r>
      <w:r>
        <w:t>In this study, to</w:t>
      </w:r>
      <w:r w:rsidRPr="009F07AA">
        <w:t xml:space="preserve"> avoid bias, </w:t>
      </w:r>
      <w:r>
        <w:t xml:space="preserve">the team engaged in </w:t>
      </w:r>
      <w:r w:rsidRPr="006B3EAE">
        <w:t xml:space="preserve">group dialogue and open negotiating to </w:t>
      </w:r>
      <w:r>
        <w:t>analyse</w:t>
      </w:r>
      <w:r w:rsidRPr="006B3EAE">
        <w:t xml:space="preserve"> data</w:t>
      </w:r>
      <w:r>
        <w:t xml:space="preserve"> and i</w:t>
      </w:r>
      <w:r w:rsidRPr="009F07AA">
        <w:t xml:space="preserve">ncreased credence was given to the </w:t>
      </w:r>
      <w:r>
        <w:t>D</w:t>
      </w:r>
      <w:r w:rsidRPr="009F07AA">
        <w:t>eaf collaborators</w:t>
      </w:r>
      <w:r w:rsidR="00CF1E96">
        <w:t>.</w:t>
      </w:r>
      <w:r w:rsidR="001632F9">
        <w:rPr>
          <w:rStyle w:val="FootnoteReference"/>
        </w:rPr>
        <w:footnoteReference w:id="216"/>
      </w:r>
    </w:p>
    <w:p w14:paraId="3B1408E6" w14:textId="22064C7D" w:rsidR="001B39B1" w:rsidRDefault="001B39B1" w:rsidP="001B39B1">
      <w:r>
        <w:t xml:space="preserve">Other suggestions </w:t>
      </w:r>
      <w:r w:rsidRPr="009F07AA">
        <w:t xml:space="preserve">for avoiding bias in the reviewed studies </w:t>
      </w:r>
      <w:r>
        <w:t>included approaching data analysis as a group, encouraging self-awareness through reflexivity, considering the impact of the research participants’ experiences, attitudes, and beliefs on the co-researchers</w:t>
      </w:r>
      <w:r w:rsidR="00CF1E96">
        <w:t>,</w:t>
      </w:r>
      <w:r w:rsidR="001632F9">
        <w:rPr>
          <w:rStyle w:val="FootnoteReference"/>
        </w:rPr>
        <w:footnoteReference w:id="217"/>
      </w:r>
      <w:r>
        <w:t xml:space="preserve"> encouraging open and honest questioning during discussions</w:t>
      </w:r>
      <w:r w:rsidR="00CF1E96">
        <w:t>,</w:t>
      </w:r>
      <w:r w:rsidR="00B21BF6">
        <w:rPr>
          <w:rStyle w:val="FootnoteReference"/>
        </w:rPr>
        <w:footnoteReference w:id="218"/>
      </w:r>
      <w:r>
        <w:t xml:space="preserve"> carefully working through validity issues and putting safeguards in place to ensure the research remains valid and findings are transferable</w:t>
      </w:r>
      <w:r w:rsidR="00CF1E96">
        <w:t>.</w:t>
      </w:r>
      <w:r w:rsidR="00B21BF6">
        <w:rPr>
          <w:rStyle w:val="FootnoteReference"/>
        </w:rPr>
        <w:footnoteReference w:id="219"/>
      </w:r>
    </w:p>
    <w:p w14:paraId="54A08E7B" w14:textId="77777777" w:rsidR="00CA1649" w:rsidRDefault="00CA1649" w:rsidP="00F20425">
      <w:pPr>
        <w:pStyle w:val="Heading3"/>
      </w:pPr>
      <w:r>
        <w:t>Ethos and values of co-research</w:t>
      </w:r>
    </w:p>
    <w:p w14:paraId="2E86DA7A" w14:textId="78C70880" w:rsidR="00CA1649" w:rsidRDefault="00CA1649" w:rsidP="00CA1649">
      <w:r>
        <w:t>From the studies reviewed,</w:t>
      </w:r>
      <w:r w:rsidRPr="00B16E4F">
        <w:t xml:space="preserve"> </w:t>
      </w:r>
      <w:r>
        <w:t xml:space="preserve">a picture emerged of the importance of a certain ethos needed for collaborative research, and of key values underpinning quality collaborative research. These may not typically be articulated with regard to traditional research processes, but in the case of collaborative research are necessary to consider. Box </w:t>
      </w:r>
      <w:r w:rsidR="00DC5FFA">
        <w:t>1</w:t>
      </w:r>
      <w:r>
        <w:t xml:space="preserve"> illustrates the attributes of the ethos needed for inclusive research, as agreed by experts working in inclusive health research and </w:t>
      </w:r>
      <w:r>
        <w:lastRenderedPageBreak/>
        <w:t>experts with intellectual disabilities</w:t>
      </w:r>
      <w:r w:rsidR="00CF1E96">
        <w:t>.</w:t>
      </w:r>
      <w:r w:rsidR="001632F9">
        <w:rPr>
          <w:rStyle w:val="FootnoteReference"/>
        </w:rPr>
        <w:footnoteReference w:id="220"/>
      </w:r>
      <w:r>
        <w:t xml:space="preserve"> Many of these attributes were shared by other studies. Overall, the impression from the studies in general is that a collaborative research approach necessitates respect</w:t>
      </w:r>
      <w:r w:rsidR="00CF1E96">
        <w:t>,</w:t>
      </w:r>
      <w:r w:rsidR="001632F9">
        <w:rPr>
          <w:rStyle w:val="FootnoteReference"/>
        </w:rPr>
        <w:footnoteReference w:id="221"/>
      </w:r>
      <w:r>
        <w:t xml:space="preserve"> equity</w:t>
      </w:r>
      <w:r w:rsidR="00CF1E96">
        <w:t>,</w:t>
      </w:r>
      <w:r w:rsidR="001632F9">
        <w:rPr>
          <w:rStyle w:val="FootnoteReference"/>
        </w:rPr>
        <w:footnoteReference w:id="222"/>
      </w:r>
      <w:r>
        <w:t xml:space="preserve"> power sharing</w:t>
      </w:r>
      <w:r w:rsidR="00CF1E96">
        <w:t>,</w:t>
      </w:r>
      <w:r w:rsidR="001632F9">
        <w:rPr>
          <w:rStyle w:val="FootnoteReference"/>
        </w:rPr>
        <w:footnoteReference w:id="223"/>
      </w:r>
      <w:r>
        <w:t xml:space="preserve"> valuing of individuality and differences</w:t>
      </w:r>
      <w:r w:rsidR="00CF1E96">
        <w:t>,</w:t>
      </w:r>
      <w:r w:rsidR="001632F9">
        <w:rPr>
          <w:rStyle w:val="FootnoteReference"/>
        </w:rPr>
        <w:footnoteReference w:id="224"/>
      </w:r>
      <w:r>
        <w:t xml:space="preserve"> and acknowledging the added value of the co-researcher</w:t>
      </w:r>
      <w:r w:rsidR="00CF1E96">
        <w:t>.</w:t>
      </w:r>
      <w:r w:rsidR="001632F9">
        <w:rPr>
          <w:rStyle w:val="FootnoteReference"/>
        </w:rPr>
        <w:footnoteReference w:id="225"/>
      </w:r>
      <w:r w:rsidR="00CF1E96">
        <w:t xml:space="preserve"> </w:t>
      </w:r>
      <w:r>
        <w:t>According, to Jim, a co-researcher with dementia:</w:t>
      </w:r>
    </w:p>
    <w:p w14:paraId="06785357" w14:textId="46FC8F88" w:rsidR="00CA1649" w:rsidRDefault="00CA1649" w:rsidP="00CA1649">
      <w:pPr>
        <w:pStyle w:val="BlockQuote"/>
        <w:rPr>
          <w:rFonts w:cs="Calibri"/>
          <w:color w:val="000000"/>
          <w:szCs w:val="26"/>
          <w:lang w:eastAsia="en-IE"/>
        </w:rPr>
      </w:pPr>
      <w:r w:rsidRPr="00B57CC8">
        <w:rPr>
          <w:szCs w:val="26"/>
          <w:lang w:eastAsia="en-IE"/>
        </w:rPr>
        <w:t>To enable successful collaboration, I, Jim</w:t>
      </w:r>
      <w:r w:rsidR="00F50817">
        <w:rPr>
          <w:szCs w:val="26"/>
          <w:lang w:eastAsia="en-IE"/>
        </w:rPr>
        <w:t>,</w:t>
      </w:r>
      <w:r w:rsidRPr="00B57CC8">
        <w:rPr>
          <w:szCs w:val="26"/>
          <w:lang w:eastAsia="en-IE"/>
        </w:rPr>
        <w:t xml:space="preserve"> believe that one of the essential characters that the researcher must have is to have full respect of the person with lived experience. The full respect also means being open to options, listen to the person, and open to amending the plan or considering other alternatives. It’s not right to discount the experiential knowledge and lived experiences.</w:t>
      </w:r>
      <w:r>
        <w:rPr>
          <w:szCs w:val="26"/>
          <w:lang w:eastAsia="en-IE"/>
        </w:rPr>
        <w:t xml:space="preserve"> </w:t>
      </w:r>
      <w:r w:rsidRPr="00B57CC8">
        <w:rPr>
          <w:rFonts w:cs="Calibri"/>
          <w:color w:val="000000"/>
          <w:szCs w:val="26"/>
          <w:lang w:eastAsia="en-IE"/>
        </w:rPr>
        <w:t>Sometimes Lillian might have to slow down a bit or repeat something but I (Jim) appreciated to be treated respectfully, instead of being over-protected</w:t>
      </w:r>
      <w:r>
        <w:rPr>
          <w:rFonts w:cs="Calibri"/>
          <w:color w:val="000000"/>
          <w:szCs w:val="26"/>
          <w:lang w:eastAsia="en-IE"/>
        </w:rPr>
        <w:t>.</w:t>
      </w:r>
      <w:r w:rsidRPr="00B57CC8">
        <w:rPr>
          <w:rFonts w:cs="Calibri"/>
          <w:color w:val="000000"/>
          <w:szCs w:val="26"/>
          <w:lang w:eastAsia="en-IE"/>
        </w:rPr>
        <w:t xml:space="preserve"> For me, Jim, positive collaboration means there is</w:t>
      </w:r>
      <w:r>
        <w:rPr>
          <w:rFonts w:cs="Calibri"/>
          <w:color w:val="000000"/>
          <w:szCs w:val="26"/>
          <w:lang w:eastAsia="en-IE"/>
        </w:rPr>
        <w:t xml:space="preserve"> trust, respect and reciprocity</w:t>
      </w:r>
      <w:r w:rsidR="00CF1E96">
        <w:rPr>
          <w:rFonts w:cs="Calibri"/>
          <w:color w:val="000000"/>
          <w:szCs w:val="26"/>
          <w:lang w:eastAsia="en-IE"/>
        </w:rPr>
        <w:t>.</w:t>
      </w:r>
      <w:r w:rsidR="001632F9">
        <w:rPr>
          <w:rStyle w:val="FootnoteReference"/>
          <w:rFonts w:cs="Calibri"/>
          <w:color w:val="000000"/>
          <w:szCs w:val="26"/>
          <w:lang w:eastAsia="en-IE"/>
        </w:rPr>
        <w:footnoteReference w:id="226"/>
      </w:r>
    </w:p>
    <w:p w14:paraId="5121DBFD" w14:textId="7E2D3995" w:rsidR="00CA1649" w:rsidRDefault="00CA1649" w:rsidP="00CA1649">
      <w:r>
        <w:t>Reflexivity of members is another important attribute of collaborative research</w:t>
      </w:r>
      <w:r w:rsidR="00CF1E96">
        <w:t>,</w:t>
      </w:r>
      <w:r w:rsidR="00694986">
        <w:rPr>
          <w:rStyle w:val="FootnoteReference"/>
        </w:rPr>
        <w:footnoteReference w:id="227"/>
      </w:r>
      <w:r>
        <w:t xml:space="preserve"> and this was noted as particularly important for the trained/professional researchers, in that they should reflect on their position, role, privilege, experiences and perspectives</w:t>
      </w:r>
      <w:r w:rsidR="00694986">
        <w:rPr>
          <w:rStyle w:val="FootnoteReference"/>
        </w:rPr>
        <w:footnoteReference w:id="228"/>
      </w:r>
      <w:r>
        <w:t xml:space="preserve"> relative to the co-researchers’</w:t>
      </w:r>
      <w:r w:rsidR="00CF1E96">
        <w:t>.</w:t>
      </w:r>
      <w:r w:rsidR="00694986">
        <w:rPr>
          <w:rStyle w:val="FootnoteReference"/>
        </w:rPr>
        <w:footnoteReference w:id="229"/>
      </w:r>
      <w:r>
        <w:t xml:space="preserve"> Studies recommend that researchers also consider how the research might be shaped by their potential biases</w:t>
      </w:r>
      <w:r w:rsidR="00694986">
        <w:rPr>
          <w:rStyle w:val="FootnoteReference"/>
        </w:rPr>
        <w:footnoteReference w:id="230"/>
      </w:r>
      <w:r>
        <w:t xml:space="preserve"> and predispositions</w:t>
      </w:r>
      <w:r w:rsidR="00CF1E96">
        <w:t>.</w:t>
      </w:r>
      <w:r w:rsidR="00694986">
        <w:rPr>
          <w:rStyle w:val="FootnoteReference"/>
        </w:rPr>
        <w:footnoteReference w:id="231"/>
      </w:r>
      <w:r>
        <w:t xml:space="preserve"> According to Wolsey </w:t>
      </w:r>
      <w:r w:rsidR="00185C11" w:rsidRPr="00185C11">
        <w:rPr>
          <w:i/>
        </w:rPr>
        <w:t xml:space="preserve">et al. </w:t>
      </w:r>
      <w:r>
        <w:t xml:space="preserve">(2017), </w:t>
      </w:r>
      <w:r>
        <w:lastRenderedPageBreak/>
        <w:t>as well as respecting, appreciating and honouring differences in researchers and co-researchers as outlined above, other important elements to d</w:t>
      </w:r>
      <w:r w:rsidRPr="008A7BB1">
        <w:t>ea</w:t>
      </w:r>
      <w:r>
        <w:t>f/hearing research partnerships</w:t>
      </w:r>
      <w:r w:rsidRPr="008A7BB1">
        <w:t xml:space="preserve"> </w:t>
      </w:r>
      <w:r>
        <w:t>are integrity</w:t>
      </w:r>
      <w:r w:rsidRPr="008A7BB1">
        <w:t>, beneficence, and justice</w:t>
      </w:r>
      <w:r>
        <w:t>. Some studies also refer to the importance of the research having direct relevance to improving the lives of people with disabilities</w:t>
      </w:r>
      <w:r w:rsidR="00CF1E96">
        <w:t>.</w:t>
      </w:r>
      <w:r w:rsidR="00694986">
        <w:rPr>
          <w:rStyle w:val="FootnoteReference"/>
        </w:rPr>
        <w:footnoteReference w:id="232"/>
      </w:r>
    </w:p>
    <w:p w14:paraId="1B015945" w14:textId="248ACACB" w:rsidR="00CA1649" w:rsidRDefault="00CA1649" w:rsidP="00CA1649">
      <w:pPr>
        <w:pBdr>
          <w:top w:val="single" w:sz="4" w:space="1" w:color="auto"/>
          <w:left w:val="single" w:sz="4" w:space="4" w:color="auto"/>
          <w:bottom w:val="single" w:sz="4" w:space="1" w:color="auto"/>
          <w:right w:val="single" w:sz="4" w:space="4" w:color="auto"/>
        </w:pBdr>
      </w:pPr>
      <w:r>
        <w:t>B</w:t>
      </w:r>
      <w:r w:rsidR="007D0A1F">
        <w:t>ox</w:t>
      </w:r>
      <w:r>
        <w:t xml:space="preserve"> </w:t>
      </w:r>
      <w:r w:rsidR="00DC5FFA">
        <w:t>1.</w:t>
      </w:r>
      <w:r w:rsidRPr="00E32D33">
        <w:t xml:space="preserve"> </w:t>
      </w:r>
      <w:r>
        <w:t>Attributes of an inclusive ethos</w:t>
      </w:r>
      <w:r w:rsidR="00EE6220">
        <w:rPr>
          <w:rStyle w:val="FootnoteReference"/>
        </w:rPr>
        <w:footnoteReference w:id="233"/>
      </w:r>
    </w:p>
    <w:p w14:paraId="1DCA762C" w14:textId="0F1B1BE7" w:rsidR="00CA1649" w:rsidRPr="00492385" w:rsidRDefault="007D01BD" w:rsidP="00CA1649">
      <w:pPr>
        <w:pStyle w:val="ListBullet"/>
        <w:pBdr>
          <w:top w:val="single" w:sz="4" w:space="1" w:color="auto"/>
          <w:left w:val="single" w:sz="4" w:space="4" w:color="auto"/>
          <w:bottom w:val="single" w:sz="4" w:space="1" w:color="auto"/>
          <w:right w:val="single" w:sz="4" w:space="4" w:color="auto"/>
        </w:pBdr>
        <w:rPr>
          <w:lang w:eastAsia="en-IE"/>
        </w:rPr>
      </w:pPr>
      <w:r>
        <w:rPr>
          <w:lang w:eastAsia="en-IE"/>
        </w:rPr>
        <w:t>“</w:t>
      </w:r>
      <w:r w:rsidR="00CA1649">
        <w:rPr>
          <w:lang w:eastAsia="en-IE"/>
        </w:rPr>
        <w:t>M</w:t>
      </w:r>
      <w:r w:rsidR="00CA1649" w:rsidRPr="00492385">
        <w:rPr>
          <w:lang w:eastAsia="en-IE"/>
        </w:rPr>
        <w:t xml:space="preserve">eeting basic human rights </w:t>
      </w:r>
    </w:p>
    <w:p w14:paraId="7B24421C" w14:textId="77777777" w:rsidR="00CA1649" w:rsidRPr="00492385" w:rsidRDefault="00CA1649" w:rsidP="00CA1649">
      <w:pPr>
        <w:pStyle w:val="ListBullet"/>
        <w:pBdr>
          <w:top w:val="single" w:sz="4" w:space="1" w:color="auto"/>
          <w:left w:val="single" w:sz="4" w:space="4" w:color="auto"/>
          <w:bottom w:val="single" w:sz="4" w:space="1" w:color="auto"/>
          <w:right w:val="single" w:sz="4" w:space="4" w:color="auto"/>
        </w:pBdr>
        <w:rPr>
          <w:lang w:eastAsia="en-IE"/>
        </w:rPr>
      </w:pPr>
      <w:r>
        <w:rPr>
          <w:lang w:eastAsia="en-IE"/>
        </w:rPr>
        <w:t>D</w:t>
      </w:r>
      <w:r w:rsidRPr="00492385">
        <w:rPr>
          <w:lang w:eastAsia="en-IE"/>
        </w:rPr>
        <w:t xml:space="preserve">evelopment and recognition of the influences of a group culture with open communication, respect, patience and understanding of limiting conditions </w:t>
      </w:r>
    </w:p>
    <w:p w14:paraId="39091AFE" w14:textId="77777777" w:rsidR="00CA1649" w:rsidRPr="00492385" w:rsidRDefault="00CA1649" w:rsidP="00CA1649">
      <w:pPr>
        <w:pStyle w:val="ListBullet"/>
        <w:pBdr>
          <w:top w:val="single" w:sz="4" w:space="1" w:color="auto"/>
          <w:left w:val="single" w:sz="4" w:space="4" w:color="auto"/>
          <w:bottom w:val="single" w:sz="4" w:space="1" w:color="auto"/>
          <w:right w:val="single" w:sz="4" w:space="4" w:color="auto"/>
        </w:pBdr>
        <w:rPr>
          <w:lang w:eastAsia="en-IE"/>
        </w:rPr>
      </w:pPr>
      <w:r w:rsidRPr="00492385">
        <w:rPr>
          <w:lang w:eastAsia="en-IE"/>
        </w:rPr>
        <w:t xml:space="preserve">Discussing, understanding and respecting cultural, representational differences, personal biases and power relationships </w:t>
      </w:r>
    </w:p>
    <w:p w14:paraId="2D5D4EA0" w14:textId="77777777" w:rsidR="00CA1649" w:rsidRPr="00492385" w:rsidRDefault="00CA1649" w:rsidP="00CA1649">
      <w:pPr>
        <w:pStyle w:val="ListBullet"/>
        <w:pBdr>
          <w:top w:val="single" w:sz="4" w:space="1" w:color="auto"/>
          <w:left w:val="single" w:sz="4" w:space="4" w:color="auto"/>
          <w:bottom w:val="single" w:sz="4" w:space="1" w:color="auto"/>
          <w:right w:val="single" w:sz="4" w:space="4" w:color="auto"/>
        </w:pBdr>
        <w:rPr>
          <w:lang w:eastAsia="en-IE"/>
        </w:rPr>
      </w:pPr>
      <w:r w:rsidRPr="00492385">
        <w:rPr>
          <w:lang w:eastAsia="en-IE"/>
        </w:rPr>
        <w:t xml:space="preserve">Being aware that good collaboration starts before the onset of the study and continues through all stages of the study, as far as possible given funding and time constraints </w:t>
      </w:r>
    </w:p>
    <w:p w14:paraId="6F9E2D7C" w14:textId="77777777" w:rsidR="00CA1649" w:rsidRPr="00492385" w:rsidRDefault="00CA1649" w:rsidP="00CA1649">
      <w:pPr>
        <w:pStyle w:val="ListBullet"/>
        <w:pBdr>
          <w:top w:val="single" w:sz="4" w:space="1" w:color="auto"/>
          <w:left w:val="single" w:sz="4" w:space="4" w:color="auto"/>
          <w:bottom w:val="single" w:sz="4" w:space="1" w:color="auto"/>
          <w:right w:val="single" w:sz="4" w:space="4" w:color="auto"/>
        </w:pBdr>
        <w:rPr>
          <w:lang w:eastAsia="en-IE"/>
        </w:rPr>
      </w:pPr>
      <w:r w:rsidRPr="00492385">
        <w:rPr>
          <w:lang w:eastAsia="en-IE"/>
        </w:rPr>
        <w:t xml:space="preserve">Ensuring all information is accessible to all team members and all team members can contribute in their own way, without coercing information. </w:t>
      </w:r>
    </w:p>
    <w:p w14:paraId="2243D453" w14:textId="77777777" w:rsidR="00CA1649" w:rsidRPr="00492385" w:rsidRDefault="00CA1649" w:rsidP="00CA1649">
      <w:pPr>
        <w:pStyle w:val="ListBullet"/>
        <w:pBdr>
          <w:top w:val="single" w:sz="4" w:space="1" w:color="auto"/>
          <w:left w:val="single" w:sz="4" w:space="4" w:color="auto"/>
          <w:bottom w:val="single" w:sz="4" w:space="1" w:color="auto"/>
          <w:right w:val="single" w:sz="4" w:space="4" w:color="auto"/>
        </w:pBdr>
        <w:rPr>
          <w:lang w:eastAsia="en-IE"/>
        </w:rPr>
      </w:pPr>
      <w:r>
        <w:rPr>
          <w:lang w:eastAsia="en-IE"/>
        </w:rPr>
        <w:t>R</w:t>
      </w:r>
      <w:r w:rsidRPr="00492385">
        <w:rPr>
          <w:lang w:eastAsia="en-IE"/>
        </w:rPr>
        <w:t>ecognising the potential for (emotional) difficulties and sensitivities of this work</w:t>
      </w:r>
    </w:p>
    <w:p w14:paraId="1F354BBF" w14:textId="77777777" w:rsidR="00CA1649" w:rsidRPr="00492385" w:rsidRDefault="00CA1649" w:rsidP="00CA1649">
      <w:pPr>
        <w:pStyle w:val="ListBullet"/>
        <w:pBdr>
          <w:top w:val="single" w:sz="4" w:space="1" w:color="auto"/>
          <w:left w:val="single" w:sz="4" w:space="4" w:color="auto"/>
          <w:bottom w:val="single" w:sz="4" w:space="1" w:color="auto"/>
          <w:right w:val="single" w:sz="4" w:space="4" w:color="auto"/>
        </w:pBdr>
        <w:rPr>
          <w:lang w:eastAsia="en-IE"/>
        </w:rPr>
      </w:pPr>
      <w:r w:rsidRPr="00492385">
        <w:rPr>
          <w:lang w:eastAsia="en-IE"/>
        </w:rPr>
        <w:t xml:space="preserve">Ensuring all team </w:t>
      </w:r>
      <w:r>
        <w:rPr>
          <w:lang w:eastAsia="en-IE"/>
        </w:rPr>
        <w:t>members feel safe and supported</w:t>
      </w:r>
    </w:p>
    <w:p w14:paraId="5AA79ED3" w14:textId="76FEBFEB" w:rsidR="00CA1649" w:rsidRPr="00492385" w:rsidRDefault="00CA1649" w:rsidP="00CA1649">
      <w:pPr>
        <w:pStyle w:val="ListBullet"/>
        <w:pBdr>
          <w:top w:val="single" w:sz="4" w:space="1" w:color="auto"/>
          <w:left w:val="single" w:sz="4" w:space="4" w:color="auto"/>
          <w:bottom w:val="single" w:sz="4" w:space="1" w:color="auto"/>
          <w:right w:val="single" w:sz="4" w:space="4" w:color="auto"/>
        </w:pBdr>
        <w:rPr>
          <w:lang w:eastAsia="en-IE"/>
        </w:rPr>
      </w:pPr>
      <w:r w:rsidRPr="00492385">
        <w:rPr>
          <w:lang w:eastAsia="en-IE"/>
        </w:rPr>
        <w:t>Keeping decisions transparent</w:t>
      </w:r>
      <w:r>
        <w:rPr>
          <w:lang w:eastAsia="en-IE"/>
        </w:rPr>
        <w:t xml:space="preserve"> and open for discussion</w:t>
      </w:r>
      <w:r w:rsidR="007D01BD">
        <w:rPr>
          <w:lang w:eastAsia="en-IE"/>
        </w:rPr>
        <w:t>”</w:t>
      </w:r>
      <w:r>
        <w:rPr>
          <w:lang w:eastAsia="en-IE"/>
        </w:rPr>
        <w:t>.</w:t>
      </w:r>
    </w:p>
    <w:p w14:paraId="1ADA193B" w14:textId="77777777" w:rsidR="00DD28B0" w:rsidRDefault="00DD28B0" w:rsidP="00AF5534">
      <w:pPr>
        <w:pStyle w:val="Heading3"/>
        <w:spacing w:before="240"/>
      </w:pPr>
      <w:r>
        <w:t>Ethical considerations</w:t>
      </w:r>
    </w:p>
    <w:p w14:paraId="49CDD705" w14:textId="3EAFD2EE" w:rsidR="0026253B" w:rsidRDefault="00DD28B0" w:rsidP="00DD28B0">
      <w:r>
        <w:t>One of the challenges regarding collaborative research is a lack of ethical guidance available for how to navigate these partnerships</w:t>
      </w:r>
      <w:r w:rsidR="00CF1E96">
        <w:t>.</w:t>
      </w:r>
      <w:r w:rsidR="00510B05">
        <w:rPr>
          <w:rStyle w:val="FootnoteReference"/>
        </w:rPr>
        <w:footnoteReference w:id="234"/>
      </w:r>
      <w:r>
        <w:t xml:space="preserve"> </w:t>
      </w:r>
      <w:r w:rsidR="00017243">
        <w:t xml:space="preserve">Mann and </w:t>
      </w:r>
      <w:r>
        <w:t>Hung (2018</w:t>
      </w:r>
      <w:r w:rsidR="001457E3">
        <w:t>) noted</w:t>
      </w:r>
      <w:r>
        <w:t xml:space="preserve"> that it is important for collaborative research projects to consider not only </w:t>
      </w:r>
      <w:r w:rsidR="00A734DE">
        <w:t xml:space="preserve">typical research ethics and </w:t>
      </w:r>
      <w:r>
        <w:t>academic institutional ethics, but also ‘everyday ethics</w:t>
      </w:r>
      <w:r w:rsidR="00510B05">
        <w:t>’</w:t>
      </w:r>
      <w:r w:rsidR="00CF1E96">
        <w:t>,</w:t>
      </w:r>
      <w:r w:rsidR="00510B05">
        <w:rPr>
          <w:rStyle w:val="FootnoteReference"/>
        </w:rPr>
        <w:footnoteReference w:id="235"/>
      </w:r>
      <w:r>
        <w:t xml:space="preserve"> namely the everyday moral, contextual and relational elements of the research dynamic. A number of studies highlighted particular ethical challenges that need to be considered while conducting collaborative research. These include, addressing situations where researchers may know the </w:t>
      </w:r>
      <w:r>
        <w:lastRenderedPageBreak/>
        <w:t>participants (e.g. reassign interviewers</w:t>
      </w:r>
      <w:r w:rsidR="00510B05">
        <w:rPr>
          <w:rStyle w:val="FootnoteReference"/>
        </w:rPr>
        <w:footnoteReference w:id="236"/>
      </w:r>
      <w:r>
        <w:t>) and maintaining anonymity and/or confidentiality during meetings/research, especially when working with small communities/groups where people may know one another</w:t>
      </w:r>
      <w:r w:rsidR="00CF1E96">
        <w:t>.</w:t>
      </w:r>
      <w:r w:rsidR="00510B05">
        <w:rPr>
          <w:rStyle w:val="FootnoteReference"/>
        </w:rPr>
        <w:footnoteReference w:id="237"/>
      </w:r>
      <w:r>
        <w:t xml:space="preserve"> </w:t>
      </w:r>
    </w:p>
    <w:p w14:paraId="3C06B903" w14:textId="4E1464E7" w:rsidR="00DD28B0" w:rsidRDefault="00DD28B0" w:rsidP="00DD28B0">
      <w:r>
        <w:t>In situations whereby co-researchers are suppor</w:t>
      </w:r>
      <w:r w:rsidR="00D32C12">
        <w:t>ted by another individual (e.g.</w:t>
      </w:r>
      <w:r>
        <w:t xml:space="preserve"> a carer or support worker), it is critical the voice or perspective of the co-researcher is considered paramount, yet the involvement of support workers needs to be respected</w:t>
      </w:r>
      <w:r w:rsidR="00CF1E96">
        <w:t>.</w:t>
      </w:r>
      <w:r w:rsidR="00510B05">
        <w:rPr>
          <w:rStyle w:val="FootnoteReference"/>
        </w:rPr>
        <w:footnoteReference w:id="238"/>
      </w:r>
      <w:r>
        <w:t xml:space="preserve"> Asking co-researchers to sign a consent form can be considered problematic as they are not research participants and it creates an inequality relative to </w:t>
      </w:r>
      <w:r w:rsidR="001457E3">
        <w:t xml:space="preserve">the </w:t>
      </w:r>
      <w:r>
        <w:t>researchers</w:t>
      </w:r>
      <w:r w:rsidR="00CF1E96">
        <w:t>.</w:t>
      </w:r>
      <w:r w:rsidR="00463EA3">
        <w:rPr>
          <w:rStyle w:val="FootnoteReference"/>
        </w:rPr>
        <w:footnoteReference w:id="239"/>
      </w:r>
      <w:r w:rsidRPr="00971639">
        <w:t xml:space="preserve"> Some studies</w:t>
      </w:r>
      <w:r>
        <w:t xml:space="preserve"> may include the same people as both co-researchers and participants, which raises ethical questions as well as questions as to the validity of the study. Being involved as both a researcher and a participant may also feel uncomfortable to co-researchers and again, creates inequalities between the co-researchers and the researchers</w:t>
      </w:r>
      <w:r w:rsidR="00CF1E96">
        <w:t>.</w:t>
      </w:r>
      <w:r w:rsidR="00463EA3">
        <w:rPr>
          <w:rStyle w:val="FootnoteReference"/>
        </w:rPr>
        <w:footnoteReference w:id="240"/>
      </w:r>
      <w:r>
        <w:t xml:space="preserve"> One study, which involved adolescents with disabilities as co-researchers, noted the challenge of balancing the ideals of empowerment with the demands and obligations to protect and safeguard the safety and wellbeing of the young people</w:t>
      </w:r>
      <w:r w:rsidR="00CF1E96">
        <w:t>.</w:t>
      </w:r>
      <w:r w:rsidR="00463EA3">
        <w:rPr>
          <w:rStyle w:val="FootnoteReference"/>
        </w:rPr>
        <w:footnoteReference w:id="241"/>
      </w:r>
      <w:r>
        <w:t xml:space="preserve"> Similarly, Burton </w:t>
      </w:r>
      <w:r w:rsidR="00185C11" w:rsidRPr="00185C11">
        <w:rPr>
          <w:i/>
        </w:rPr>
        <w:t xml:space="preserve">et al. </w:t>
      </w:r>
      <w:r>
        <w:t>(2019</w:t>
      </w:r>
      <w:r w:rsidR="00463EA3">
        <w:t xml:space="preserve">, p. </w:t>
      </w:r>
      <w:r w:rsidR="00CE4274">
        <w:t>3</w:t>
      </w:r>
      <w:r>
        <w:t>) state:</w:t>
      </w:r>
    </w:p>
    <w:p w14:paraId="0F9BDFA4" w14:textId="0BB97D96" w:rsidR="000E5E1E" w:rsidRDefault="00DD28B0" w:rsidP="00AF5534">
      <w:pPr>
        <w:pStyle w:val="BlockQuote"/>
        <w:rPr>
          <w:lang w:eastAsia="en-IE"/>
        </w:rPr>
      </w:pPr>
      <w:r w:rsidRPr="00CF77B5">
        <w:rPr>
          <w:lang w:eastAsia="en-IE"/>
        </w:rPr>
        <w:t>Researchers need to ensure PPI representatives’ well-being, while avoiding over-protective and paternalistic attitudes that m</w:t>
      </w:r>
      <w:r>
        <w:rPr>
          <w:lang w:eastAsia="en-IE"/>
        </w:rPr>
        <w:t>ay hamper meaningful engagement</w:t>
      </w:r>
      <w:r w:rsidR="00463EA3">
        <w:rPr>
          <w:lang w:eastAsia="en-IE"/>
        </w:rPr>
        <w:t>.</w:t>
      </w:r>
    </w:p>
    <w:p w14:paraId="31B03485" w14:textId="77777777" w:rsidR="00B26123" w:rsidRDefault="00B26123" w:rsidP="00B26123">
      <w:pPr>
        <w:pStyle w:val="Heading3"/>
      </w:pPr>
      <w:r>
        <w:t>Ethics applications</w:t>
      </w:r>
    </w:p>
    <w:p w14:paraId="4FDB9F7E" w14:textId="0C5545BF" w:rsidR="00B26123" w:rsidRDefault="00B26123" w:rsidP="00B26123">
      <w:r>
        <w:t>The ethical approval process was also reported as challenging in collaborative research projects. The complexity of ethics applications and ethics committees’ attitudes and expressed concerns about collaborative research were noted as particularly problematic. For example, ethics committees sometimes wanted assurances for the competency of co-researchers</w:t>
      </w:r>
      <w:r w:rsidR="00CF1E96">
        <w:t>,</w:t>
      </w:r>
      <w:r w:rsidR="00515829">
        <w:rPr>
          <w:rStyle w:val="FootnoteReference"/>
        </w:rPr>
        <w:footnoteReference w:id="242"/>
      </w:r>
      <w:r>
        <w:t xml:space="preserve"> or were concerned about </w:t>
      </w:r>
      <w:r>
        <w:lastRenderedPageBreak/>
        <w:t>the objectivity of co-researchers</w:t>
      </w:r>
      <w:r w:rsidR="002850DD">
        <w:t>,</w:t>
      </w:r>
      <w:r w:rsidR="00515829">
        <w:rPr>
          <w:rStyle w:val="FootnoteReference"/>
        </w:rPr>
        <w:footnoteReference w:id="243"/>
      </w:r>
      <w:r>
        <w:t xml:space="preserve"> and about their ability to get the consent of participants and conduct interviews</w:t>
      </w:r>
      <w:r w:rsidR="002850DD">
        <w:t>.</w:t>
      </w:r>
      <w:r w:rsidR="00515829">
        <w:rPr>
          <w:rStyle w:val="FootnoteReference"/>
        </w:rPr>
        <w:footnoteReference w:id="244"/>
      </w:r>
      <w:r>
        <w:t xml:space="preserve"> Issues around equality have occurred when ethics committees have required that co-researchers with intellectual disabilities sign consent forms, whereas this is not a requirement for researchers</w:t>
      </w:r>
      <w:r w:rsidR="002850DD">
        <w:t>.</w:t>
      </w:r>
      <w:r w:rsidR="00515829">
        <w:rPr>
          <w:rStyle w:val="FootnoteReference"/>
        </w:rPr>
        <w:footnoteReference w:id="245"/>
      </w:r>
      <w:r w:rsidRPr="00D66B1A">
        <w:t xml:space="preserve"> </w:t>
      </w:r>
      <w:r>
        <w:t>Other challenges included explaining concepts of inclusive research to ethics committees</w:t>
      </w:r>
      <w:r w:rsidR="002850DD">
        <w:t>,</w:t>
      </w:r>
      <w:r w:rsidR="00515829">
        <w:rPr>
          <w:rStyle w:val="FootnoteReference"/>
        </w:rPr>
        <w:footnoteReference w:id="246"/>
      </w:r>
      <w:r>
        <w:t xml:space="preserve"> the time it can take to get approval</w:t>
      </w:r>
      <w:r w:rsidR="00515829">
        <w:rPr>
          <w:rStyle w:val="FootnoteReference"/>
        </w:rPr>
        <w:footnoteReference w:id="247"/>
      </w:r>
      <w:r>
        <w:t xml:space="preserve"> and the paradox of needing to have secured ethical approval before funding can be released</w:t>
      </w:r>
      <w:r w:rsidR="002850DD">
        <w:t>.</w:t>
      </w:r>
      <w:r w:rsidR="00515829">
        <w:rPr>
          <w:rStyle w:val="FootnoteReference"/>
        </w:rPr>
        <w:footnoteReference w:id="248"/>
      </w:r>
    </w:p>
    <w:p w14:paraId="3782820F" w14:textId="08545BA6" w:rsidR="00B26123" w:rsidRDefault="00B26123" w:rsidP="00B26123">
      <w:r>
        <w:t>Co-researchers were involved in the ethical approval process in a number of studies</w:t>
      </w:r>
      <w:r w:rsidR="002850DD">
        <w:t>.</w:t>
      </w:r>
      <w:r w:rsidR="00515829">
        <w:rPr>
          <w:rStyle w:val="FootnoteReference"/>
        </w:rPr>
        <w:footnoteReference w:id="249"/>
      </w:r>
      <w:r>
        <w:t xml:space="preserve"> To reduce the complexity of ethics applications, o</w:t>
      </w:r>
      <w:r w:rsidRPr="00613400">
        <w:t>n</w:t>
      </w:r>
      <w:r>
        <w:t>e study found that breaking the application</w:t>
      </w:r>
      <w:r w:rsidRPr="00613400">
        <w:t xml:space="preserve"> into steps and discussing it in small groups was helpful</w:t>
      </w:r>
      <w:r>
        <w:t xml:space="preserve"> for the research team</w:t>
      </w:r>
      <w:r w:rsidR="002850DD">
        <w:t>.</w:t>
      </w:r>
      <w:r w:rsidR="00515829">
        <w:rPr>
          <w:rStyle w:val="FootnoteReference"/>
        </w:rPr>
        <w:footnoteReference w:id="250"/>
      </w:r>
      <w:r w:rsidRPr="00613400">
        <w:t xml:space="preserve"> </w:t>
      </w:r>
      <w:r>
        <w:t xml:space="preserve">A few studies engaged with their ethics committees to try to address barriers. In </w:t>
      </w:r>
      <w:r w:rsidR="0096271D" w:rsidRPr="0096271D">
        <w:t xml:space="preserve">Riches, O'Brien and CDS </w:t>
      </w:r>
      <w:r w:rsidR="0096271D">
        <w:t xml:space="preserve">Inclusive Research Network </w:t>
      </w:r>
      <w:r>
        <w:t>(2020), two participants met with the ethics committee to train them on how a researcher with intellectual disabilities could be supported in their role. Another</w:t>
      </w:r>
      <w:r w:rsidRPr="001D6C22">
        <w:t xml:space="preserve"> study noted that they were able to come to an agreement with the funding body, which entailed a staged ethical approval and funding process</w:t>
      </w:r>
      <w:r w:rsidR="002850DD">
        <w:t>.</w:t>
      </w:r>
      <w:r w:rsidR="00515829">
        <w:rPr>
          <w:rStyle w:val="FootnoteReference"/>
        </w:rPr>
        <w:footnoteReference w:id="251"/>
      </w:r>
      <w:r w:rsidRPr="001D6C22">
        <w:t xml:space="preserve"> This allowed them to include the co-researchers at these early </w:t>
      </w:r>
      <w:r>
        <w:t>stages. They also requested adjustments to their ethical approval process to ensure co-researchers with ID could participate fully. This included getting</w:t>
      </w:r>
      <w:r w:rsidRPr="00CF1AF7">
        <w:t xml:space="preserve"> approval to develop an </w:t>
      </w:r>
      <w:r>
        <w:t>Easy Read</w:t>
      </w:r>
      <w:r w:rsidRPr="00CF1AF7">
        <w:t xml:space="preserve"> </w:t>
      </w:r>
      <w:r>
        <w:t>ethics application, to</w:t>
      </w:r>
      <w:r w:rsidRPr="00CF1AF7">
        <w:t xml:space="preserve"> submit </w:t>
      </w:r>
      <w:r>
        <w:t>an Easy Read</w:t>
      </w:r>
      <w:r w:rsidRPr="00CF1AF7">
        <w:t xml:space="preserve"> study </w:t>
      </w:r>
      <w:r>
        <w:t>protocol, and having co-researchers attend a meeting o</w:t>
      </w:r>
      <w:r w:rsidR="009B7606">
        <w:t>f the ethics committee. Northway,</w:t>
      </w:r>
      <w:r w:rsidR="009B7606" w:rsidRPr="00D727FE">
        <w:t xml:space="preserve"> Howarth and Evans</w:t>
      </w:r>
      <w:r w:rsidR="009B7606">
        <w:t xml:space="preserve"> </w:t>
      </w:r>
      <w:r>
        <w:t xml:space="preserve">(2015) outlined some of the lessons they learned regarding ethical approval: </w:t>
      </w:r>
    </w:p>
    <w:p w14:paraId="24C458C3" w14:textId="77777777" w:rsidR="00B26123" w:rsidRDefault="00B26123" w:rsidP="00B26123">
      <w:pPr>
        <w:pStyle w:val="ListBullet"/>
      </w:pPr>
      <w:r>
        <w:t>Don’t just</w:t>
      </w:r>
      <w:r w:rsidRPr="00112287">
        <w:t xml:space="preserve"> accept policies and practices as </w:t>
      </w:r>
      <w:r>
        <w:t>they are</w:t>
      </w:r>
      <w:r w:rsidRPr="00112287">
        <w:t>, consider alternatives a</w:t>
      </w:r>
      <w:r>
        <w:t>nd make changes if necessary</w:t>
      </w:r>
    </w:p>
    <w:p w14:paraId="1B8DE61E" w14:textId="77777777" w:rsidR="00B26123" w:rsidRDefault="00B26123" w:rsidP="00B26123">
      <w:pPr>
        <w:pStyle w:val="ListBullet"/>
      </w:pPr>
      <w:r>
        <w:lastRenderedPageBreak/>
        <w:t>Engage with the ethics committee early in the approval process and continue to work with them</w:t>
      </w:r>
    </w:p>
    <w:p w14:paraId="2DC1C5FF" w14:textId="77777777" w:rsidR="00B26123" w:rsidRDefault="00B26123" w:rsidP="00B26123">
      <w:pPr>
        <w:pStyle w:val="ListBullet"/>
      </w:pPr>
      <w:r>
        <w:t>Present solutions to the ethics committee instead of just problems</w:t>
      </w:r>
    </w:p>
    <w:p w14:paraId="7DD58AD8" w14:textId="77777777" w:rsidR="00B26123" w:rsidRDefault="00B26123" w:rsidP="00B26123">
      <w:pPr>
        <w:pStyle w:val="ListBullet"/>
      </w:pPr>
      <w:r>
        <w:t xml:space="preserve">Consider ethical approval as a process rather than a one- time event. </w:t>
      </w:r>
    </w:p>
    <w:p w14:paraId="578DD4C9" w14:textId="1495BC7E" w:rsidR="00B26123" w:rsidRDefault="00B26123" w:rsidP="00B26123">
      <w:pPr>
        <w:pStyle w:val="ListBullet"/>
        <w:numPr>
          <w:ilvl w:val="0"/>
          <w:numId w:val="0"/>
        </w:numPr>
      </w:pPr>
      <w:r>
        <w:t xml:space="preserve">In addition, Ní </w:t>
      </w:r>
      <w:proofErr w:type="spellStart"/>
      <w:r>
        <w:t>Shé</w:t>
      </w:r>
      <w:proofErr w:type="spellEnd"/>
      <w:r>
        <w:t xml:space="preserve"> </w:t>
      </w:r>
      <w:r w:rsidR="00185C11" w:rsidRPr="00185C11">
        <w:rPr>
          <w:i/>
        </w:rPr>
        <w:t xml:space="preserve">et al. </w:t>
      </w:r>
      <w:r>
        <w:t>(2018) suggested that researchers should educate ethics committees about inclusive research issues</w:t>
      </w:r>
      <w:r w:rsidRPr="00BA31C5">
        <w:t xml:space="preserve"> </w:t>
      </w:r>
      <w:r>
        <w:t xml:space="preserve">and </w:t>
      </w:r>
      <w:proofErr w:type="spellStart"/>
      <w:r>
        <w:t>Strnadová</w:t>
      </w:r>
      <w:proofErr w:type="spellEnd"/>
      <w:r>
        <w:t xml:space="preserve"> </w:t>
      </w:r>
      <w:r w:rsidR="00185C11" w:rsidRPr="00185C11">
        <w:rPr>
          <w:i/>
        </w:rPr>
        <w:t xml:space="preserve">et al. </w:t>
      </w:r>
      <w:r>
        <w:t xml:space="preserve">(2016) noted that ethics procedures should be reviewed so that the intellectual </w:t>
      </w:r>
      <w:r w:rsidR="00387CF1">
        <w:t>c</w:t>
      </w:r>
      <w:r>
        <w:t>ompetency/capacity of all researchers is assumed.</w:t>
      </w:r>
    </w:p>
    <w:p w14:paraId="39BF8D0A" w14:textId="1C915CA5" w:rsidR="00DB5669" w:rsidRDefault="00DB5669" w:rsidP="00DD28B0">
      <w:pPr>
        <w:pStyle w:val="Heading3"/>
      </w:pPr>
      <w:r>
        <w:t>Research funding</w:t>
      </w:r>
    </w:p>
    <w:p w14:paraId="049294A6" w14:textId="68622C48" w:rsidR="00DB5669" w:rsidRDefault="00DB5669" w:rsidP="00DB5669">
      <w:r>
        <w:t xml:space="preserve">Research funding programmes and applications are a key challenge to </w:t>
      </w:r>
      <w:r w:rsidR="00C2612D">
        <w:t xml:space="preserve">collaborative research </w:t>
      </w:r>
      <w:r>
        <w:t xml:space="preserve">projects and one of the barriers to aligning the traditional </w:t>
      </w:r>
      <w:r w:rsidR="00323E00">
        <w:t>research</w:t>
      </w:r>
      <w:r>
        <w:t xml:space="preserve"> approach with a </w:t>
      </w:r>
      <w:r w:rsidR="00C2612D">
        <w:t xml:space="preserve">collaborative research </w:t>
      </w:r>
      <w:r>
        <w:t>approach</w:t>
      </w:r>
      <w:r w:rsidR="009A306F">
        <w:t>.</w:t>
      </w:r>
      <w:r w:rsidR="00CC4A01">
        <w:rPr>
          <w:rStyle w:val="FootnoteReference"/>
        </w:rPr>
        <w:footnoteReference w:id="252"/>
      </w:r>
      <w:r>
        <w:t xml:space="preserve"> Challenges reported include the general lack of funding schemes that can support equal collaboration</w:t>
      </w:r>
      <w:r w:rsidR="009A306F">
        <w:t>,</w:t>
      </w:r>
      <w:r w:rsidR="00CC4A01">
        <w:rPr>
          <w:rStyle w:val="FootnoteReference"/>
        </w:rPr>
        <w:footnoteReference w:id="253"/>
      </w:r>
      <w:r>
        <w:t xml:space="preserve"> </w:t>
      </w:r>
      <w:r w:rsidRPr="00F93AEE">
        <w:t xml:space="preserve">funding models </w:t>
      </w:r>
      <w:r w:rsidR="00CB1005">
        <w:t>which aren’t</w:t>
      </w:r>
      <w:r>
        <w:t xml:space="preserve"> </w:t>
      </w:r>
      <w:r w:rsidRPr="00F93AEE">
        <w:t xml:space="preserve">suitable </w:t>
      </w:r>
      <w:r w:rsidR="00CB1005">
        <w:t>for</w:t>
      </w:r>
      <w:r w:rsidRPr="00F93AEE">
        <w:t xml:space="preserve"> inclusive rese</w:t>
      </w:r>
      <w:r>
        <w:t xml:space="preserve">arch, funding models </w:t>
      </w:r>
      <w:r w:rsidR="00CB1005">
        <w:t>which underestimate</w:t>
      </w:r>
      <w:r w:rsidRPr="00F93AEE">
        <w:t xml:space="preserve"> the time and costs required to conduct </w:t>
      </w:r>
      <w:r w:rsidR="00C2612D">
        <w:t>collaborative research</w:t>
      </w:r>
      <w:r w:rsidR="009A306F">
        <w:t>,</w:t>
      </w:r>
      <w:r w:rsidR="00CC4A01">
        <w:rPr>
          <w:rStyle w:val="FootnoteReference"/>
        </w:rPr>
        <w:footnoteReference w:id="254"/>
      </w:r>
      <w:r>
        <w:t xml:space="preserve"> and funders </w:t>
      </w:r>
      <w:r w:rsidR="00CB1005">
        <w:t>with</w:t>
      </w:r>
      <w:r>
        <w:t xml:space="preserve"> inflexible or lo</w:t>
      </w:r>
      <w:r w:rsidR="00963946">
        <w:t>w expectations of such research</w:t>
      </w:r>
      <w:r w:rsidR="009A306F">
        <w:t>.</w:t>
      </w:r>
      <w:r w:rsidR="00CC4A01">
        <w:rPr>
          <w:rStyle w:val="FootnoteReference"/>
        </w:rPr>
        <w:footnoteReference w:id="255"/>
      </w:r>
      <w:r>
        <w:t xml:space="preserve"> </w:t>
      </w:r>
      <w:r w:rsidRPr="00785375">
        <w:t>Researchers often cite</w:t>
      </w:r>
      <w:r>
        <w:t>d</w:t>
      </w:r>
      <w:r w:rsidRPr="00785375">
        <w:t xml:space="preserve"> that additional funding is required to condu</w:t>
      </w:r>
      <w:r>
        <w:t xml:space="preserve">ct </w:t>
      </w:r>
      <w:r w:rsidR="00C2612D">
        <w:t xml:space="preserve">collaborative research </w:t>
      </w:r>
      <w:r>
        <w:t>properly</w:t>
      </w:r>
      <w:r w:rsidR="00CB1005">
        <w:t>,</w:t>
      </w:r>
      <w:r w:rsidRPr="00785375">
        <w:t xml:space="preserve"> but the necessary funding can be difficult to obtain</w:t>
      </w:r>
      <w:r w:rsidR="009A306F">
        <w:t>.</w:t>
      </w:r>
      <w:r w:rsidR="00CC4A01">
        <w:rPr>
          <w:rStyle w:val="FootnoteReference"/>
        </w:rPr>
        <w:footnoteReference w:id="256"/>
      </w:r>
      <w:r>
        <w:t xml:space="preserve"> A lack of funding </w:t>
      </w:r>
      <w:r w:rsidRPr="009E7023">
        <w:t>to pay co-researche</w:t>
      </w:r>
      <w:r>
        <w:t>rs beyond cove</w:t>
      </w:r>
      <w:r w:rsidR="00963946">
        <w:t>ring expenses was also an issue</w:t>
      </w:r>
      <w:r w:rsidR="009A306F">
        <w:t>.</w:t>
      </w:r>
      <w:r w:rsidR="00CC4A01">
        <w:rPr>
          <w:rStyle w:val="FootnoteReference"/>
        </w:rPr>
        <w:footnoteReference w:id="257"/>
      </w:r>
    </w:p>
    <w:p w14:paraId="15785F79" w14:textId="1AFAB9FD" w:rsidR="00CB1005" w:rsidRDefault="00DB5669" w:rsidP="00CB1005">
      <w:r>
        <w:t xml:space="preserve">The funding application process can be complex, </w:t>
      </w:r>
      <w:r w:rsidR="00563D53">
        <w:t>which can make it</w:t>
      </w:r>
      <w:r>
        <w:t xml:space="preserve"> difficult for co-researchers to navigate</w:t>
      </w:r>
      <w:r w:rsidR="009A306F">
        <w:t>.</w:t>
      </w:r>
      <w:r w:rsidR="00CC4A01">
        <w:rPr>
          <w:rStyle w:val="FootnoteReference"/>
        </w:rPr>
        <w:footnoteReference w:id="258"/>
      </w:r>
      <w:r>
        <w:t xml:space="preserve"> Only a few studies mentioned that co-researchers were involved in funding applications</w:t>
      </w:r>
      <w:r w:rsidR="009A306F">
        <w:t>.</w:t>
      </w:r>
      <w:r w:rsidR="00CC4A01">
        <w:rPr>
          <w:rStyle w:val="FootnoteReference"/>
        </w:rPr>
        <w:footnoteReference w:id="259"/>
      </w:r>
      <w:r>
        <w:t xml:space="preserve"> One study highlighted that funding calls were not usually in plain English, which pose</w:t>
      </w:r>
      <w:r w:rsidR="00D34F53">
        <w:t>d</w:t>
      </w:r>
      <w:r>
        <w:t xml:space="preserve"> a barrier to many people</w:t>
      </w:r>
      <w:r w:rsidR="009A306F">
        <w:t>.</w:t>
      </w:r>
      <w:r w:rsidR="00CC4A01">
        <w:rPr>
          <w:rStyle w:val="FootnoteReference"/>
        </w:rPr>
        <w:footnoteReference w:id="260"/>
      </w:r>
      <w:r>
        <w:t xml:space="preserve"> </w:t>
      </w:r>
      <w:r>
        <w:lastRenderedPageBreak/>
        <w:t>Academics who support a research group of people with ID noted that they translate</w:t>
      </w:r>
      <w:r w:rsidR="00563D53">
        <w:t>d</w:t>
      </w:r>
      <w:r>
        <w:t xml:space="preserve"> funding calls into plain English for the group</w:t>
      </w:r>
      <w:r w:rsidR="009A306F">
        <w:t>.</w:t>
      </w:r>
      <w:r w:rsidR="00CC4A01">
        <w:rPr>
          <w:rStyle w:val="FootnoteReference"/>
        </w:rPr>
        <w:footnoteReference w:id="261"/>
      </w:r>
      <w:r>
        <w:t xml:space="preserve"> However, they also noted that this was time consuming</w:t>
      </w:r>
      <w:r w:rsidR="009A306F">
        <w:t>,</w:t>
      </w:r>
      <w:r w:rsidR="00CC4A01">
        <w:rPr>
          <w:rStyle w:val="FootnoteReference"/>
        </w:rPr>
        <w:footnoteReference w:id="262"/>
      </w:r>
      <w:r>
        <w:t xml:space="preserve"> and so it is not necessarily something that all supporting researchers would be willing or able to do. </w:t>
      </w:r>
    </w:p>
    <w:p w14:paraId="464DE1B5" w14:textId="527AC07B" w:rsidR="00DB5669" w:rsidRDefault="00563D53" w:rsidP="00CB1005">
      <w:pPr>
        <w:rPr>
          <w:lang w:eastAsia="en-IE"/>
        </w:rPr>
      </w:pPr>
      <w:r>
        <w:rPr>
          <w:lang w:eastAsia="en-IE"/>
        </w:rPr>
        <w:t xml:space="preserve">There are varied opinions about involving co-researchers in funding applications. </w:t>
      </w:r>
      <w:r w:rsidR="00DB5669">
        <w:rPr>
          <w:lang w:eastAsia="en-IE"/>
        </w:rPr>
        <w:t>S</w:t>
      </w:r>
      <w:r w:rsidR="00D34F53">
        <w:rPr>
          <w:lang w:eastAsia="en-IE"/>
        </w:rPr>
        <w:t>ome s</w:t>
      </w:r>
      <w:r w:rsidR="00DB5669">
        <w:rPr>
          <w:lang w:eastAsia="en-IE"/>
        </w:rPr>
        <w:t>tudies recommended</w:t>
      </w:r>
      <w:r w:rsidR="00AF56B0">
        <w:rPr>
          <w:lang w:eastAsia="en-IE"/>
        </w:rPr>
        <w:t xml:space="preserve"> that </w:t>
      </w:r>
      <w:r w:rsidR="00DB5669">
        <w:rPr>
          <w:lang w:eastAsia="en-IE"/>
        </w:rPr>
        <w:t xml:space="preserve">potential </w:t>
      </w:r>
      <w:r w:rsidR="00C2612D">
        <w:rPr>
          <w:lang w:eastAsia="en-IE"/>
        </w:rPr>
        <w:t xml:space="preserve">collaborative research </w:t>
      </w:r>
      <w:r w:rsidR="00DB5669">
        <w:rPr>
          <w:lang w:eastAsia="en-IE"/>
        </w:rPr>
        <w:t xml:space="preserve">projects </w:t>
      </w:r>
      <w:r w:rsidR="00AF56B0">
        <w:rPr>
          <w:lang w:eastAsia="en-IE"/>
        </w:rPr>
        <w:t xml:space="preserve">should </w:t>
      </w:r>
      <w:r w:rsidR="00DB5669">
        <w:rPr>
          <w:lang w:eastAsia="en-IE"/>
        </w:rPr>
        <w:t>seek and secure funding early</w:t>
      </w:r>
      <w:r w:rsidR="00CC4A01">
        <w:rPr>
          <w:rStyle w:val="FootnoteReference"/>
          <w:lang w:eastAsia="en-IE"/>
        </w:rPr>
        <w:footnoteReference w:id="263"/>
      </w:r>
      <w:r w:rsidR="00DB5669">
        <w:rPr>
          <w:lang w:eastAsia="en-IE"/>
        </w:rPr>
        <w:t xml:space="preserve"> and secure funding before recruiting co-researchers</w:t>
      </w:r>
      <w:r w:rsidR="00B364E6">
        <w:rPr>
          <w:lang w:eastAsia="en-IE"/>
        </w:rPr>
        <w:t>.</w:t>
      </w:r>
      <w:r w:rsidR="00CC4A01">
        <w:rPr>
          <w:rStyle w:val="FootnoteReference"/>
          <w:lang w:eastAsia="en-IE"/>
        </w:rPr>
        <w:footnoteReference w:id="264"/>
      </w:r>
      <w:r w:rsidR="00D03346">
        <w:rPr>
          <w:lang w:eastAsia="en-IE"/>
        </w:rPr>
        <w:t xml:space="preserve"> </w:t>
      </w:r>
      <w:r w:rsidR="00CB1005">
        <w:rPr>
          <w:lang w:eastAsia="en-IE"/>
        </w:rPr>
        <w:t>However,</w:t>
      </w:r>
      <w:r>
        <w:rPr>
          <w:lang w:eastAsia="en-IE"/>
        </w:rPr>
        <w:t xml:space="preserve"> </w:t>
      </w:r>
      <w:r w:rsidR="00F45082">
        <w:rPr>
          <w:lang w:eastAsia="en-IE"/>
        </w:rPr>
        <w:t>Disability Wales (2019)</w:t>
      </w:r>
      <w:r>
        <w:rPr>
          <w:lang w:eastAsia="en-IE"/>
        </w:rPr>
        <w:t xml:space="preserve"> </w:t>
      </w:r>
      <w:r w:rsidR="00DB5669">
        <w:rPr>
          <w:lang w:eastAsia="en-IE"/>
        </w:rPr>
        <w:t>recommen</w:t>
      </w:r>
      <w:r>
        <w:rPr>
          <w:lang w:eastAsia="en-IE"/>
        </w:rPr>
        <w:t>d</w:t>
      </w:r>
      <w:r w:rsidR="00F45082">
        <w:rPr>
          <w:lang w:eastAsia="en-IE"/>
        </w:rPr>
        <w:t>ed</w:t>
      </w:r>
      <w:r w:rsidR="00DB5669">
        <w:rPr>
          <w:lang w:eastAsia="en-IE"/>
        </w:rPr>
        <w:t xml:space="preserve"> that co-researchers </w:t>
      </w:r>
      <w:r>
        <w:rPr>
          <w:lang w:eastAsia="en-IE"/>
        </w:rPr>
        <w:t xml:space="preserve">should be </w:t>
      </w:r>
      <w:r w:rsidR="00DB5669">
        <w:rPr>
          <w:lang w:eastAsia="en-IE"/>
        </w:rPr>
        <w:t>involved in funding applications</w:t>
      </w:r>
      <w:r w:rsidR="00194CEA">
        <w:rPr>
          <w:lang w:eastAsia="en-IE"/>
        </w:rPr>
        <w:t xml:space="preserve">. </w:t>
      </w:r>
      <w:r w:rsidR="00DB5669">
        <w:rPr>
          <w:lang w:eastAsia="en-IE"/>
        </w:rPr>
        <w:t xml:space="preserve">One </w:t>
      </w:r>
      <w:r w:rsidR="00D34F53">
        <w:rPr>
          <w:lang w:eastAsia="en-IE"/>
        </w:rPr>
        <w:t xml:space="preserve">study noted that </w:t>
      </w:r>
      <w:r w:rsidR="00D34F53">
        <w:t xml:space="preserve">the provision of </w:t>
      </w:r>
      <w:r w:rsidR="00D34F53" w:rsidRPr="00AB1416">
        <w:rPr>
          <w:lang w:eastAsia="en-IE"/>
        </w:rPr>
        <w:t xml:space="preserve">small grants for the development </w:t>
      </w:r>
      <w:r w:rsidR="00D34F53">
        <w:rPr>
          <w:lang w:eastAsia="en-IE"/>
        </w:rPr>
        <w:t>of proposals may be one means of ensuring that</w:t>
      </w:r>
      <w:r w:rsidR="00DB5669">
        <w:rPr>
          <w:lang w:eastAsia="en-IE"/>
        </w:rPr>
        <w:t xml:space="preserve"> people with disabilities can be involve</w:t>
      </w:r>
      <w:r w:rsidR="004A5470">
        <w:rPr>
          <w:lang w:eastAsia="en-IE"/>
        </w:rPr>
        <w:t>d from the start of a project</w:t>
      </w:r>
      <w:r w:rsidR="00B364E6">
        <w:rPr>
          <w:lang w:eastAsia="en-IE"/>
        </w:rPr>
        <w:t>.</w:t>
      </w:r>
      <w:r w:rsidR="00CC4A01">
        <w:rPr>
          <w:rStyle w:val="FootnoteReference"/>
          <w:lang w:eastAsia="en-IE"/>
        </w:rPr>
        <w:footnoteReference w:id="265"/>
      </w:r>
      <w:r w:rsidR="00DB5669">
        <w:rPr>
          <w:lang w:eastAsia="en-IE"/>
        </w:rPr>
        <w:t xml:space="preserve"> Studies also made a number of recommendations for funding bodies </w:t>
      </w:r>
      <w:r w:rsidR="00D03346">
        <w:rPr>
          <w:lang w:eastAsia="en-IE"/>
        </w:rPr>
        <w:t>to</w:t>
      </w:r>
      <w:r w:rsidR="00DB5669">
        <w:rPr>
          <w:lang w:eastAsia="en-IE"/>
        </w:rPr>
        <w:t xml:space="preserve"> facilitate </w:t>
      </w:r>
      <w:r w:rsidR="00C2612D">
        <w:rPr>
          <w:lang w:eastAsia="en-IE"/>
        </w:rPr>
        <w:t xml:space="preserve">collaborative research </w:t>
      </w:r>
      <w:r w:rsidR="00DB5669">
        <w:rPr>
          <w:lang w:eastAsia="en-IE"/>
        </w:rPr>
        <w:t>projects</w:t>
      </w:r>
      <w:r w:rsidR="00B364E6">
        <w:rPr>
          <w:lang w:eastAsia="en-IE"/>
        </w:rPr>
        <w:t>:</w:t>
      </w:r>
      <w:r w:rsidR="00DB5669">
        <w:rPr>
          <w:rStyle w:val="FootnoteReference"/>
          <w:lang w:eastAsia="en-IE"/>
        </w:rPr>
        <w:footnoteReference w:id="266"/>
      </w:r>
    </w:p>
    <w:p w14:paraId="34D8B5D8" w14:textId="62F30D9C" w:rsidR="00DB5669" w:rsidRDefault="00DB5669" w:rsidP="00DB5669">
      <w:pPr>
        <w:pStyle w:val="ListBullet"/>
        <w:rPr>
          <w:lang w:eastAsia="en-IE"/>
        </w:rPr>
      </w:pPr>
      <w:r>
        <w:rPr>
          <w:lang w:eastAsia="en-IE"/>
        </w:rPr>
        <w:t>Provide funding for pre-proposal design and consultation</w:t>
      </w:r>
      <w:r w:rsidR="00CC4A01">
        <w:rPr>
          <w:rStyle w:val="FootnoteReference"/>
          <w:lang w:eastAsia="en-IE"/>
        </w:rPr>
        <w:footnoteReference w:id="267"/>
      </w:r>
    </w:p>
    <w:p w14:paraId="78C4F82E" w14:textId="6D145371" w:rsidR="00DB5669" w:rsidRDefault="00DB5669" w:rsidP="00DB5669">
      <w:pPr>
        <w:pStyle w:val="ListBullet"/>
        <w:rPr>
          <w:lang w:eastAsia="en-IE"/>
        </w:rPr>
      </w:pPr>
      <w:r>
        <w:rPr>
          <w:lang w:eastAsia="en-IE"/>
        </w:rPr>
        <w:t xml:space="preserve">Provide funding opportunities with </w:t>
      </w:r>
      <w:r w:rsidR="00CB1005">
        <w:rPr>
          <w:szCs w:val="26"/>
        </w:rPr>
        <w:t>‘</w:t>
      </w:r>
      <w:r w:rsidRPr="00800999">
        <w:rPr>
          <w:rFonts w:cs="Calibri"/>
          <w:color w:val="000000"/>
          <w:szCs w:val="26"/>
        </w:rPr>
        <w:t>ope</w:t>
      </w:r>
      <w:r>
        <w:rPr>
          <w:rFonts w:cs="Calibri"/>
          <w:color w:val="000000"/>
          <w:szCs w:val="26"/>
        </w:rPr>
        <w:t>rational and budget flexibility</w:t>
      </w:r>
      <w:r w:rsidR="00CB1005">
        <w:rPr>
          <w:rFonts w:cs="Calibri"/>
          <w:color w:val="000000"/>
          <w:szCs w:val="26"/>
        </w:rPr>
        <w:t>’</w:t>
      </w:r>
      <w:r>
        <w:rPr>
          <w:rFonts w:cs="Calibri"/>
          <w:color w:val="000000"/>
          <w:szCs w:val="26"/>
        </w:rPr>
        <w:t>, to enable</w:t>
      </w:r>
      <w:r w:rsidRPr="00C62520">
        <w:rPr>
          <w:rFonts w:cs="Calibri"/>
          <w:color w:val="000000"/>
          <w:szCs w:val="26"/>
        </w:rPr>
        <w:t xml:space="preserve"> support needs </w:t>
      </w:r>
      <w:r>
        <w:rPr>
          <w:rFonts w:cs="Calibri"/>
          <w:color w:val="000000"/>
          <w:szCs w:val="26"/>
        </w:rPr>
        <w:t>to</w:t>
      </w:r>
      <w:r w:rsidRPr="00C62520">
        <w:rPr>
          <w:rFonts w:cs="Calibri"/>
          <w:color w:val="000000"/>
          <w:szCs w:val="26"/>
        </w:rPr>
        <w:t xml:space="preserve"> be addressed </w:t>
      </w:r>
      <w:r>
        <w:rPr>
          <w:rFonts w:cs="Calibri"/>
          <w:color w:val="000000"/>
          <w:szCs w:val="26"/>
        </w:rPr>
        <w:t xml:space="preserve">as </w:t>
      </w:r>
      <w:r w:rsidR="00CB1005">
        <w:rPr>
          <w:rFonts w:cs="Calibri"/>
          <w:color w:val="000000"/>
          <w:szCs w:val="26"/>
        </w:rPr>
        <w:t>appropriate</w:t>
      </w:r>
      <w:r w:rsidRPr="00C62520">
        <w:rPr>
          <w:rFonts w:cs="Calibri"/>
          <w:color w:val="000000"/>
          <w:szCs w:val="26"/>
        </w:rPr>
        <w:t xml:space="preserve"> throughout the research project</w:t>
      </w:r>
      <w:r w:rsidR="00CC4A01">
        <w:rPr>
          <w:rStyle w:val="FootnoteReference"/>
          <w:rFonts w:cs="Calibri"/>
          <w:color w:val="000000"/>
          <w:szCs w:val="26"/>
        </w:rPr>
        <w:footnoteReference w:id="268"/>
      </w:r>
      <w:r w:rsidR="008239AD">
        <w:rPr>
          <w:rFonts w:cs="Calibri"/>
          <w:color w:val="000000"/>
          <w:szCs w:val="26"/>
        </w:rPr>
        <w:t xml:space="preserve"> and to pay for co-researcher suggestions not previously considered by project team</w:t>
      </w:r>
      <w:r w:rsidR="00CC4A01">
        <w:rPr>
          <w:rStyle w:val="FootnoteReference"/>
          <w:rFonts w:cs="Calibri"/>
          <w:color w:val="000000"/>
          <w:szCs w:val="26"/>
        </w:rPr>
        <w:footnoteReference w:id="269"/>
      </w:r>
    </w:p>
    <w:p w14:paraId="3771FF50" w14:textId="2884A747" w:rsidR="00DB5669" w:rsidRDefault="00DB5669" w:rsidP="00DB5669">
      <w:pPr>
        <w:pStyle w:val="ListBullet"/>
        <w:rPr>
          <w:lang w:eastAsia="en-IE"/>
        </w:rPr>
      </w:pPr>
      <w:r>
        <w:rPr>
          <w:rFonts w:cs="Calibri"/>
          <w:color w:val="000000"/>
          <w:szCs w:val="26"/>
        </w:rPr>
        <w:t>Allow longer timelines for these kind of research partnership projects</w:t>
      </w:r>
      <w:r w:rsidR="00CC4A01">
        <w:rPr>
          <w:rStyle w:val="FootnoteReference"/>
          <w:rFonts w:cs="Calibri"/>
          <w:color w:val="000000"/>
          <w:szCs w:val="26"/>
        </w:rPr>
        <w:footnoteReference w:id="270"/>
      </w:r>
    </w:p>
    <w:p w14:paraId="2B5C6A9E" w14:textId="3ECD78B1" w:rsidR="00DB5669" w:rsidRPr="00C7009A" w:rsidRDefault="00DB5669" w:rsidP="00DB5669">
      <w:pPr>
        <w:pStyle w:val="ListBullet"/>
        <w:rPr>
          <w:lang w:eastAsia="en-IE"/>
        </w:rPr>
      </w:pPr>
      <w:r>
        <w:rPr>
          <w:lang w:eastAsia="en-IE"/>
        </w:rPr>
        <w:t xml:space="preserve">Consider resources needed </w:t>
      </w:r>
      <w:r>
        <w:rPr>
          <w:rFonts w:cs="Calibri"/>
          <w:color w:val="000000"/>
          <w:szCs w:val="26"/>
        </w:rPr>
        <w:t>to develop research with seldom heard from groups</w:t>
      </w:r>
      <w:r w:rsidR="00CC4A01">
        <w:rPr>
          <w:rStyle w:val="FootnoteReference"/>
          <w:rFonts w:cs="Calibri"/>
          <w:color w:val="000000"/>
          <w:szCs w:val="26"/>
        </w:rPr>
        <w:footnoteReference w:id="271"/>
      </w:r>
    </w:p>
    <w:p w14:paraId="1372FEFA" w14:textId="2C200B74" w:rsidR="00DB5669" w:rsidRPr="00C7009A" w:rsidRDefault="003F37FA" w:rsidP="00DB5669">
      <w:pPr>
        <w:pStyle w:val="ListBullet"/>
        <w:rPr>
          <w:lang w:eastAsia="en-IE"/>
        </w:rPr>
      </w:pPr>
      <w:r>
        <w:rPr>
          <w:lang w:eastAsia="en-IE"/>
        </w:rPr>
        <w:lastRenderedPageBreak/>
        <w:t>Make c</w:t>
      </w:r>
      <w:r w:rsidR="00DB5669">
        <w:rPr>
          <w:lang w:eastAsia="en-IE"/>
        </w:rPr>
        <w:t>o-production a key element of funded disability projects</w:t>
      </w:r>
      <w:r w:rsidR="00CC4A01">
        <w:rPr>
          <w:rStyle w:val="FootnoteReference"/>
          <w:lang w:eastAsia="en-IE"/>
        </w:rPr>
        <w:footnoteReference w:id="272"/>
      </w:r>
    </w:p>
    <w:p w14:paraId="3DAC6C8D" w14:textId="7A03B51E" w:rsidR="00DB5669" w:rsidRDefault="00DB5669" w:rsidP="00DB5669">
      <w:pPr>
        <w:pStyle w:val="ListBullet"/>
        <w:rPr>
          <w:lang w:eastAsia="en-IE"/>
        </w:rPr>
      </w:pPr>
      <w:r>
        <w:rPr>
          <w:rFonts w:cs="Calibri"/>
          <w:color w:val="000000"/>
          <w:szCs w:val="26"/>
        </w:rPr>
        <w:t xml:space="preserve">Provide funding opportunities </w:t>
      </w:r>
      <w:r>
        <w:rPr>
          <w:lang w:eastAsia="en-IE"/>
        </w:rPr>
        <w:t xml:space="preserve">for projects </w:t>
      </w:r>
      <w:r w:rsidR="00D03346">
        <w:rPr>
          <w:lang w:eastAsia="en-IE"/>
        </w:rPr>
        <w:t>collaborative</w:t>
      </w:r>
      <w:r w:rsidRPr="007A0BC2">
        <w:rPr>
          <w:lang w:eastAsia="en-IE"/>
        </w:rPr>
        <w:t>/</w:t>
      </w:r>
      <w:r w:rsidR="00D03346">
        <w:rPr>
          <w:lang w:eastAsia="en-IE"/>
        </w:rPr>
        <w:t>e</w:t>
      </w:r>
      <w:r w:rsidRPr="007A0BC2">
        <w:rPr>
          <w:lang w:eastAsia="en-IE"/>
        </w:rPr>
        <w:t>mancipatory research</w:t>
      </w:r>
      <w:r>
        <w:rPr>
          <w:lang w:eastAsia="en-IE"/>
        </w:rPr>
        <w:t xml:space="preserve"> with seldom heard from groups, incl</w:t>
      </w:r>
      <w:r w:rsidR="004C618B">
        <w:rPr>
          <w:lang w:eastAsia="en-IE"/>
        </w:rPr>
        <w:t>uding people with disabilities</w:t>
      </w:r>
      <w:r w:rsidR="00CC4A01">
        <w:rPr>
          <w:rStyle w:val="FootnoteReference"/>
          <w:lang w:eastAsia="en-IE"/>
        </w:rPr>
        <w:footnoteReference w:id="273"/>
      </w:r>
    </w:p>
    <w:p w14:paraId="1ACD2BC0" w14:textId="06602589" w:rsidR="00DB5669" w:rsidRDefault="00DB5669" w:rsidP="00DB5669">
      <w:pPr>
        <w:rPr>
          <w:rFonts w:cs="Calibri"/>
          <w:color w:val="000000"/>
          <w:szCs w:val="26"/>
        </w:rPr>
      </w:pPr>
      <w:r>
        <w:rPr>
          <w:rFonts w:cs="Calibri"/>
          <w:color w:val="000000"/>
          <w:szCs w:val="26"/>
        </w:rPr>
        <w:t>Finally, it was also noted that funding bodies should be aware that</w:t>
      </w:r>
      <w:r w:rsidR="0030294E">
        <w:rPr>
          <w:rFonts w:cs="Calibri"/>
          <w:color w:val="000000"/>
          <w:szCs w:val="26"/>
        </w:rPr>
        <w:t xml:space="preserve"> </w:t>
      </w:r>
      <w:r w:rsidR="008A002C">
        <w:rPr>
          <w:rFonts w:cs="Calibri"/>
          <w:color w:val="000000"/>
          <w:szCs w:val="26"/>
        </w:rPr>
        <w:t>(</w:t>
      </w:r>
      <w:r w:rsidR="0030294E">
        <w:rPr>
          <w:rFonts w:cs="Calibri"/>
          <w:color w:val="000000"/>
          <w:szCs w:val="26"/>
        </w:rPr>
        <w:t>ideally</w:t>
      </w:r>
      <w:r w:rsidR="008A002C">
        <w:rPr>
          <w:rFonts w:cs="Calibri"/>
          <w:color w:val="000000"/>
          <w:szCs w:val="26"/>
        </w:rPr>
        <w:t>)</w:t>
      </w:r>
      <w:r>
        <w:rPr>
          <w:rFonts w:cs="Calibri"/>
          <w:color w:val="000000"/>
          <w:szCs w:val="26"/>
        </w:rPr>
        <w:t xml:space="preserve"> they are not only funding a research proje</w:t>
      </w:r>
      <w:r w:rsidR="00D03346">
        <w:rPr>
          <w:rFonts w:cs="Calibri"/>
          <w:color w:val="000000"/>
          <w:szCs w:val="26"/>
        </w:rPr>
        <w:t>ct, but a research partnership</w:t>
      </w:r>
      <w:r w:rsidR="00B364E6">
        <w:rPr>
          <w:rFonts w:cs="Calibri"/>
          <w:color w:val="000000"/>
          <w:szCs w:val="26"/>
        </w:rPr>
        <w:t>.</w:t>
      </w:r>
      <w:r w:rsidR="00CC4A01">
        <w:rPr>
          <w:rStyle w:val="FootnoteReference"/>
          <w:rFonts w:cs="Calibri"/>
          <w:color w:val="000000"/>
          <w:szCs w:val="26"/>
        </w:rPr>
        <w:footnoteReference w:id="274"/>
      </w:r>
    </w:p>
    <w:p w14:paraId="300E1BB4" w14:textId="77777777" w:rsidR="00DB5669" w:rsidRDefault="00DB5669" w:rsidP="00DB5669">
      <w:pPr>
        <w:pStyle w:val="Heading3"/>
      </w:pPr>
      <w:r>
        <w:t>Resources and time</w:t>
      </w:r>
    </w:p>
    <w:p w14:paraId="001F005B" w14:textId="682F2939" w:rsidR="00954222" w:rsidRPr="00493C2C" w:rsidRDefault="00DB5669" w:rsidP="00DB5669">
      <w:r w:rsidRPr="00785375">
        <w:t xml:space="preserve">A number of studies </w:t>
      </w:r>
      <w:r w:rsidR="00033FFD">
        <w:t>referred to</w:t>
      </w:r>
      <w:r w:rsidRPr="00785375">
        <w:t xml:space="preserve"> the additional time and resources required </w:t>
      </w:r>
      <w:r>
        <w:t xml:space="preserve">to conduct </w:t>
      </w:r>
      <w:r w:rsidR="00C2612D">
        <w:t xml:space="preserve">collaborative research </w:t>
      </w:r>
      <w:r>
        <w:t xml:space="preserve">compared to traditional </w:t>
      </w:r>
      <w:r w:rsidR="00323E00">
        <w:t>research</w:t>
      </w:r>
      <w:r>
        <w:t xml:space="preserve"> approaches</w:t>
      </w:r>
      <w:r w:rsidR="00B364E6">
        <w:t>.</w:t>
      </w:r>
      <w:r w:rsidR="00CC4A01">
        <w:rPr>
          <w:rStyle w:val="FootnoteReference"/>
        </w:rPr>
        <w:footnoteReference w:id="275"/>
      </w:r>
      <w:r>
        <w:t xml:space="preserve"> Several studies noted the</w:t>
      </w:r>
      <w:r w:rsidRPr="00785375">
        <w:t xml:space="preserve"> additional time and effort required to prepare for meetings, </w:t>
      </w:r>
      <w:r w:rsidR="008047B0">
        <w:t xml:space="preserve">to create accessible resources, </w:t>
      </w:r>
      <w:r>
        <w:t xml:space="preserve">to </w:t>
      </w:r>
      <w:r w:rsidRPr="00785375">
        <w:t xml:space="preserve">address communication issues and </w:t>
      </w:r>
      <w:r w:rsidR="008047B0">
        <w:t xml:space="preserve">to </w:t>
      </w:r>
      <w:r w:rsidRPr="00785375">
        <w:t>creat</w:t>
      </w:r>
      <w:r>
        <w:t>e</w:t>
      </w:r>
      <w:r w:rsidRPr="00785375">
        <w:t xml:space="preserve"> a positive atmosphere</w:t>
      </w:r>
      <w:r w:rsidR="00B364E6">
        <w:t>.</w:t>
      </w:r>
      <w:r w:rsidR="00CC4A01">
        <w:rPr>
          <w:rStyle w:val="FootnoteReference"/>
        </w:rPr>
        <w:footnoteReference w:id="276"/>
      </w:r>
      <w:r w:rsidR="008047B0">
        <w:t xml:space="preserve"> The need to work at the pace of co-researchers was also </w:t>
      </w:r>
      <w:r w:rsidR="00AA3279">
        <w:t>noted by</w:t>
      </w:r>
      <w:r w:rsidR="008047B0">
        <w:t xml:space="preserve"> </w:t>
      </w:r>
      <w:proofErr w:type="spellStart"/>
      <w:r w:rsidR="008047B0">
        <w:t>Morbey</w:t>
      </w:r>
      <w:proofErr w:type="spellEnd"/>
      <w:r w:rsidR="008047B0">
        <w:t xml:space="preserve"> </w:t>
      </w:r>
      <w:r w:rsidR="00185C11" w:rsidRPr="00185C11">
        <w:rPr>
          <w:i/>
        </w:rPr>
        <w:t xml:space="preserve">et al. </w:t>
      </w:r>
      <w:r w:rsidR="00BD12FA">
        <w:t>(2019</w:t>
      </w:r>
      <w:r w:rsidR="00CC4A01">
        <w:t>, p.</w:t>
      </w:r>
      <w:r w:rsidR="00F35D60">
        <w:t xml:space="preserve"> 7</w:t>
      </w:r>
      <w:r w:rsidR="00BD12FA">
        <w:t>)</w:t>
      </w:r>
      <w:r w:rsidR="00AA3279">
        <w:t xml:space="preserve"> who stated that </w:t>
      </w:r>
      <w:r w:rsidR="00C84FED">
        <w:t xml:space="preserve">when </w:t>
      </w:r>
      <w:r w:rsidR="008047B0">
        <w:t>working with people with dementia as co-researchers, ‘time is possibly the most important consideration’.</w:t>
      </w:r>
      <w:r w:rsidRPr="007B6DBA">
        <w:t xml:space="preserve"> </w:t>
      </w:r>
      <w:r w:rsidRPr="00785375">
        <w:t>All of this can lead to projects taking longer than originally anticipated</w:t>
      </w:r>
      <w:r w:rsidR="00B364E6">
        <w:t>.</w:t>
      </w:r>
      <w:r w:rsidR="00CC4A01">
        <w:rPr>
          <w:rStyle w:val="FootnoteReference"/>
        </w:rPr>
        <w:footnoteReference w:id="277"/>
      </w:r>
      <w:r w:rsidR="00033FFD" w:rsidRPr="00493C2C">
        <w:t xml:space="preserve"> </w:t>
      </w:r>
    </w:p>
    <w:p w14:paraId="28499079" w14:textId="4671A3ED" w:rsidR="00DB5669" w:rsidRDefault="00657ADF" w:rsidP="00DB5669">
      <w:proofErr w:type="spellStart"/>
      <w:r w:rsidRPr="00493C2C">
        <w:t>Troya</w:t>
      </w:r>
      <w:proofErr w:type="spellEnd"/>
      <w:r w:rsidRPr="00493C2C">
        <w:t xml:space="preserve"> </w:t>
      </w:r>
      <w:r w:rsidR="00185C11" w:rsidRPr="00185C11">
        <w:rPr>
          <w:i/>
        </w:rPr>
        <w:t xml:space="preserve">et al. </w:t>
      </w:r>
      <w:r w:rsidR="00C84FED" w:rsidRPr="00493C2C">
        <w:t>(</w:t>
      </w:r>
      <w:r w:rsidRPr="00493C2C">
        <w:t>2019</w:t>
      </w:r>
      <w:r w:rsidR="00C84FED" w:rsidRPr="00493C2C">
        <w:t>)</w:t>
      </w:r>
      <w:r w:rsidRPr="00493C2C">
        <w:t xml:space="preserve"> </w:t>
      </w:r>
      <w:r w:rsidR="00AA3279" w:rsidRPr="00493C2C">
        <w:t>discussed how they dealt with issues around time</w:t>
      </w:r>
      <w:r w:rsidR="00AA3279">
        <w:t xml:space="preserve"> and resources and noted</w:t>
      </w:r>
      <w:r>
        <w:t xml:space="preserve"> that they started planning co-researcher involvement </w:t>
      </w:r>
      <w:r w:rsidR="00C84FED">
        <w:t>eight</w:t>
      </w:r>
      <w:r>
        <w:t xml:space="preserve"> months before the first research meeting, and ensured they</w:t>
      </w:r>
      <w:r w:rsidR="00AA3279">
        <w:t xml:space="preserve"> had</w:t>
      </w:r>
      <w:r>
        <w:t xml:space="preserve"> secured funding specifically for the co-researcher involvement. </w:t>
      </w:r>
      <w:r w:rsidR="00AA3279">
        <w:t xml:space="preserve">As well as the </w:t>
      </w:r>
      <w:r w:rsidR="00033FFD">
        <w:t xml:space="preserve">extra time and resources </w:t>
      </w:r>
      <w:r w:rsidR="00AA3279">
        <w:t>needed</w:t>
      </w:r>
      <w:r w:rsidR="00033FFD">
        <w:t xml:space="preserve"> for some elements of </w:t>
      </w:r>
      <w:r w:rsidR="009237D2">
        <w:t>collaborative research,</w:t>
      </w:r>
      <w:r w:rsidR="00033FFD">
        <w:t xml:space="preserve"> a number of studies suggested structural </w:t>
      </w:r>
      <w:r w:rsidR="00DB36F0">
        <w:t xml:space="preserve">solutions that would help save some time and resources across multiple </w:t>
      </w:r>
      <w:r w:rsidR="00C2612D">
        <w:t xml:space="preserve">collaborative research </w:t>
      </w:r>
      <w:r w:rsidR="00DB36F0">
        <w:t xml:space="preserve">projects. For example, </w:t>
      </w:r>
      <w:r w:rsidR="00DB5669" w:rsidRPr="00785375">
        <w:t xml:space="preserve">Powers </w:t>
      </w:r>
      <w:r w:rsidR="00185C11" w:rsidRPr="00185C11">
        <w:rPr>
          <w:i/>
        </w:rPr>
        <w:t xml:space="preserve">et al. </w:t>
      </w:r>
      <w:r w:rsidR="00704076" w:rsidRPr="00704076">
        <w:t>(2017</w:t>
      </w:r>
      <w:r w:rsidR="00704076">
        <w:t xml:space="preserve">) </w:t>
      </w:r>
      <w:r w:rsidR="00DB5669" w:rsidRPr="00785375">
        <w:t>suggest creating action research partnerships, principles, structures, and tools that can have benefit</w:t>
      </w:r>
      <w:r w:rsidR="00C84FED">
        <w:t>s</w:t>
      </w:r>
      <w:r w:rsidR="00DB5669" w:rsidRPr="00785375">
        <w:t xml:space="preserve"> across multiple studies</w:t>
      </w:r>
      <w:r w:rsidR="00DB5669">
        <w:t xml:space="preserve">. </w:t>
      </w:r>
      <w:r w:rsidR="00DB5669" w:rsidRPr="0031139A">
        <w:t xml:space="preserve">Campus Engage guidance </w:t>
      </w:r>
      <w:r w:rsidR="00CC4A01">
        <w:t>(</w:t>
      </w:r>
      <w:r w:rsidR="000479BF">
        <w:t>2017</w:t>
      </w:r>
      <w:r w:rsidR="00CC4A01">
        <w:t xml:space="preserve">) </w:t>
      </w:r>
      <w:r w:rsidR="00DB5669" w:rsidRPr="0031139A">
        <w:t>suggests that a national database of engaged research projects, engaged researchers, and support staff would be a useful resource that could identify where existing research has already addressed issues of concern</w:t>
      </w:r>
      <w:r w:rsidR="00C84FED">
        <w:t xml:space="preserve"> in order to </w:t>
      </w:r>
      <w:r w:rsidR="00C84FED">
        <w:lastRenderedPageBreak/>
        <w:t>reduce research waste</w:t>
      </w:r>
      <w:r w:rsidR="00A65D08">
        <w:t xml:space="preserve"> and duplication</w:t>
      </w:r>
      <w:r w:rsidR="00704076">
        <w:t>. Such a database</w:t>
      </w:r>
      <w:r w:rsidR="00704076" w:rsidRPr="0031139A">
        <w:t xml:space="preserve"> </w:t>
      </w:r>
      <w:r w:rsidR="00704076">
        <w:t>could</w:t>
      </w:r>
      <w:r w:rsidR="00A65D08">
        <w:t xml:space="preserve"> also serve to provide examples of good quality research </w:t>
      </w:r>
      <w:r w:rsidR="008C62AF">
        <w:t>collaborations that</w:t>
      </w:r>
      <w:r w:rsidR="00C1214B">
        <w:t xml:space="preserve"> others could learn from.</w:t>
      </w:r>
    </w:p>
    <w:p w14:paraId="293841C2" w14:textId="77777777" w:rsidR="00DB5669" w:rsidRDefault="00DB5669" w:rsidP="00DB5669">
      <w:pPr>
        <w:pStyle w:val="Heading2"/>
      </w:pPr>
      <w:bookmarkStart w:id="55" w:name="_Toc104925117"/>
      <w:bookmarkStart w:id="56" w:name="_Toc116916221"/>
      <w:r>
        <w:t>Recruitment of co-researchers</w:t>
      </w:r>
      <w:bookmarkEnd w:id="55"/>
      <w:bookmarkEnd w:id="56"/>
    </w:p>
    <w:p w14:paraId="2E0D2D8E" w14:textId="5746A5D9" w:rsidR="003166E1" w:rsidRDefault="00DB5669" w:rsidP="00DB5669">
      <w:r>
        <w:t>A number of studies suggested good practice relating to recruitment of co-researchers, including open advertising</w:t>
      </w:r>
      <w:r w:rsidR="00B364E6">
        <w:t>,</w:t>
      </w:r>
      <w:r w:rsidR="00CC4A01">
        <w:rPr>
          <w:rStyle w:val="FootnoteReference"/>
        </w:rPr>
        <w:footnoteReference w:id="278"/>
      </w:r>
      <w:r>
        <w:t xml:space="preserve"> having an official job description</w:t>
      </w:r>
      <w:r w:rsidR="00B364E6">
        <w:t>,</w:t>
      </w:r>
      <w:r w:rsidR="00CC4A01">
        <w:rPr>
          <w:rStyle w:val="FootnoteReference"/>
        </w:rPr>
        <w:footnoteReference w:id="279"/>
      </w:r>
      <w:r>
        <w:t xml:space="preserve"> using gatekeepers and informal networking</w:t>
      </w:r>
      <w:r w:rsidR="00CC4A01">
        <w:rPr>
          <w:rStyle w:val="FootnoteReference"/>
        </w:rPr>
        <w:footnoteReference w:id="280"/>
      </w:r>
      <w:r>
        <w:t xml:space="preserve"> and supporting service providers and gatekeepers/supporters to understand the whole process to facilitate recruitment</w:t>
      </w:r>
      <w:r w:rsidR="00B364E6">
        <w:t>.</w:t>
      </w:r>
      <w:r w:rsidR="00CC4A01">
        <w:rPr>
          <w:rStyle w:val="FootnoteReference"/>
        </w:rPr>
        <w:footnoteReference w:id="281"/>
      </w:r>
      <w:r>
        <w:t xml:space="preserve"> </w:t>
      </w:r>
      <w:r w:rsidR="00902030">
        <w:t xml:space="preserve">A number of </w:t>
      </w:r>
      <w:r>
        <w:t>stud</w:t>
      </w:r>
      <w:r w:rsidR="00902030">
        <w:t>ies</w:t>
      </w:r>
      <w:r>
        <w:t xml:space="preserve"> held </w:t>
      </w:r>
      <w:r w:rsidR="00902030">
        <w:t>information or</w:t>
      </w:r>
      <w:r>
        <w:t xml:space="preserve"> recruitment day</w:t>
      </w:r>
      <w:r w:rsidR="00902030">
        <w:t>s</w:t>
      </w:r>
      <w:r w:rsidR="00CC4A01">
        <w:rPr>
          <w:rStyle w:val="FootnoteReference"/>
        </w:rPr>
        <w:footnoteReference w:id="282"/>
      </w:r>
      <w:r w:rsidR="003166E1">
        <w:t xml:space="preserve"> where potential co-researchers could meet with researchers to find out ab</w:t>
      </w:r>
      <w:r w:rsidR="00704076">
        <w:t>out the project. According to Di</w:t>
      </w:r>
      <w:r w:rsidR="003166E1">
        <w:t xml:space="preserve"> </w:t>
      </w:r>
      <w:proofErr w:type="spellStart"/>
      <w:r w:rsidR="003166E1">
        <w:t>Lorito</w:t>
      </w:r>
      <w:proofErr w:type="spellEnd"/>
      <w:r w:rsidR="003166E1">
        <w:t xml:space="preserve"> </w:t>
      </w:r>
      <w:r w:rsidR="00185C11" w:rsidRPr="00185C11">
        <w:rPr>
          <w:i/>
        </w:rPr>
        <w:t xml:space="preserve">et al. </w:t>
      </w:r>
      <w:r w:rsidR="00260B58">
        <w:t>(</w:t>
      </w:r>
      <w:r w:rsidR="009D06D0">
        <w:t>2</w:t>
      </w:r>
      <w:r w:rsidR="003166E1">
        <w:t>017</w:t>
      </w:r>
      <w:r w:rsidR="00237016">
        <w:t>, pp. 13-14</w:t>
      </w:r>
      <w:r w:rsidR="00260B58">
        <w:t>)</w:t>
      </w:r>
      <w:r w:rsidR="003166E1">
        <w:t xml:space="preserve">, this was a positive approach: </w:t>
      </w:r>
    </w:p>
    <w:p w14:paraId="03F07FFA" w14:textId="3B2C38ED" w:rsidR="003166E1" w:rsidRDefault="003166E1" w:rsidP="003166E1">
      <w:pPr>
        <w:pStyle w:val="BlockQuote"/>
      </w:pPr>
      <w:r w:rsidRPr="00DE7E40">
        <w:rPr>
          <w:lang w:eastAsia="en-IE"/>
        </w:rPr>
        <w:t>This mutual process of appraisal ensures that the selection process is mutual and non-tokenistic, as the decisional power is equally shared between the academic and the potential peer-researchers</w:t>
      </w:r>
      <w:r>
        <w:rPr>
          <w:lang w:eastAsia="en-IE"/>
        </w:rPr>
        <w:t>.</w:t>
      </w:r>
    </w:p>
    <w:p w14:paraId="6E3F741C" w14:textId="33F6068E" w:rsidR="00DB5669" w:rsidRDefault="009A76D4" w:rsidP="00DB5669">
      <w:r>
        <w:t>A</w:t>
      </w:r>
      <w:r w:rsidR="00DB5669">
        <w:t>nother</w:t>
      </w:r>
      <w:r>
        <w:t xml:space="preserve"> study</w:t>
      </w:r>
      <w:r w:rsidR="00DB5669">
        <w:t xml:space="preserve"> had a</w:t>
      </w:r>
      <w:r w:rsidR="00DB5669" w:rsidRPr="00E2370B">
        <w:t xml:space="preserve"> </w:t>
      </w:r>
      <w:r w:rsidR="00DB5669">
        <w:t xml:space="preserve">contact person available for potential co-researchers to discuss the job and provide </w:t>
      </w:r>
      <w:r w:rsidR="006D4D86">
        <w:t>accessible</w:t>
      </w:r>
      <w:r w:rsidR="004779A2">
        <w:t xml:space="preserve"> </w:t>
      </w:r>
      <w:r w:rsidR="00DB5669">
        <w:t>information</w:t>
      </w:r>
      <w:r w:rsidR="007F1806">
        <w:rPr>
          <w:rStyle w:val="FootnoteReference"/>
        </w:rPr>
        <w:footnoteReference w:id="283"/>
      </w:r>
      <w:r w:rsidR="00DB5669">
        <w:t xml:space="preserve"> and another </w:t>
      </w:r>
      <w:r w:rsidR="00DB5669" w:rsidRPr="00B06E39">
        <w:t>developed a plain language job description</w:t>
      </w:r>
      <w:r w:rsidR="00DB5669" w:rsidRPr="00287D91">
        <w:t xml:space="preserve"> </w:t>
      </w:r>
      <w:r w:rsidR="00DB5669">
        <w:t>and gave applicants an interview guide prior to their interview</w:t>
      </w:r>
      <w:r w:rsidR="00B364E6">
        <w:t>.</w:t>
      </w:r>
      <w:r w:rsidR="007F1806">
        <w:rPr>
          <w:rStyle w:val="FootnoteReference"/>
        </w:rPr>
        <w:footnoteReference w:id="284"/>
      </w:r>
      <w:r w:rsidR="00DB5669">
        <w:t xml:space="preserve"> One study recommended that </w:t>
      </w:r>
      <w:r w:rsidR="00DB5669" w:rsidRPr="00E317D7">
        <w:t xml:space="preserve">researchers ask co-researchers how their involvement might affect their </w:t>
      </w:r>
      <w:r w:rsidR="00DB5669">
        <w:t>current employment</w:t>
      </w:r>
      <w:r w:rsidR="00DB5669" w:rsidRPr="00E317D7">
        <w:t xml:space="preserve"> or other areas of life before </w:t>
      </w:r>
      <w:r w:rsidR="00390211">
        <w:t>beginning</w:t>
      </w:r>
      <w:r w:rsidR="00B364E6">
        <w:t>.</w:t>
      </w:r>
      <w:r w:rsidR="007F1806">
        <w:rPr>
          <w:rStyle w:val="FootnoteReference"/>
        </w:rPr>
        <w:footnoteReference w:id="285"/>
      </w:r>
      <w:r w:rsidR="00DB5669">
        <w:t xml:space="preserve"> </w:t>
      </w:r>
      <w:r w:rsidR="004779A2">
        <w:t>This would help researchers to plan for any barriers to involvement that the co-researchers might experience and identify supports that may be required.</w:t>
      </w:r>
    </w:p>
    <w:p w14:paraId="13563EB3" w14:textId="18E6D541" w:rsidR="00DB5669" w:rsidRDefault="00DB5669" w:rsidP="00DB5669">
      <w:r w:rsidRPr="00E34E4F">
        <w:t>Studies mentioned that accessing and including the co-researcher population of interest could b</w:t>
      </w:r>
      <w:r w:rsidR="005E446A" w:rsidRPr="00E34E4F">
        <w:t>e a complex and lengthy process</w:t>
      </w:r>
      <w:r w:rsidR="00B364E6">
        <w:t>.</w:t>
      </w:r>
      <w:r w:rsidR="007F1806">
        <w:rPr>
          <w:rStyle w:val="FootnoteReference"/>
        </w:rPr>
        <w:footnoteReference w:id="286"/>
      </w:r>
      <w:r w:rsidRPr="00E34E4F">
        <w:t xml:space="preserve"> </w:t>
      </w:r>
      <w:r w:rsidR="001046BA" w:rsidRPr="00E34E4F">
        <w:t xml:space="preserve">One study mentioned that </w:t>
      </w:r>
      <w:r w:rsidR="001046BA" w:rsidRPr="00E34E4F">
        <w:lastRenderedPageBreak/>
        <w:t>gatekeepers could sometimes discourage, prevent or forget about collaborative opportunities</w:t>
      </w:r>
      <w:r w:rsidR="00B364E6">
        <w:t>.</w:t>
      </w:r>
      <w:r w:rsidR="007F1806">
        <w:rPr>
          <w:rStyle w:val="FootnoteReference"/>
        </w:rPr>
        <w:footnoteReference w:id="287"/>
      </w:r>
      <w:r w:rsidR="001046BA" w:rsidRPr="00E34E4F">
        <w:t xml:space="preserve"> </w:t>
      </w:r>
      <w:r w:rsidR="00DB36DB" w:rsidRPr="00E34E4F">
        <w:t>A number of studies reported</w:t>
      </w:r>
      <w:r w:rsidRPr="00E34E4F">
        <w:t xml:space="preserve"> </w:t>
      </w:r>
      <w:r w:rsidR="00D00193" w:rsidRPr="00E34E4F">
        <w:t xml:space="preserve">possible </w:t>
      </w:r>
      <w:r w:rsidRPr="00E34E4F">
        <w:t>scepticism by guardians</w:t>
      </w:r>
      <w:r w:rsidR="00DB36DB" w:rsidRPr="00E34E4F">
        <w:t xml:space="preserve"> or other carers</w:t>
      </w:r>
      <w:r w:rsidRPr="00E34E4F">
        <w:t xml:space="preserve"> of </w:t>
      </w:r>
      <w:r w:rsidR="00255AC4" w:rsidRPr="00E34E4F">
        <w:t xml:space="preserve">the ability of </w:t>
      </w:r>
      <w:r w:rsidR="005E446A" w:rsidRPr="00E34E4F">
        <w:t>those with</w:t>
      </w:r>
      <w:r w:rsidRPr="00E34E4F">
        <w:t xml:space="preserve"> ID </w:t>
      </w:r>
      <w:r w:rsidR="00DB36DB" w:rsidRPr="00E34E4F">
        <w:t xml:space="preserve">or dementia </w:t>
      </w:r>
      <w:r w:rsidR="00255AC4" w:rsidRPr="00E34E4F">
        <w:t>to be involved as co-researchers</w:t>
      </w:r>
      <w:r w:rsidR="00B364E6">
        <w:t>.</w:t>
      </w:r>
      <w:r w:rsidR="007F1806">
        <w:rPr>
          <w:rStyle w:val="FootnoteReference"/>
        </w:rPr>
        <w:footnoteReference w:id="288"/>
      </w:r>
      <w:r w:rsidR="00255AC4" w:rsidRPr="00E34E4F">
        <w:t xml:space="preserve"> </w:t>
      </w:r>
      <w:r w:rsidRPr="003578CD">
        <w:t xml:space="preserve">To mitigate this scepticism, St. John </w:t>
      </w:r>
      <w:r w:rsidR="00185C11" w:rsidRPr="00185C11">
        <w:rPr>
          <w:i/>
        </w:rPr>
        <w:t xml:space="preserve">et al. </w:t>
      </w:r>
      <w:r w:rsidR="009C3C26" w:rsidRPr="003578CD">
        <w:t xml:space="preserve">(2018) </w:t>
      </w:r>
      <w:r w:rsidRPr="003578CD">
        <w:t>noted that it was essential to form a foundation of trust and obtain voluntary, informed consent from both the guardian</w:t>
      </w:r>
      <w:r w:rsidR="0094007E" w:rsidRPr="003578CD">
        <w:rPr>
          <w:rStyle w:val="FootnoteReference"/>
        </w:rPr>
        <w:footnoteReference w:id="289"/>
      </w:r>
      <w:r w:rsidRPr="003578CD">
        <w:t xml:space="preserve"> and the co-researcher</w:t>
      </w:r>
      <w:r w:rsidRPr="00680894">
        <w:t xml:space="preserve">. There </w:t>
      </w:r>
      <w:r w:rsidRPr="00796703">
        <w:t>may</w:t>
      </w:r>
      <w:r w:rsidRPr="00BB0B9A">
        <w:t xml:space="preserve"> be other barriers to recruitment, including inaccessible academic language</w:t>
      </w:r>
      <w:r w:rsidR="007F1806">
        <w:rPr>
          <w:rStyle w:val="FootnoteReference"/>
        </w:rPr>
        <w:footnoteReference w:id="290"/>
      </w:r>
      <w:r>
        <w:t xml:space="preserve"> and a reluctance to get involved in </w:t>
      </w:r>
      <w:r w:rsidR="00C2612D">
        <w:t xml:space="preserve">collaborative research </w:t>
      </w:r>
      <w:r>
        <w:t xml:space="preserve">if people </w:t>
      </w:r>
      <w:r w:rsidRPr="00075B6B">
        <w:t>do not feel sufficiently aware of the research topic</w:t>
      </w:r>
      <w:r>
        <w:t>,</w:t>
      </w:r>
      <w:r w:rsidRPr="00075B6B">
        <w:t xml:space="preserve"> understand how they could con</w:t>
      </w:r>
      <w:r>
        <w:t xml:space="preserve">tribute </w:t>
      </w:r>
      <w:r w:rsidR="005E446A">
        <w:t>or how they would be supported</w:t>
      </w:r>
      <w:r w:rsidR="00B364E6">
        <w:t>.</w:t>
      </w:r>
      <w:r w:rsidR="007F1806">
        <w:rPr>
          <w:rStyle w:val="FootnoteReference"/>
        </w:rPr>
        <w:footnoteReference w:id="291"/>
      </w:r>
      <w:r w:rsidR="00951277">
        <w:t xml:space="preserve"> </w:t>
      </w:r>
      <w:r w:rsidR="00951277" w:rsidRPr="00B06E39">
        <w:t xml:space="preserve">Powers </w:t>
      </w:r>
      <w:r w:rsidR="00185C11" w:rsidRPr="00185C11">
        <w:rPr>
          <w:i/>
        </w:rPr>
        <w:t xml:space="preserve">et al. </w:t>
      </w:r>
      <w:r w:rsidR="00951277" w:rsidRPr="00B06E39">
        <w:t>(2017) suggest</w:t>
      </w:r>
      <w:r w:rsidR="00664B18">
        <w:t>ed</w:t>
      </w:r>
      <w:r w:rsidR="00951277" w:rsidRPr="00B06E39">
        <w:t xml:space="preserve"> that researchers reach out directly to </w:t>
      </w:r>
      <w:r w:rsidR="00451B49">
        <w:t xml:space="preserve">disabled </w:t>
      </w:r>
      <w:r w:rsidR="00951277" w:rsidRPr="00B06E39">
        <w:t>people, disabled persons organisations and advocacy groups to improve community connections</w:t>
      </w:r>
      <w:r w:rsidR="00951277">
        <w:t xml:space="preserve"> and </w:t>
      </w:r>
      <w:proofErr w:type="spellStart"/>
      <w:r w:rsidR="00951277" w:rsidRPr="009C3C26">
        <w:t>Wadman</w:t>
      </w:r>
      <w:proofErr w:type="spellEnd"/>
      <w:r w:rsidR="00951277" w:rsidRPr="009C3C26">
        <w:t xml:space="preserve"> </w:t>
      </w:r>
      <w:r w:rsidR="00185C11" w:rsidRPr="00185C11">
        <w:rPr>
          <w:i/>
        </w:rPr>
        <w:t xml:space="preserve">et al. </w:t>
      </w:r>
      <w:r w:rsidR="00951277" w:rsidRPr="009C3C26">
        <w:t>(2019)</w:t>
      </w:r>
      <w:r w:rsidR="00951277">
        <w:t xml:space="preserve"> note</w:t>
      </w:r>
      <w:r w:rsidR="00664B18">
        <w:t>d</w:t>
      </w:r>
      <w:r w:rsidR="00951277">
        <w:t xml:space="preserve"> that improving such relationships is a key facilitator to collaborative research projects.</w:t>
      </w:r>
    </w:p>
    <w:p w14:paraId="378B5571" w14:textId="1214CFC8" w:rsidR="00DB5669" w:rsidRDefault="00DB5669" w:rsidP="00DB5669">
      <w:r>
        <w:t>A number of studies stated that they sought to recruit co-researchers with diverse abilities, experiences, backgrounds and</w:t>
      </w:r>
      <w:r w:rsidR="007B17D8">
        <w:t xml:space="preserve"> other</w:t>
      </w:r>
      <w:r>
        <w:t xml:space="preserve"> demographics</w:t>
      </w:r>
      <w:r w:rsidR="00B364E6">
        <w:t>.</w:t>
      </w:r>
      <w:r w:rsidR="00E403B6">
        <w:rPr>
          <w:rStyle w:val="FootnoteReference"/>
        </w:rPr>
        <w:footnoteReference w:id="292"/>
      </w:r>
      <w:r>
        <w:t xml:space="preserve"> Several studies offered specific details on the criteria they used to recruit co-researchers, </w:t>
      </w:r>
      <w:r>
        <w:lastRenderedPageBreak/>
        <w:t>including relevant personal experience</w:t>
      </w:r>
      <w:r w:rsidR="00A717FB">
        <w:t>,</w:t>
      </w:r>
      <w:r w:rsidR="00E403B6">
        <w:rPr>
          <w:rStyle w:val="FootnoteReference"/>
        </w:rPr>
        <w:footnoteReference w:id="293"/>
      </w:r>
      <w:r>
        <w:t xml:space="preserve"> interest in the research</w:t>
      </w:r>
      <w:r w:rsidR="00A717FB">
        <w:t>,</w:t>
      </w:r>
      <w:r w:rsidR="00E403B6">
        <w:rPr>
          <w:rStyle w:val="FootnoteReference"/>
        </w:rPr>
        <w:footnoteReference w:id="294"/>
      </w:r>
      <w:r w:rsidR="00D22CA7">
        <w:t xml:space="preserve"> </w:t>
      </w:r>
      <w:r>
        <w:t>language</w:t>
      </w:r>
      <w:r w:rsidR="00F30321">
        <w:t xml:space="preserve"> skills</w:t>
      </w:r>
      <w:r w:rsidR="00A717FB">
        <w:t>,</w:t>
      </w:r>
      <w:r w:rsidR="00E403B6">
        <w:rPr>
          <w:rStyle w:val="FootnoteReference"/>
        </w:rPr>
        <w:footnoteReference w:id="295"/>
      </w:r>
      <w:r>
        <w:t xml:space="preserve"> communication </w:t>
      </w:r>
      <w:r w:rsidR="00A76CE1">
        <w:t>skills</w:t>
      </w:r>
      <w:r w:rsidR="00A717FB">
        <w:t>,</w:t>
      </w:r>
      <w:r w:rsidR="00E403B6">
        <w:rPr>
          <w:rStyle w:val="FootnoteReference"/>
        </w:rPr>
        <w:footnoteReference w:id="296"/>
      </w:r>
      <w:r w:rsidR="00A76CE1">
        <w:t xml:space="preserve"> </w:t>
      </w:r>
      <w:r>
        <w:t>social skills, and the ability to collabora</w:t>
      </w:r>
      <w:r w:rsidR="006A1CEE">
        <w:t>te</w:t>
      </w:r>
      <w:r w:rsidR="00A717FB">
        <w:t>.</w:t>
      </w:r>
      <w:r w:rsidR="00E403B6">
        <w:rPr>
          <w:rStyle w:val="FootnoteReference"/>
        </w:rPr>
        <w:footnoteReference w:id="297"/>
      </w:r>
    </w:p>
    <w:p w14:paraId="7759AA7C" w14:textId="6A3F819A" w:rsidR="00DB5669" w:rsidRDefault="00DB5669" w:rsidP="00DB5669">
      <w:r>
        <w:t>Several studies referred to issues to conside</w:t>
      </w:r>
      <w:r w:rsidR="00D76B08">
        <w:t xml:space="preserve">r when </w:t>
      </w:r>
      <w:r w:rsidR="00A816EC">
        <w:t xml:space="preserve">recruiting </w:t>
      </w:r>
      <w:r w:rsidR="00D76B08">
        <w:t>co-researchers. These included</w:t>
      </w:r>
      <w:r>
        <w:t xml:space="preserve"> the problem of studies recruiting only ‘privileged’ co-researchers – i.e. </w:t>
      </w:r>
      <w:r w:rsidRPr="0057458D">
        <w:t>those with a certain level of computer literacy and education</w:t>
      </w:r>
      <w:r w:rsidR="00E403B6">
        <w:rPr>
          <w:rStyle w:val="FootnoteReference"/>
        </w:rPr>
        <w:footnoteReference w:id="298"/>
      </w:r>
      <w:r w:rsidR="00DE4E0F">
        <w:t xml:space="preserve"> </w:t>
      </w:r>
      <w:r w:rsidR="00E8370A">
        <w:t xml:space="preserve">selecting </w:t>
      </w:r>
      <w:r w:rsidRPr="0057458D">
        <w:t>only those who are particularly well-known</w:t>
      </w:r>
      <w:r w:rsidR="00E403B6">
        <w:rPr>
          <w:rStyle w:val="FootnoteReference"/>
        </w:rPr>
        <w:footnoteReference w:id="299"/>
      </w:r>
      <w:r w:rsidR="00DE4E0F">
        <w:t xml:space="preserve"> </w:t>
      </w:r>
      <w:r w:rsidRPr="0057458D">
        <w:t xml:space="preserve">or selecting someone based only on having a particular disability without considering other abilities needed </w:t>
      </w:r>
      <w:r w:rsidR="001034E7">
        <w:t>to be a partner in the research</w:t>
      </w:r>
      <w:r w:rsidR="00A717FB">
        <w:t>.</w:t>
      </w:r>
      <w:r w:rsidR="00E403B6">
        <w:rPr>
          <w:rStyle w:val="FootnoteReference"/>
        </w:rPr>
        <w:footnoteReference w:id="300"/>
      </w:r>
      <w:r w:rsidRPr="0057458D">
        <w:t xml:space="preserve"> As there may be a tendency to include only easier to reach individuals</w:t>
      </w:r>
      <w:r w:rsidR="00A717FB">
        <w:t>,</w:t>
      </w:r>
      <w:r w:rsidR="00E403B6">
        <w:rPr>
          <w:rStyle w:val="FootnoteReference"/>
        </w:rPr>
        <w:footnoteReference w:id="301"/>
      </w:r>
      <w:r w:rsidRPr="00232E8E">
        <w:t xml:space="preserve"> there are concerns about over-burdening</w:t>
      </w:r>
      <w:r w:rsidR="005709C4" w:rsidRPr="00232E8E">
        <w:t>,</w:t>
      </w:r>
      <w:r w:rsidRPr="00232E8E">
        <w:t xml:space="preserve"> as the same individuals may </w:t>
      </w:r>
      <w:r w:rsidR="007B17D8">
        <w:t xml:space="preserve">be </w:t>
      </w:r>
      <w:r w:rsidR="00D57B6A">
        <w:t>repeatedly</w:t>
      </w:r>
      <w:r w:rsidR="00D57B6A" w:rsidRPr="00232E8E">
        <w:t xml:space="preserve"> called</w:t>
      </w:r>
      <w:r w:rsidRPr="00232E8E">
        <w:t xml:space="preserve"> upon</w:t>
      </w:r>
      <w:r w:rsidR="00A717FB">
        <w:t>.</w:t>
      </w:r>
      <w:r w:rsidR="00E403B6">
        <w:rPr>
          <w:rStyle w:val="FootnoteReference"/>
        </w:rPr>
        <w:footnoteReference w:id="302"/>
      </w:r>
      <w:r w:rsidR="00D57B6A">
        <w:t xml:space="preserve"> There are also</w:t>
      </w:r>
      <w:r w:rsidRPr="00232E8E">
        <w:t xml:space="preserve"> concerns that these people may not be repres</w:t>
      </w:r>
      <w:r w:rsidR="001034E7">
        <w:t>entative of the wider community</w:t>
      </w:r>
      <w:r w:rsidR="00E403B6">
        <w:rPr>
          <w:rStyle w:val="FootnoteReference"/>
        </w:rPr>
        <w:footnoteReference w:id="303"/>
      </w:r>
      <w:r w:rsidR="0063032A">
        <w:t xml:space="preserve"> (although this could also be said for researchers)</w:t>
      </w:r>
      <w:r w:rsidR="001034E7">
        <w:t>.</w:t>
      </w:r>
      <w:r w:rsidRPr="00232E8E">
        <w:t xml:space="preserve"> </w:t>
      </w:r>
      <w:r w:rsidRPr="00232E8E">
        <w:rPr>
          <w:lang w:eastAsia="en-IE"/>
        </w:rPr>
        <w:t xml:space="preserve">A few studies recommended that </w:t>
      </w:r>
      <w:r w:rsidR="00E8370A">
        <w:rPr>
          <w:lang w:eastAsia="en-IE"/>
        </w:rPr>
        <w:t>projects</w:t>
      </w:r>
      <w:r w:rsidRPr="00232E8E">
        <w:rPr>
          <w:lang w:eastAsia="en-IE"/>
        </w:rPr>
        <w:t xml:space="preserve"> include a </w:t>
      </w:r>
      <w:r w:rsidR="00D57B6A">
        <w:rPr>
          <w:lang w:eastAsia="en-IE"/>
        </w:rPr>
        <w:t xml:space="preserve">demographically </w:t>
      </w:r>
      <w:r w:rsidRPr="00232E8E">
        <w:rPr>
          <w:lang w:eastAsia="en-IE"/>
        </w:rPr>
        <w:t>diverse group of co-researchers</w:t>
      </w:r>
      <w:r w:rsidR="00A717FB">
        <w:rPr>
          <w:lang w:eastAsia="en-IE"/>
        </w:rPr>
        <w:t>.</w:t>
      </w:r>
      <w:r w:rsidR="00E403B6">
        <w:rPr>
          <w:rStyle w:val="FootnoteReference"/>
          <w:lang w:eastAsia="en-IE"/>
        </w:rPr>
        <w:footnoteReference w:id="304"/>
      </w:r>
      <w:r w:rsidRPr="00232E8E">
        <w:rPr>
          <w:lang w:eastAsia="en-IE"/>
        </w:rPr>
        <w:t xml:space="preserve"> </w:t>
      </w:r>
      <w:r w:rsidRPr="00232E8E">
        <w:t>Members of some groups, such as those who are Deaf, reported feeling overlooked and not having opportunities to be included in research</w:t>
      </w:r>
      <w:r w:rsidR="00E403B6">
        <w:rPr>
          <w:rStyle w:val="FootnoteReference"/>
        </w:rPr>
        <w:footnoteReference w:id="305"/>
      </w:r>
      <w:r w:rsidR="00A717FB">
        <w:t>.</w:t>
      </w:r>
      <w:r w:rsidRPr="00232E8E">
        <w:t xml:space="preserve"> </w:t>
      </w:r>
      <w:r w:rsidR="0020690E">
        <w:t>One study noted that on the advice of a psychiatrist, for ethical and safeguarding reasons, they did not recruit co-researchers who were experiencing severe mental health difficulties at the time of recruitment</w:t>
      </w:r>
      <w:r w:rsidR="00A717FB">
        <w:t>.</w:t>
      </w:r>
      <w:r w:rsidR="00E403B6">
        <w:rPr>
          <w:rStyle w:val="FootnoteReference"/>
        </w:rPr>
        <w:footnoteReference w:id="306"/>
      </w:r>
      <w:r w:rsidR="00A717FB">
        <w:t xml:space="preserve"> </w:t>
      </w:r>
      <w:r w:rsidR="00E8370A">
        <w:t>Other studies have</w:t>
      </w:r>
      <w:r w:rsidRPr="00232E8E">
        <w:t xml:space="preserve"> noted that some </w:t>
      </w:r>
      <w:r w:rsidR="00E8370A" w:rsidRPr="00232E8E">
        <w:t xml:space="preserve">culturally and linguistically diverse </w:t>
      </w:r>
      <w:r w:rsidRPr="00232E8E">
        <w:t xml:space="preserve">marginalised communities had difficulties accessing research projects, </w:t>
      </w:r>
      <w:r w:rsidRPr="00232E8E">
        <w:lastRenderedPageBreak/>
        <w:t>which imp</w:t>
      </w:r>
      <w:r w:rsidR="00227E5A">
        <w:t>eded them from getting involved</w:t>
      </w:r>
      <w:r w:rsidR="00E403B6">
        <w:rPr>
          <w:rStyle w:val="FootnoteReference"/>
        </w:rPr>
        <w:footnoteReference w:id="307"/>
      </w:r>
      <w:r w:rsidR="00227E5A">
        <w:t>.</w:t>
      </w:r>
      <w:r w:rsidRPr="00232E8E">
        <w:t xml:space="preserve"> One study improved perceived access to their project by ensuring that it was led by community representatives as well</w:t>
      </w:r>
      <w:r w:rsidR="00227E5A">
        <w:t xml:space="preserve"> as researchers</w:t>
      </w:r>
      <w:r w:rsidR="00CF2741">
        <w:t>.</w:t>
      </w:r>
      <w:r w:rsidR="00E61535">
        <w:rPr>
          <w:rStyle w:val="FootnoteReference"/>
        </w:rPr>
        <w:footnoteReference w:id="308"/>
      </w:r>
    </w:p>
    <w:p w14:paraId="644E3EB2" w14:textId="3E8CA6E9" w:rsidR="007531D3" w:rsidRDefault="007531D3" w:rsidP="00DB5669">
      <w:r>
        <w:t xml:space="preserve">There </w:t>
      </w:r>
      <w:r w:rsidRPr="00232E8E">
        <w:t xml:space="preserve">is </w:t>
      </w:r>
      <w:r>
        <w:t xml:space="preserve">also </w:t>
      </w:r>
      <w:r w:rsidRPr="00232E8E">
        <w:t xml:space="preserve">a general lack of representation of individuals with </w:t>
      </w:r>
      <w:r w:rsidR="00240C23">
        <w:t>profound</w:t>
      </w:r>
      <w:r w:rsidR="00240C23" w:rsidRPr="00232E8E">
        <w:t xml:space="preserve"> </w:t>
      </w:r>
      <w:r w:rsidRPr="00232E8E">
        <w:t>intellectual disability</w:t>
      </w:r>
      <w:r w:rsidR="00E61535">
        <w:rPr>
          <w:rStyle w:val="FootnoteReference"/>
        </w:rPr>
        <w:footnoteReference w:id="309"/>
      </w:r>
      <w:r w:rsidRPr="00232E8E">
        <w:t xml:space="preserve"> or severe dementia</w:t>
      </w:r>
      <w:r>
        <w:t xml:space="preserve"> as co-researchers</w:t>
      </w:r>
      <w:r w:rsidR="00E61535">
        <w:rPr>
          <w:rStyle w:val="FootnoteReference"/>
        </w:rPr>
        <w:footnoteReference w:id="310"/>
      </w:r>
      <w:r>
        <w:t xml:space="preserve"> </w:t>
      </w:r>
      <w:r w:rsidRPr="0057458D">
        <w:t xml:space="preserve">in comparison to those with mild or moderate </w:t>
      </w:r>
      <w:r w:rsidRPr="00232E8E">
        <w:t>ID or dementia.</w:t>
      </w:r>
      <w:r>
        <w:t xml:space="preserve"> This is not surprising given there will likely be challenges in confirming their</w:t>
      </w:r>
      <w:r w:rsidR="001E6A62">
        <w:t xml:space="preserve"> wish and</w:t>
      </w:r>
      <w:r>
        <w:t xml:space="preserve"> agreement to be co-researchers and in their abilities to be involved at different points to the research process. </w:t>
      </w:r>
      <w:r w:rsidR="00664B18">
        <w:t>To ensure meaningful involvement of people with profound ID or dementia,</w:t>
      </w:r>
      <w:r>
        <w:t xml:space="preserve"> </w:t>
      </w:r>
      <w:r w:rsidR="00354FC0">
        <w:t xml:space="preserve">studies would need to involve people with experience in communicating with and understanding those with </w:t>
      </w:r>
      <w:r w:rsidR="00664B18">
        <w:t>profound</w:t>
      </w:r>
      <w:r w:rsidR="00354FC0">
        <w:t xml:space="preserve"> ID or dementia</w:t>
      </w:r>
      <w:r w:rsidR="0028554C">
        <w:t xml:space="preserve">, who can, for example, </w:t>
      </w:r>
      <w:r w:rsidR="00354FC0">
        <w:t xml:space="preserve">carefully observe any non-verbal </w:t>
      </w:r>
      <w:r w:rsidR="00647B3E">
        <w:t>exchanges</w:t>
      </w:r>
      <w:r w:rsidR="00CF2741">
        <w:t>.</w:t>
      </w:r>
      <w:r w:rsidR="0006303D">
        <w:rPr>
          <w:rStyle w:val="FootnoteReference"/>
        </w:rPr>
        <w:footnoteReference w:id="311"/>
      </w:r>
      <w:r w:rsidR="00354FC0">
        <w:t xml:space="preserve"> </w:t>
      </w:r>
      <w:r w:rsidR="00647B3E">
        <w:t xml:space="preserve">In Ireland, following the commencement of the ADM (2015) Act, the researchers would need to work closely with the individual’s decision-making assistant, supporter or representative, where appropriate. </w:t>
      </w:r>
      <w:r w:rsidR="00FB33A9">
        <w:t xml:space="preserve">Overall, if </w:t>
      </w:r>
      <w:r w:rsidR="003B21D7">
        <w:t xml:space="preserve">the study under question relates to ID or dementia, </w:t>
      </w:r>
      <w:r w:rsidR="00240C23">
        <w:t>involvement of people with profound ID or severe dementia as co-resear</w:t>
      </w:r>
      <w:r w:rsidR="003B21D7">
        <w:t>chers should not be automatically ruled out by research teams.</w:t>
      </w:r>
    </w:p>
    <w:p w14:paraId="2F02664F" w14:textId="77777777" w:rsidR="00DB5669" w:rsidRDefault="00DB5669" w:rsidP="00A76CE1">
      <w:pPr>
        <w:pStyle w:val="Heading3"/>
      </w:pPr>
      <w:bookmarkStart w:id="57" w:name="_Toc104925119"/>
      <w:r>
        <w:t>Payment of co-researchers</w:t>
      </w:r>
      <w:bookmarkEnd w:id="57"/>
    </w:p>
    <w:p w14:paraId="0A1BAB83" w14:textId="26BB061B" w:rsidR="00DB5669" w:rsidRDefault="00DB5669" w:rsidP="00DB5669">
      <w:r>
        <w:t>A number of</w:t>
      </w:r>
      <w:r w:rsidRPr="0077012A">
        <w:t xml:space="preserve"> studies stated that</w:t>
      </w:r>
      <w:r>
        <w:t>,</w:t>
      </w:r>
      <w:r w:rsidRPr="0077012A">
        <w:t xml:space="preserve"> </w:t>
      </w:r>
      <w:r>
        <w:t>if</w:t>
      </w:r>
      <w:r w:rsidRPr="0077012A">
        <w:t xml:space="preserve"> possible, co-researchers should be financially compensated for their time or contribution</w:t>
      </w:r>
      <w:r w:rsidR="00CF2741">
        <w:t>.</w:t>
      </w:r>
      <w:r w:rsidR="0006303D">
        <w:rPr>
          <w:rStyle w:val="FootnoteReference"/>
          <w:szCs w:val="26"/>
        </w:rPr>
        <w:footnoteReference w:id="312"/>
      </w:r>
      <w:r w:rsidR="00545939">
        <w:rPr>
          <w:szCs w:val="26"/>
        </w:rPr>
        <w:t xml:space="preserve"> </w:t>
      </w:r>
      <w:r w:rsidR="0028554C">
        <w:rPr>
          <w:szCs w:val="26"/>
        </w:rPr>
        <w:t xml:space="preserve">Payment was referred to as </w:t>
      </w:r>
      <w:r w:rsidR="00654494">
        <w:t>‘a token of power’</w:t>
      </w:r>
      <w:r w:rsidR="0006303D">
        <w:rPr>
          <w:rStyle w:val="FootnoteReference"/>
        </w:rPr>
        <w:footnoteReference w:id="313"/>
      </w:r>
      <w:r w:rsidR="0028554C" w:rsidRPr="0028554C">
        <w:t xml:space="preserve"> </w:t>
      </w:r>
      <w:r w:rsidR="0028554C">
        <w:t>that can</w:t>
      </w:r>
      <w:r w:rsidR="0028554C" w:rsidRPr="0028554C">
        <w:t xml:space="preserve"> </w:t>
      </w:r>
      <w:r w:rsidR="0028554C">
        <w:t>address inequalities that may hinder the participation of people with disabilities in a research partnership</w:t>
      </w:r>
      <w:r w:rsidR="00CF2741">
        <w:t>.</w:t>
      </w:r>
      <w:r w:rsidR="0006303D">
        <w:rPr>
          <w:rStyle w:val="FootnoteReference"/>
        </w:rPr>
        <w:footnoteReference w:id="314"/>
      </w:r>
      <w:r w:rsidR="0028554C">
        <w:t xml:space="preserve"> </w:t>
      </w:r>
      <w:r w:rsidR="002B661A">
        <w:rPr>
          <w:szCs w:val="26"/>
        </w:rPr>
        <w:t>Payment</w:t>
      </w:r>
      <w:r w:rsidR="00545939">
        <w:rPr>
          <w:szCs w:val="26"/>
        </w:rPr>
        <w:t xml:space="preserve"> acknowledge</w:t>
      </w:r>
      <w:r w:rsidR="00E45DF0">
        <w:rPr>
          <w:szCs w:val="26"/>
        </w:rPr>
        <w:t>s</w:t>
      </w:r>
      <w:r w:rsidRPr="00205197">
        <w:rPr>
          <w:szCs w:val="26"/>
        </w:rPr>
        <w:t xml:space="preserve"> the </w:t>
      </w:r>
      <w:r w:rsidRPr="00205197">
        <w:rPr>
          <w:szCs w:val="26"/>
        </w:rPr>
        <w:lastRenderedPageBreak/>
        <w:t xml:space="preserve">unique skills and expertise people with disability can </w:t>
      </w:r>
      <w:r w:rsidR="00545939">
        <w:rPr>
          <w:szCs w:val="26"/>
        </w:rPr>
        <w:t>bring to the research</w:t>
      </w:r>
      <w:r w:rsidR="0006303D">
        <w:rPr>
          <w:rStyle w:val="FootnoteReference"/>
          <w:szCs w:val="26"/>
        </w:rPr>
        <w:footnoteReference w:id="315"/>
      </w:r>
      <w:r w:rsidR="00545939">
        <w:rPr>
          <w:szCs w:val="26"/>
        </w:rPr>
        <w:t xml:space="preserve"> and recognise</w:t>
      </w:r>
      <w:r w:rsidR="00E45DF0">
        <w:rPr>
          <w:szCs w:val="26"/>
        </w:rPr>
        <w:t>s</w:t>
      </w:r>
      <w:r w:rsidR="00545939">
        <w:rPr>
          <w:szCs w:val="26"/>
        </w:rPr>
        <w:t xml:space="preserve"> </w:t>
      </w:r>
      <w:r w:rsidRPr="00205197">
        <w:rPr>
          <w:szCs w:val="26"/>
        </w:rPr>
        <w:t>that</w:t>
      </w:r>
      <w:r w:rsidRPr="0077012A">
        <w:t xml:space="preserve"> they are equals in the research</w:t>
      </w:r>
      <w:r w:rsidR="00CF2741">
        <w:t>.</w:t>
      </w:r>
      <w:r w:rsidR="0006303D">
        <w:rPr>
          <w:rStyle w:val="FootnoteReference"/>
        </w:rPr>
        <w:footnoteReference w:id="316"/>
      </w:r>
      <w:r w:rsidR="000E4D17">
        <w:t xml:space="preserve"> </w:t>
      </w:r>
      <w:r>
        <w:t xml:space="preserve">One study </w:t>
      </w:r>
      <w:r w:rsidR="00B53530">
        <w:t>stated</w:t>
      </w:r>
      <w:r>
        <w:t>:</w:t>
      </w:r>
    </w:p>
    <w:p w14:paraId="628F66A7" w14:textId="74570ABD" w:rsidR="00DB5669" w:rsidRPr="0077012A" w:rsidRDefault="00DB5669" w:rsidP="00DB5669">
      <w:pPr>
        <w:pStyle w:val="BlockQuote"/>
      </w:pPr>
      <w:r w:rsidRPr="0077012A">
        <w:t>Suitable payment, recognising the professional and personal expertise required for the role, and the associated level of responsibility in relation to project aims, is a key way to demonstrate respect and address the power imbalance</w:t>
      </w:r>
      <w:r w:rsidR="00CF2741">
        <w:t>.</w:t>
      </w:r>
      <w:r w:rsidR="0006303D">
        <w:rPr>
          <w:rStyle w:val="FootnoteReference"/>
        </w:rPr>
        <w:footnoteReference w:id="317"/>
      </w:r>
    </w:p>
    <w:p w14:paraId="3261F900" w14:textId="60C3851B" w:rsidR="00DB5669" w:rsidRDefault="00DB5669" w:rsidP="00DB5669">
      <w:r w:rsidRPr="0077012A">
        <w:t xml:space="preserve">A </w:t>
      </w:r>
      <w:r>
        <w:t>notable number of studies reported</w:t>
      </w:r>
      <w:r w:rsidRPr="0077012A">
        <w:t xml:space="preserve"> that they had paid co-researchers for their time</w:t>
      </w:r>
      <w:r w:rsidR="00CF2741">
        <w:t>.</w:t>
      </w:r>
      <w:r w:rsidR="0006303D">
        <w:rPr>
          <w:rStyle w:val="FootnoteReference"/>
        </w:rPr>
        <w:footnoteReference w:id="318"/>
      </w:r>
      <w:r w:rsidR="00654494">
        <w:t xml:space="preserve"> </w:t>
      </w:r>
      <w:r w:rsidR="003F2569">
        <w:t xml:space="preserve">While a </w:t>
      </w:r>
      <w:r w:rsidR="00654494">
        <w:t>notable number paid for co-researchers</w:t>
      </w:r>
      <w:r w:rsidR="003D5EA7">
        <w:t>’</w:t>
      </w:r>
      <w:r w:rsidR="00654494">
        <w:t xml:space="preserve"> </w:t>
      </w:r>
      <w:r w:rsidRPr="0077012A">
        <w:t>travel</w:t>
      </w:r>
      <w:r>
        <w:t xml:space="preserve"> </w:t>
      </w:r>
      <w:r w:rsidR="003D5EA7">
        <w:t>expenses</w:t>
      </w:r>
      <w:r w:rsidR="00CF2741">
        <w:t>.</w:t>
      </w:r>
      <w:r w:rsidR="0006303D">
        <w:rPr>
          <w:rStyle w:val="FootnoteReference"/>
        </w:rPr>
        <w:footnoteReference w:id="319"/>
      </w:r>
      <w:r w:rsidR="008A4521">
        <w:t xml:space="preserve"> </w:t>
      </w:r>
      <w:r w:rsidR="001B08FD">
        <w:t xml:space="preserve">A number of </w:t>
      </w:r>
      <w:r>
        <w:t>studies</w:t>
      </w:r>
      <w:r w:rsidR="003D5EA7">
        <w:t xml:space="preserve"> also</w:t>
      </w:r>
      <w:r>
        <w:t xml:space="preserve"> paid for the </w:t>
      </w:r>
      <w:r w:rsidR="003D5EA7">
        <w:t xml:space="preserve">expenses of the </w:t>
      </w:r>
      <w:r>
        <w:t>individual’s support worker</w:t>
      </w:r>
      <w:r w:rsidR="0006303D">
        <w:rPr>
          <w:rStyle w:val="FootnoteReference"/>
        </w:rPr>
        <w:footnoteReference w:id="320"/>
      </w:r>
      <w:r w:rsidR="001B08FD">
        <w:t xml:space="preserve"> or care partner</w:t>
      </w:r>
      <w:r w:rsidR="0006303D">
        <w:rPr>
          <w:rStyle w:val="FootnoteReference"/>
        </w:rPr>
        <w:footnoteReference w:id="321"/>
      </w:r>
      <w:r w:rsidR="001B08FD">
        <w:t xml:space="preserve"> </w:t>
      </w:r>
      <w:r>
        <w:t>and some studies covered expenses such as overnight stays</w:t>
      </w:r>
      <w:r w:rsidR="0006303D">
        <w:rPr>
          <w:rStyle w:val="FootnoteReference"/>
        </w:rPr>
        <w:footnoteReference w:id="322"/>
      </w:r>
      <w:r w:rsidR="00681E43">
        <w:t xml:space="preserve"> </w:t>
      </w:r>
      <w:r>
        <w:t>or meals</w:t>
      </w:r>
      <w:r w:rsidR="00CF2741">
        <w:t>.</w:t>
      </w:r>
      <w:r w:rsidR="0006303D">
        <w:rPr>
          <w:rStyle w:val="FootnoteReference"/>
        </w:rPr>
        <w:footnoteReference w:id="323"/>
      </w:r>
      <w:r>
        <w:t xml:space="preserve"> </w:t>
      </w:r>
      <w:r w:rsidR="000E4D17">
        <w:t xml:space="preserve">A number of </w:t>
      </w:r>
      <w:r>
        <w:t xml:space="preserve">studies used the </w:t>
      </w:r>
      <w:r w:rsidR="00BB41FE">
        <w:t xml:space="preserve">UK’s </w:t>
      </w:r>
      <w:r w:rsidR="006C1490">
        <w:t xml:space="preserve">National Institute for Health </w:t>
      </w:r>
      <w:r w:rsidR="006C1490">
        <w:lastRenderedPageBreak/>
        <w:t xml:space="preserve">Research’s </w:t>
      </w:r>
      <w:r>
        <w:t xml:space="preserve">INVOLVE </w:t>
      </w:r>
      <w:r w:rsidR="006C1490">
        <w:t>guidance</w:t>
      </w:r>
      <w:r w:rsidR="00681E43">
        <w:rPr>
          <w:rStyle w:val="FootnoteReference"/>
        </w:rPr>
        <w:footnoteReference w:id="324"/>
      </w:r>
      <w:r w:rsidR="006C1490">
        <w:t xml:space="preserve"> on paying members of the public who contribute to research activities</w:t>
      </w:r>
      <w:r w:rsidR="00681E43">
        <w:t xml:space="preserve"> to help inform</w:t>
      </w:r>
      <w:r>
        <w:t xml:space="preserve"> </w:t>
      </w:r>
      <w:r w:rsidR="00681E43">
        <w:t>their payment process</w:t>
      </w:r>
      <w:r w:rsidR="00EE0304">
        <w:t>.</w:t>
      </w:r>
      <w:r w:rsidR="0006303D">
        <w:rPr>
          <w:rStyle w:val="FootnoteReference"/>
        </w:rPr>
        <w:footnoteReference w:id="325"/>
      </w:r>
    </w:p>
    <w:p w14:paraId="739A30CA" w14:textId="0F262A41" w:rsidR="00DB5669" w:rsidRDefault="00DB5669" w:rsidP="00DB5669">
      <w:pPr>
        <w:rPr>
          <w:lang w:eastAsia="en-IE"/>
        </w:rPr>
      </w:pPr>
      <w:r>
        <w:rPr>
          <w:lang w:eastAsia="en-IE"/>
        </w:rPr>
        <w:t xml:space="preserve">Other costs recommended by studies to consider for </w:t>
      </w:r>
      <w:r w:rsidR="00C2612D">
        <w:rPr>
          <w:lang w:eastAsia="en-IE"/>
        </w:rPr>
        <w:t xml:space="preserve">collaborative research </w:t>
      </w:r>
      <w:r>
        <w:rPr>
          <w:lang w:eastAsia="en-IE"/>
        </w:rPr>
        <w:t>partnerships are psychological support (depending on the</w:t>
      </w:r>
      <w:r w:rsidR="002B661A">
        <w:rPr>
          <w:lang w:eastAsia="en-IE"/>
        </w:rPr>
        <w:t xml:space="preserve"> research</w:t>
      </w:r>
      <w:r>
        <w:rPr>
          <w:lang w:eastAsia="en-IE"/>
        </w:rPr>
        <w:t xml:space="preserve"> subject matter), </w:t>
      </w:r>
      <w:r w:rsidR="00E45DF0">
        <w:rPr>
          <w:lang w:eastAsia="en-IE"/>
        </w:rPr>
        <w:t xml:space="preserve">funding for </w:t>
      </w:r>
      <w:r>
        <w:rPr>
          <w:lang w:eastAsia="en-IE"/>
        </w:rPr>
        <w:t xml:space="preserve">alternative research outputs suggested by co-researchers, relationship building activities, personal </w:t>
      </w:r>
      <w:r w:rsidRPr="007201EE">
        <w:rPr>
          <w:lang w:eastAsia="en-IE"/>
        </w:rPr>
        <w:t>assistants</w:t>
      </w:r>
      <w:r w:rsidR="00EE0304">
        <w:rPr>
          <w:lang w:eastAsia="en-IE"/>
        </w:rPr>
        <w:t>,</w:t>
      </w:r>
      <w:r w:rsidR="0006303D">
        <w:rPr>
          <w:rStyle w:val="FootnoteReference"/>
          <w:lang w:eastAsia="en-IE"/>
        </w:rPr>
        <w:footnoteReference w:id="326"/>
      </w:r>
      <w:r w:rsidRPr="007201EE">
        <w:rPr>
          <w:lang w:eastAsia="en-IE"/>
        </w:rPr>
        <w:t xml:space="preserve"> and</w:t>
      </w:r>
      <w:r>
        <w:rPr>
          <w:lang w:eastAsia="en-IE"/>
        </w:rPr>
        <w:t xml:space="preserve"> any other disability–related supports</w:t>
      </w:r>
      <w:r w:rsidR="00EE0304">
        <w:rPr>
          <w:lang w:eastAsia="en-IE"/>
        </w:rPr>
        <w:t>.</w:t>
      </w:r>
      <w:r w:rsidR="0006303D">
        <w:rPr>
          <w:rStyle w:val="FootnoteReference"/>
          <w:lang w:eastAsia="en-IE"/>
        </w:rPr>
        <w:footnoteReference w:id="327"/>
      </w:r>
      <w:r>
        <w:rPr>
          <w:lang w:eastAsia="en-IE"/>
        </w:rPr>
        <w:t xml:space="preserve"> </w:t>
      </w:r>
      <w:r w:rsidR="00603BDA">
        <w:rPr>
          <w:lang w:eastAsia="en-IE"/>
        </w:rPr>
        <w:t>S</w:t>
      </w:r>
      <w:r>
        <w:rPr>
          <w:lang w:eastAsia="en-IE"/>
        </w:rPr>
        <w:t>tud</w:t>
      </w:r>
      <w:r w:rsidR="00603BDA">
        <w:rPr>
          <w:lang w:eastAsia="en-IE"/>
        </w:rPr>
        <w:t>ies</w:t>
      </w:r>
      <w:r>
        <w:rPr>
          <w:lang w:eastAsia="en-IE"/>
        </w:rPr>
        <w:t xml:space="preserve"> noted that costs such as travel and subsistence would be needed for two people in cases where a support person accompanies the co-researcher</w:t>
      </w:r>
      <w:r w:rsidR="00EE0304">
        <w:rPr>
          <w:lang w:eastAsia="en-IE"/>
        </w:rPr>
        <w:t>.</w:t>
      </w:r>
      <w:r w:rsidR="0006303D">
        <w:rPr>
          <w:rStyle w:val="FootnoteReference"/>
          <w:lang w:eastAsia="en-IE"/>
        </w:rPr>
        <w:footnoteReference w:id="328"/>
      </w:r>
      <w:r>
        <w:rPr>
          <w:lang w:eastAsia="en-IE"/>
        </w:rPr>
        <w:t xml:space="preserve"> A few studies alluded to flexibility in how co-researchers could be paid – in cash, vouchers, equivalent credi</w:t>
      </w:r>
      <w:r w:rsidR="00BB41FE">
        <w:rPr>
          <w:lang w:eastAsia="en-IE"/>
        </w:rPr>
        <w:t>t or other forms of recognition</w:t>
      </w:r>
      <w:r w:rsidR="00EE0304">
        <w:rPr>
          <w:lang w:eastAsia="en-IE"/>
        </w:rPr>
        <w:t>.</w:t>
      </w:r>
      <w:r w:rsidR="0006303D">
        <w:rPr>
          <w:rStyle w:val="FootnoteReference"/>
        </w:rPr>
        <w:footnoteReference w:id="329"/>
      </w:r>
    </w:p>
    <w:p w14:paraId="4F4E509A" w14:textId="6B91DA93" w:rsidR="00DB5669" w:rsidRDefault="00BB41FE" w:rsidP="0063032A">
      <w:r>
        <w:t>Becoming</w:t>
      </w:r>
      <w:r w:rsidR="00DB5669">
        <w:t xml:space="preserve"> paid employees may impact negatively on</w:t>
      </w:r>
      <w:r>
        <w:t xml:space="preserve"> some</w:t>
      </w:r>
      <w:r w:rsidR="00DB5669">
        <w:t xml:space="preserve"> co-researchers’ disability or social welfare benefits, even if only employed for a short time</w:t>
      </w:r>
      <w:r w:rsidR="00EE0304">
        <w:t>.</w:t>
      </w:r>
      <w:r w:rsidR="009C3FFD">
        <w:rPr>
          <w:rStyle w:val="FootnoteReference"/>
          <w:lang w:eastAsia="en-IE"/>
        </w:rPr>
        <w:footnoteReference w:id="330"/>
      </w:r>
      <w:r w:rsidR="00DB5669">
        <w:rPr>
          <w:lang w:eastAsia="en-IE"/>
        </w:rPr>
        <w:t xml:space="preserve"> </w:t>
      </w:r>
      <w:r w:rsidR="00223581">
        <w:rPr>
          <w:lang w:eastAsia="en-IE"/>
        </w:rPr>
        <w:t xml:space="preserve">Before any payments are made and accepted, the potential </w:t>
      </w:r>
      <w:r w:rsidR="00DB5669">
        <w:t xml:space="preserve">impact on </w:t>
      </w:r>
      <w:r w:rsidR="00223581">
        <w:t xml:space="preserve">disability benefits or welfare </w:t>
      </w:r>
      <w:r>
        <w:t>payments</w:t>
      </w:r>
      <w:r w:rsidR="00DB5669">
        <w:t xml:space="preserve"> </w:t>
      </w:r>
      <w:r w:rsidR="00223581">
        <w:t>should be checked</w:t>
      </w:r>
      <w:r w:rsidR="00EE0304">
        <w:t>.</w:t>
      </w:r>
      <w:r w:rsidR="009C3FFD">
        <w:rPr>
          <w:rStyle w:val="FootnoteReference"/>
        </w:rPr>
        <w:footnoteReference w:id="331"/>
      </w:r>
      <w:r w:rsidR="00DB5669">
        <w:rPr>
          <w:lang w:eastAsia="en-IE"/>
        </w:rPr>
        <w:t xml:space="preserve"> </w:t>
      </w:r>
      <w:r w:rsidR="00DB5669">
        <w:t>In one study, co-researchers were offered independent advice on the impact of payment on their welfare payments</w:t>
      </w:r>
      <w:r>
        <w:t xml:space="preserve"> prior to taking on their role</w:t>
      </w:r>
      <w:r w:rsidR="007D39E7">
        <w:t>.</w:t>
      </w:r>
      <w:r w:rsidR="009C3FFD">
        <w:rPr>
          <w:rStyle w:val="FootnoteReference"/>
        </w:rPr>
        <w:footnoteReference w:id="332"/>
      </w:r>
      <w:r w:rsidR="00DB5669">
        <w:t xml:space="preserve"> In another</w:t>
      </w:r>
      <w:r w:rsidR="00DB5669" w:rsidRPr="005D28E2">
        <w:t xml:space="preserve">, the co-researchers all worked less than 16 hours a week </w:t>
      </w:r>
      <w:r w:rsidR="00DB5669">
        <w:t>to avoid impacting on their social welfare benefits</w:t>
      </w:r>
      <w:r w:rsidR="007D39E7">
        <w:t>.</w:t>
      </w:r>
      <w:r w:rsidR="009C3FFD">
        <w:rPr>
          <w:rStyle w:val="FootnoteReference"/>
        </w:rPr>
        <w:footnoteReference w:id="333"/>
      </w:r>
      <w:r w:rsidR="00DB5669" w:rsidRPr="005D28E2">
        <w:t xml:space="preserve"> </w:t>
      </w:r>
      <w:r w:rsidR="00DB5669">
        <w:t xml:space="preserve">It was acknowledged that there can be administrative </w:t>
      </w:r>
      <w:r w:rsidR="00D13054">
        <w:t xml:space="preserve">logistical </w:t>
      </w:r>
      <w:r w:rsidR="00DB5669">
        <w:t>challenges in making payments to co-researchers</w:t>
      </w:r>
      <w:r w:rsidR="00D13054">
        <w:t xml:space="preserve"> as ‘lay consultants’</w:t>
      </w:r>
      <w:r w:rsidR="007D39E7">
        <w:t>.</w:t>
      </w:r>
      <w:r w:rsidR="009C3FFD">
        <w:rPr>
          <w:rStyle w:val="FootnoteReference"/>
        </w:rPr>
        <w:footnoteReference w:id="334"/>
      </w:r>
      <w:r w:rsidR="00E621F1">
        <w:t xml:space="preserve"> </w:t>
      </w:r>
      <w:r w:rsidR="00DB5669">
        <w:t xml:space="preserve">Several </w:t>
      </w:r>
      <w:r w:rsidR="00DB5669">
        <w:lastRenderedPageBreak/>
        <w:t>studies raised the issue of co-researchers not being paid for their work and difficulties around claiming expenses due to complex forms and organisational red tape</w:t>
      </w:r>
      <w:r w:rsidR="007D39E7">
        <w:t>.</w:t>
      </w:r>
      <w:r w:rsidR="009C3FFD">
        <w:rPr>
          <w:rStyle w:val="FootnoteReference"/>
        </w:rPr>
        <w:footnoteReference w:id="335"/>
      </w:r>
      <w:r w:rsidR="00DB5669">
        <w:t xml:space="preserve"> A few studies referred to the need for </w:t>
      </w:r>
      <w:r w:rsidR="0001431F">
        <w:t>clear communication on reimbursement</w:t>
      </w:r>
      <w:r w:rsidR="007D39E7">
        <w:t>,</w:t>
      </w:r>
      <w:r w:rsidR="009C3FFD">
        <w:rPr>
          <w:rStyle w:val="FootnoteReference"/>
        </w:rPr>
        <w:footnoteReference w:id="336"/>
      </w:r>
      <w:r w:rsidR="0001431F">
        <w:t xml:space="preserve"> </w:t>
      </w:r>
      <w:r w:rsidR="00DB5669">
        <w:t>straightforward</w:t>
      </w:r>
      <w:r w:rsidR="0001431F">
        <w:t>, simpl</w:t>
      </w:r>
      <w:r w:rsidR="00DB5669">
        <w:t>ified payment systems</w:t>
      </w:r>
      <w:r w:rsidR="009C3FFD">
        <w:rPr>
          <w:rStyle w:val="FootnoteReference"/>
        </w:rPr>
        <w:footnoteReference w:id="337"/>
      </w:r>
      <w:r w:rsidR="00DB5669">
        <w:t xml:space="preserve"> </w:t>
      </w:r>
      <w:r w:rsidR="0001431F">
        <w:t>and prompt payment</w:t>
      </w:r>
      <w:r w:rsidR="007D39E7">
        <w:t>.</w:t>
      </w:r>
      <w:r w:rsidR="009C3FFD">
        <w:rPr>
          <w:rStyle w:val="FootnoteReference"/>
        </w:rPr>
        <w:footnoteReference w:id="338"/>
      </w:r>
      <w:r w:rsidR="00DB5669">
        <w:t xml:space="preserve"> </w:t>
      </w:r>
      <w:r w:rsidR="00223581" w:rsidRPr="0057458D">
        <w:rPr>
          <w:lang w:eastAsia="en-IE"/>
        </w:rPr>
        <w:t xml:space="preserve">Studies recommend that additional costs of </w:t>
      </w:r>
      <w:r w:rsidR="009237D2">
        <w:rPr>
          <w:lang w:eastAsia="en-IE"/>
        </w:rPr>
        <w:t>collaborative research,</w:t>
      </w:r>
      <w:r w:rsidR="00223581" w:rsidRPr="0057458D">
        <w:rPr>
          <w:lang w:eastAsia="en-IE"/>
        </w:rPr>
        <w:t xml:space="preserve"> including payment of co-researchers, should be included in funding applications and appropriately considered from the beginning of projects</w:t>
      </w:r>
      <w:r w:rsidR="007D39E7">
        <w:rPr>
          <w:lang w:eastAsia="en-IE"/>
        </w:rPr>
        <w:t>.</w:t>
      </w:r>
      <w:r w:rsidR="00B42774">
        <w:rPr>
          <w:rStyle w:val="FootnoteReference"/>
          <w:lang w:eastAsia="en-IE"/>
        </w:rPr>
        <w:footnoteReference w:id="339"/>
      </w:r>
      <w:r w:rsidR="00223581" w:rsidRPr="0057458D">
        <w:rPr>
          <w:lang w:eastAsia="en-IE"/>
        </w:rPr>
        <w:t xml:space="preserve"> </w:t>
      </w:r>
      <w:r w:rsidR="00223581">
        <w:t xml:space="preserve">Gove </w:t>
      </w:r>
      <w:r w:rsidR="00185C11" w:rsidRPr="00185C11">
        <w:rPr>
          <w:i/>
        </w:rPr>
        <w:t xml:space="preserve">et al. </w:t>
      </w:r>
      <w:r w:rsidR="00A22A02">
        <w:t xml:space="preserve">(2017) </w:t>
      </w:r>
      <w:r w:rsidR="00223581">
        <w:t xml:space="preserve">note that if funds can be made available in studies for external subject matter experts, funds should also be available for co-researchers. </w:t>
      </w:r>
      <w:r w:rsidR="00DB5669">
        <w:t xml:space="preserve">A co-researcher with an intellectual disability </w:t>
      </w:r>
      <w:r w:rsidR="00306763">
        <w:t xml:space="preserve">who </w:t>
      </w:r>
      <w:r w:rsidR="00DB5669">
        <w:t xml:space="preserve">reflected on the successful elements of </w:t>
      </w:r>
      <w:r w:rsidR="00C2612D">
        <w:t xml:space="preserve">collaborative research </w:t>
      </w:r>
      <w:r w:rsidR="00306763">
        <w:t>recommended</w:t>
      </w:r>
      <w:r w:rsidR="00DB5669">
        <w:t>:</w:t>
      </w:r>
    </w:p>
    <w:p w14:paraId="0A76FC70" w14:textId="3AB9ACD5" w:rsidR="00DB5669" w:rsidRDefault="00DB5669" w:rsidP="00DB5669">
      <w:pPr>
        <w:pStyle w:val="BlockQuote"/>
      </w:pPr>
      <w:r>
        <w:t>Work out the pay and get paid the right amount at the right time</w:t>
      </w:r>
      <w:r w:rsidR="007D39E7">
        <w:t>.</w:t>
      </w:r>
      <w:r w:rsidR="00B42774">
        <w:rPr>
          <w:rStyle w:val="FootnoteReference"/>
        </w:rPr>
        <w:footnoteReference w:id="340"/>
      </w:r>
      <w:r>
        <w:t xml:space="preserve"> </w:t>
      </w:r>
    </w:p>
    <w:p w14:paraId="11BF1C06" w14:textId="3110DCF3" w:rsidR="00DB5669" w:rsidRPr="005273D2" w:rsidRDefault="00DB5669" w:rsidP="00DB5669">
      <w:pPr>
        <w:pStyle w:val="Heading2"/>
      </w:pPr>
      <w:bookmarkStart w:id="58" w:name="_Toc104925120"/>
      <w:bookmarkStart w:id="59" w:name="_Toc116916222"/>
      <w:r>
        <w:t xml:space="preserve">Planning and preparing for </w:t>
      </w:r>
      <w:r w:rsidR="00AB2D73">
        <w:t>a collaborative research project</w:t>
      </w:r>
      <w:bookmarkEnd w:id="58"/>
      <w:bookmarkEnd w:id="59"/>
    </w:p>
    <w:p w14:paraId="5E1294E0" w14:textId="6D015919" w:rsidR="00DB5669" w:rsidRDefault="001930F4" w:rsidP="00DB5669">
      <w:r>
        <w:t>While recruitment of co-researchers may take time, i</w:t>
      </w:r>
      <w:r w:rsidR="00DB5669">
        <w:t>t is</w:t>
      </w:r>
      <w:r>
        <w:t xml:space="preserve"> also</w:t>
      </w:r>
      <w:r w:rsidR="00DB5669">
        <w:t xml:space="preserve"> likely that </w:t>
      </w:r>
      <w:r w:rsidR="00C2612D">
        <w:t xml:space="preserve">collaborative research </w:t>
      </w:r>
      <w:r w:rsidR="00DB5669">
        <w:t>projects will require more planning and preparation</w:t>
      </w:r>
      <w:r w:rsidR="000C3DE8">
        <w:t xml:space="preserve"> in general</w:t>
      </w:r>
      <w:r w:rsidR="00DB5669">
        <w:t xml:space="preserve"> than traditional research projects. Some studies noted particular challenges in planning and preparation for </w:t>
      </w:r>
      <w:r w:rsidR="00C2612D">
        <w:t xml:space="preserve">collaborative research </w:t>
      </w:r>
      <w:r w:rsidR="00DB5669">
        <w:t>projects, including t</w:t>
      </w:r>
      <w:r w:rsidR="00DB5669" w:rsidRPr="00075B6B">
        <w:t xml:space="preserve">he time and resources required </w:t>
      </w:r>
      <w:r w:rsidR="000C3DE8">
        <w:t>to</w:t>
      </w:r>
      <w:r w:rsidR="000C3DE8" w:rsidRPr="00075B6B">
        <w:t xml:space="preserve"> </w:t>
      </w:r>
      <w:r w:rsidR="00DB5669" w:rsidRPr="00075B6B">
        <w:t xml:space="preserve">prepare </w:t>
      </w:r>
      <w:r w:rsidR="00D13054">
        <w:t>co-researchers</w:t>
      </w:r>
      <w:r w:rsidR="00DB5669">
        <w:t>, and</w:t>
      </w:r>
      <w:r w:rsidR="00DB5669" w:rsidRPr="00075B6B">
        <w:t xml:space="preserve"> a lack of structures in universities to support engagement </w:t>
      </w:r>
      <w:r w:rsidR="00DB5669">
        <w:t>at the</w:t>
      </w:r>
      <w:r w:rsidR="00DB5669" w:rsidRPr="00075B6B">
        <w:t xml:space="preserve"> pre-commencement stage</w:t>
      </w:r>
      <w:r w:rsidR="007D39E7">
        <w:t>.</w:t>
      </w:r>
      <w:r w:rsidR="00B42774">
        <w:rPr>
          <w:rStyle w:val="FootnoteReference"/>
        </w:rPr>
        <w:footnoteReference w:id="341"/>
      </w:r>
      <w:r w:rsidR="00DB5669" w:rsidRPr="00D0135B">
        <w:t xml:space="preserve"> </w:t>
      </w:r>
      <w:r w:rsidR="00DB5669">
        <w:t>Planning</w:t>
      </w:r>
      <w:r w:rsidR="00DB5669" w:rsidRPr="005026DC">
        <w:t xml:space="preserve"> </w:t>
      </w:r>
      <w:r w:rsidR="00DB5669">
        <w:t xml:space="preserve">can be </w:t>
      </w:r>
      <w:r w:rsidR="00DB5669" w:rsidRPr="005026DC">
        <w:t>long and difficult because</w:t>
      </w:r>
      <w:r w:rsidR="00DB5669">
        <w:t xml:space="preserve"> there is</w:t>
      </w:r>
      <w:r w:rsidR="00DB5669" w:rsidRPr="005026DC">
        <w:t xml:space="preserve"> no</w:t>
      </w:r>
      <w:r w:rsidR="00DB5669">
        <w:t xml:space="preserve"> established</w:t>
      </w:r>
      <w:r w:rsidR="00DB5669" w:rsidRPr="005026DC">
        <w:t xml:space="preserve"> </w:t>
      </w:r>
      <w:r w:rsidR="00DB5669">
        <w:t>model of best practice</w:t>
      </w:r>
      <w:r w:rsidR="00DB5669" w:rsidRPr="005026DC">
        <w:t xml:space="preserve">, </w:t>
      </w:r>
      <w:r w:rsidR="00DB5669">
        <w:t xml:space="preserve">and </w:t>
      </w:r>
      <w:r w:rsidR="00DB5669" w:rsidRPr="005026DC">
        <w:t xml:space="preserve">adjustments </w:t>
      </w:r>
      <w:r w:rsidR="00DB5669">
        <w:t xml:space="preserve">are often </w:t>
      </w:r>
      <w:r w:rsidR="00DB5669" w:rsidRPr="005026DC">
        <w:t xml:space="preserve">needed based on </w:t>
      </w:r>
      <w:r w:rsidR="00DB5669">
        <w:t xml:space="preserve">the </w:t>
      </w:r>
      <w:r w:rsidR="00DB5669" w:rsidRPr="005026DC">
        <w:t xml:space="preserve">topic, </w:t>
      </w:r>
      <w:r w:rsidR="00DB5669">
        <w:t xml:space="preserve">the </w:t>
      </w:r>
      <w:r w:rsidR="00DB5669" w:rsidRPr="005026DC">
        <w:t>method</w:t>
      </w:r>
      <w:r w:rsidR="00DB5669">
        <w:t xml:space="preserve">ology </w:t>
      </w:r>
      <w:r w:rsidR="00DB5669" w:rsidRPr="005026DC">
        <w:t xml:space="preserve">and </w:t>
      </w:r>
      <w:r w:rsidR="00DB5669">
        <w:t xml:space="preserve">the </w:t>
      </w:r>
      <w:r w:rsidR="00DB5669" w:rsidRPr="005026DC">
        <w:t>skills</w:t>
      </w:r>
      <w:r w:rsidR="00806FA2">
        <w:t xml:space="preserve"> the co-researchers possess</w:t>
      </w:r>
      <w:r w:rsidR="007D39E7">
        <w:t>.</w:t>
      </w:r>
      <w:r w:rsidR="00B42774">
        <w:rPr>
          <w:rStyle w:val="FootnoteReference"/>
        </w:rPr>
        <w:footnoteReference w:id="342"/>
      </w:r>
      <w:r w:rsidR="00DB5669">
        <w:t xml:space="preserve"> Unnecessary delays and stress may also occur if there is insufficient planning for the support needs of co-researchers and potential barriers they might face</w:t>
      </w:r>
      <w:r w:rsidR="007D39E7">
        <w:t>.</w:t>
      </w:r>
      <w:r w:rsidR="00B42774">
        <w:rPr>
          <w:rStyle w:val="FootnoteReference"/>
        </w:rPr>
        <w:footnoteReference w:id="343"/>
      </w:r>
      <w:r w:rsidR="00DB5669">
        <w:t xml:space="preserve"> Many studies discussed important elements in planning for </w:t>
      </w:r>
      <w:r w:rsidR="00C2612D">
        <w:t xml:space="preserve">collaborative research </w:t>
      </w:r>
      <w:r w:rsidR="00DB5669">
        <w:t>projects. These included:</w:t>
      </w:r>
    </w:p>
    <w:p w14:paraId="09E63A4F" w14:textId="2B0FA3F4" w:rsidR="00DB5669" w:rsidRDefault="00DB5669" w:rsidP="00DB5669">
      <w:pPr>
        <w:pStyle w:val="ListBullet"/>
      </w:pPr>
      <w:r>
        <w:lastRenderedPageBreak/>
        <w:t>Holding introductory meeting/s with co-researchers</w:t>
      </w:r>
      <w:r w:rsidR="00B42774">
        <w:rPr>
          <w:rStyle w:val="FootnoteReference"/>
        </w:rPr>
        <w:footnoteReference w:id="344"/>
      </w:r>
    </w:p>
    <w:p w14:paraId="60578F83" w14:textId="39600278" w:rsidR="00DB5669" w:rsidRDefault="00DB5669" w:rsidP="00DB5669">
      <w:pPr>
        <w:pStyle w:val="ListBullet"/>
      </w:pPr>
      <w:r>
        <w:t xml:space="preserve">Considering </w:t>
      </w:r>
      <w:r w:rsidR="00D40550">
        <w:t xml:space="preserve">the </w:t>
      </w:r>
      <w:r>
        <w:t>support needs of co-researchers</w:t>
      </w:r>
      <w:r w:rsidR="00B42774">
        <w:rPr>
          <w:rStyle w:val="FootnoteReference"/>
        </w:rPr>
        <w:footnoteReference w:id="345"/>
      </w:r>
    </w:p>
    <w:p w14:paraId="1A2971E1" w14:textId="4DBC4897" w:rsidR="00DB5669" w:rsidRDefault="00DB5669" w:rsidP="00DB5669">
      <w:pPr>
        <w:pStyle w:val="ListBullet"/>
      </w:pPr>
      <w:r>
        <w:t xml:space="preserve">Reaching a mutual understanding of what </w:t>
      </w:r>
      <w:r w:rsidR="00C2612D">
        <w:t xml:space="preserve">collaborative research </w:t>
      </w:r>
      <w:r>
        <w:t>is</w:t>
      </w:r>
      <w:r w:rsidR="00B42774">
        <w:rPr>
          <w:rStyle w:val="FootnoteReference"/>
        </w:rPr>
        <w:footnoteReference w:id="346"/>
      </w:r>
    </w:p>
    <w:p w14:paraId="43027DAF" w14:textId="30034301" w:rsidR="00DB5669" w:rsidRDefault="00DB5669" w:rsidP="00DB5669">
      <w:pPr>
        <w:pStyle w:val="ListBullet"/>
      </w:pPr>
      <w:r>
        <w:t>Agreeing the channels and means for team communication</w:t>
      </w:r>
      <w:r w:rsidR="00B42774">
        <w:rPr>
          <w:rStyle w:val="FootnoteReference"/>
        </w:rPr>
        <w:footnoteReference w:id="347"/>
      </w:r>
    </w:p>
    <w:p w14:paraId="519C7E36" w14:textId="25D3CB91" w:rsidR="00DB5669" w:rsidRDefault="00DB5669" w:rsidP="00DB5669">
      <w:pPr>
        <w:pStyle w:val="ListBullet"/>
      </w:pPr>
      <w:r>
        <w:t>Agreeing meeting schedules</w:t>
      </w:r>
      <w:r w:rsidR="00B42774">
        <w:rPr>
          <w:rStyle w:val="FootnoteReference"/>
        </w:rPr>
        <w:footnoteReference w:id="348"/>
      </w:r>
    </w:p>
    <w:p w14:paraId="7BA2BD13" w14:textId="16F259A5" w:rsidR="00DB5669" w:rsidRDefault="00DB5669" w:rsidP="00DB5669">
      <w:pPr>
        <w:pStyle w:val="ListBullet"/>
      </w:pPr>
      <w:r>
        <w:t>Having a project terms of reference</w:t>
      </w:r>
      <w:r w:rsidR="00B42774">
        <w:rPr>
          <w:rStyle w:val="FootnoteReference"/>
        </w:rPr>
        <w:footnoteReference w:id="349"/>
      </w:r>
    </w:p>
    <w:p w14:paraId="2D3C6B7A" w14:textId="2357756B" w:rsidR="00DB5669" w:rsidRDefault="00DB5669" w:rsidP="00DB5669">
      <w:pPr>
        <w:pStyle w:val="ListBullet"/>
      </w:pPr>
      <w:r>
        <w:t>Agreeing ground rules</w:t>
      </w:r>
      <w:r w:rsidR="00B42774">
        <w:rPr>
          <w:rStyle w:val="FootnoteReference"/>
        </w:rPr>
        <w:footnoteReference w:id="350"/>
      </w:r>
      <w:r>
        <w:t>, general rules of working</w:t>
      </w:r>
      <w:r w:rsidR="00B42774">
        <w:rPr>
          <w:rStyle w:val="FootnoteReference"/>
        </w:rPr>
        <w:footnoteReference w:id="351"/>
      </w:r>
      <w:r w:rsidR="00A22A02">
        <w:t>,</w:t>
      </w:r>
      <w:r>
        <w:t xml:space="preserve"> </w:t>
      </w:r>
      <w:r w:rsidR="00DF6EE7">
        <w:t>how the team will work together</w:t>
      </w:r>
      <w:r w:rsidR="00B42774">
        <w:rPr>
          <w:rStyle w:val="FootnoteReference"/>
        </w:rPr>
        <w:footnoteReference w:id="352"/>
      </w:r>
      <w:r w:rsidR="000C3DE8">
        <w:t>,</w:t>
      </w:r>
      <w:r w:rsidR="00DF6EE7">
        <w:t xml:space="preserve"> </w:t>
      </w:r>
      <w:r>
        <w:t>and establishing clear boundaries</w:t>
      </w:r>
      <w:r w:rsidR="00B42774">
        <w:rPr>
          <w:rStyle w:val="FootnoteReference"/>
        </w:rPr>
        <w:footnoteReference w:id="353"/>
      </w:r>
    </w:p>
    <w:p w14:paraId="01F3FE9E" w14:textId="512F853F" w:rsidR="00DB5669" w:rsidRDefault="00DF6EE7" w:rsidP="00DB5669">
      <w:pPr>
        <w:pStyle w:val="ListBullet"/>
      </w:pPr>
      <w:r>
        <w:t xml:space="preserve">Agreeing </w:t>
      </w:r>
      <w:r w:rsidR="00DB5669">
        <w:t xml:space="preserve">when co-researchers would like to be involved </w:t>
      </w:r>
      <w:r>
        <w:t>in the research process</w:t>
      </w:r>
      <w:r w:rsidR="00B42774">
        <w:rPr>
          <w:rStyle w:val="FootnoteReference"/>
        </w:rPr>
        <w:footnoteReference w:id="354"/>
      </w:r>
      <w:r w:rsidR="00010F9E">
        <w:t xml:space="preserve"> </w:t>
      </w:r>
    </w:p>
    <w:p w14:paraId="087B97F8" w14:textId="6FDFA71C" w:rsidR="00DB5669" w:rsidRDefault="00DB5669" w:rsidP="00DB5669">
      <w:pPr>
        <w:pStyle w:val="ListBullet"/>
      </w:pPr>
      <w:r>
        <w:t xml:space="preserve">Providing descriptions of tasks and </w:t>
      </w:r>
      <w:r w:rsidR="001B74DA">
        <w:t xml:space="preserve">the </w:t>
      </w:r>
      <w:r>
        <w:t>skills/knowledge required</w:t>
      </w:r>
      <w:r w:rsidR="00D40550">
        <w:t xml:space="preserve"> to execute them</w:t>
      </w:r>
      <w:r w:rsidR="00B42774">
        <w:rPr>
          <w:rStyle w:val="FootnoteReference"/>
        </w:rPr>
        <w:footnoteReference w:id="355"/>
      </w:r>
    </w:p>
    <w:p w14:paraId="0881AACA" w14:textId="4A8E14C3" w:rsidR="00DB5669" w:rsidRDefault="00DB5669" w:rsidP="00DB5669">
      <w:pPr>
        <w:pStyle w:val="ListBullet"/>
      </w:pPr>
      <w:r>
        <w:t>Discussing how decisions will be made</w:t>
      </w:r>
      <w:r w:rsidR="00B42774">
        <w:rPr>
          <w:rStyle w:val="FootnoteReference"/>
        </w:rPr>
        <w:footnoteReference w:id="356"/>
      </w:r>
    </w:p>
    <w:p w14:paraId="7181B97F" w14:textId="3C58EB8B" w:rsidR="00DB5669" w:rsidRDefault="00DB5669" w:rsidP="00DB5669">
      <w:pPr>
        <w:pStyle w:val="ListBullet"/>
      </w:pPr>
      <w:r>
        <w:t>Agreeing goals and outcomes of project</w:t>
      </w:r>
      <w:r w:rsidR="00B42774">
        <w:rPr>
          <w:rStyle w:val="FootnoteReference"/>
        </w:rPr>
        <w:footnoteReference w:id="357"/>
      </w:r>
    </w:p>
    <w:p w14:paraId="230C706D" w14:textId="503848E9" w:rsidR="00DB5669" w:rsidRDefault="00DB5669" w:rsidP="00DB5669">
      <w:pPr>
        <w:pStyle w:val="ListBullet"/>
      </w:pPr>
      <w:r>
        <w:lastRenderedPageBreak/>
        <w:t>Setting timelines</w:t>
      </w:r>
      <w:r w:rsidR="007D39E7">
        <w:t>,</w:t>
      </w:r>
      <w:r w:rsidR="00B42774">
        <w:rPr>
          <w:rStyle w:val="FootnoteReference"/>
        </w:rPr>
        <w:footnoteReference w:id="358"/>
      </w:r>
      <w:r w:rsidR="00806FA2">
        <w:t xml:space="preserve"> including time for possible delays</w:t>
      </w:r>
      <w:r w:rsidR="00B42774">
        <w:rPr>
          <w:rStyle w:val="FootnoteReference"/>
        </w:rPr>
        <w:footnoteReference w:id="359"/>
      </w:r>
      <w:r>
        <w:t xml:space="preserve"> and specifying time commitment</w:t>
      </w:r>
      <w:r w:rsidR="00806FA2">
        <w:t>s required</w:t>
      </w:r>
      <w:r w:rsidR="00B42774">
        <w:rPr>
          <w:rStyle w:val="FootnoteReference"/>
        </w:rPr>
        <w:footnoteReference w:id="360"/>
      </w:r>
    </w:p>
    <w:p w14:paraId="477F2C8D" w14:textId="28679D56" w:rsidR="000A4575" w:rsidRDefault="000A4575" w:rsidP="000A4575">
      <w:pPr>
        <w:pStyle w:val="ListBullet"/>
      </w:pPr>
      <w:r>
        <w:t>Planning for co-researchers’ withdrawal from the project before it finishes</w:t>
      </w:r>
      <w:r w:rsidR="00B42774">
        <w:rPr>
          <w:rStyle w:val="FootnoteReference"/>
        </w:rPr>
        <w:footnoteReference w:id="361"/>
      </w:r>
    </w:p>
    <w:p w14:paraId="0AD857E0" w14:textId="6AE12A42" w:rsidR="00DB5669" w:rsidRDefault="00DB5669" w:rsidP="00DB5669">
      <w:pPr>
        <w:pStyle w:val="ListBullet"/>
      </w:pPr>
      <w:r>
        <w:t>Planning for the end of the project</w:t>
      </w:r>
      <w:r w:rsidR="007D39E7">
        <w:t>.</w:t>
      </w:r>
      <w:r w:rsidR="00B42774">
        <w:rPr>
          <w:rStyle w:val="FootnoteReference"/>
        </w:rPr>
        <w:footnoteReference w:id="362"/>
      </w:r>
    </w:p>
    <w:p w14:paraId="28AFE03A" w14:textId="7F1E24F5" w:rsidR="00DB5669" w:rsidRDefault="00DB5669" w:rsidP="00DB5669">
      <w:pPr>
        <w:pStyle w:val="Heading3"/>
      </w:pPr>
      <w:r>
        <w:t>Roles</w:t>
      </w:r>
      <w:r w:rsidR="00165F03">
        <w:t xml:space="preserve"> and responsibilities</w:t>
      </w:r>
      <w:r>
        <w:t xml:space="preserve"> </w:t>
      </w:r>
    </w:p>
    <w:p w14:paraId="1FAE0B95" w14:textId="27125A2E" w:rsidR="00E27EE0" w:rsidRDefault="00DF6EE7" w:rsidP="00DB5669">
      <w:r>
        <w:t>Defining clear roles and responsibilities</w:t>
      </w:r>
      <w:r w:rsidR="00B42774">
        <w:t xml:space="preserve"> </w:t>
      </w:r>
      <w:r w:rsidR="000A4575">
        <w:t>is</w:t>
      </w:r>
      <w:r>
        <w:t xml:space="preserve"> also considered</w:t>
      </w:r>
      <w:r w:rsidR="000A4575">
        <w:t xml:space="preserve"> a</w:t>
      </w:r>
      <w:r>
        <w:t xml:space="preserve"> key </w:t>
      </w:r>
      <w:r w:rsidR="00DB5669">
        <w:t xml:space="preserve">part of the planning and preparation phase of </w:t>
      </w:r>
      <w:r w:rsidR="009237D2">
        <w:t>collaborative research</w:t>
      </w:r>
      <w:r w:rsidR="007D39E7">
        <w:t>,</w:t>
      </w:r>
      <w:r w:rsidR="00B42774">
        <w:rPr>
          <w:rStyle w:val="FootnoteReference"/>
        </w:rPr>
        <w:footnoteReference w:id="363"/>
      </w:r>
      <w:r w:rsidR="00DB5669">
        <w:t xml:space="preserve"> particularly as </w:t>
      </w:r>
      <w:r w:rsidR="0020549D">
        <w:t xml:space="preserve">a lack of clarity </w:t>
      </w:r>
      <w:r w:rsidR="001B74DA">
        <w:t xml:space="preserve">on these </w:t>
      </w:r>
      <w:r w:rsidR="0020549D">
        <w:t>has</w:t>
      </w:r>
      <w:r w:rsidR="00DB5669">
        <w:t xml:space="preserve"> been noted as </w:t>
      </w:r>
      <w:r w:rsidR="0020549D">
        <w:t xml:space="preserve">a </w:t>
      </w:r>
      <w:r w:rsidR="006D70CA">
        <w:t>challenge</w:t>
      </w:r>
      <w:r w:rsidR="00DB5669">
        <w:t xml:space="preserve"> in previous studies</w:t>
      </w:r>
      <w:r w:rsidR="007D39E7">
        <w:t>.</w:t>
      </w:r>
      <w:r w:rsidR="00B42774">
        <w:rPr>
          <w:rStyle w:val="FootnoteReference"/>
        </w:rPr>
        <w:footnoteReference w:id="364"/>
      </w:r>
      <w:r w:rsidR="00DB5669">
        <w:t xml:space="preserve"> </w:t>
      </w:r>
      <w:r w:rsidR="00DB5669" w:rsidRPr="00E939CC">
        <w:t xml:space="preserve">To ensure clarity about roles and </w:t>
      </w:r>
      <w:r>
        <w:t>responsibilities</w:t>
      </w:r>
      <w:r w:rsidR="00DB5669" w:rsidRPr="00E939CC">
        <w:t>, co-researchers should be provided with clear information and/or negotiated contracts</w:t>
      </w:r>
      <w:r w:rsidR="007D39E7">
        <w:t>.</w:t>
      </w:r>
      <w:r w:rsidR="00B42774">
        <w:rPr>
          <w:rStyle w:val="FootnoteReference"/>
        </w:rPr>
        <w:footnoteReference w:id="365"/>
      </w:r>
      <w:r w:rsidR="00DB5669" w:rsidRPr="00E939CC">
        <w:t xml:space="preserve"> </w:t>
      </w:r>
      <w:r w:rsidR="00654F26">
        <w:t xml:space="preserve">Van </w:t>
      </w:r>
      <w:proofErr w:type="spellStart"/>
      <w:r w:rsidR="00654F26">
        <w:t>Schelven</w:t>
      </w:r>
      <w:proofErr w:type="spellEnd"/>
      <w:r w:rsidR="00654F26">
        <w:t xml:space="preserve"> </w:t>
      </w:r>
      <w:r w:rsidR="00185C11" w:rsidRPr="00185C11">
        <w:rPr>
          <w:i/>
        </w:rPr>
        <w:t xml:space="preserve">et al. </w:t>
      </w:r>
      <w:r w:rsidR="0020549D">
        <w:t>(</w:t>
      </w:r>
      <w:r w:rsidR="00D83230">
        <w:t>2020b</w:t>
      </w:r>
      <w:r w:rsidR="0020549D">
        <w:t>)</w:t>
      </w:r>
      <w:r w:rsidR="00654F26">
        <w:t xml:space="preserve"> note the importance of including co-researchers in discussions around roles and responsibilities. </w:t>
      </w:r>
      <w:r w:rsidR="00DB5669" w:rsidRPr="00E939CC">
        <w:t>Further</w:t>
      </w:r>
      <w:r w:rsidR="00DB5669">
        <w:t>more</w:t>
      </w:r>
      <w:r w:rsidR="00DB5669" w:rsidRPr="00E939CC">
        <w:t xml:space="preserve">, </w:t>
      </w:r>
      <w:r w:rsidR="00D83230">
        <w:t xml:space="preserve">the Drill Report (2018) notes that </w:t>
      </w:r>
      <w:r w:rsidR="00DB5669" w:rsidRPr="00E939CC">
        <w:t>management should ensure that everyone has read and understood their role and</w:t>
      </w:r>
      <w:r w:rsidR="00D83230">
        <w:t xml:space="preserve"> commitments before commencing</w:t>
      </w:r>
      <w:r w:rsidR="00DB5669" w:rsidRPr="00E939CC">
        <w:t xml:space="preserve">. </w:t>
      </w:r>
      <w:r w:rsidR="00E27EE0">
        <w:t>According to Jim, a co-researcher with dementia:</w:t>
      </w:r>
    </w:p>
    <w:p w14:paraId="1F9BBD00" w14:textId="61894DCC" w:rsidR="00E27EE0" w:rsidRPr="00E27EE0" w:rsidRDefault="00E27EE0" w:rsidP="001C4A80">
      <w:pPr>
        <w:pStyle w:val="BlockQuote"/>
      </w:pPr>
      <w:r w:rsidRPr="001C4A80">
        <w:rPr>
          <w:lang w:eastAsia="en-IE"/>
        </w:rPr>
        <w:t>To make the experience as positive and collaborative as possible, I, Jim needed to know the plan, my role and why</w:t>
      </w:r>
      <w:r w:rsidR="007D39E7">
        <w:rPr>
          <w:lang w:eastAsia="en-IE"/>
        </w:rPr>
        <w:t>.</w:t>
      </w:r>
      <w:r w:rsidR="00B42774">
        <w:rPr>
          <w:rStyle w:val="FootnoteReference"/>
          <w:lang w:eastAsia="en-IE"/>
        </w:rPr>
        <w:footnoteReference w:id="366"/>
      </w:r>
    </w:p>
    <w:p w14:paraId="7E39DF38" w14:textId="719C1893" w:rsidR="00DB5669" w:rsidRDefault="00DB5669" w:rsidP="00DB5669">
      <w:proofErr w:type="spellStart"/>
      <w:r w:rsidRPr="00E939CC">
        <w:t>Moule</w:t>
      </w:r>
      <w:proofErr w:type="spellEnd"/>
      <w:r w:rsidRPr="00E939CC">
        <w:t xml:space="preserve"> </w:t>
      </w:r>
      <w:r w:rsidR="00185C11" w:rsidRPr="00185C11">
        <w:rPr>
          <w:i/>
        </w:rPr>
        <w:t xml:space="preserve">et al. </w:t>
      </w:r>
      <w:r w:rsidRPr="00E939CC">
        <w:t>(2016) cautioned, however, that clarifying roles on paper had the potential to</w:t>
      </w:r>
      <w:r w:rsidR="006D70CA">
        <w:t xml:space="preserve"> put pressure on </w:t>
      </w:r>
      <w:r w:rsidRPr="00E939CC">
        <w:t>co-researchers. They recommended that contracts be re-negotiable and amendable as the project progresses. Additionally, there should be ongoing engagement throughout the process to check in with co-researchers</w:t>
      </w:r>
      <w:r w:rsidR="00C957B4">
        <w:t xml:space="preserve"> to ensure they </w:t>
      </w:r>
      <w:r w:rsidR="005E66B6">
        <w:t>are</w:t>
      </w:r>
      <w:r w:rsidR="00C957B4">
        <w:t xml:space="preserve"> able to manage their roles and to give them the opportunity to let researchers know if they are having difficulties</w:t>
      </w:r>
      <w:r w:rsidR="007D39E7">
        <w:t>.</w:t>
      </w:r>
      <w:r w:rsidR="00F52EF4">
        <w:rPr>
          <w:rStyle w:val="FootnoteReference"/>
        </w:rPr>
        <w:footnoteReference w:id="367"/>
      </w:r>
      <w:r w:rsidRPr="00E939CC">
        <w:t xml:space="preserve"> </w:t>
      </w:r>
    </w:p>
    <w:p w14:paraId="3B0032A6" w14:textId="77777777" w:rsidR="00FC6C63" w:rsidRDefault="00FC6C63" w:rsidP="003578CD">
      <w:pPr>
        <w:pStyle w:val="Heading4"/>
      </w:pPr>
      <w:r>
        <w:lastRenderedPageBreak/>
        <w:t>Skills and competencies of co-researchers and researchers</w:t>
      </w:r>
    </w:p>
    <w:p w14:paraId="57A50EEA" w14:textId="16F836F6" w:rsidR="00FC6C63" w:rsidRDefault="00BE22CD" w:rsidP="00AF0A9D">
      <w:pPr>
        <w:rPr>
          <w:lang w:eastAsia="en-IE"/>
        </w:rPr>
      </w:pPr>
      <w:r>
        <w:rPr>
          <w:lang w:eastAsia="en-IE"/>
        </w:rPr>
        <w:t xml:space="preserve">The roles and responsibilities held by co-researchers will depend on </w:t>
      </w:r>
      <w:r w:rsidR="007516D2">
        <w:rPr>
          <w:lang w:eastAsia="en-IE"/>
        </w:rPr>
        <w:t>their skills and competencies. A</w:t>
      </w:r>
      <w:r w:rsidR="00FC6C63">
        <w:rPr>
          <w:lang w:eastAsia="en-IE"/>
        </w:rPr>
        <w:t xml:space="preserve"> number of studies acknowledged the importance of </w:t>
      </w:r>
      <w:r>
        <w:rPr>
          <w:lang w:eastAsia="en-IE"/>
        </w:rPr>
        <w:t xml:space="preserve">first </w:t>
      </w:r>
      <w:r w:rsidR="00FC6C63">
        <w:rPr>
          <w:lang w:eastAsia="en-IE"/>
        </w:rPr>
        <w:t>identifying the skills, competencies and capacity of co-researchers</w:t>
      </w:r>
      <w:r w:rsidR="00233F75">
        <w:rPr>
          <w:rStyle w:val="FootnoteReference"/>
          <w:lang w:eastAsia="en-IE"/>
        </w:rPr>
        <w:footnoteReference w:id="368"/>
      </w:r>
      <w:r w:rsidR="00FC6C63">
        <w:rPr>
          <w:lang w:eastAsia="en-IE"/>
        </w:rPr>
        <w:t xml:space="preserve"> and</w:t>
      </w:r>
      <w:r>
        <w:rPr>
          <w:lang w:eastAsia="en-IE"/>
        </w:rPr>
        <w:t xml:space="preserve"> then</w:t>
      </w:r>
      <w:r w:rsidR="00FC6C63">
        <w:rPr>
          <w:lang w:eastAsia="en-IE"/>
        </w:rPr>
        <w:t xml:space="preserve"> applying people’s skills and competencies</w:t>
      </w:r>
      <w:r w:rsidR="00FC6C63" w:rsidRPr="00AC53C6">
        <w:rPr>
          <w:lang w:eastAsia="en-IE"/>
        </w:rPr>
        <w:t xml:space="preserve"> </w:t>
      </w:r>
      <w:r w:rsidR="00FC6C63">
        <w:rPr>
          <w:lang w:eastAsia="en-IE"/>
        </w:rPr>
        <w:t>to various parts of the research project</w:t>
      </w:r>
      <w:r w:rsidR="007D39E7">
        <w:rPr>
          <w:lang w:eastAsia="en-IE"/>
        </w:rPr>
        <w:t>.</w:t>
      </w:r>
      <w:r w:rsidR="00233F75">
        <w:rPr>
          <w:rStyle w:val="FootnoteReference"/>
          <w:lang w:eastAsia="en-IE"/>
        </w:rPr>
        <w:footnoteReference w:id="369"/>
      </w:r>
      <w:r w:rsidR="00FC6C63">
        <w:rPr>
          <w:lang w:eastAsia="en-IE"/>
        </w:rPr>
        <w:t xml:space="preserve"> In one project, co-researchers could choose certain tasks based on their skillset, but they were also offered support to take part in tasks in which they were less confident</w:t>
      </w:r>
      <w:r w:rsidR="007D39E7">
        <w:rPr>
          <w:lang w:eastAsia="en-IE"/>
        </w:rPr>
        <w:t>.</w:t>
      </w:r>
      <w:r w:rsidR="00233F75">
        <w:rPr>
          <w:rStyle w:val="FootnoteReference"/>
          <w:lang w:eastAsia="en-IE"/>
        </w:rPr>
        <w:footnoteReference w:id="370"/>
      </w:r>
      <w:r w:rsidR="00FC6C63">
        <w:rPr>
          <w:lang w:eastAsia="en-IE"/>
        </w:rPr>
        <w:t xml:space="preserve"> Another study made sure to identify the skills and interests of their co-researchers with the purpose of offering them further development opportunities in these areas</w:t>
      </w:r>
      <w:r w:rsidR="007D39E7">
        <w:rPr>
          <w:lang w:eastAsia="en-IE"/>
        </w:rPr>
        <w:t>.</w:t>
      </w:r>
      <w:r w:rsidR="00233F75">
        <w:rPr>
          <w:rStyle w:val="FootnoteReference"/>
          <w:lang w:eastAsia="en-IE"/>
        </w:rPr>
        <w:footnoteReference w:id="371"/>
      </w:r>
      <w:r w:rsidR="00FC6C63">
        <w:rPr>
          <w:lang w:eastAsia="en-IE"/>
        </w:rPr>
        <w:t xml:space="preserve"> With regard to identifying people’s skills and competencies, Callus (2019</w:t>
      </w:r>
      <w:r w:rsidR="00AF0A9D">
        <w:rPr>
          <w:lang w:eastAsia="en-IE"/>
        </w:rPr>
        <w:t xml:space="preserve">) advised not to </w:t>
      </w:r>
      <w:r w:rsidR="00FC6C63">
        <w:rPr>
          <w:lang w:eastAsia="en-IE"/>
        </w:rPr>
        <w:t xml:space="preserve">presume what the person can/cannot do – ask them at the outset. </w:t>
      </w:r>
    </w:p>
    <w:p w14:paraId="723A0710" w14:textId="32E825E9" w:rsidR="00FC6C63" w:rsidRDefault="00FC6C63" w:rsidP="00FC6C63">
      <w:pPr>
        <w:rPr>
          <w:lang w:eastAsia="en-IE"/>
        </w:rPr>
      </w:pPr>
      <w:r>
        <w:rPr>
          <w:lang w:eastAsia="en-IE"/>
        </w:rPr>
        <w:t xml:space="preserve">Many studies have made recommendations </w:t>
      </w:r>
      <w:r w:rsidR="00537D03">
        <w:rPr>
          <w:lang w:eastAsia="en-IE"/>
        </w:rPr>
        <w:t>r</w:t>
      </w:r>
      <w:r>
        <w:rPr>
          <w:lang w:eastAsia="en-IE"/>
        </w:rPr>
        <w:t>egarding the skills and competencies needed for people to tak</w:t>
      </w:r>
      <w:r w:rsidR="00544CF4">
        <w:rPr>
          <w:lang w:eastAsia="en-IE"/>
        </w:rPr>
        <w:t>e</w:t>
      </w:r>
      <w:r>
        <w:rPr>
          <w:lang w:eastAsia="en-IE"/>
        </w:rPr>
        <w:t xml:space="preserve"> </w:t>
      </w:r>
      <w:proofErr w:type="spellStart"/>
      <w:r>
        <w:rPr>
          <w:lang w:eastAsia="en-IE"/>
        </w:rPr>
        <w:t>take</w:t>
      </w:r>
      <w:proofErr w:type="spellEnd"/>
      <w:r>
        <w:rPr>
          <w:lang w:eastAsia="en-IE"/>
        </w:rPr>
        <w:t xml:space="preserve"> part in collaborative research projects. </w:t>
      </w:r>
      <w:proofErr w:type="spellStart"/>
      <w:r>
        <w:rPr>
          <w:lang w:eastAsia="en-IE"/>
        </w:rPr>
        <w:t>Embregts</w:t>
      </w:r>
      <w:proofErr w:type="spellEnd"/>
      <w:r>
        <w:rPr>
          <w:lang w:eastAsia="en-IE"/>
        </w:rPr>
        <w:t xml:space="preserve"> </w:t>
      </w:r>
      <w:r w:rsidR="00185C11" w:rsidRPr="00185C11">
        <w:rPr>
          <w:i/>
          <w:lang w:eastAsia="en-IE"/>
        </w:rPr>
        <w:t xml:space="preserve">et al. </w:t>
      </w:r>
      <w:r>
        <w:rPr>
          <w:lang w:eastAsia="en-IE"/>
        </w:rPr>
        <w:t xml:space="preserve">(2018) advised that important competencies for co-researchers and researchers were being creative, adaptable, and able to contribute to finding solutions. </w:t>
      </w:r>
    </w:p>
    <w:p w14:paraId="372DEBC5" w14:textId="140125C0" w:rsidR="00FC6C63" w:rsidRDefault="00FC6C63" w:rsidP="00FC6C63">
      <w:r>
        <w:rPr>
          <w:lang w:eastAsia="en-IE"/>
        </w:rPr>
        <w:t>For co-researchers, studies have recommended that they have an interest in the research</w:t>
      </w:r>
      <w:r w:rsidR="00233F75">
        <w:rPr>
          <w:rStyle w:val="FootnoteReference"/>
          <w:lang w:eastAsia="en-IE"/>
        </w:rPr>
        <w:footnoteReference w:id="372"/>
      </w:r>
      <w:r>
        <w:rPr>
          <w:lang w:eastAsia="en-IE"/>
        </w:rPr>
        <w:t>, insight into their capabilities and limitations</w:t>
      </w:r>
      <w:r w:rsidR="007D39E7">
        <w:rPr>
          <w:lang w:eastAsia="en-IE"/>
        </w:rPr>
        <w:t>,</w:t>
      </w:r>
      <w:r w:rsidR="00233F75">
        <w:rPr>
          <w:rStyle w:val="FootnoteReference"/>
          <w:lang w:eastAsia="en-IE"/>
        </w:rPr>
        <w:footnoteReference w:id="373"/>
      </w:r>
      <w:r>
        <w:rPr>
          <w:lang w:eastAsia="en-IE"/>
        </w:rPr>
        <w:t xml:space="preserve"> have the ability to reflect and self-reflect, and are capable of doing research</w:t>
      </w:r>
      <w:r w:rsidR="007D39E7">
        <w:rPr>
          <w:lang w:eastAsia="en-IE"/>
        </w:rPr>
        <w:t>,</w:t>
      </w:r>
      <w:r w:rsidR="00233F75">
        <w:rPr>
          <w:rStyle w:val="FootnoteReference"/>
          <w:lang w:eastAsia="en-IE"/>
        </w:rPr>
        <w:footnoteReference w:id="374"/>
      </w:r>
      <w:r w:rsidR="007D39E7">
        <w:rPr>
          <w:lang w:eastAsia="en-IE"/>
        </w:rPr>
        <w:t xml:space="preserve"> e.g. </w:t>
      </w:r>
      <w:r>
        <w:rPr>
          <w:lang w:eastAsia="en-IE"/>
        </w:rPr>
        <w:t>are able to formulate research questions, make a research plan, interview others, understand research ethics, and communicate results</w:t>
      </w:r>
      <w:r w:rsidR="007D39E7">
        <w:rPr>
          <w:lang w:eastAsia="en-IE"/>
        </w:rPr>
        <w:t>.</w:t>
      </w:r>
      <w:r w:rsidR="00233F75">
        <w:rPr>
          <w:rStyle w:val="FootnoteReference"/>
          <w:lang w:eastAsia="en-IE"/>
        </w:rPr>
        <w:footnoteReference w:id="375"/>
      </w:r>
      <w:r>
        <w:rPr>
          <w:lang w:eastAsia="en-IE"/>
        </w:rPr>
        <w:t xml:space="preserve"> Of note</w:t>
      </w:r>
      <w:r w:rsidR="00537D03">
        <w:rPr>
          <w:lang w:eastAsia="en-IE"/>
        </w:rPr>
        <w:t>,</w:t>
      </w:r>
      <w:r>
        <w:rPr>
          <w:lang w:eastAsia="en-IE"/>
        </w:rPr>
        <w:t xml:space="preserve"> is that these kinds of abilities will preclude people with more profound ID or severe dementia from being co-researchers and it is important for studies of particular relevance to those with ID or dementia to consider how they might be innovative/creative in facilitating the involvement of people lacking some of these specific skills and competencies. Another important element when considering co-researchers is to </w:t>
      </w:r>
      <w:r>
        <w:rPr>
          <w:lang w:eastAsia="en-IE"/>
        </w:rPr>
        <w:lastRenderedPageBreak/>
        <w:t>acknowledge the heterogeneity of individuals with disabilities and to recognise the different skills and experiences they bring to a project</w:t>
      </w:r>
      <w:r w:rsidR="007D39E7">
        <w:rPr>
          <w:lang w:eastAsia="en-IE"/>
        </w:rPr>
        <w:t>.</w:t>
      </w:r>
      <w:r w:rsidR="00233F75">
        <w:rPr>
          <w:rStyle w:val="FootnoteReference"/>
          <w:lang w:eastAsia="en-IE"/>
        </w:rPr>
        <w:footnoteReference w:id="376"/>
      </w:r>
      <w:r>
        <w:rPr>
          <w:lang w:eastAsia="en-IE"/>
        </w:rPr>
        <w:t xml:space="preserve"> One study warned against stereotyping the skills or traits of autistic individuals in particular</w:t>
      </w:r>
      <w:r w:rsidR="007D39E7">
        <w:rPr>
          <w:lang w:eastAsia="en-IE"/>
        </w:rPr>
        <w:t>,</w:t>
      </w:r>
      <w:r w:rsidR="001C7F89">
        <w:rPr>
          <w:rStyle w:val="FootnoteReference"/>
          <w:lang w:eastAsia="en-IE"/>
        </w:rPr>
        <w:footnoteReference w:id="377"/>
      </w:r>
      <w:r>
        <w:rPr>
          <w:lang w:eastAsia="en-IE"/>
        </w:rPr>
        <w:t xml:space="preserve"> </w:t>
      </w:r>
      <w:r>
        <w:t>while another reported a challenge for co-researchers was the assumption that their personal lived experience was representative of all people with disabilities</w:t>
      </w:r>
      <w:r w:rsidR="007D39E7">
        <w:t>.</w:t>
      </w:r>
      <w:r w:rsidR="001C7F89">
        <w:rPr>
          <w:rStyle w:val="FootnoteReference"/>
        </w:rPr>
        <w:footnoteReference w:id="378"/>
      </w:r>
    </w:p>
    <w:p w14:paraId="77BAC140" w14:textId="44B0DD2F" w:rsidR="00FC6C63" w:rsidRDefault="00FC6C63" w:rsidP="00FC6C63">
      <w:pPr>
        <w:rPr>
          <w:lang w:eastAsia="en-IE"/>
        </w:rPr>
      </w:pPr>
      <w:r>
        <w:rPr>
          <w:lang w:eastAsia="en-IE"/>
        </w:rPr>
        <w:t xml:space="preserve">In relation to the skills and competencies of the </w:t>
      </w:r>
      <w:r w:rsidR="00BE22CD">
        <w:rPr>
          <w:lang w:eastAsia="en-IE"/>
        </w:rPr>
        <w:t xml:space="preserve">professional </w:t>
      </w:r>
      <w:r>
        <w:rPr>
          <w:lang w:eastAsia="en-IE"/>
        </w:rPr>
        <w:t>researchers, studies recommended that they have the ability to share tasks and responsibilities with co-researchers, are flexible</w:t>
      </w:r>
      <w:r w:rsidR="007D39E7">
        <w:rPr>
          <w:lang w:eastAsia="en-IE"/>
        </w:rPr>
        <w:t>,</w:t>
      </w:r>
      <w:r w:rsidR="001C7F89">
        <w:rPr>
          <w:rStyle w:val="FootnoteReference"/>
          <w:lang w:eastAsia="en-IE"/>
        </w:rPr>
        <w:footnoteReference w:id="379"/>
      </w:r>
      <w:r>
        <w:rPr>
          <w:lang w:eastAsia="en-IE"/>
        </w:rPr>
        <w:t xml:space="preserve"> are able to adjust their working pace</w:t>
      </w:r>
      <w:r w:rsidR="001C7F89">
        <w:rPr>
          <w:rStyle w:val="FootnoteReference"/>
          <w:lang w:eastAsia="en-IE"/>
        </w:rPr>
        <w:footnoteReference w:id="380"/>
      </w:r>
      <w:r>
        <w:rPr>
          <w:lang w:eastAsia="en-IE"/>
        </w:rPr>
        <w:t xml:space="preserve"> and according to a co-researcher with ID, they need to be organised, skilled, reliable, and able to get co-researchers involved without doing the work themselves</w:t>
      </w:r>
      <w:r w:rsidR="007D39E7">
        <w:rPr>
          <w:lang w:eastAsia="en-IE"/>
        </w:rPr>
        <w:t>.</w:t>
      </w:r>
      <w:r w:rsidR="001C7F89">
        <w:rPr>
          <w:rStyle w:val="FootnoteReference"/>
          <w:lang w:eastAsia="en-IE"/>
        </w:rPr>
        <w:footnoteReference w:id="381"/>
      </w:r>
      <w:r w:rsidR="007D39E7">
        <w:rPr>
          <w:lang w:eastAsia="en-IE"/>
        </w:rPr>
        <w:t xml:space="preserve"> </w:t>
      </w:r>
      <w:r>
        <w:rPr>
          <w:lang w:eastAsia="en-IE"/>
        </w:rPr>
        <w:t xml:space="preserve">One study on </w:t>
      </w:r>
      <w:r>
        <w:t>Deaf/hearing research partnerships</w:t>
      </w:r>
      <w:r>
        <w:rPr>
          <w:lang w:eastAsia="en-IE"/>
        </w:rPr>
        <w:t xml:space="preserve"> noted that it was critical for researchers to be competent and knowledgeable in a visual language and to value Deaf culture</w:t>
      </w:r>
      <w:r w:rsidR="007D39E7">
        <w:rPr>
          <w:lang w:eastAsia="en-IE"/>
        </w:rPr>
        <w:t>.</w:t>
      </w:r>
      <w:r w:rsidR="001C7F89">
        <w:rPr>
          <w:rStyle w:val="FootnoteReference"/>
          <w:lang w:eastAsia="en-IE"/>
        </w:rPr>
        <w:footnoteReference w:id="382"/>
      </w:r>
      <w:r>
        <w:rPr>
          <w:lang w:eastAsia="en-IE"/>
        </w:rPr>
        <w:t xml:space="preserve"> </w:t>
      </w:r>
    </w:p>
    <w:p w14:paraId="51AA7C05" w14:textId="77777777" w:rsidR="00DB5669" w:rsidRDefault="00DB5669" w:rsidP="003578CD">
      <w:pPr>
        <w:pStyle w:val="Heading4"/>
      </w:pPr>
      <w:r>
        <w:t>Training</w:t>
      </w:r>
    </w:p>
    <w:p w14:paraId="1464BA44" w14:textId="3BD5893D" w:rsidR="00DB5669" w:rsidRDefault="00DB5669" w:rsidP="00DB5669">
      <w:pPr>
        <w:rPr>
          <w:lang w:eastAsia="en-IE"/>
        </w:rPr>
      </w:pPr>
      <w:r>
        <w:t>Co-researchers may initially lack the expertise and skills to conduct research so often need some training and upskilling</w:t>
      </w:r>
      <w:r w:rsidR="001C7F89">
        <w:rPr>
          <w:rStyle w:val="FootnoteReference"/>
        </w:rPr>
        <w:footnoteReference w:id="383"/>
      </w:r>
      <w:r>
        <w:t>.</w:t>
      </w:r>
      <w:r w:rsidR="00636498">
        <w:t xml:space="preserve"> With this, r</w:t>
      </w:r>
      <w:r>
        <w:t>esearchers are faced with</w:t>
      </w:r>
      <w:r w:rsidRPr="00902AE2">
        <w:t xml:space="preserve"> </w:t>
      </w:r>
      <w:r>
        <w:t>d</w:t>
      </w:r>
      <w:r w:rsidRPr="005026DC">
        <w:t>ecision</w:t>
      </w:r>
      <w:r>
        <w:t>s</w:t>
      </w:r>
      <w:r w:rsidRPr="005026DC">
        <w:t xml:space="preserve"> about what type of training to provide,</w:t>
      </w:r>
      <w:r>
        <w:t xml:space="preserve"> for example,</w:t>
      </w:r>
      <w:r w:rsidRPr="005026DC">
        <w:t xml:space="preserve"> wheth</w:t>
      </w:r>
      <w:r w:rsidR="001B74DA">
        <w:t>er they should focus on project-</w:t>
      </w:r>
      <w:r w:rsidRPr="005F5E7D">
        <w:t>specific training or generic research skills training</w:t>
      </w:r>
      <w:r w:rsidR="00636498">
        <w:t>, and how</w:t>
      </w:r>
      <w:r w:rsidR="00827AA4">
        <w:t xml:space="preserve"> and when</w:t>
      </w:r>
      <w:r w:rsidR="00636498">
        <w:t xml:space="preserve"> to provide it</w:t>
      </w:r>
      <w:r w:rsidR="007D39E7">
        <w:t>.</w:t>
      </w:r>
      <w:r w:rsidR="001C7F89">
        <w:rPr>
          <w:rStyle w:val="FootnoteReference"/>
        </w:rPr>
        <w:footnoteReference w:id="384"/>
      </w:r>
      <w:r>
        <w:t xml:space="preserve"> </w:t>
      </w:r>
      <w:r w:rsidR="00375997">
        <w:t>They also need to consider whether refresher training will be required d</w:t>
      </w:r>
      <w:r w:rsidR="00636498">
        <w:t>uring the course of the project</w:t>
      </w:r>
      <w:r w:rsidR="007D39E7">
        <w:t>.</w:t>
      </w:r>
      <w:r w:rsidR="001C7F89">
        <w:rPr>
          <w:rStyle w:val="FootnoteReference"/>
        </w:rPr>
        <w:footnoteReference w:id="385"/>
      </w:r>
      <w:r w:rsidR="00375997">
        <w:t xml:space="preserve"> </w:t>
      </w:r>
      <w:r>
        <w:rPr>
          <w:lang w:eastAsia="en-IE"/>
        </w:rPr>
        <w:t>According to one study, co-researcher training should include general research methodological skills and specific</w:t>
      </w:r>
      <w:r w:rsidR="00636498">
        <w:rPr>
          <w:lang w:eastAsia="en-IE"/>
        </w:rPr>
        <w:t xml:space="preserve"> training relevant to the study</w:t>
      </w:r>
      <w:r w:rsidR="007D39E7">
        <w:rPr>
          <w:lang w:eastAsia="en-IE"/>
        </w:rPr>
        <w:t>.</w:t>
      </w:r>
      <w:r w:rsidR="001C7F89">
        <w:rPr>
          <w:rStyle w:val="FootnoteReference"/>
          <w:lang w:eastAsia="en-IE"/>
        </w:rPr>
        <w:footnoteReference w:id="386"/>
      </w:r>
      <w:r>
        <w:rPr>
          <w:lang w:eastAsia="en-IE"/>
        </w:rPr>
        <w:t xml:space="preserve"> The content of training varied across </w:t>
      </w:r>
      <w:r w:rsidR="00636498">
        <w:rPr>
          <w:lang w:eastAsia="en-IE"/>
        </w:rPr>
        <w:t>studies reviewed</w:t>
      </w:r>
      <w:r>
        <w:rPr>
          <w:lang w:eastAsia="en-IE"/>
        </w:rPr>
        <w:t xml:space="preserve">, but for the most part did include training on general </w:t>
      </w:r>
      <w:r>
        <w:rPr>
          <w:lang w:eastAsia="en-IE"/>
        </w:rPr>
        <w:lastRenderedPageBreak/>
        <w:t>research skills and knowledge</w:t>
      </w:r>
      <w:r w:rsidR="007D39E7">
        <w:rPr>
          <w:lang w:eastAsia="en-IE"/>
        </w:rPr>
        <w:t>.</w:t>
      </w:r>
      <w:r w:rsidR="001C7F89">
        <w:rPr>
          <w:rStyle w:val="FootnoteReference"/>
          <w:lang w:eastAsia="en-IE"/>
        </w:rPr>
        <w:footnoteReference w:id="387"/>
      </w:r>
      <w:r w:rsidR="00636498">
        <w:rPr>
          <w:lang w:eastAsia="en-IE"/>
        </w:rPr>
        <w:t xml:space="preserve"> When relevant</w:t>
      </w:r>
      <w:r w:rsidR="00827AA4">
        <w:rPr>
          <w:lang w:eastAsia="en-IE"/>
        </w:rPr>
        <w:t>,</w:t>
      </w:r>
      <w:r w:rsidR="00636498">
        <w:rPr>
          <w:lang w:eastAsia="en-IE"/>
        </w:rPr>
        <w:t xml:space="preserve"> some training also included</w:t>
      </w:r>
      <w:r>
        <w:rPr>
          <w:lang w:eastAsia="en-IE"/>
        </w:rPr>
        <w:t xml:space="preserve"> knowledge and skills</w:t>
      </w:r>
      <w:r w:rsidRPr="0095028C">
        <w:rPr>
          <w:lang w:eastAsia="en-IE"/>
        </w:rPr>
        <w:t xml:space="preserve"> </w:t>
      </w:r>
      <w:r>
        <w:rPr>
          <w:lang w:eastAsia="en-IE"/>
        </w:rPr>
        <w:t>specific to the research topic</w:t>
      </w:r>
      <w:r w:rsidR="001C7F89">
        <w:rPr>
          <w:rStyle w:val="FootnoteReference"/>
          <w:lang w:eastAsia="en-IE"/>
        </w:rPr>
        <w:footnoteReference w:id="388"/>
      </w:r>
      <w:r>
        <w:rPr>
          <w:lang w:eastAsia="en-IE"/>
        </w:rPr>
        <w:t xml:space="preserve"> </w:t>
      </w:r>
      <w:r w:rsidR="00636498">
        <w:rPr>
          <w:lang w:eastAsia="en-IE"/>
        </w:rPr>
        <w:t>or approach, for example,</w:t>
      </w:r>
      <w:r>
        <w:rPr>
          <w:lang w:eastAsia="en-IE"/>
        </w:rPr>
        <w:t xml:space="preserve"> how to use a digital camera and take good photos</w:t>
      </w:r>
      <w:r w:rsidR="001C7F89">
        <w:rPr>
          <w:rStyle w:val="FootnoteReference"/>
          <w:lang w:eastAsia="en-IE"/>
        </w:rPr>
        <w:footnoteReference w:id="389"/>
      </w:r>
      <w:r w:rsidR="00422ECA" w:rsidRPr="00936DF5">
        <w:rPr>
          <w:lang w:eastAsia="en-IE"/>
        </w:rPr>
        <w:t xml:space="preserve"> </w:t>
      </w:r>
      <w:r w:rsidR="00422ECA" w:rsidRPr="00636498">
        <w:rPr>
          <w:lang w:eastAsia="en-IE"/>
        </w:rPr>
        <w:t>or how to interview people with mental health difficulties</w:t>
      </w:r>
      <w:r w:rsidR="001C7F89">
        <w:rPr>
          <w:rStyle w:val="FootnoteReference"/>
          <w:lang w:eastAsia="en-IE"/>
        </w:rPr>
        <w:footnoteReference w:id="390"/>
      </w:r>
      <w:r w:rsidRPr="00636498">
        <w:rPr>
          <w:lang w:eastAsia="en-IE"/>
        </w:rPr>
        <w:t xml:space="preserve">. </w:t>
      </w:r>
      <w:r>
        <w:rPr>
          <w:lang w:eastAsia="en-IE"/>
        </w:rPr>
        <w:t xml:space="preserve">A number of programmes also included </w:t>
      </w:r>
      <w:r w:rsidR="005F0485">
        <w:rPr>
          <w:lang w:eastAsia="en-IE"/>
        </w:rPr>
        <w:t>training on</w:t>
      </w:r>
      <w:r>
        <w:rPr>
          <w:lang w:eastAsia="en-IE"/>
        </w:rPr>
        <w:t xml:space="preserve"> </w:t>
      </w:r>
      <w:r w:rsidR="00124E90">
        <w:rPr>
          <w:lang w:eastAsia="en-IE"/>
        </w:rPr>
        <w:t xml:space="preserve">how to manage </w:t>
      </w:r>
      <w:r>
        <w:rPr>
          <w:lang w:eastAsia="en-IE"/>
        </w:rPr>
        <w:t>difficult situations</w:t>
      </w:r>
      <w:r w:rsidR="007D39E7">
        <w:rPr>
          <w:lang w:eastAsia="en-IE"/>
        </w:rPr>
        <w:t>,</w:t>
      </w:r>
      <w:r w:rsidR="001C7F89">
        <w:rPr>
          <w:rStyle w:val="FootnoteReference"/>
          <w:lang w:eastAsia="en-IE"/>
        </w:rPr>
        <w:footnoteReference w:id="391"/>
      </w:r>
      <w:r w:rsidR="0061218E">
        <w:rPr>
          <w:lang w:eastAsia="en-IE"/>
        </w:rPr>
        <w:t xml:space="preserve"> self-care</w:t>
      </w:r>
      <w:r w:rsidR="0061218E">
        <w:rPr>
          <w:rStyle w:val="FootnoteReference"/>
          <w:lang w:eastAsia="en-IE"/>
        </w:rPr>
        <w:footnoteReference w:id="392"/>
      </w:r>
      <w:r>
        <w:rPr>
          <w:lang w:eastAsia="en-IE"/>
        </w:rPr>
        <w:t xml:space="preserve"> and </w:t>
      </w:r>
      <w:r w:rsidR="005F0485">
        <w:rPr>
          <w:lang w:eastAsia="en-IE"/>
        </w:rPr>
        <w:t>self-protection during the project</w:t>
      </w:r>
      <w:r w:rsidR="007D39E7">
        <w:rPr>
          <w:lang w:eastAsia="en-IE"/>
        </w:rPr>
        <w:t>.</w:t>
      </w:r>
      <w:r w:rsidR="001C7F89">
        <w:rPr>
          <w:rStyle w:val="FootnoteReference"/>
          <w:lang w:eastAsia="en-IE"/>
        </w:rPr>
        <w:footnoteReference w:id="393"/>
      </w:r>
    </w:p>
    <w:p w14:paraId="774A6C23" w14:textId="78CE79AE" w:rsidR="00DB5669" w:rsidRDefault="00DB5669" w:rsidP="00DB5669">
      <w:pPr>
        <w:rPr>
          <w:lang w:eastAsia="en-IE"/>
        </w:rPr>
      </w:pPr>
      <w:r>
        <w:rPr>
          <w:lang w:eastAsia="en-IE"/>
        </w:rPr>
        <w:t xml:space="preserve">In many of the studies reviewed, co-researchers, and in some cases, researchers, underwent training to facilitate them to become partners in the </w:t>
      </w:r>
      <w:r w:rsidR="00C2612D">
        <w:rPr>
          <w:lang w:eastAsia="en-IE"/>
        </w:rPr>
        <w:t xml:space="preserve">collaborative research </w:t>
      </w:r>
      <w:r>
        <w:rPr>
          <w:lang w:eastAsia="en-IE"/>
        </w:rPr>
        <w:t xml:space="preserve">process. The majority of studies provided formal training developed by the </w:t>
      </w:r>
      <w:r w:rsidR="00323E00">
        <w:rPr>
          <w:lang w:eastAsia="en-IE"/>
        </w:rPr>
        <w:t xml:space="preserve">researchers </w:t>
      </w:r>
      <w:r>
        <w:rPr>
          <w:lang w:eastAsia="en-IE"/>
        </w:rPr>
        <w:t>in advance of the project, while others provided more informal ‘on the job’ training throughout the project</w:t>
      </w:r>
      <w:r w:rsidR="007D39E7">
        <w:rPr>
          <w:lang w:eastAsia="en-IE"/>
        </w:rPr>
        <w:t>.</w:t>
      </w:r>
      <w:r w:rsidR="001C7F89">
        <w:rPr>
          <w:rStyle w:val="FootnoteReference"/>
          <w:lang w:eastAsia="en-IE"/>
        </w:rPr>
        <w:footnoteReference w:id="394"/>
      </w:r>
      <w:r>
        <w:rPr>
          <w:lang w:eastAsia="en-IE"/>
        </w:rPr>
        <w:t xml:space="preserve"> Training was mostly delivered by the researchers, but in </w:t>
      </w:r>
      <w:r w:rsidR="008C1A3C">
        <w:rPr>
          <w:lang w:eastAsia="en-IE"/>
        </w:rPr>
        <w:t xml:space="preserve">O’Hara </w:t>
      </w:r>
      <w:r w:rsidR="00185C11" w:rsidRPr="00185C11">
        <w:rPr>
          <w:i/>
          <w:lang w:eastAsia="en-IE"/>
        </w:rPr>
        <w:t xml:space="preserve">et al. </w:t>
      </w:r>
      <w:r w:rsidR="008C1A3C">
        <w:rPr>
          <w:lang w:eastAsia="en-IE"/>
        </w:rPr>
        <w:t>(2017)</w:t>
      </w:r>
      <w:r>
        <w:rPr>
          <w:lang w:eastAsia="en-IE"/>
        </w:rPr>
        <w:t xml:space="preserve"> specific subject experts provided training and in </w:t>
      </w:r>
      <w:r w:rsidR="008C1A3C">
        <w:rPr>
          <w:lang w:eastAsia="en-IE"/>
        </w:rPr>
        <w:t xml:space="preserve">Munro </w:t>
      </w:r>
      <w:r w:rsidR="00185C11" w:rsidRPr="00185C11">
        <w:rPr>
          <w:i/>
          <w:lang w:eastAsia="en-IE"/>
        </w:rPr>
        <w:t xml:space="preserve">et al. </w:t>
      </w:r>
      <w:r w:rsidR="008C1A3C">
        <w:rPr>
          <w:lang w:eastAsia="en-IE"/>
        </w:rPr>
        <w:t>(2018)</w:t>
      </w:r>
      <w:r w:rsidR="00E41695">
        <w:rPr>
          <w:lang w:eastAsia="en-IE"/>
        </w:rPr>
        <w:t>,</w:t>
      </w:r>
      <w:r>
        <w:rPr>
          <w:lang w:eastAsia="en-IE"/>
        </w:rPr>
        <w:t xml:space="preserve"> d</w:t>
      </w:r>
      <w:r w:rsidRPr="00BC24F5">
        <w:rPr>
          <w:lang w:eastAsia="en-IE"/>
        </w:rPr>
        <w:t>isabled co</w:t>
      </w:r>
      <w:r w:rsidR="00E41695">
        <w:rPr>
          <w:lang w:eastAsia="en-IE"/>
        </w:rPr>
        <w:t>-</w:t>
      </w:r>
      <w:r w:rsidRPr="00BC24F5">
        <w:rPr>
          <w:lang w:eastAsia="en-IE"/>
        </w:rPr>
        <w:t xml:space="preserve">researchers </w:t>
      </w:r>
      <w:r w:rsidR="00375997">
        <w:rPr>
          <w:lang w:eastAsia="en-IE"/>
        </w:rPr>
        <w:t xml:space="preserve">trained the group on legislation and context </w:t>
      </w:r>
      <w:r w:rsidR="00BD72C9">
        <w:rPr>
          <w:lang w:eastAsia="en-IE"/>
        </w:rPr>
        <w:t xml:space="preserve">relevant </w:t>
      </w:r>
      <w:r w:rsidR="00375997">
        <w:rPr>
          <w:lang w:eastAsia="en-IE"/>
        </w:rPr>
        <w:t xml:space="preserve">to the study. </w:t>
      </w:r>
    </w:p>
    <w:p w14:paraId="7D2365B6" w14:textId="552F233B" w:rsidR="00DB5669" w:rsidRDefault="00DB5669" w:rsidP="00DB5669">
      <w:pPr>
        <w:rPr>
          <w:lang w:eastAsia="en-IE"/>
        </w:rPr>
      </w:pPr>
      <w:r>
        <w:rPr>
          <w:lang w:eastAsia="en-IE"/>
        </w:rPr>
        <w:t>The length of training</w:t>
      </w:r>
      <w:r w:rsidR="007E61E9">
        <w:rPr>
          <w:lang w:eastAsia="en-IE"/>
        </w:rPr>
        <w:t xml:space="preserve"> sessions varied across studies;</w:t>
      </w:r>
      <w:r>
        <w:rPr>
          <w:lang w:eastAsia="en-IE"/>
        </w:rPr>
        <w:t xml:space="preserve"> for example, in </w:t>
      </w:r>
      <w:r w:rsidR="008C1A3C">
        <w:rPr>
          <w:lang w:eastAsia="en-IE"/>
        </w:rPr>
        <w:t xml:space="preserve">St John </w:t>
      </w:r>
      <w:r w:rsidR="00185C11" w:rsidRPr="00185C11">
        <w:rPr>
          <w:i/>
          <w:lang w:eastAsia="en-IE"/>
        </w:rPr>
        <w:t xml:space="preserve">et al. </w:t>
      </w:r>
      <w:r w:rsidR="00BD72C9">
        <w:rPr>
          <w:lang w:eastAsia="en-IE"/>
        </w:rPr>
        <w:t>(</w:t>
      </w:r>
      <w:r w:rsidR="008C1A3C">
        <w:rPr>
          <w:lang w:eastAsia="en-IE"/>
        </w:rPr>
        <w:t>2018</w:t>
      </w:r>
      <w:r w:rsidR="00BD72C9">
        <w:rPr>
          <w:lang w:eastAsia="en-IE"/>
        </w:rPr>
        <w:t>)</w:t>
      </w:r>
      <w:r w:rsidR="00E41695">
        <w:rPr>
          <w:lang w:eastAsia="en-IE"/>
        </w:rPr>
        <w:t>,</w:t>
      </w:r>
      <w:r>
        <w:rPr>
          <w:lang w:eastAsia="en-IE"/>
        </w:rPr>
        <w:t xml:space="preserve"> training for one co-researcher was one hour</w:t>
      </w:r>
      <w:r w:rsidR="00E41695">
        <w:rPr>
          <w:lang w:eastAsia="en-IE"/>
        </w:rPr>
        <w:t xml:space="preserve">, </w:t>
      </w:r>
      <w:r w:rsidR="00BD72C9">
        <w:rPr>
          <w:lang w:eastAsia="en-IE"/>
        </w:rPr>
        <w:t>while</w:t>
      </w:r>
      <w:r>
        <w:rPr>
          <w:lang w:eastAsia="en-IE"/>
        </w:rPr>
        <w:t xml:space="preserve"> in </w:t>
      </w:r>
      <w:r w:rsidR="0074058F">
        <w:rPr>
          <w:lang w:eastAsia="en-IE"/>
        </w:rPr>
        <w:t>Herron</w:t>
      </w:r>
      <w:r w:rsidR="00154A3D">
        <w:rPr>
          <w:lang w:eastAsia="en-IE"/>
        </w:rPr>
        <w:t>, Priest and Read</w:t>
      </w:r>
      <w:r w:rsidR="00185C11" w:rsidRPr="00185C11">
        <w:rPr>
          <w:i/>
          <w:lang w:eastAsia="en-IE"/>
        </w:rPr>
        <w:t xml:space="preserve"> </w:t>
      </w:r>
      <w:r w:rsidR="008C1A3C">
        <w:rPr>
          <w:lang w:eastAsia="en-IE"/>
        </w:rPr>
        <w:t>(2015)</w:t>
      </w:r>
      <w:r>
        <w:rPr>
          <w:lang w:eastAsia="en-IE"/>
        </w:rPr>
        <w:t xml:space="preserve">, training took place over five sessions. A number of studies referred to the format of training depending on co-researchers </w:t>
      </w:r>
      <w:r w:rsidRPr="001206FA">
        <w:rPr>
          <w:lang w:eastAsia="en-IE"/>
        </w:rPr>
        <w:t>needs</w:t>
      </w:r>
      <w:r w:rsidR="007D39E7">
        <w:rPr>
          <w:lang w:eastAsia="en-IE"/>
        </w:rPr>
        <w:t>,</w:t>
      </w:r>
      <w:r w:rsidR="00F23A89">
        <w:rPr>
          <w:rStyle w:val="FootnoteReference"/>
          <w:lang w:eastAsia="en-IE"/>
        </w:rPr>
        <w:footnoteReference w:id="395"/>
      </w:r>
      <w:r w:rsidRPr="001206FA">
        <w:rPr>
          <w:lang w:eastAsia="en-IE"/>
        </w:rPr>
        <w:t xml:space="preserve"> characteristics and existing skills</w:t>
      </w:r>
      <w:r w:rsidR="00F23A89">
        <w:rPr>
          <w:rStyle w:val="FootnoteReference"/>
          <w:lang w:eastAsia="en-IE"/>
        </w:rPr>
        <w:footnoteReference w:id="396"/>
      </w:r>
      <w:r w:rsidRPr="001206FA">
        <w:rPr>
          <w:lang w:eastAsia="en-IE"/>
        </w:rPr>
        <w:t xml:space="preserve"> and the stage of research </w:t>
      </w:r>
      <w:r w:rsidR="00E41695" w:rsidRPr="001206FA">
        <w:rPr>
          <w:lang w:eastAsia="en-IE"/>
        </w:rPr>
        <w:t>they were involved in</w:t>
      </w:r>
      <w:r w:rsidR="007D39E7">
        <w:rPr>
          <w:lang w:eastAsia="en-IE"/>
        </w:rPr>
        <w:t>.</w:t>
      </w:r>
      <w:r w:rsidR="00F23A89">
        <w:rPr>
          <w:rStyle w:val="FootnoteReference"/>
          <w:lang w:eastAsia="en-IE"/>
        </w:rPr>
        <w:footnoteReference w:id="397"/>
      </w:r>
      <w:r w:rsidR="00F23A89">
        <w:rPr>
          <w:lang w:eastAsia="en-IE"/>
        </w:rPr>
        <w:t xml:space="preserve"> </w:t>
      </w:r>
      <w:r>
        <w:rPr>
          <w:lang w:eastAsia="en-IE"/>
        </w:rPr>
        <w:t xml:space="preserve">Role play </w:t>
      </w:r>
      <w:r>
        <w:rPr>
          <w:lang w:eastAsia="en-IE"/>
        </w:rPr>
        <w:lastRenderedPageBreak/>
        <w:t>and practice was a key part of</w:t>
      </w:r>
      <w:r w:rsidR="007F1D20">
        <w:rPr>
          <w:lang w:eastAsia="en-IE"/>
        </w:rPr>
        <w:t xml:space="preserve"> training in</w:t>
      </w:r>
      <w:r>
        <w:rPr>
          <w:lang w:eastAsia="en-IE"/>
        </w:rPr>
        <w:t xml:space="preserve"> many projects</w:t>
      </w:r>
      <w:r w:rsidR="007D39E7">
        <w:rPr>
          <w:lang w:eastAsia="en-IE"/>
        </w:rPr>
        <w:t>.</w:t>
      </w:r>
      <w:r w:rsidR="00F23A89">
        <w:rPr>
          <w:rStyle w:val="FootnoteReference"/>
          <w:lang w:eastAsia="en-IE"/>
        </w:rPr>
        <w:footnoteReference w:id="398"/>
      </w:r>
      <w:r w:rsidR="007E61E9">
        <w:rPr>
          <w:lang w:eastAsia="en-IE"/>
        </w:rPr>
        <w:t xml:space="preserve"> </w:t>
      </w:r>
      <w:r>
        <w:rPr>
          <w:lang w:eastAsia="en-IE"/>
        </w:rPr>
        <w:t xml:space="preserve">A number of projects provided </w:t>
      </w:r>
      <w:r w:rsidRPr="00A12B05">
        <w:rPr>
          <w:lang w:eastAsia="en-IE"/>
        </w:rPr>
        <w:t>accessible training materials to support training</w:t>
      </w:r>
      <w:r w:rsidR="007D39E7">
        <w:rPr>
          <w:lang w:eastAsia="en-IE"/>
        </w:rPr>
        <w:t>.</w:t>
      </w:r>
      <w:r w:rsidR="00F23A89">
        <w:rPr>
          <w:rStyle w:val="FootnoteReference"/>
          <w:lang w:eastAsia="en-IE"/>
        </w:rPr>
        <w:footnoteReference w:id="399"/>
      </w:r>
    </w:p>
    <w:p w14:paraId="5201DFA4" w14:textId="5ABD7FFC" w:rsidR="00DB5669" w:rsidRDefault="00DB5669" w:rsidP="00A60B5B">
      <w:r>
        <w:rPr>
          <w:lang w:eastAsia="en-IE"/>
        </w:rPr>
        <w:t>In several projects, training was specifically provided to the researchers on how to work with, support and assist co-researchers</w:t>
      </w:r>
      <w:r w:rsidR="007D39E7">
        <w:rPr>
          <w:lang w:eastAsia="en-IE"/>
        </w:rPr>
        <w:t>.</w:t>
      </w:r>
      <w:r w:rsidR="009B464B">
        <w:rPr>
          <w:rStyle w:val="FootnoteReference"/>
          <w:lang w:eastAsia="en-IE"/>
        </w:rPr>
        <w:footnoteReference w:id="400"/>
      </w:r>
      <w:r w:rsidRPr="000D707B">
        <w:rPr>
          <w:lang w:eastAsia="en-IE"/>
        </w:rPr>
        <w:t xml:space="preserve"> </w:t>
      </w:r>
      <w:r>
        <w:rPr>
          <w:lang w:eastAsia="en-IE"/>
        </w:rPr>
        <w:t xml:space="preserve">Training researchers on </w:t>
      </w:r>
      <w:r w:rsidR="009237D2">
        <w:rPr>
          <w:lang w:eastAsia="en-IE"/>
        </w:rPr>
        <w:t>collaborative research,</w:t>
      </w:r>
      <w:r>
        <w:rPr>
          <w:lang w:eastAsia="en-IE"/>
        </w:rPr>
        <w:t xml:space="preserve"> the wider context for such research</w:t>
      </w:r>
      <w:r w:rsidR="00375997">
        <w:rPr>
          <w:lang w:eastAsia="en-IE"/>
        </w:rPr>
        <w:t>,</w:t>
      </w:r>
      <w:r>
        <w:rPr>
          <w:lang w:eastAsia="en-IE"/>
        </w:rPr>
        <w:t xml:space="preserve"> on equality</w:t>
      </w:r>
      <w:r w:rsidR="00E25606">
        <w:rPr>
          <w:lang w:eastAsia="en-IE"/>
        </w:rPr>
        <w:t>,</w:t>
      </w:r>
      <w:r w:rsidR="00375997">
        <w:rPr>
          <w:lang w:eastAsia="en-IE"/>
        </w:rPr>
        <w:t xml:space="preserve"> and how best to support people with different needs to act as co-researchers</w:t>
      </w:r>
      <w:r>
        <w:rPr>
          <w:lang w:eastAsia="en-IE"/>
        </w:rPr>
        <w:t xml:space="preserve"> was recommended by a number of other papers</w:t>
      </w:r>
      <w:r w:rsidR="007D39E7">
        <w:rPr>
          <w:lang w:eastAsia="en-IE"/>
        </w:rPr>
        <w:t>.</w:t>
      </w:r>
      <w:r w:rsidR="009B464B">
        <w:rPr>
          <w:rStyle w:val="FootnoteReference"/>
          <w:lang w:eastAsia="en-IE"/>
        </w:rPr>
        <w:footnoteReference w:id="401"/>
      </w:r>
      <w:r>
        <w:rPr>
          <w:lang w:eastAsia="en-IE"/>
        </w:rPr>
        <w:t xml:space="preserve"> </w:t>
      </w:r>
      <w:r w:rsidR="001E108F">
        <w:rPr>
          <w:lang w:eastAsia="en-IE"/>
        </w:rPr>
        <w:t>Mann and Hung</w:t>
      </w:r>
      <w:r w:rsidR="00185C11" w:rsidRPr="00185C11">
        <w:rPr>
          <w:i/>
          <w:lang w:eastAsia="en-IE"/>
        </w:rPr>
        <w:t xml:space="preserve"> </w:t>
      </w:r>
      <w:r w:rsidR="007F1D20">
        <w:rPr>
          <w:lang w:eastAsia="en-IE"/>
        </w:rPr>
        <w:t>(</w:t>
      </w:r>
      <w:r w:rsidR="00375997">
        <w:rPr>
          <w:lang w:eastAsia="en-IE"/>
        </w:rPr>
        <w:t>2018</w:t>
      </w:r>
      <w:r w:rsidR="00A60B5B">
        <w:rPr>
          <w:lang w:eastAsia="en-IE"/>
        </w:rPr>
        <w:t>, p.25</w:t>
      </w:r>
      <w:r w:rsidR="007F1D20">
        <w:rPr>
          <w:lang w:eastAsia="en-IE"/>
        </w:rPr>
        <w:t>)</w:t>
      </w:r>
      <w:r w:rsidR="00375997">
        <w:rPr>
          <w:lang w:eastAsia="en-IE"/>
        </w:rPr>
        <w:t xml:space="preserve"> recommended training for researchers </w:t>
      </w:r>
      <w:r w:rsidR="00375997">
        <w:rPr>
          <w:rFonts w:ascii="Calibri" w:hAnsi="Calibri" w:cs="Calibri"/>
          <w:color w:val="000000"/>
          <w:lang w:eastAsia="en-IE"/>
        </w:rPr>
        <w:t xml:space="preserve">in </w:t>
      </w:r>
      <w:r w:rsidR="00375997" w:rsidRPr="0057458D">
        <w:rPr>
          <w:lang w:eastAsia="en-IE"/>
        </w:rPr>
        <w:t>“</w:t>
      </w:r>
      <w:r w:rsidR="00A60B5B">
        <w:rPr>
          <w:lang w:eastAsia="en-IE"/>
        </w:rPr>
        <w:t>developing ethical sensitivity and responsibility in everyday ethics.</w:t>
      </w:r>
      <w:r w:rsidR="00242404">
        <w:rPr>
          <w:lang w:eastAsia="en-IE"/>
        </w:rPr>
        <w:t>”</w:t>
      </w:r>
      <w:r w:rsidR="00E25606">
        <w:rPr>
          <w:lang w:eastAsia="en-IE"/>
        </w:rPr>
        <w:t xml:space="preserve"> </w:t>
      </w:r>
      <w:r w:rsidR="00406E42">
        <w:rPr>
          <w:lang w:eastAsia="en-IE"/>
        </w:rPr>
        <w:t>Smith-Merry</w:t>
      </w:r>
      <w:r w:rsidR="00552CBE">
        <w:rPr>
          <w:lang w:eastAsia="en-IE"/>
        </w:rPr>
        <w:t xml:space="preserve"> (2017)</w:t>
      </w:r>
      <w:r>
        <w:rPr>
          <w:lang w:eastAsia="en-IE"/>
        </w:rPr>
        <w:t xml:space="preserve"> recommended that </w:t>
      </w:r>
      <w:r w:rsidR="00C2612D">
        <w:rPr>
          <w:lang w:eastAsia="en-IE"/>
        </w:rPr>
        <w:t xml:space="preserve">collaborative research </w:t>
      </w:r>
      <w:r>
        <w:rPr>
          <w:lang w:eastAsia="en-IE"/>
        </w:rPr>
        <w:t>training should be included in university education to make researchers more comfortable in considering it</w:t>
      </w:r>
      <w:r w:rsidR="00E25606">
        <w:rPr>
          <w:lang w:eastAsia="en-IE"/>
        </w:rPr>
        <w:t>,</w:t>
      </w:r>
      <w:r>
        <w:rPr>
          <w:lang w:eastAsia="en-IE"/>
        </w:rPr>
        <w:t xml:space="preserve"> while </w:t>
      </w:r>
      <w:r>
        <w:t>a</w:t>
      </w:r>
      <w:r>
        <w:rPr>
          <w:lang w:eastAsia="en-IE"/>
        </w:rPr>
        <w:t xml:space="preserve"> report by Campus Engage recommended that higher education institutions should</w:t>
      </w:r>
      <w:r w:rsidR="00242404">
        <w:rPr>
          <w:lang w:eastAsia="en-IE"/>
        </w:rPr>
        <w:t xml:space="preserve"> work in partnership with relevant organisations to provide training on good practice for collaborative/engaged research</w:t>
      </w:r>
      <w:r w:rsidR="007D39E7">
        <w:rPr>
          <w:lang w:eastAsia="en-IE"/>
        </w:rPr>
        <w:t>.</w:t>
      </w:r>
      <w:r w:rsidR="009B464B">
        <w:rPr>
          <w:rStyle w:val="FootnoteReference"/>
          <w:lang w:eastAsia="en-IE"/>
        </w:rPr>
        <w:footnoteReference w:id="402"/>
      </w:r>
      <w:r>
        <w:t xml:space="preserve"> A number of studies also recommended culturally appropriate, formalised/accredited programmes to build capacity of, for example, community partners, in research</w:t>
      </w:r>
      <w:r w:rsidR="007D39E7">
        <w:t>.</w:t>
      </w:r>
      <w:r w:rsidR="009B464B">
        <w:rPr>
          <w:rStyle w:val="FootnoteReference"/>
        </w:rPr>
        <w:footnoteReference w:id="403"/>
      </w:r>
      <w:r>
        <w:t xml:space="preserve"> In one of the studies reviewed, the co-researchers were able to work towards a formal qualific</w:t>
      </w:r>
      <w:r w:rsidR="00E25606">
        <w:t>ation in Social Research Skills</w:t>
      </w:r>
      <w:r w:rsidR="007D39E7">
        <w:t>.</w:t>
      </w:r>
      <w:r w:rsidR="009B464B">
        <w:rPr>
          <w:rStyle w:val="FootnoteReference"/>
        </w:rPr>
        <w:footnoteReference w:id="404"/>
      </w:r>
      <w:r>
        <w:t xml:space="preserve"> </w:t>
      </w:r>
    </w:p>
    <w:p w14:paraId="2CED7F67" w14:textId="3290394E" w:rsidR="00DB5669" w:rsidRDefault="00DB5669" w:rsidP="00DB5669">
      <w:r>
        <w:t>Few studies discussed the impact of training on co-researchers. One study did report how the co-researchers appreciated that the training prepared them for the research</w:t>
      </w:r>
      <w:r w:rsidR="007D39E7">
        <w:t>,</w:t>
      </w:r>
      <w:r w:rsidR="009B464B">
        <w:rPr>
          <w:rStyle w:val="FootnoteReference"/>
        </w:rPr>
        <w:footnoteReference w:id="405"/>
      </w:r>
      <w:r>
        <w:t xml:space="preserve"> while another found that participants enjoyed the role play element of training</w:t>
      </w:r>
      <w:r w:rsidR="007D39E7">
        <w:t>.</w:t>
      </w:r>
      <w:r w:rsidR="009B464B">
        <w:rPr>
          <w:rStyle w:val="FootnoteReference"/>
        </w:rPr>
        <w:footnoteReference w:id="406"/>
      </w:r>
      <w:r>
        <w:t xml:space="preserve"> In terms of the effectiveness of training, </w:t>
      </w:r>
      <w:r w:rsidR="007923A9" w:rsidRPr="007923A9">
        <w:t xml:space="preserve">Salmon, </w:t>
      </w:r>
      <w:proofErr w:type="spellStart"/>
      <w:r w:rsidR="007923A9" w:rsidRPr="007923A9">
        <w:t>García</w:t>
      </w:r>
      <w:proofErr w:type="spellEnd"/>
      <w:r w:rsidR="007923A9" w:rsidRPr="007923A9">
        <w:t xml:space="preserve"> </w:t>
      </w:r>
      <w:proofErr w:type="spellStart"/>
      <w:r w:rsidR="007923A9" w:rsidRPr="007923A9">
        <w:t>Iriarte</w:t>
      </w:r>
      <w:proofErr w:type="spellEnd"/>
      <w:r w:rsidR="007923A9">
        <w:t xml:space="preserve"> and Burns </w:t>
      </w:r>
      <w:r w:rsidR="00B57757" w:rsidRPr="00194779">
        <w:t>(2017</w:t>
      </w:r>
      <w:r w:rsidR="00156417" w:rsidRPr="00194779">
        <w:t>)</w:t>
      </w:r>
      <w:r w:rsidR="00A60B5B" w:rsidRPr="00194779">
        <w:t xml:space="preserve"> </w:t>
      </w:r>
      <w:r w:rsidRPr="00194779">
        <w:t xml:space="preserve">evaluated a pilot inclusive research module in </w:t>
      </w:r>
      <w:r w:rsidR="00A60B5B" w:rsidRPr="00194779">
        <w:t xml:space="preserve">a higher </w:t>
      </w:r>
      <w:r w:rsidR="00A60B5B" w:rsidRPr="00194779">
        <w:lastRenderedPageBreak/>
        <w:t>education</w:t>
      </w:r>
      <w:r w:rsidR="00A60B5B">
        <w:t xml:space="preserve"> institution</w:t>
      </w:r>
      <w:r>
        <w:t xml:space="preserve"> and found it did help develop the research knowledge and skills of students with intellectual disabilities</w:t>
      </w:r>
      <w:r w:rsidR="00177C74">
        <w:t>.</w:t>
      </w:r>
      <w:r>
        <w:t xml:space="preserve"> Several studies highlighted issues with training including that it sometimes felt rushed or incomplete and was not always presented in a universally accessible format</w:t>
      </w:r>
      <w:r w:rsidR="007D39E7">
        <w:t>.</w:t>
      </w:r>
      <w:r w:rsidR="009B464B">
        <w:rPr>
          <w:rStyle w:val="FootnoteReference"/>
        </w:rPr>
        <w:footnoteReference w:id="407"/>
      </w:r>
      <w:r>
        <w:t xml:space="preserve"> If training is not done well, it can lead to co-researchers feeling that their knowledge and input is not valid</w:t>
      </w:r>
      <w:r w:rsidR="007D39E7">
        <w:t>.</w:t>
      </w:r>
      <w:r w:rsidR="006E7791">
        <w:rPr>
          <w:rStyle w:val="FootnoteReference"/>
        </w:rPr>
        <w:footnoteReference w:id="408"/>
      </w:r>
      <w:r>
        <w:t xml:space="preserve"> One </w:t>
      </w:r>
      <w:r w:rsidR="004F2343">
        <w:t>review</w:t>
      </w:r>
      <w:r>
        <w:t xml:space="preserve"> noted that training can be very intensive</w:t>
      </w:r>
      <w:r w:rsidR="007D39E7">
        <w:t>,</w:t>
      </w:r>
      <w:r w:rsidR="006E7791">
        <w:rPr>
          <w:rStyle w:val="FootnoteReference"/>
        </w:rPr>
        <w:footnoteReference w:id="409"/>
      </w:r>
      <w:r>
        <w:t xml:space="preserve"> and provided an example of a study where co-researchers were examined by the researchers following 15 weeks of research training</w:t>
      </w:r>
      <w:r w:rsidR="007D39E7">
        <w:t>.</w:t>
      </w:r>
      <w:r w:rsidR="006E7791">
        <w:rPr>
          <w:rStyle w:val="FootnoteReference"/>
        </w:rPr>
        <w:footnoteReference w:id="410"/>
      </w:r>
    </w:p>
    <w:p w14:paraId="1B4AF565" w14:textId="5ACE519B" w:rsidR="00173A68" w:rsidRDefault="00DB5669" w:rsidP="00CC3EEB">
      <w:pPr>
        <w:autoSpaceDE w:val="0"/>
        <w:autoSpaceDN w:val="0"/>
        <w:adjustRightInd w:val="0"/>
        <w:spacing w:after="0"/>
      </w:pPr>
      <w:r w:rsidRPr="008E57FB">
        <w:t>Providing training was cited as resource int</w:t>
      </w:r>
      <w:r>
        <w:t>ensive and sometimes difficult to deliver</w:t>
      </w:r>
      <w:r w:rsidR="007F1D20">
        <w:t xml:space="preserve"> from the researchers’ perspective</w:t>
      </w:r>
      <w:r w:rsidR="007D39E7">
        <w:t>.</w:t>
      </w:r>
      <w:r w:rsidR="006E7791">
        <w:rPr>
          <w:rStyle w:val="FootnoteReference"/>
        </w:rPr>
        <w:footnoteReference w:id="411"/>
      </w:r>
      <w:r w:rsidRPr="008E57FB">
        <w:t xml:space="preserve"> </w:t>
      </w:r>
      <w:r>
        <w:t xml:space="preserve">Some researchers also referred to the challenges around deciding whether </w:t>
      </w:r>
      <w:r w:rsidRPr="000F7BD7">
        <w:t>forma</w:t>
      </w:r>
      <w:r>
        <w:t>l training wa</w:t>
      </w:r>
      <w:r w:rsidRPr="000F7BD7">
        <w:t>s appropriate</w:t>
      </w:r>
      <w:r>
        <w:t xml:space="preserve">, </w:t>
      </w:r>
      <w:r w:rsidR="00173A68">
        <w:t>querying whether</w:t>
      </w:r>
      <w:r>
        <w:t xml:space="preserve"> upskilling co-researchers </w:t>
      </w:r>
      <w:r w:rsidR="00173A68">
        <w:t>ha</w:t>
      </w:r>
      <w:r w:rsidR="007E61E9">
        <w:t>d</w:t>
      </w:r>
      <w:r w:rsidR="00173A68">
        <w:t xml:space="preserve"> implications for their contribution to the research</w:t>
      </w:r>
      <w:r w:rsidR="007D39E7">
        <w:t>.</w:t>
      </w:r>
      <w:r w:rsidR="006E7791">
        <w:rPr>
          <w:rStyle w:val="FootnoteReference"/>
        </w:rPr>
        <w:footnoteReference w:id="412"/>
      </w:r>
      <w:r>
        <w:t xml:space="preserve"> </w:t>
      </w:r>
      <w:r w:rsidR="00173A68">
        <w:t>For example:</w:t>
      </w:r>
    </w:p>
    <w:p w14:paraId="590B3250" w14:textId="00C509B7" w:rsidR="00173A68" w:rsidRDefault="00173A68" w:rsidP="003578CD">
      <w:pPr>
        <w:pStyle w:val="BlockQuote"/>
      </w:pPr>
      <w:r>
        <w:t>…</w:t>
      </w:r>
      <w:r w:rsidRPr="00173A68">
        <w:t>questions have arisen about the wisdom of introducing models of training that re-position people with learning disabilities, whose key contribution comes from their knowledge based on insider, lived experience, into semi-trained researchers in academic likeness</w:t>
      </w:r>
      <w:r w:rsidR="007D39E7">
        <w:t>.</w:t>
      </w:r>
      <w:r w:rsidR="006E7791">
        <w:rPr>
          <w:rStyle w:val="FootnoteReference"/>
        </w:rPr>
        <w:footnoteReference w:id="413"/>
      </w:r>
    </w:p>
    <w:p w14:paraId="6974D376" w14:textId="051734B3" w:rsidR="007E61E9" w:rsidRDefault="00173A68" w:rsidP="00CC3EEB">
      <w:pPr>
        <w:autoSpaceDE w:val="0"/>
        <w:autoSpaceDN w:val="0"/>
        <w:adjustRightInd w:val="0"/>
        <w:spacing w:after="0"/>
      </w:pPr>
      <w:r>
        <w:t>While this statement was</w:t>
      </w:r>
      <w:r w:rsidR="006D1D7D">
        <w:t xml:space="preserve"> made</w:t>
      </w:r>
      <w:r>
        <w:t xml:space="preserve"> in regard to co-researchers with learning disabilities, it can be applied to any co-researcher whose lived experience is of particular value to the research. On the other hand, s</w:t>
      </w:r>
      <w:r w:rsidR="004355E0">
        <w:t xml:space="preserve">ome </w:t>
      </w:r>
      <w:r w:rsidR="00DB5669">
        <w:t>argue, that it is important to offer training so that co-researchers are not at a disadvantage</w:t>
      </w:r>
      <w:r w:rsidR="007D39E7">
        <w:t>.</w:t>
      </w:r>
      <w:r w:rsidR="006E7791">
        <w:rPr>
          <w:rStyle w:val="FootnoteReference"/>
          <w:rFonts w:eastAsia="SimSun" w:cs="AdvTimes"/>
          <w:szCs w:val="26"/>
          <w:lang w:eastAsia="en-IE"/>
        </w:rPr>
        <w:footnoteReference w:id="414"/>
      </w:r>
      <w:r w:rsidR="00CC3EEB">
        <w:rPr>
          <w:rFonts w:eastAsia="SimSun" w:cs="AdvTimes"/>
          <w:szCs w:val="26"/>
          <w:lang w:eastAsia="en-IE"/>
        </w:rPr>
        <w:t xml:space="preserve"> </w:t>
      </w:r>
      <w:r w:rsidR="00CC3EEB">
        <w:t>A</w:t>
      </w:r>
      <w:r w:rsidR="004355E0">
        <w:t xml:space="preserve">ccording to </w:t>
      </w:r>
      <w:r w:rsidR="00CE1FA9">
        <w:t xml:space="preserve">a co-researcher with dementia in Roberts </w:t>
      </w:r>
      <w:r w:rsidR="00185C11" w:rsidRPr="00185C11">
        <w:rPr>
          <w:i/>
        </w:rPr>
        <w:t xml:space="preserve">et al. </w:t>
      </w:r>
      <w:r w:rsidR="00D4593F">
        <w:t>(</w:t>
      </w:r>
      <w:r w:rsidR="009D06D0">
        <w:t>2</w:t>
      </w:r>
      <w:r w:rsidR="00CE1FA9">
        <w:t>020</w:t>
      </w:r>
      <w:r w:rsidR="00D4593F">
        <w:t xml:space="preserve">, p. </w:t>
      </w:r>
      <w:r w:rsidR="0025252D">
        <w:t>12</w:t>
      </w:r>
      <w:r w:rsidR="00D4593F">
        <w:t>)</w:t>
      </w:r>
      <w:r w:rsidR="00CE1FA9">
        <w:t>:</w:t>
      </w:r>
    </w:p>
    <w:p w14:paraId="4F6B197B" w14:textId="77777777" w:rsidR="00CE1FA9" w:rsidRDefault="00CE1FA9" w:rsidP="00B36ABE">
      <w:pPr>
        <w:pStyle w:val="BlockQuote"/>
      </w:pPr>
      <w:r>
        <w:t xml:space="preserve">I am or should be a part of the research team, a co-researcher and as such receive any prior training and knowledge that any member of the team will need to contribute effectively and efficiently. </w:t>
      </w:r>
    </w:p>
    <w:p w14:paraId="41EE3D52" w14:textId="61560466" w:rsidR="002F5A03" w:rsidRDefault="002F5A03" w:rsidP="002F5A03">
      <w:r>
        <w:lastRenderedPageBreak/>
        <w:t xml:space="preserve">Van </w:t>
      </w:r>
      <w:proofErr w:type="spellStart"/>
      <w:r>
        <w:t>Schelven</w:t>
      </w:r>
      <w:proofErr w:type="spellEnd"/>
      <w:r>
        <w:t xml:space="preserve"> </w:t>
      </w:r>
      <w:r w:rsidR="00185C11" w:rsidRPr="00185C11">
        <w:rPr>
          <w:i/>
        </w:rPr>
        <w:t xml:space="preserve">et al. </w:t>
      </w:r>
      <w:r w:rsidR="00CC3EEB">
        <w:t>(</w:t>
      </w:r>
      <w:r w:rsidR="009D06D0">
        <w:t>2</w:t>
      </w:r>
      <w:r>
        <w:t>020b</w:t>
      </w:r>
      <w:r w:rsidR="00185BCE">
        <w:t xml:space="preserve">, p. </w:t>
      </w:r>
      <w:r w:rsidR="00F2324B">
        <w:t>9</w:t>
      </w:r>
      <w:r w:rsidR="00CC3EEB">
        <w:t>)</w:t>
      </w:r>
      <w:r>
        <w:t>, reporting on PPI projects involving young people with chronic conditions</w:t>
      </w:r>
      <w:r w:rsidR="006D1D7D">
        <w:t xml:space="preserve"> also</w:t>
      </w:r>
      <w:r>
        <w:t xml:space="preserve"> </w:t>
      </w:r>
      <w:r w:rsidR="006D1D7D">
        <w:t xml:space="preserve">stated </w:t>
      </w:r>
      <w:r>
        <w:t>that:</w:t>
      </w:r>
    </w:p>
    <w:p w14:paraId="0B58CF44" w14:textId="573DBB46" w:rsidR="002F5A03" w:rsidRPr="0029328C" w:rsidRDefault="002F5A03" w:rsidP="00B36ABE">
      <w:pPr>
        <w:pStyle w:val="BlockQuote"/>
        <w:rPr>
          <w:lang w:eastAsia="en-IE"/>
        </w:rPr>
      </w:pPr>
      <w:r w:rsidRPr="0029328C">
        <w:rPr>
          <w:lang w:eastAsia="en-IE"/>
        </w:rPr>
        <w:t>Project leaders state that training and coaching can make PPI less strenuous, as it improves the match between PPI activities and the knowledge and skills of young people.</w:t>
      </w:r>
    </w:p>
    <w:p w14:paraId="2E3D70AE" w14:textId="4A58AA60" w:rsidR="00DB5669" w:rsidRDefault="00DB5669" w:rsidP="00DB5669">
      <w:r>
        <w:t xml:space="preserve">Two studies </w:t>
      </w:r>
      <w:r w:rsidR="006D1D7D">
        <w:t>reported that</w:t>
      </w:r>
      <w:r>
        <w:t xml:space="preserve"> providing opportunities for </w:t>
      </w:r>
      <w:r w:rsidR="00451B49">
        <w:t xml:space="preserve">disabled </w:t>
      </w:r>
      <w:r>
        <w:t>people with such training can make it more likely that they will be involved in</w:t>
      </w:r>
      <w:r w:rsidR="00E720CE">
        <w:t xml:space="preserve"> or lead on research in future</w:t>
      </w:r>
      <w:r w:rsidR="00237054">
        <w:t>.</w:t>
      </w:r>
      <w:r w:rsidR="00185BCE">
        <w:rPr>
          <w:rStyle w:val="FootnoteReference"/>
        </w:rPr>
        <w:footnoteReference w:id="415"/>
      </w:r>
      <w:r>
        <w:t xml:space="preserve"> </w:t>
      </w:r>
      <w:r w:rsidRPr="005F5E7D">
        <w:t xml:space="preserve">To help with </w:t>
      </w:r>
      <w:r w:rsidR="00E720CE">
        <w:t>deciding on an approach for training</w:t>
      </w:r>
      <w:r w:rsidRPr="005F5E7D">
        <w:t>, researchers should establish co-researchers’ motivations, ambitions and existing skills</w:t>
      </w:r>
      <w:r w:rsidR="00237054">
        <w:t>.</w:t>
      </w:r>
      <w:r w:rsidR="00185BCE">
        <w:rPr>
          <w:rStyle w:val="FootnoteReference"/>
        </w:rPr>
        <w:footnoteReference w:id="416"/>
      </w:r>
      <w:r w:rsidRPr="005F5E7D">
        <w:t xml:space="preserve"> Not all co-researchers want to be involved beyond the project they are currently involved in and some may already have exis</w:t>
      </w:r>
      <w:r w:rsidRPr="00E939CC">
        <w:t>ting research skills</w:t>
      </w:r>
      <w:r w:rsidR="00237054">
        <w:t>.</w:t>
      </w:r>
      <w:r w:rsidR="00185BCE">
        <w:rPr>
          <w:rStyle w:val="FootnoteReference"/>
        </w:rPr>
        <w:footnoteReference w:id="417"/>
      </w:r>
      <w:r w:rsidRPr="00E939CC">
        <w:t xml:space="preserve"> </w:t>
      </w:r>
      <w:r w:rsidRPr="001930C8">
        <w:t>Determining how b</w:t>
      </w:r>
      <w:r>
        <w:t>est to provide training requires</w:t>
      </w:r>
      <w:r w:rsidRPr="001930C8">
        <w:t xml:space="preserve"> researchers to carefully consider</w:t>
      </w:r>
      <w:r>
        <w:t xml:space="preserve"> what type of training would be most beneficial to co-researchers on a specific project and empowe</w:t>
      </w:r>
      <w:r w:rsidR="00E720CE">
        <w:t>r them to fulfil their roles</w:t>
      </w:r>
      <w:r w:rsidR="00412AE1">
        <w:t>.</w:t>
      </w:r>
      <w:r w:rsidR="00185BCE">
        <w:rPr>
          <w:rStyle w:val="FootnoteReference"/>
        </w:rPr>
        <w:footnoteReference w:id="418"/>
      </w:r>
      <w:r>
        <w:t xml:space="preserve"> Box </w:t>
      </w:r>
      <w:r w:rsidR="00DC5FFA">
        <w:t>2</w:t>
      </w:r>
      <w:r>
        <w:t xml:space="preserve"> illustrates the approach used </w:t>
      </w:r>
      <w:r w:rsidRPr="00CB5790">
        <w:t xml:space="preserve">by </w:t>
      </w:r>
      <w:r w:rsidR="00CB5790" w:rsidRPr="00CB5790">
        <w:t xml:space="preserve">Fitzgerald </w:t>
      </w:r>
      <w:r w:rsidR="00B21BF6">
        <w:t>and</w:t>
      </w:r>
      <w:r w:rsidR="00CB5790" w:rsidRPr="00CB5790">
        <w:t xml:space="preserve"> Walsh </w:t>
      </w:r>
      <w:r w:rsidR="003A371D">
        <w:t>(2016)</w:t>
      </w:r>
      <w:r w:rsidRPr="00CB5790">
        <w:t xml:space="preserve"> to train </w:t>
      </w:r>
      <w:r>
        <w:t xml:space="preserve">a diverse group of co-researchers. </w:t>
      </w:r>
    </w:p>
    <w:p w14:paraId="0C9DECC6" w14:textId="3B353A4A" w:rsidR="006F743C" w:rsidRDefault="00DB5669" w:rsidP="00DB5669">
      <w:pPr>
        <w:pBdr>
          <w:top w:val="single" w:sz="4" w:space="1" w:color="auto"/>
          <w:left w:val="single" w:sz="4" w:space="4" w:color="auto"/>
          <w:bottom w:val="single" w:sz="4" w:space="1" w:color="auto"/>
          <w:right w:val="single" w:sz="4" w:space="4" w:color="auto"/>
        </w:pBdr>
      </w:pPr>
      <w:r>
        <w:t xml:space="preserve">Box </w:t>
      </w:r>
      <w:r w:rsidR="00DC5FFA">
        <w:t>2</w:t>
      </w:r>
      <w:r>
        <w:t xml:space="preserve">. </w:t>
      </w:r>
      <w:r w:rsidR="006F743C">
        <w:t>Training a diverse group of co-researchers</w:t>
      </w:r>
      <w:r w:rsidR="007D01BD">
        <w:rPr>
          <w:rStyle w:val="FootnoteReference"/>
        </w:rPr>
        <w:footnoteReference w:id="419"/>
      </w:r>
    </w:p>
    <w:p w14:paraId="06188A06" w14:textId="10CDD73C" w:rsidR="00DB5669" w:rsidRPr="000A5185" w:rsidRDefault="00D27F4A" w:rsidP="00DB5669">
      <w:pPr>
        <w:pBdr>
          <w:top w:val="single" w:sz="4" w:space="1" w:color="auto"/>
          <w:left w:val="single" w:sz="4" w:space="4" w:color="auto"/>
          <w:bottom w:val="single" w:sz="4" w:space="1" w:color="auto"/>
          <w:right w:val="single" w:sz="4" w:space="4" w:color="auto"/>
        </w:pBdr>
        <w:rPr>
          <w:color w:val="000000" w:themeColor="text1"/>
        </w:rPr>
      </w:pPr>
      <w:r>
        <w:t>“</w:t>
      </w:r>
      <w:r w:rsidR="00DB5669" w:rsidRPr="00C83EF7">
        <w:t>The researcher training programme was developed in line with international best practice in the activation and empowerment of members of the public as researchers. This was a unique endeavour, given that it was the first time that individuals from the three groups of children and youth, older people and people with disabilities, with a wide range of abilities and intellectual capacities, had been brought together in such a training process. A training manual was developed to ensure that the training schedule and content of the training manual were accessible to all groups. Research scenarios, methodological examples and visual aids were featured throughout the manual and the workshop lesson-plan as illustrative tools and tutorials. Straightforward guidelines on what to do and not to do at each stage of the research process were presented within the manual</w:t>
      </w:r>
      <w:r>
        <w:t>”</w:t>
      </w:r>
      <w:r w:rsidR="00185BCE">
        <w:t>.</w:t>
      </w:r>
    </w:p>
    <w:p w14:paraId="3A20EDD8" w14:textId="3A743C23" w:rsidR="00DB5669" w:rsidRDefault="00DB5669" w:rsidP="00DB5669">
      <w:pPr>
        <w:pStyle w:val="Heading2"/>
      </w:pPr>
      <w:bookmarkStart w:id="60" w:name="_Toc104925122"/>
      <w:bookmarkStart w:id="61" w:name="_Toc116916223"/>
      <w:r>
        <w:lastRenderedPageBreak/>
        <w:t>Building a relationship between researchers and co-researchers</w:t>
      </w:r>
      <w:bookmarkEnd w:id="60"/>
      <w:bookmarkEnd w:id="61"/>
    </w:p>
    <w:p w14:paraId="21FBA701" w14:textId="71CF38C2" w:rsidR="00926DF6" w:rsidRDefault="00926DF6" w:rsidP="00926DF6">
      <w:r>
        <w:t xml:space="preserve">It was evident from the reviewed studies that </w:t>
      </w:r>
      <w:r w:rsidR="000A241F">
        <w:t>the relationship between researchers and co-researchers was hugely important factor in collaborative research. It</w:t>
      </w:r>
      <w:r>
        <w:t xml:space="preserve"> was particularly important for researchers and co-researchers to spend time building a relationship</w:t>
      </w:r>
      <w:r w:rsidR="00185BCE">
        <w:rPr>
          <w:rStyle w:val="FootnoteReference"/>
        </w:rPr>
        <w:footnoteReference w:id="420"/>
      </w:r>
      <w:r>
        <w:t xml:space="preserve"> and developing trust between them</w:t>
      </w:r>
      <w:r w:rsidR="00412AE1">
        <w:t>.</w:t>
      </w:r>
      <w:r w:rsidR="00185BCE">
        <w:rPr>
          <w:rStyle w:val="FootnoteReference"/>
        </w:rPr>
        <w:footnoteReference w:id="421"/>
      </w:r>
      <w:r>
        <w:t xml:space="preserve"> One co-researcher reflected that co-researchers need to be comfortable with the researchers, and there needs to be mutual respect, honesty and trust in their relationship</w:t>
      </w:r>
      <w:r w:rsidR="00412AE1">
        <w:t>.</w:t>
      </w:r>
      <w:r w:rsidR="00185BCE">
        <w:rPr>
          <w:rStyle w:val="FootnoteReference"/>
        </w:rPr>
        <w:footnoteReference w:id="422"/>
      </w:r>
      <w:r>
        <w:t xml:space="preserve"> One study mentioned that they regularly focussed on</w:t>
      </w:r>
      <w:r w:rsidR="005C3D9D">
        <w:t xml:space="preserve"> building and maintaining trust</w:t>
      </w:r>
      <w:r w:rsidR="00185BCE">
        <w:rPr>
          <w:rStyle w:val="FootnoteReference"/>
        </w:rPr>
        <w:footnoteReference w:id="423"/>
      </w:r>
      <w:r>
        <w:t xml:space="preserve"> and others referred to researchers being available outside of the usual research meetings to talk to co-researchers or listen to any queries or difficulties they were having</w:t>
      </w:r>
      <w:r w:rsidR="00185BCE">
        <w:rPr>
          <w:rStyle w:val="FootnoteReference"/>
        </w:rPr>
        <w:footnoteReference w:id="424"/>
      </w:r>
      <w:r>
        <w:t xml:space="preserve"> - all of which could help to build trust</w:t>
      </w:r>
      <w:r w:rsidR="00412AE1">
        <w:t>.</w:t>
      </w:r>
      <w:r w:rsidR="00185BCE">
        <w:rPr>
          <w:rStyle w:val="FootnoteReference"/>
        </w:rPr>
        <w:footnoteReference w:id="425"/>
      </w:r>
      <w:r>
        <w:t xml:space="preserve"> Other approaches which appeared </w:t>
      </w:r>
      <w:r w:rsidRPr="00B6372C">
        <w:t xml:space="preserve">important for building trust within the </w:t>
      </w:r>
      <w:r w:rsidR="00C2612D">
        <w:t xml:space="preserve">collaborative research </w:t>
      </w:r>
      <w:r w:rsidRPr="00B6372C">
        <w:t>partnership</w:t>
      </w:r>
      <w:r>
        <w:t xml:space="preserve"> included: taking time for informal discussions</w:t>
      </w:r>
      <w:r w:rsidR="00185BCE">
        <w:rPr>
          <w:rStyle w:val="FootnoteReference"/>
        </w:rPr>
        <w:footnoteReference w:id="426"/>
      </w:r>
      <w:r>
        <w:t xml:space="preserve"> “over cups of tea”</w:t>
      </w:r>
      <w:r w:rsidR="00412AE1">
        <w:t>,</w:t>
      </w:r>
      <w:r w:rsidR="00185BCE">
        <w:rPr>
          <w:rStyle w:val="FootnoteReference"/>
        </w:rPr>
        <w:footnoteReference w:id="427"/>
      </w:r>
      <w:r>
        <w:t xml:space="preserve"> ensuring transp</w:t>
      </w:r>
      <w:r w:rsidR="007375C0">
        <w:t xml:space="preserve">arency </w:t>
      </w:r>
      <w:r w:rsidR="004F1ACA">
        <w:t xml:space="preserve">in communication </w:t>
      </w:r>
      <w:r w:rsidR="007375C0">
        <w:t>through</w:t>
      </w:r>
      <w:r w:rsidR="008F325D">
        <w:t>out</w:t>
      </w:r>
      <w:r w:rsidR="007375C0">
        <w:t xml:space="preserve"> the project</w:t>
      </w:r>
      <w:r w:rsidR="00412AE1">
        <w:t>,</w:t>
      </w:r>
      <w:r w:rsidR="009E051D">
        <w:rPr>
          <w:rStyle w:val="FootnoteReference"/>
        </w:rPr>
        <w:footnoteReference w:id="428"/>
      </w:r>
      <w:r>
        <w:t xml:space="preserve"> </w:t>
      </w:r>
      <w:r w:rsidRPr="0032639B">
        <w:t>providing feedback on how</w:t>
      </w:r>
      <w:r>
        <w:t xml:space="preserve"> co-researchers impacted on the research</w:t>
      </w:r>
      <w:r w:rsidR="009E051D">
        <w:rPr>
          <w:rStyle w:val="FootnoteReference"/>
        </w:rPr>
        <w:footnoteReference w:id="429"/>
      </w:r>
      <w:r>
        <w:t xml:space="preserve"> and celebrating project milestones</w:t>
      </w:r>
      <w:r w:rsidR="00412AE1">
        <w:t>.</w:t>
      </w:r>
      <w:r w:rsidR="009E051D">
        <w:rPr>
          <w:rStyle w:val="FootnoteReference"/>
        </w:rPr>
        <w:footnoteReference w:id="430"/>
      </w:r>
      <w:r>
        <w:t xml:space="preserve"> </w:t>
      </w:r>
    </w:p>
    <w:p w14:paraId="4E428969" w14:textId="1173FAFC" w:rsidR="00926DF6" w:rsidRDefault="00926DF6" w:rsidP="00926DF6">
      <w:pPr>
        <w:pStyle w:val="BlockQuote"/>
      </w:pPr>
      <w:r w:rsidRPr="00AF289B">
        <w:t xml:space="preserve">We met monthly and shared important news about our personal and professional lives. We ate together when we celebrated holidays and our team’s achievements. Socializing together created </w:t>
      </w:r>
      <w:r w:rsidRPr="00AF289B">
        <w:lastRenderedPageBreak/>
        <w:t>closeness and trust that made us feel more equal as we related to each other as team members</w:t>
      </w:r>
      <w:r w:rsidR="00412AE1">
        <w:t>.</w:t>
      </w:r>
      <w:r w:rsidR="009E051D">
        <w:rPr>
          <w:rStyle w:val="FootnoteReference"/>
        </w:rPr>
        <w:footnoteReference w:id="431"/>
      </w:r>
    </w:p>
    <w:p w14:paraId="699E55E3" w14:textId="5E9DADE5" w:rsidR="00926DF6" w:rsidRDefault="00926DF6" w:rsidP="00926DF6">
      <w:r>
        <w:t xml:space="preserve">There can be challenges in how the </w:t>
      </w:r>
      <w:r w:rsidR="00C2612D">
        <w:t xml:space="preserve">collaborative research </w:t>
      </w:r>
      <w:r>
        <w:t xml:space="preserve">relationship develops, possibly linked to attitudes towards </w:t>
      </w:r>
      <w:r w:rsidR="00C2612D">
        <w:t xml:space="preserve">collaborative research </w:t>
      </w:r>
      <w:r>
        <w:t xml:space="preserve">and co-researchers among </w:t>
      </w:r>
      <w:r w:rsidR="006E0773">
        <w:t>researchers</w:t>
      </w:r>
      <w:r>
        <w:t>. Several studies highlighted that co-researchers can feel used, underappreciated and even like ‘guinea pigs’</w:t>
      </w:r>
      <w:r w:rsidR="00412AE1">
        <w:t>.</w:t>
      </w:r>
      <w:r w:rsidR="00722827">
        <w:rPr>
          <w:rStyle w:val="FootnoteReference"/>
        </w:rPr>
        <w:footnoteReference w:id="432"/>
      </w:r>
      <w:r>
        <w:t xml:space="preserve"> In some instances, studies noted that co-researchers reported not feeling listened to or taken seriously and some felt they had to work extra hard to prove themselves and attain recognition</w:t>
      </w:r>
      <w:r w:rsidR="00412AE1">
        <w:t>.</w:t>
      </w:r>
      <w:r w:rsidR="00722827">
        <w:rPr>
          <w:rStyle w:val="FootnoteReference"/>
        </w:rPr>
        <w:footnoteReference w:id="433"/>
      </w:r>
      <w:r>
        <w:t xml:space="preserve"> A few studies noted that perhaps researchers sometimes underestimated what co-researchers could contribute</w:t>
      </w:r>
      <w:r w:rsidR="00412AE1">
        <w:t>.</w:t>
      </w:r>
      <w:r w:rsidR="00722827">
        <w:rPr>
          <w:rStyle w:val="FootnoteReference"/>
        </w:rPr>
        <w:footnoteReference w:id="434"/>
      </w:r>
      <w:r>
        <w:t xml:space="preserve"> According to one researcher:</w:t>
      </w:r>
    </w:p>
    <w:p w14:paraId="7A51D002" w14:textId="3B017C74" w:rsidR="00926DF6" w:rsidRDefault="00926DF6" w:rsidP="00926DF6">
      <w:pPr>
        <w:pStyle w:val="BlockQuote"/>
      </w:pPr>
      <w:r w:rsidRPr="00DE7E40">
        <w:rPr>
          <w:lang w:eastAsia="en-IE"/>
        </w:rPr>
        <w:t>I had this sort of fi</w:t>
      </w:r>
      <w:r>
        <w:rPr>
          <w:lang w:eastAsia="en-IE"/>
        </w:rPr>
        <w:t>xed idea of what dementia was […</w:t>
      </w:r>
      <w:r w:rsidRPr="00DE7E40">
        <w:rPr>
          <w:lang w:eastAsia="en-IE"/>
        </w:rPr>
        <w:t>]. I</w:t>
      </w:r>
      <w:r>
        <w:rPr>
          <w:lang w:eastAsia="en-IE"/>
        </w:rPr>
        <w:t xml:space="preserve"> </w:t>
      </w:r>
      <w:r w:rsidRPr="00DE7E40">
        <w:rPr>
          <w:lang w:eastAsia="en-IE"/>
        </w:rPr>
        <w:t>thought people wouldn’t be able to be involved in my</w:t>
      </w:r>
      <w:r>
        <w:rPr>
          <w:lang w:eastAsia="en-IE"/>
        </w:rPr>
        <w:t xml:space="preserve"> </w:t>
      </w:r>
      <w:r w:rsidRPr="00DE7E40">
        <w:rPr>
          <w:lang w:eastAsia="en-IE"/>
        </w:rPr>
        <w:t>research, that they wouldn’t eve</w:t>
      </w:r>
      <w:r w:rsidR="00412AE1">
        <w:rPr>
          <w:lang w:eastAsia="en-IE"/>
        </w:rPr>
        <w:t>n consider it.</w:t>
      </w:r>
      <w:r w:rsidR="00CD4660">
        <w:rPr>
          <w:rStyle w:val="FootnoteReference"/>
          <w:lang w:eastAsia="en-IE"/>
        </w:rPr>
        <w:footnoteReference w:id="435"/>
      </w:r>
    </w:p>
    <w:p w14:paraId="2FA5E82B" w14:textId="1047BE79" w:rsidR="00926DF6" w:rsidRDefault="00926DF6" w:rsidP="00926DF6">
      <w:r w:rsidRPr="00DF7438">
        <w:t xml:space="preserve">Some suggestions for ensuring that co-researchers do not have </w:t>
      </w:r>
      <w:r>
        <w:t>negative</w:t>
      </w:r>
      <w:r w:rsidRPr="00DF7438">
        <w:t xml:space="preserve"> experiences include empowering </w:t>
      </w:r>
      <w:r>
        <w:t>them</w:t>
      </w:r>
      <w:r w:rsidRPr="00DF7438">
        <w:t xml:space="preserve"> to have more con</w:t>
      </w:r>
      <w:r>
        <w:t xml:space="preserve">trol over the research agenda, </w:t>
      </w:r>
      <w:r w:rsidRPr="00DF7438">
        <w:t>methods,</w:t>
      </w:r>
      <w:r>
        <w:t xml:space="preserve"> and individual roles, encouraging them</w:t>
      </w:r>
      <w:r w:rsidRPr="00DF7438">
        <w:t xml:space="preserve"> to raise issues important to them, ensuring transparency throughout the project and providing clarity if certain options are not feasible, </w:t>
      </w:r>
      <w:r>
        <w:t>ensuring equal power sharing</w:t>
      </w:r>
      <w:r w:rsidRPr="00DF7438">
        <w:t xml:space="preserve"> and providing feedback on the co-researchers’ work and on the outcomes of</w:t>
      </w:r>
      <w:r>
        <w:t xml:space="preserve"> their</w:t>
      </w:r>
      <w:r w:rsidRPr="00DF7438">
        <w:t xml:space="preserve"> involvement</w:t>
      </w:r>
      <w:r w:rsidR="00412AE1">
        <w:t>.</w:t>
      </w:r>
      <w:r w:rsidR="0093351F">
        <w:rPr>
          <w:rStyle w:val="FootnoteReference"/>
        </w:rPr>
        <w:footnoteReference w:id="436"/>
      </w:r>
      <w:r>
        <w:t xml:space="preserve"> </w:t>
      </w:r>
      <w:r w:rsidR="0037151C">
        <w:t xml:space="preserve">Vaughn </w:t>
      </w:r>
      <w:r w:rsidR="00185C11" w:rsidRPr="00185C11">
        <w:rPr>
          <w:i/>
        </w:rPr>
        <w:t xml:space="preserve">et al. </w:t>
      </w:r>
      <w:r w:rsidR="006420FC">
        <w:t>(</w:t>
      </w:r>
      <w:r w:rsidR="009D06D0">
        <w:t>2</w:t>
      </w:r>
      <w:r w:rsidR="0037151C">
        <w:t>019</w:t>
      </w:r>
      <w:r w:rsidR="006420FC">
        <w:t>)</w:t>
      </w:r>
      <w:r w:rsidR="00F42BEE">
        <w:t xml:space="preserve"> recommended</w:t>
      </w:r>
      <w:r>
        <w:t xml:space="preserve"> that researchers challenge any low expectatio</w:t>
      </w:r>
      <w:r w:rsidR="00F42BEE">
        <w:t xml:space="preserve">ns of co-researcher involvement. While </w:t>
      </w:r>
      <w:r>
        <w:t xml:space="preserve">Ashcroft </w:t>
      </w:r>
      <w:r w:rsidR="00185C11" w:rsidRPr="00185C11">
        <w:rPr>
          <w:i/>
        </w:rPr>
        <w:t xml:space="preserve">et al. </w:t>
      </w:r>
      <w:r w:rsidR="00135609">
        <w:t>(</w:t>
      </w:r>
      <w:r w:rsidR="00B60C65">
        <w:t>2016</w:t>
      </w:r>
      <w:r w:rsidR="00135609">
        <w:t>)</w:t>
      </w:r>
      <w:r>
        <w:t xml:space="preserve"> </w:t>
      </w:r>
      <w:r w:rsidR="007F4DE5">
        <w:t>reported that</w:t>
      </w:r>
      <w:r w:rsidR="00F42BEE">
        <w:t xml:space="preserve"> patients and carers felt</w:t>
      </w:r>
      <w:r w:rsidRPr="00966E00">
        <w:t xml:space="preserve"> that clinicians and researchers </w:t>
      </w:r>
      <w:r w:rsidR="007F7078">
        <w:t xml:space="preserve">could </w:t>
      </w:r>
      <w:r w:rsidR="00653E6B">
        <w:t>do more to understand</w:t>
      </w:r>
      <w:r w:rsidRPr="00966E00">
        <w:t xml:space="preserve"> the position of those engaged in </w:t>
      </w:r>
      <w:r w:rsidR="00C2612D">
        <w:t xml:space="preserve">collaborative research </w:t>
      </w:r>
      <w:r w:rsidRPr="00966E00">
        <w:t xml:space="preserve">in terms of </w:t>
      </w:r>
      <w:r w:rsidRPr="00DF7438">
        <w:t xml:space="preserve">their enthusiasm, time, money and capacity, </w:t>
      </w:r>
      <w:r w:rsidR="00ED5BA1">
        <w:t xml:space="preserve">while </w:t>
      </w:r>
      <w:r w:rsidR="007F4DE5">
        <w:t xml:space="preserve">giving due consideration to </w:t>
      </w:r>
      <w:r w:rsidRPr="00DF7438">
        <w:t>their illness</w:t>
      </w:r>
      <w:r>
        <w:t xml:space="preserve"> or condition</w:t>
      </w:r>
      <w:r w:rsidRPr="00DF7438">
        <w:t xml:space="preserve">. </w:t>
      </w:r>
    </w:p>
    <w:p w14:paraId="0AC894D0" w14:textId="33976A89" w:rsidR="00926DF6" w:rsidRDefault="00926DF6" w:rsidP="00926DF6">
      <w:r>
        <w:t xml:space="preserve">Co-researchers not feeling confident or comfortable while conducting the research was noted as a challenge in a number of studies. Issues included not feeling secure at first, having difficulties opening up and being vulnerable, feeling </w:t>
      </w:r>
      <w:r>
        <w:lastRenderedPageBreak/>
        <w:t>intimidated by professionals and others, feeling uncomfortable being in the spotlight, challenges participating in group discussions, not having the confidence to do some of the tasks required and feeling insecure about their added value</w:t>
      </w:r>
      <w:r w:rsidR="00412AE1">
        <w:t>.</w:t>
      </w:r>
      <w:r w:rsidR="0093351F">
        <w:rPr>
          <w:rStyle w:val="FootnoteReference"/>
        </w:rPr>
        <w:footnoteReference w:id="437"/>
      </w:r>
      <w:r>
        <w:t xml:space="preserve"> </w:t>
      </w:r>
      <w:r w:rsidRPr="00552095">
        <w:t>For these reasons, it is important that co-researchers feel supported at the beginning of the research process and that feelings of trust are established early on</w:t>
      </w:r>
      <w:r w:rsidR="00412AE1">
        <w:t>.</w:t>
      </w:r>
      <w:r w:rsidR="0093351F">
        <w:rPr>
          <w:rStyle w:val="FootnoteReference"/>
        </w:rPr>
        <w:footnoteReference w:id="438"/>
      </w:r>
    </w:p>
    <w:p w14:paraId="769AE4BF" w14:textId="77777777" w:rsidR="00DB5669" w:rsidRDefault="00DB5669" w:rsidP="008258BF">
      <w:pPr>
        <w:pStyle w:val="Heading3"/>
      </w:pPr>
      <w:bookmarkStart w:id="62" w:name="_Toc104925123"/>
      <w:r>
        <w:t>Communication</w:t>
      </w:r>
      <w:bookmarkEnd w:id="62"/>
    </w:p>
    <w:p w14:paraId="2F46752A" w14:textId="4397811B" w:rsidR="00DB5669" w:rsidRDefault="00DB5669" w:rsidP="00DB5669">
      <w:r>
        <w:t xml:space="preserve">A key element of relationship building is communication, and effective communication between </w:t>
      </w:r>
      <w:r w:rsidR="006E0773">
        <w:t>researchers</w:t>
      </w:r>
      <w:r>
        <w:t xml:space="preserve"> and co-researchers is crucial to </w:t>
      </w:r>
      <w:r w:rsidR="00C2612D">
        <w:t xml:space="preserve">collaborative research </w:t>
      </w:r>
      <w:r>
        <w:t xml:space="preserve">projects. However, communication difficulties were often raised as an issue </w:t>
      </w:r>
      <w:r w:rsidR="00AB3A33">
        <w:t xml:space="preserve">in the included </w:t>
      </w:r>
      <w:r>
        <w:t>studies</w:t>
      </w:r>
      <w:r w:rsidR="00412AE1">
        <w:t>.</w:t>
      </w:r>
      <w:r w:rsidR="009E7F18">
        <w:rPr>
          <w:rStyle w:val="FootnoteReference"/>
        </w:rPr>
        <w:footnoteReference w:id="439"/>
      </w:r>
      <w:r>
        <w:t xml:space="preserve"> Issues with the way researchers communicated</w:t>
      </w:r>
      <w:r w:rsidR="001D0986">
        <w:t xml:space="preserve"> included</w:t>
      </w:r>
      <w:r>
        <w:t xml:space="preserve"> </w:t>
      </w:r>
      <w:r w:rsidR="00CB0D17">
        <w:t>their use of</w:t>
      </w:r>
      <w:r>
        <w:t xml:space="preserve"> inaccessible language and jargon</w:t>
      </w:r>
      <w:r w:rsidR="00412AE1">
        <w:t>,</w:t>
      </w:r>
      <w:r w:rsidR="009E7F18">
        <w:rPr>
          <w:rStyle w:val="FootnoteReference"/>
        </w:rPr>
        <w:footnoteReference w:id="440"/>
      </w:r>
      <w:r>
        <w:t xml:space="preserve"> sending emails with too much information, sending information </w:t>
      </w:r>
      <w:r w:rsidRPr="00102117">
        <w:t>too late to enable co</w:t>
      </w:r>
      <w:r>
        <w:t xml:space="preserve">-researchers to engage </w:t>
      </w:r>
      <w:r w:rsidR="00504616">
        <w:t xml:space="preserve">with it </w:t>
      </w:r>
      <w:r>
        <w:t>properly and giving short notice for meeting times</w:t>
      </w:r>
      <w:r w:rsidR="00412AE1">
        <w:t>.</w:t>
      </w:r>
      <w:r w:rsidR="009E7F18">
        <w:rPr>
          <w:rStyle w:val="FootnoteReference"/>
        </w:rPr>
        <w:footnoteReference w:id="441"/>
      </w:r>
      <w:r>
        <w:t xml:space="preserve"> Co-researchers also cited a lack of feedback from researchers as a challenge</w:t>
      </w:r>
      <w:r w:rsidR="00412AE1">
        <w:t>.</w:t>
      </w:r>
      <w:r w:rsidR="009E7F18">
        <w:rPr>
          <w:rStyle w:val="FootnoteReference"/>
        </w:rPr>
        <w:footnoteReference w:id="442"/>
      </w:r>
    </w:p>
    <w:p w14:paraId="71B7021C" w14:textId="066602CE" w:rsidR="0088092C" w:rsidRPr="0048071A" w:rsidRDefault="006E0773" w:rsidP="003E56DF">
      <w:r>
        <w:t>R</w:t>
      </w:r>
      <w:r w:rsidR="00DB5669">
        <w:t>esearchers reported their own challenges, including difficulties explaining some language and terms, but also finding ways to effectively co</w:t>
      </w:r>
      <w:r w:rsidR="00BB59F6">
        <w:t>mmunicate with different groups</w:t>
      </w:r>
      <w:r w:rsidR="00412AE1">
        <w:t>.</w:t>
      </w:r>
      <w:r w:rsidR="009E7F18">
        <w:rPr>
          <w:rStyle w:val="FootnoteReference"/>
        </w:rPr>
        <w:footnoteReference w:id="443"/>
      </w:r>
      <w:r w:rsidR="00BB59F6">
        <w:t xml:space="preserve"> </w:t>
      </w:r>
      <w:r w:rsidR="00DB5669">
        <w:t xml:space="preserve">For example, </w:t>
      </w:r>
      <w:r w:rsidR="007A2E02">
        <w:t>in one study,</w:t>
      </w:r>
      <w:r w:rsidR="00DB5669">
        <w:t xml:space="preserve"> </w:t>
      </w:r>
      <w:r w:rsidR="00A15F59">
        <w:t xml:space="preserve">communication challenges when researching with co-researchers with </w:t>
      </w:r>
      <w:r w:rsidR="00D01E66">
        <w:t xml:space="preserve">more </w:t>
      </w:r>
      <w:r w:rsidR="00DB5669">
        <w:t>profound disabilities</w:t>
      </w:r>
      <w:r w:rsidR="007A2E02">
        <w:t xml:space="preserve"> were noted</w:t>
      </w:r>
      <w:r w:rsidR="00412AE1">
        <w:t>.</w:t>
      </w:r>
      <w:r w:rsidR="001A1AF0">
        <w:rPr>
          <w:rStyle w:val="FootnoteReference"/>
        </w:rPr>
        <w:footnoteReference w:id="444"/>
      </w:r>
      <w:r w:rsidR="00412AE1">
        <w:t xml:space="preserve"> </w:t>
      </w:r>
      <w:r w:rsidR="00DB5669">
        <w:t>S</w:t>
      </w:r>
      <w:r w:rsidR="00DB5669" w:rsidRPr="000276B1">
        <w:t>everal studies highlighted challenges associated with collecting feedback from co-researchers</w:t>
      </w:r>
      <w:r w:rsidR="00BB59F6">
        <w:t>,</w:t>
      </w:r>
      <w:r w:rsidR="00DB5669" w:rsidRPr="000276B1">
        <w:t xml:space="preserve"> including difficulties collecting the same depth of feedback from all co-researchers, difficulties eliciting critical feedback if the co-researchers </w:t>
      </w:r>
      <w:r w:rsidR="00DB5669">
        <w:t>felt</w:t>
      </w:r>
      <w:r w:rsidR="00DB5669" w:rsidRPr="000276B1">
        <w:t xml:space="preserve"> uncomfortable </w:t>
      </w:r>
      <w:r w:rsidR="00504616">
        <w:t>critiquing</w:t>
      </w:r>
      <w:r w:rsidR="00DB5669" w:rsidRPr="000276B1">
        <w:t xml:space="preserve"> the researchers, and co-researchers having difficulties </w:t>
      </w:r>
      <w:r w:rsidR="00DB5669" w:rsidRPr="000276B1">
        <w:lastRenderedPageBreak/>
        <w:t>communicating their reflections or understanding</w:t>
      </w:r>
      <w:r w:rsidR="00DB5669">
        <w:t xml:space="preserve"> questions on feedback forms</w:t>
      </w:r>
      <w:r w:rsidR="00412AE1">
        <w:t xml:space="preserve">  .</w:t>
      </w:r>
      <w:r w:rsidR="001A1AF0">
        <w:rPr>
          <w:rStyle w:val="FootnoteReference"/>
        </w:rPr>
        <w:footnoteReference w:id="445"/>
      </w:r>
    </w:p>
    <w:p w14:paraId="33EB7923" w14:textId="533F6240" w:rsidR="00DB5669" w:rsidRDefault="00DB5669" w:rsidP="00DB5669">
      <w:r>
        <w:t xml:space="preserve">In order to address communication issues, studies noted the importance of teams </w:t>
      </w:r>
      <w:r w:rsidR="00287228">
        <w:t>communicating regularly</w:t>
      </w:r>
      <w:r w:rsidR="00412AE1">
        <w:t>,</w:t>
      </w:r>
      <w:r w:rsidR="001A1AF0">
        <w:rPr>
          <w:rStyle w:val="FootnoteReference"/>
        </w:rPr>
        <w:footnoteReference w:id="446"/>
      </w:r>
      <w:r w:rsidR="00287228">
        <w:t xml:space="preserve"> </w:t>
      </w:r>
      <w:r>
        <w:t>using accessible language</w:t>
      </w:r>
      <w:r w:rsidR="00412AE1">
        <w:t>,</w:t>
      </w:r>
      <w:r w:rsidR="001A1AF0">
        <w:rPr>
          <w:rStyle w:val="FootnoteReference"/>
        </w:rPr>
        <w:footnoteReference w:id="447"/>
      </w:r>
      <w:r w:rsidR="008B7A7A">
        <w:t xml:space="preserve"> avoiding jargon</w:t>
      </w:r>
      <w:r w:rsidR="00412AE1">
        <w:t>,</w:t>
      </w:r>
      <w:r w:rsidR="001A1AF0">
        <w:rPr>
          <w:rStyle w:val="FootnoteReference"/>
        </w:rPr>
        <w:footnoteReference w:id="448"/>
      </w:r>
      <w:r>
        <w:t xml:space="preserve"> developing and agreeing flexible processes and structures for effective communication</w:t>
      </w:r>
      <w:r w:rsidR="00412AE1">
        <w:t>,</w:t>
      </w:r>
      <w:r w:rsidR="001A1AF0">
        <w:rPr>
          <w:rStyle w:val="FootnoteReference"/>
        </w:rPr>
        <w:footnoteReference w:id="449"/>
      </w:r>
      <w:r>
        <w:t xml:space="preserve"> having a communication strategy</w:t>
      </w:r>
      <w:r w:rsidR="00412AE1">
        <w:t>,</w:t>
      </w:r>
      <w:r w:rsidR="001A1AF0">
        <w:rPr>
          <w:rStyle w:val="FootnoteReference"/>
        </w:rPr>
        <w:footnoteReference w:id="450"/>
      </w:r>
      <w:r>
        <w:t xml:space="preserve"> and using communication tools </w:t>
      </w:r>
      <w:r w:rsidR="00BB59F6">
        <w:t>(</w:t>
      </w:r>
      <w:r w:rsidR="000257E9">
        <w:t>such as Talking Mats</w:t>
      </w:r>
      <w:r w:rsidR="00412AE1">
        <w:t>.</w:t>
      </w:r>
      <w:r w:rsidR="000257E9">
        <w:rPr>
          <w:rStyle w:val="FootnoteReference"/>
        </w:rPr>
        <w:footnoteReference w:id="451"/>
      </w:r>
      <w:r w:rsidR="001A1AF0">
        <w:t xml:space="preserve"> </w:t>
      </w:r>
      <w:r w:rsidR="001A1AF0">
        <w:rPr>
          <w:rStyle w:val="FootnoteReference"/>
        </w:rPr>
        <w:footnoteReference w:id="452"/>
      </w:r>
      <w:r w:rsidR="000257E9">
        <w:t xml:space="preserve"> </w:t>
      </w:r>
      <w:r w:rsidR="001D0986">
        <w:t xml:space="preserve">Some examples of the ways in which studies addressed communication between members include </w:t>
      </w:r>
      <w:proofErr w:type="spellStart"/>
      <w:r w:rsidR="005C3446">
        <w:t>Nicolaidis</w:t>
      </w:r>
      <w:proofErr w:type="spellEnd"/>
      <w:r w:rsidR="00146CF9">
        <w:t xml:space="preserve"> </w:t>
      </w:r>
      <w:r w:rsidR="00185C11" w:rsidRPr="00185C11">
        <w:rPr>
          <w:i/>
        </w:rPr>
        <w:t xml:space="preserve">et al. </w:t>
      </w:r>
      <w:r w:rsidR="00FB0613">
        <w:t>(</w:t>
      </w:r>
      <w:r w:rsidR="009D06D0">
        <w:t>2</w:t>
      </w:r>
      <w:r w:rsidR="00146CF9">
        <w:t>019</w:t>
      </w:r>
      <w:r w:rsidR="00FB0613">
        <w:t>)</w:t>
      </w:r>
      <w:r>
        <w:t xml:space="preserve">, </w:t>
      </w:r>
      <w:r w:rsidR="001D0986">
        <w:t>who</w:t>
      </w:r>
      <w:r>
        <w:t xml:space="preserve"> developed a communication etiquette guide to use in their study</w:t>
      </w:r>
      <w:r w:rsidR="00AB3A33">
        <w:t xml:space="preserve"> and used the </w:t>
      </w:r>
      <w:r w:rsidR="00AB0809">
        <w:t>5-</w:t>
      </w:r>
      <w:r w:rsidR="00AB3A33">
        <w:t>finger method</w:t>
      </w:r>
      <w:r w:rsidR="00AB3A33">
        <w:rPr>
          <w:rStyle w:val="FootnoteReference"/>
        </w:rPr>
        <w:footnoteReference w:id="453"/>
      </w:r>
      <w:r w:rsidR="00D07823">
        <w:t xml:space="preserve"> and </w:t>
      </w:r>
      <w:r w:rsidR="00FB0613">
        <w:t xml:space="preserve">Stevenson </w:t>
      </w:r>
      <w:r w:rsidR="00B21BF6">
        <w:t>and</w:t>
      </w:r>
      <w:r w:rsidR="00FB0613">
        <w:t xml:space="preserve"> Taylor (</w:t>
      </w:r>
      <w:r w:rsidR="00A824B6" w:rsidRPr="00A824B6">
        <w:t>2019</w:t>
      </w:r>
      <w:r w:rsidR="00FB0613">
        <w:t>)</w:t>
      </w:r>
      <w:r w:rsidR="00A824B6">
        <w:t xml:space="preserve"> </w:t>
      </w:r>
      <w:r w:rsidR="008B7A7A">
        <w:t xml:space="preserve">used pre-existing guidance on communicating with people with dementia to help their approach. </w:t>
      </w:r>
      <w:r>
        <w:t>Studies also recommended the use of specific communication skills by the research team, including taking turns</w:t>
      </w:r>
      <w:r w:rsidR="001A1AF0">
        <w:rPr>
          <w:rStyle w:val="FootnoteReference"/>
        </w:rPr>
        <w:footnoteReference w:id="454"/>
      </w:r>
      <w:r>
        <w:t>, checking for understanding of co-researchers</w:t>
      </w:r>
      <w:r w:rsidR="00412AE1">
        <w:t>,</w:t>
      </w:r>
      <w:r w:rsidR="001A1AF0">
        <w:rPr>
          <w:rStyle w:val="FootnoteReference"/>
        </w:rPr>
        <w:footnoteReference w:id="455"/>
      </w:r>
      <w:r w:rsidR="00412AE1">
        <w:t xml:space="preserve"> </w:t>
      </w:r>
      <w:r>
        <w:t>communicating in a sensitive manner</w:t>
      </w:r>
      <w:r w:rsidR="00412AE1">
        <w:t>,</w:t>
      </w:r>
      <w:r w:rsidR="001A1AF0">
        <w:rPr>
          <w:rStyle w:val="FootnoteReference"/>
        </w:rPr>
        <w:footnoteReference w:id="456"/>
      </w:r>
      <w:r>
        <w:t xml:space="preserve"> giving people time to speak</w:t>
      </w:r>
      <w:r w:rsidR="00412AE1">
        <w:t>,</w:t>
      </w:r>
      <w:r w:rsidR="001A1AF0">
        <w:rPr>
          <w:rStyle w:val="FootnoteReference"/>
        </w:rPr>
        <w:footnoteReference w:id="457"/>
      </w:r>
      <w:r>
        <w:t xml:space="preserve"> ensuring </w:t>
      </w:r>
      <w:r>
        <w:lastRenderedPageBreak/>
        <w:t>people answer for themselves</w:t>
      </w:r>
      <w:r w:rsidR="00412AE1">
        <w:t>,</w:t>
      </w:r>
      <w:r w:rsidR="001A1AF0">
        <w:rPr>
          <w:rStyle w:val="FootnoteReference"/>
        </w:rPr>
        <w:footnoteReference w:id="458"/>
      </w:r>
      <w:r>
        <w:t xml:space="preserve"> and being </w:t>
      </w:r>
      <w:r w:rsidRPr="009F3538">
        <w:t>responsive to non-verbal information</w:t>
      </w:r>
      <w:r w:rsidR="00412AE1">
        <w:t>.</w:t>
      </w:r>
      <w:r w:rsidR="001A1AF0">
        <w:rPr>
          <w:rStyle w:val="FootnoteReference"/>
        </w:rPr>
        <w:footnoteReference w:id="459"/>
      </w:r>
    </w:p>
    <w:p w14:paraId="32E7E959" w14:textId="77777777" w:rsidR="003E56DF" w:rsidRPr="003E56DF" w:rsidRDefault="003E56DF" w:rsidP="003E56DF">
      <w:r w:rsidRPr="003E56DF">
        <w:t>Co-researchers in one study advised anyone considering getting involved as research partners:</w:t>
      </w:r>
    </w:p>
    <w:p w14:paraId="69940030" w14:textId="2E43A156" w:rsidR="003E56DF" w:rsidRDefault="003E56DF" w:rsidP="003E56DF">
      <w:pPr>
        <w:pStyle w:val="BlockQuote"/>
      </w:pPr>
      <w:r w:rsidRPr="003E56DF">
        <w:rPr>
          <w:lang w:eastAsia="en-IE"/>
        </w:rPr>
        <w:t>Don’t be afraid to ask questions and to disagree, and challenge other people. It’s our time to be opinionated, it’s fine if people don’t always agree</w:t>
      </w:r>
      <w:r w:rsidR="00412AE1">
        <w:rPr>
          <w:lang w:eastAsia="en-IE"/>
        </w:rPr>
        <w:t>,</w:t>
      </w:r>
      <w:r w:rsidR="001A1AF0">
        <w:rPr>
          <w:rStyle w:val="FootnoteReference"/>
          <w:lang w:eastAsia="en-IE"/>
        </w:rPr>
        <w:footnoteReference w:id="460"/>
      </w:r>
    </w:p>
    <w:p w14:paraId="6B9309CE" w14:textId="77777777" w:rsidR="00DB5669" w:rsidRPr="0092372B" w:rsidRDefault="00DB5669" w:rsidP="00185F8C">
      <w:pPr>
        <w:pStyle w:val="Heading3"/>
      </w:pPr>
      <w:bookmarkStart w:id="63" w:name="_Toc104925124"/>
      <w:r>
        <w:t>Power sharing and decision-making</w:t>
      </w:r>
      <w:bookmarkEnd w:id="63"/>
    </w:p>
    <w:p w14:paraId="02EC18BA" w14:textId="111DF762" w:rsidR="00DB5669" w:rsidRDefault="00DB5669" w:rsidP="00DB5669">
      <w:r>
        <w:t xml:space="preserve">The issue of power inequalities and power sharing within </w:t>
      </w:r>
      <w:r w:rsidR="00C2612D">
        <w:t xml:space="preserve">collaborative research </w:t>
      </w:r>
      <w:r>
        <w:t>projects was raised quite often in the reviewed papers. Several studies highlighted that power imbalances could be a challenge for co-researchers</w:t>
      </w:r>
      <w:r w:rsidR="00412AE1">
        <w:t>.</w:t>
      </w:r>
      <w:r w:rsidR="00CE6BDC">
        <w:rPr>
          <w:rStyle w:val="FootnoteReference"/>
        </w:rPr>
        <w:footnoteReference w:id="461"/>
      </w:r>
      <w:r>
        <w:t xml:space="preserve"> These related to researchers making more of the decisions, unequal rates of pay and the hierarchical categorisation of their employment status</w:t>
      </w:r>
      <w:r w:rsidR="00412AE1">
        <w:t>.</w:t>
      </w:r>
      <w:r w:rsidR="00CE6BDC">
        <w:rPr>
          <w:rStyle w:val="FootnoteReference"/>
        </w:rPr>
        <w:footnoteReference w:id="462"/>
      </w:r>
      <w:r w:rsidR="00DB004B">
        <w:t xml:space="preserve"> In most of the studies reviewed, the research project was conceived by the researchers, and people with disabilities were invited or recruited to be involved – so from the beginning in many cases, there was a level of power affor</w:t>
      </w:r>
      <w:r w:rsidR="00BB59F6">
        <w:t>ded to the researchers</w:t>
      </w:r>
      <w:r w:rsidR="004F1ACA">
        <w:t xml:space="preserve"> that was not afforded to co-researchers</w:t>
      </w:r>
      <w:r w:rsidR="00412AE1">
        <w:t>.</w:t>
      </w:r>
      <w:r w:rsidR="00CE6BDC">
        <w:rPr>
          <w:rStyle w:val="FootnoteReference"/>
        </w:rPr>
        <w:footnoteReference w:id="463"/>
      </w:r>
      <w:r w:rsidR="000E4397">
        <w:t xml:space="preserve"> Relatedly, </w:t>
      </w:r>
      <w:proofErr w:type="spellStart"/>
      <w:r w:rsidR="000E4397">
        <w:t>Carr</w:t>
      </w:r>
      <w:proofErr w:type="spellEnd"/>
      <w:r w:rsidR="000E4397">
        <w:t xml:space="preserve"> (2019) noted</w:t>
      </w:r>
      <w:r w:rsidR="00551161">
        <w:t xml:space="preserve"> that only people at a particularly senior level in academia</w:t>
      </w:r>
      <w:r w:rsidR="0026772D">
        <w:t xml:space="preserve"> or relevant organisations </w:t>
      </w:r>
      <w:r w:rsidR="00551161">
        <w:t>tend to be eligible to lead on funding bids</w:t>
      </w:r>
      <w:r w:rsidR="00BB59F6">
        <w:t>.</w:t>
      </w:r>
      <w:r w:rsidR="00551161">
        <w:t xml:space="preserve"> </w:t>
      </w:r>
      <w:r w:rsidR="0089167A">
        <w:t xml:space="preserve">In addition, </w:t>
      </w:r>
      <w:r w:rsidR="00186E15">
        <w:t>researchers often have to manage the entire research process</w:t>
      </w:r>
      <w:r w:rsidR="00AB0809">
        <w:t xml:space="preserve"> (e.g. due to funding or organisation rules, or as they </w:t>
      </w:r>
      <w:r w:rsidR="009F4194">
        <w:t>had</w:t>
      </w:r>
      <w:r w:rsidR="00AB0809">
        <w:t xml:space="preserve"> the professional experience to do so)</w:t>
      </w:r>
      <w:r w:rsidR="00186E15">
        <w:t>, which can making power sharing challenging</w:t>
      </w:r>
      <w:r w:rsidR="00412AE1">
        <w:t>.</w:t>
      </w:r>
      <w:r w:rsidR="00CE6BDC">
        <w:rPr>
          <w:rStyle w:val="FootnoteReference"/>
        </w:rPr>
        <w:footnoteReference w:id="464"/>
      </w:r>
      <w:r w:rsidR="00186E15">
        <w:t xml:space="preserve"> </w:t>
      </w:r>
    </w:p>
    <w:p w14:paraId="367D58D5" w14:textId="179D6DC7" w:rsidR="00DB5669" w:rsidRDefault="00DB5669" w:rsidP="00DB5669">
      <w:r>
        <w:t xml:space="preserve">Managing power imbalances and shifting traditionally embedded power inequalities were commonly reported challenges </w:t>
      </w:r>
      <w:r w:rsidR="00BB59F6">
        <w:t>for</w:t>
      </w:r>
      <w:r>
        <w:t xml:space="preserve"> researchers in the included studies</w:t>
      </w:r>
      <w:r w:rsidR="00412AE1">
        <w:t>.</w:t>
      </w:r>
      <w:r w:rsidR="00CE6BDC">
        <w:rPr>
          <w:rStyle w:val="FootnoteReference"/>
        </w:rPr>
        <w:footnoteReference w:id="465"/>
      </w:r>
      <w:r w:rsidRPr="00FB0613">
        <w:t xml:space="preserve"> Co-researchers often </w:t>
      </w:r>
      <w:r>
        <w:t xml:space="preserve">require support to conduct research; however, </w:t>
      </w:r>
      <w:r>
        <w:lastRenderedPageBreak/>
        <w:t>finding the right balance between providing support without taking too much control was a consistently reported challenge to researchers in the included studies</w:t>
      </w:r>
      <w:r w:rsidR="00412AE1">
        <w:t>.</w:t>
      </w:r>
      <w:r w:rsidR="00CE6BDC">
        <w:rPr>
          <w:rStyle w:val="FootnoteReference"/>
        </w:rPr>
        <w:footnoteReference w:id="466"/>
      </w:r>
      <w:r>
        <w:t xml:space="preserve"> </w:t>
      </w:r>
    </w:p>
    <w:p w14:paraId="01C5C53E" w14:textId="46E43CA0" w:rsidR="00DB5669" w:rsidRDefault="00DB5669" w:rsidP="00DB5669">
      <w:r w:rsidRPr="00576517">
        <w:t xml:space="preserve">A number of suggestions for </w:t>
      </w:r>
      <w:r>
        <w:t>approaches to manage and address</w:t>
      </w:r>
      <w:r w:rsidRPr="00576517">
        <w:t xml:space="preserve"> inequities and power imbalances </w:t>
      </w:r>
      <w:r w:rsidR="00924A20">
        <w:t xml:space="preserve">were </w:t>
      </w:r>
      <w:r w:rsidRPr="00576517">
        <w:t>not</w:t>
      </w:r>
      <w:r w:rsidR="00B52BF9">
        <w:t>ed in the included studies</w:t>
      </w:r>
      <w:r w:rsidR="00924A20">
        <w:t>. These included encouraging</w:t>
      </w:r>
      <w:r w:rsidR="00B52BF9">
        <w:t xml:space="preserve"> </w:t>
      </w:r>
      <w:r w:rsidRPr="00576517">
        <w:t>open discussion of imbal</w:t>
      </w:r>
      <w:r w:rsidR="00B52BF9">
        <w:t xml:space="preserve">ances and inequities, </w:t>
      </w:r>
      <w:r w:rsidR="00251816">
        <w:t xml:space="preserve">challenging the idea that </w:t>
      </w:r>
      <w:r w:rsidR="0026772D">
        <w:t>r</w:t>
      </w:r>
      <w:r w:rsidR="00251816">
        <w:t>esearchers are the only knowledge-holders,</w:t>
      </w:r>
      <w:r w:rsidRPr="00576517">
        <w:t xml:space="preserve"> </w:t>
      </w:r>
      <w:r w:rsidR="00924A20">
        <w:t xml:space="preserve">ensuring </w:t>
      </w:r>
      <w:r w:rsidRPr="00576517">
        <w:t>ongoing review and reflection of interactions</w:t>
      </w:r>
      <w:r w:rsidR="00B52BF9">
        <w:t xml:space="preserve"> and processes and assumptions, </w:t>
      </w:r>
      <w:r>
        <w:t>seeing the co-re</w:t>
      </w:r>
      <w:r w:rsidR="000E4397">
        <w:t>searcher as a researcher first as opposed to</w:t>
      </w:r>
      <w:r>
        <w:t xml:space="preserve"> a person with a disability, </w:t>
      </w:r>
      <w:r w:rsidR="00B52BF9">
        <w:t xml:space="preserve">and </w:t>
      </w:r>
      <w:r w:rsidRPr="00576517">
        <w:t xml:space="preserve">including researchers who truly value the insights of the co-researchers, </w:t>
      </w:r>
      <w:r w:rsidR="00AA34B1">
        <w:t xml:space="preserve">who </w:t>
      </w:r>
      <w:r w:rsidRPr="00576517">
        <w:t xml:space="preserve">will make necessary accommodations, </w:t>
      </w:r>
      <w:r w:rsidR="00B52BF9">
        <w:t>and who are willing to share power</w:t>
      </w:r>
      <w:r w:rsidR="00412AE1">
        <w:t>.</w:t>
      </w:r>
      <w:r w:rsidR="00CE6BDC">
        <w:rPr>
          <w:rStyle w:val="FootnoteReference"/>
        </w:rPr>
        <w:footnoteReference w:id="467"/>
      </w:r>
      <w:r>
        <w:t xml:space="preserve"> </w:t>
      </w:r>
      <w:r w:rsidRPr="0094722A">
        <w:t xml:space="preserve">Some </w:t>
      </w:r>
      <w:r>
        <w:t>structures and processes to</w:t>
      </w:r>
      <w:r w:rsidRPr="0094722A">
        <w:t xml:space="preserve"> overcom</w:t>
      </w:r>
      <w:r>
        <w:t>e power imbalances mentioned by studies included:</w:t>
      </w:r>
      <w:r w:rsidRPr="0094722A">
        <w:t xml:space="preserve"> </w:t>
      </w:r>
      <w:r>
        <w:t xml:space="preserve">a structure for supervision and support of co-researchers, </w:t>
      </w:r>
      <w:r w:rsidRPr="0094722A">
        <w:t xml:space="preserve">establishing ground rules </w:t>
      </w:r>
      <w:r>
        <w:t>for meetings</w:t>
      </w:r>
      <w:r w:rsidRPr="0094722A">
        <w:t xml:space="preserve">, </w:t>
      </w:r>
      <w:r>
        <w:t>jointly creating guidelines and policies on power-sharing, decision-making and dissemination,</w:t>
      </w:r>
      <w:r w:rsidRPr="0094722A">
        <w:t xml:space="preserve"> ensuring a shared decision m</w:t>
      </w:r>
      <w:r>
        <w:t xml:space="preserve">aking approach and </w:t>
      </w:r>
      <w:r w:rsidRPr="0094722A">
        <w:t>ensuring effective communication among the team</w:t>
      </w:r>
      <w:r w:rsidR="00412AE1">
        <w:t>.</w:t>
      </w:r>
      <w:r w:rsidR="00CE6BDC">
        <w:rPr>
          <w:rStyle w:val="FootnoteReference"/>
        </w:rPr>
        <w:footnoteReference w:id="468"/>
      </w:r>
      <w:r>
        <w:t xml:space="preserve"> </w:t>
      </w:r>
      <w:r w:rsidR="00F20EEC">
        <w:t xml:space="preserve">Dewa </w:t>
      </w:r>
      <w:r w:rsidR="00185C11" w:rsidRPr="00185C11">
        <w:rPr>
          <w:i/>
        </w:rPr>
        <w:t xml:space="preserve">et al. </w:t>
      </w:r>
      <w:r w:rsidR="00A944BA">
        <w:t>(2020</w:t>
      </w:r>
      <w:r w:rsidR="00CE6BDC">
        <w:t xml:space="preserve">, p. </w:t>
      </w:r>
      <w:r w:rsidR="001D5B51">
        <w:t>134</w:t>
      </w:r>
      <w:r w:rsidR="00A944BA">
        <w:t xml:space="preserve">) </w:t>
      </w:r>
      <w:r w:rsidR="00F20EEC">
        <w:t xml:space="preserve">noted the importance of time and a safe space </w:t>
      </w:r>
      <w:r w:rsidR="00924A20">
        <w:t xml:space="preserve">for </w:t>
      </w:r>
      <w:r w:rsidR="00F20EEC">
        <w:t xml:space="preserve">ensuring </w:t>
      </w:r>
      <w:r w:rsidR="00924A20">
        <w:t xml:space="preserve">the </w:t>
      </w:r>
      <w:r w:rsidR="00F20EEC">
        <w:t>sharing of power:</w:t>
      </w:r>
    </w:p>
    <w:p w14:paraId="7A2A1647" w14:textId="591EA27A" w:rsidR="00F20EEC" w:rsidRDefault="00F20EEC" w:rsidP="00F20EEC">
      <w:pPr>
        <w:pStyle w:val="BlockQuote"/>
      </w:pPr>
      <w:r w:rsidRPr="006358E9">
        <w:rPr>
          <w:lang w:eastAsia="en-IE"/>
        </w:rPr>
        <w:t>Sharing power became easier and more evident as trust, confidence and mutual respect</w:t>
      </w:r>
      <w:r>
        <w:rPr>
          <w:lang w:eastAsia="en-IE"/>
        </w:rPr>
        <w:t xml:space="preserve"> </w:t>
      </w:r>
      <w:r w:rsidRPr="006358E9">
        <w:rPr>
          <w:lang w:eastAsia="en-IE"/>
        </w:rPr>
        <w:t>grew over time, particularly after a safe space was established.</w:t>
      </w:r>
    </w:p>
    <w:p w14:paraId="365401FC" w14:textId="238120A7" w:rsidR="005D247D" w:rsidRDefault="00DB5669" w:rsidP="00C91560">
      <w:r>
        <w:t>Shared decision-making is a key part of power sharing with</w:t>
      </w:r>
      <w:r w:rsidR="00AA34B1">
        <w:t>in</w:t>
      </w:r>
      <w:r>
        <w:t xml:space="preserve"> </w:t>
      </w:r>
      <w:r w:rsidR="009237D2">
        <w:t>collaborative research.</w:t>
      </w:r>
      <w:r>
        <w:t xml:space="preserve"> It can be a challenge in </w:t>
      </w:r>
      <w:r w:rsidR="00C2612D">
        <w:t xml:space="preserve">collaborative research </w:t>
      </w:r>
      <w:r>
        <w:t>projects to ensure</w:t>
      </w:r>
      <w:r w:rsidRPr="00576517">
        <w:t xml:space="preserve"> that everyone in the group </w:t>
      </w:r>
      <w:r>
        <w:t>is</w:t>
      </w:r>
      <w:r w:rsidRPr="00576517">
        <w:t xml:space="preserve"> involved in the decision-making processes and </w:t>
      </w:r>
      <w:r w:rsidR="004C738E">
        <w:t>has</w:t>
      </w:r>
      <w:r w:rsidRPr="00576517">
        <w:t xml:space="preserve"> their say so that a range of views, skills and expertise </w:t>
      </w:r>
      <w:r>
        <w:t>are</w:t>
      </w:r>
      <w:r w:rsidRPr="00576517">
        <w:t xml:space="preserve"> effectively and authentically incorporated</w:t>
      </w:r>
      <w:r w:rsidR="00412AE1">
        <w:t>.</w:t>
      </w:r>
      <w:r w:rsidR="00CE6BDC">
        <w:rPr>
          <w:rStyle w:val="FootnoteReference"/>
        </w:rPr>
        <w:footnoteReference w:id="469"/>
      </w:r>
      <w:r w:rsidRPr="00576517">
        <w:t xml:space="preserve"> </w:t>
      </w:r>
      <w:r>
        <w:t>A</w:t>
      </w:r>
      <w:r w:rsidRPr="00970BC1">
        <w:t xml:space="preserve"> particular</w:t>
      </w:r>
      <w:r>
        <w:t xml:space="preserve"> challenge reported </w:t>
      </w:r>
      <w:r w:rsidR="00B43BF6">
        <w:t>wa</w:t>
      </w:r>
      <w:r>
        <w:t>s how to support the development of autonomy and ownership in co-researchers with intellectual disability</w:t>
      </w:r>
      <w:r w:rsidR="00836A3B">
        <w:t>, who</w:t>
      </w:r>
      <w:r w:rsidR="00B43BF6">
        <w:t xml:space="preserve"> </w:t>
      </w:r>
      <w:r>
        <w:t>may have had mostly subordinate roles in the past and who may not be used to being asked for their opinions</w:t>
      </w:r>
      <w:r w:rsidR="00CF0A05">
        <w:t xml:space="preserve"> or being encouraged to think </w:t>
      </w:r>
      <w:r w:rsidR="00CF0A05">
        <w:lastRenderedPageBreak/>
        <w:t>independently</w:t>
      </w:r>
      <w:r w:rsidR="00412AE1">
        <w:t>.</w:t>
      </w:r>
      <w:r w:rsidR="008C692A">
        <w:rPr>
          <w:rStyle w:val="FootnoteReference"/>
        </w:rPr>
        <w:footnoteReference w:id="470"/>
      </w:r>
      <w:r w:rsidR="00CF0A05" w:rsidRPr="00CF0A05">
        <w:t xml:space="preserve"> </w:t>
      </w:r>
      <w:r w:rsidR="00CF0A05">
        <w:t>People with such experiences may</w:t>
      </w:r>
      <w:r w:rsidR="00CF0A05" w:rsidRPr="00CF0A05">
        <w:t xml:space="preserve"> begin their involvement with a hierarchical rather than collaborative </w:t>
      </w:r>
      <w:proofErr w:type="spellStart"/>
      <w:r w:rsidR="00CF0A05" w:rsidRPr="00CF0A05">
        <w:t>mindset</w:t>
      </w:r>
      <w:proofErr w:type="spellEnd"/>
      <w:r w:rsidR="00412AE1">
        <w:t>.</w:t>
      </w:r>
      <w:r w:rsidR="00E742C6">
        <w:rPr>
          <w:rStyle w:val="FootnoteReference"/>
        </w:rPr>
        <w:footnoteReference w:id="471"/>
      </w:r>
      <w:r>
        <w:t xml:space="preserve"> </w:t>
      </w:r>
      <w:r w:rsidR="00B172AA">
        <w:t xml:space="preserve">For example, </w:t>
      </w:r>
      <w:r w:rsidR="00CF0A05">
        <w:t>one study noted that</w:t>
      </w:r>
      <w:r w:rsidR="00B172AA">
        <w:t xml:space="preserve"> co-researchers with ID sometimes initially relied on </w:t>
      </w:r>
      <w:r w:rsidR="00C902F5">
        <w:t xml:space="preserve">the </w:t>
      </w:r>
      <w:r w:rsidR="00B172AA">
        <w:t>researchers for direction</w:t>
      </w:r>
      <w:r w:rsidR="00C902F5">
        <w:t xml:space="preserve"> during the research process rather than exercising autonomy</w:t>
      </w:r>
      <w:r w:rsidR="00412AE1">
        <w:t>.</w:t>
      </w:r>
      <w:r w:rsidR="00E742C6">
        <w:rPr>
          <w:rStyle w:val="FootnoteReference"/>
        </w:rPr>
        <w:footnoteReference w:id="472"/>
      </w:r>
      <w:r w:rsidR="00B172AA">
        <w:t xml:space="preserve"> </w:t>
      </w:r>
      <w:r>
        <w:t>A small number of studies</w:t>
      </w:r>
      <w:r w:rsidR="00B172AA">
        <w:t xml:space="preserve"> also</w:t>
      </w:r>
      <w:r>
        <w:t xml:space="preserve"> mentioned needing to manage acquiescence and </w:t>
      </w:r>
      <w:r w:rsidR="000F0EBA">
        <w:t xml:space="preserve">issues with </w:t>
      </w:r>
      <w:r>
        <w:t>some individuals being overly-influenced by other members of the group</w:t>
      </w:r>
      <w:r w:rsidR="00412AE1">
        <w:t>.</w:t>
      </w:r>
      <w:r w:rsidR="00E742C6">
        <w:rPr>
          <w:rStyle w:val="FootnoteReference"/>
        </w:rPr>
        <w:footnoteReference w:id="473"/>
      </w:r>
      <w:r w:rsidR="00DA6C27" w:rsidRPr="00DA6C27">
        <w:t xml:space="preserve"> Furthermore, when attending a meeting, supporters might respond on behalf of the co-researcher, give their own view, interrupt the flow of communication or prevent co-researchers from feeling able to speak the</w:t>
      </w:r>
      <w:r w:rsidR="00DA6C27">
        <w:t>ir minds</w:t>
      </w:r>
      <w:r w:rsidR="00412AE1">
        <w:t>.</w:t>
      </w:r>
      <w:r w:rsidR="00E742C6">
        <w:rPr>
          <w:rStyle w:val="FootnoteReference"/>
        </w:rPr>
        <w:footnoteReference w:id="474"/>
      </w:r>
      <w:r>
        <w:t xml:space="preserve"> </w:t>
      </w:r>
      <w:r w:rsidRPr="00576517">
        <w:t>Structured processes for reaching consensus, such as the 5-finger method</w:t>
      </w:r>
      <w:r w:rsidR="00412AE1">
        <w:t>,</w:t>
      </w:r>
      <w:r>
        <w:rPr>
          <w:rStyle w:val="FootnoteReference"/>
        </w:rPr>
        <w:footnoteReference w:id="475"/>
      </w:r>
      <w:r w:rsidR="00E742C6">
        <w:t xml:space="preserve"> </w:t>
      </w:r>
      <w:r w:rsidR="00E742C6">
        <w:rPr>
          <w:rStyle w:val="FootnoteReference"/>
        </w:rPr>
        <w:footnoteReference w:id="476"/>
      </w:r>
      <w:r w:rsidR="00356DCA">
        <w:t xml:space="preserve"> Delphi process</w:t>
      </w:r>
      <w:r w:rsidR="00412AE1">
        <w:t>,</w:t>
      </w:r>
      <w:r w:rsidR="000F0EBA">
        <w:rPr>
          <w:rStyle w:val="FootnoteReference"/>
        </w:rPr>
        <w:footnoteReference w:id="477"/>
      </w:r>
      <w:r w:rsidR="000F0EBA">
        <w:t xml:space="preserve"> </w:t>
      </w:r>
      <w:r w:rsidR="004C738E">
        <w:t xml:space="preserve">and </w:t>
      </w:r>
      <w:r w:rsidR="000F0EBA">
        <w:t>the</w:t>
      </w:r>
      <w:r w:rsidR="00356DCA">
        <w:t xml:space="preserve"> </w:t>
      </w:r>
      <w:r w:rsidR="0072429D">
        <w:t>N</w:t>
      </w:r>
      <w:r w:rsidR="00356DCA">
        <w:t xml:space="preserve">ominal </w:t>
      </w:r>
      <w:r w:rsidR="0072429D">
        <w:t>G</w:t>
      </w:r>
      <w:r w:rsidR="00356DCA">
        <w:t xml:space="preserve">roup </w:t>
      </w:r>
      <w:r w:rsidR="0072429D">
        <w:t>T</w:t>
      </w:r>
      <w:r w:rsidR="00356DCA">
        <w:t>echnique</w:t>
      </w:r>
      <w:r w:rsidR="00BE37BF">
        <w:t>,</w:t>
      </w:r>
      <w:r w:rsidR="000F0EBA">
        <w:rPr>
          <w:rStyle w:val="FootnoteReference"/>
        </w:rPr>
        <w:footnoteReference w:id="478"/>
      </w:r>
      <w:r w:rsidR="00E742C6">
        <w:t xml:space="preserve"> </w:t>
      </w:r>
      <w:r w:rsidR="00E742C6">
        <w:rPr>
          <w:rStyle w:val="FootnoteReference"/>
        </w:rPr>
        <w:footnoteReference w:id="479"/>
      </w:r>
      <w:r w:rsidRPr="00576517">
        <w:t xml:space="preserve"> may help ensure that all partners are included in the decision-making process while increasing efficiency.</w:t>
      </w:r>
      <w:r>
        <w:t xml:space="preserve"> </w:t>
      </w:r>
      <w:r w:rsidR="005D247D">
        <w:t xml:space="preserve">Decisions were made </w:t>
      </w:r>
      <w:r w:rsidR="005D247D" w:rsidRPr="00765A57">
        <w:t xml:space="preserve">through a ‘framework of conversation and guided activities’ </w:t>
      </w:r>
      <w:r w:rsidR="005D247D">
        <w:t>i</w:t>
      </w:r>
      <w:r>
        <w:t xml:space="preserve">n </w:t>
      </w:r>
      <w:r w:rsidR="00087F68">
        <w:t xml:space="preserve">Haya </w:t>
      </w:r>
      <w:proofErr w:type="spellStart"/>
      <w:r w:rsidR="00765A57" w:rsidRPr="00765A57">
        <w:t>Salm</w:t>
      </w:r>
      <w:r w:rsidR="00087F68">
        <w:t>ó</w:t>
      </w:r>
      <w:r w:rsidR="00765A57" w:rsidRPr="00765A57">
        <w:t>n</w:t>
      </w:r>
      <w:proofErr w:type="spellEnd"/>
      <w:r w:rsidR="00765A57" w:rsidRPr="00765A57">
        <w:t xml:space="preserve"> </w:t>
      </w:r>
      <w:r w:rsidR="00B21BF6">
        <w:t>and</w:t>
      </w:r>
      <w:r w:rsidR="00765A57" w:rsidRPr="00765A57">
        <w:t xml:space="preserve"> </w:t>
      </w:r>
      <w:r w:rsidR="00087F68">
        <w:t xml:space="preserve">Rojas </w:t>
      </w:r>
      <w:proofErr w:type="spellStart"/>
      <w:r w:rsidR="00765A57" w:rsidRPr="00765A57">
        <w:t>Pernia</w:t>
      </w:r>
      <w:proofErr w:type="spellEnd"/>
      <w:r w:rsidR="00765A57" w:rsidRPr="00765A57">
        <w:t xml:space="preserve"> (2020</w:t>
      </w:r>
      <w:r w:rsidR="00127FAE">
        <w:t>, p. 743</w:t>
      </w:r>
      <w:r w:rsidR="00765A57" w:rsidRPr="00765A57">
        <w:t>)</w:t>
      </w:r>
      <w:r w:rsidRPr="00765A57">
        <w:t xml:space="preserve">, </w:t>
      </w:r>
      <w:r w:rsidR="005D247D">
        <w:t xml:space="preserve">and through </w:t>
      </w:r>
      <w:r w:rsidR="005D247D" w:rsidRPr="005D247D">
        <w:t>“dis</w:t>
      </w:r>
      <w:r w:rsidR="005D247D">
        <w:t xml:space="preserve">cussion and enthusiastic debate” </w:t>
      </w:r>
      <w:r w:rsidRPr="00765A57">
        <w:t xml:space="preserve">in </w:t>
      </w:r>
      <w:r w:rsidR="00F93218">
        <w:t xml:space="preserve">Mathews, Marshall and Wilkinson </w:t>
      </w:r>
      <w:r w:rsidR="00741487" w:rsidRPr="00741487">
        <w:t>(2020, p.</w:t>
      </w:r>
      <w:r w:rsidR="001824A2">
        <w:t xml:space="preserve"> </w:t>
      </w:r>
      <w:r w:rsidR="00741487" w:rsidRPr="00741487">
        <w:t>24)</w:t>
      </w:r>
      <w:r w:rsidR="00741487">
        <w:t xml:space="preserve">. </w:t>
      </w:r>
    </w:p>
    <w:p w14:paraId="24CD8D04" w14:textId="4AE447A0" w:rsidR="00C91560" w:rsidRDefault="00DB5669" w:rsidP="00C91560">
      <w:r w:rsidRPr="00741487">
        <w:t xml:space="preserve">Of note is that in one study where </w:t>
      </w:r>
      <w:r w:rsidR="000F0EBA" w:rsidRPr="00741487">
        <w:t>decision-making</w:t>
      </w:r>
      <w:r w:rsidRPr="00741487">
        <w:t xml:space="preserve"> power fluctuated among the research partnership, it</w:t>
      </w:r>
      <w:r>
        <w:t xml:space="preserve"> was reported that this</w:t>
      </w:r>
      <w:r w:rsidR="000F0EBA">
        <w:t xml:space="preserve"> did not have a negative impact on co-researchers’ involvement, as long as there was transparency regarding decisions and co-researchers could discuss these decisions</w:t>
      </w:r>
      <w:r w:rsidR="00BE37BF">
        <w:t>.</w:t>
      </w:r>
      <w:r w:rsidR="00E742C6">
        <w:rPr>
          <w:rStyle w:val="FootnoteReference"/>
        </w:rPr>
        <w:footnoteReference w:id="480"/>
      </w:r>
      <w:r w:rsidR="00C91560">
        <w:t xml:space="preserve"> </w:t>
      </w:r>
      <w:r w:rsidR="0029349F">
        <w:t xml:space="preserve">Similarly, </w:t>
      </w:r>
      <w:r w:rsidR="00CB5F52">
        <w:t>according to the Partners</w:t>
      </w:r>
      <w:r w:rsidR="004C738E">
        <w:t xml:space="preserve">2 </w:t>
      </w:r>
      <w:r w:rsidR="00CB5F52">
        <w:t>W</w:t>
      </w:r>
      <w:r w:rsidR="004C738E">
        <w:t xml:space="preserve">riting </w:t>
      </w:r>
      <w:r w:rsidR="00CB5F52">
        <w:t>C</w:t>
      </w:r>
      <w:r w:rsidR="004C738E">
        <w:t>ollective</w:t>
      </w:r>
      <w:r w:rsidR="00CB5F52">
        <w:t xml:space="preserve"> (2020)</w:t>
      </w:r>
      <w:r w:rsidR="004C738E">
        <w:t xml:space="preserve">, </w:t>
      </w:r>
      <w:r w:rsidR="0029349F">
        <w:t xml:space="preserve">limits to the feasibility of shared </w:t>
      </w:r>
      <w:r w:rsidR="004C738E">
        <w:lastRenderedPageBreak/>
        <w:t>decision-</w:t>
      </w:r>
      <w:r w:rsidR="0029349F">
        <w:t>making across the entire research project were accepted by the research team, with the authors hypothesising this was perhaps due to increased trust a</w:t>
      </w:r>
      <w:r w:rsidR="00071466">
        <w:t>mong</w:t>
      </w:r>
      <w:r w:rsidR="0029349F">
        <w:t xml:space="preserve"> members</w:t>
      </w:r>
      <w:r w:rsidR="004C738E">
        <w:t>.</w:t>
      </w:r>
    </w:p>
    <w:p w14:paraId="461D2B11" w14:textId="0B9484A7" w:rsidR="006F24BC" w:rsidRDefault="006F24BC" w:rsidP="00185F8C">
      <w:pPr>
        <w:pStyle w:val="Heading3"/>
      </w:pPr>
      <w:r>
        <w:t xml:space="preserve">Managing </w:t>
      </w:r>
      <w:r w:rsidR="00757F73">
        <w:t>expectations</w:t>
      </w:r>
    </w:p>
    <w:p w14:paraId="3FB5F3E2" w14:textId="0DF3F368" w:rsidR="006F24BC" w:rsidRDefault="000C3DE8" w:rsidP="006F24BC">
      <w:r>
        <w:t>Discussing and managing expectations (e.g. what can reasonably be hoped to achieve from</w:t>
      </w:r>
      <w:r w:rsidR="00071466">
        <w:t xml:space="preserve"> the</w:t>
      </w:r>
      <w:r>
        <w:t xml:space="preserve"> project)</w:t>
      </w:r>
      <w:r w:rsidR="009F4194">
        <w:t xml:space="preserve"> was noted as an important part of the dynamic between researchers and co-researchers</w:t>
      </w:r>
      <w:r w:rsidR="00BE37BF">
        <w:t>.</w:t>
      </w:r>
      <w:r w:rsidR="009C2689">
        <w:rPr>
          <w:rStyle w:val="FootnoteReference"/>
        </w:rPr>
        <w:footnoteReference w:id="481"/>
      </w:r>
      <w:r w:rsidR="009F4194">
        <w:t xml:space="preserve"> </w:t>
      </w:r>
      <w:r w:rsidR="00282DE0">
        <w:t xml:space="preserve"> H</w:t>
      </w:r>
      <w:r w:rsidR="00071466">
        <w:t>owever, m</w:t>
      </w:r>
      <w:r w:rsidR="006F24BC" w:rsidRPr="00E939CC">
        <w:t xml:space="preserve">anaging expectations of what </w:t>
      </w:r>
      <w:r w:rsidR="009F4194">
        <w:t>could</w:t>
      </w:r>
      <w:r w:rsidR="006F24BC" w:rsidRPr="00E939CC">
        <w:t xml:space="preserve"> be achieved </w:t>
      </w:r>
      <w:r w:rsidR="006F24BC">
        <w:t xml:space="preserve">in a project </w:t>
      </w:r>
      <w:r w:rsidR="006F24BC" w:rsidRPr="00E939CC">
        <w:t>was</w:t>
      </w:r>
      <w:r w:rsidR="006F24BC">
        <w:t xml:space="preserve"> </w:t>
      </w:r>
      <w:r w:rsidR="006F24BC" w:rsidRPr="00E939CC">
        <w:t>reported as a challenge in several studies</w:t>
      </w:r>
      <w:r w:rsidR="00BE37BF">
        <w:t>.</w:t>
      </w:r>
      <w:r w:rsidR="001008FD">
        <w:rPr>
          <w:rStyle w:val="FootnoteReference"/>
        </w:rPr>
        <w:footnoteReference w:id="482"/>
      </w:r>
      <w:r w:rsidR="006F24BC" w:rsidRPr="00E939CC">
        <w:t xml:space="preserve"> Researchers could overestimate what co-researchers were capable of in the given timeframe and also what was feasible to cover in meetings</w:t>
      </w:r>
      <w:r w:rsidR="00BE37BF">
        <w:t>.</w:t>
      </w:r>
      <w:r w:rsidR="001008FD">
        <w:rPr>
          <w:rStyle w:val="FootnoteReference"/>
        </w:rPr>
        <w:footnoteReference w:id="483"/>
      </w:r>
      <w:r w:rsidR="006F24BC" w:rsidRPr="00E939CC">
        <w:t xml:space="preserve"> One study noted that tensions arose when researchers </w:t>
      </w:r>
      <w:r w:rsidR="006F24BC">
        <w:t>wanted</w:t>
      </w:r>
      <w:r w:rsidR="006F24BC" w:rsidRPr="00E939CC">
        <w:t xml:space="preserve"> people with intellectual disabilities to do the same activities </w:t>
      </w:r>
      <w:r w:rsidR="006F24BC">
        <w:t>as the researchers during the research process</w:t>
      </w:r>
      <w:r w:rsidR="00BE37BF">
        <w:t>.</w:t>
      </w:r>
      <w:r w:rsidR="001008FD">
        <w:rPr>
          <w:rStyle w:val="FootnoteReference"/>
        </w:rPr>
        <w:footnoteReference w:id="484"/>
      </w:r>
      <w:r w:rsidR="006F24BC">
        <w:t xml:space="preserve"> </w:t>
      </w:r>
      <w:r w:rsidR="006F24BC" w:rsidRPr="00E939CC">
        <w:t>This led to disappointment and disempowerment in situations where t</w:t>
      </w:r>
      <w:r w:rsidR="006F24BC">
        <w:t>his did not work out</w:t>
      </w:r>
      <w:r w:rsidR="006F24BC" w:rsidRPr="00E939CC">
        <w:t>.</w:t>
      </w:r>
      <w:r w:rsidR="006F24BC" w:rsidRPr="005450DE">
        <w:t xml:space="preserve"> </w:t>
      </w:r>
      <w:r w:rsidR="006F24BC" w:rsidRPr="00E939CC">
        <w:t xml:space="preserve">On the other hand, co-researchers may </w:t>
      </w:r>
      <w:r w:rsidR="006F24BC">
        <w:t xml:space="preserve">also </w:t>
      </w:r>
      <w:r w:rsidR="006F24BC" w:rsidRPr="00E939CC">
        <w:t>have unrealistic expectations about what is feasible, implementable and how quickly change can happen</w:t>
      </w:r>
      <w:r w:rsidR="00BE37BF">
        <w:t>.</w:t>
      </w:r>
      <w:r w:rsidR="001008FD">
        <w:rPr>
          <w:rStyle w:val="FootnoteReference"/>
        </w:rPr>
        <w:footnoteReference w:id="485"/>
      </w:r>
      <w:r w:rsidR="006F24BC" w:rsidRPr="00E939CC">
        <w:t xml:space="preserve"> Some suggestions for managing expectations include ensuring each step </w:t>
      </w:r>
      <w:r w:rsidR="006F24BC">
        <w:t>is</w:t>
      </w:r>
      <w:r w:rsidR="006F24BC" w:rsidRPr="00E939CC">
        <w:t xml:space="preserve"> open to discussion and joint decision</w:t>
      </w:r>
      <w:r w:rsidR="006F24BC">
        <w:t>-</w:t>
      </w:r>
      <w:r w:rsidR="006F24BC" w:rsidRPr="00E939CC">
        <w:t xml:space="preserve">making, </w:t>
      </w:r>
      <w:r w:rsidR="006F24BC">
        <w:t>adapting</w:t>
      </w:r>
      <w:r w:rsidR="006F24BC" w:rsidRPr="00E939CC">
        <w:t xml:space="preserve"> to co-researchers’ ne</w:t>
      </w:r>
      <w:r w:rsidR="006F24BC">
        <w:t>eds, collaboratively deciding</w:t>
      </w:r>
      <w:r w:rsidR="006F24BC" w:rsidRPr="00E939CC">
        <w:t xml:space="preserve"> what is feasible to cover in meetings, </w:t>
      </w:r>
      <w:r w:rsidR="006F24BC">
        <w:t>involving</w:t>
      </w:r>
      <w:r w:rsidR="006F24BC" w:rsidRPr="00E939CC">
        <w:t xml:space="preserve"> a neutral ‘knowledge broker’</w:t>
      </w:r>
      <w:r w:rsidR="006F24BC">
        <w:t xml:space="preserve"> in discussions</w:t>
      </w:r>
      <w:r w:rsidR="006F24BC" w:rsidRPr="00E939CC">
        <w:t xml:space="preserve">, and ongoing reflection </w:t>
      </w:r>
      <w:r w:rsidR="006F24BC">
        <w:t>by the research team</w:t>
      </w:r>
      <w:r w:rsidR="00BE37BF">
        <w:t>.</w:t>
      </w:r>
      <w:r w:rsidR="001008FD">
        <w:rPr>
          <w:rStyle w:val="FootnoteReference"/>
        </w:rPr>
        <w:footnoteReference w:id="486"/>
      </w:r>
      <w:r w:rsidR="006F24BC">
        <w:t xml:space="preserve"> </w:t>
      </w:r>
    </w:p>
    <w:p w14:paraId="498886C6" w14:textId="24065FD2" w:rsidR="00D539C0" w:rsidRDefault="00D539C0" w:rsidP="00B31DD6">
      <w:pPr>
        <w:pStyle w:val="Heading2"/>
      </w:pPr>
      <w:bookmarkStart w:id="64" w:name="_Toc116916224"/>
      <w:r>
        <w:t>Facilitating the involvement of co-researchers</w:t>
      </w:r>
      <w:bookmarkEnd w:id="64"/>
    </w:p>
    <w:p w14:paraId="16089717" w14:textId="274FC235" w:rsidR="00757F73" w:rsidRDefault="00757F73" w:rsidP="00B31DD6">
      <w:r>
        <w:t xml:space="preserve">Co-researchers with disabilities will require support and consideration to facilitate their engagement as research partners, due to not having had experience as a researcher previously, and/or due to particular support needs they might require. </w:t>
      </w:r>
      <w:r w:rsidR="00B62F89">
        <w:t>The studies reviewed</w:t>
      </w:r>
      <w:r>
        <w:t xml:space="preserve"> used a range of methods to facilitate the involvement of co-researchers in research projects. In several studies co-</w:t>
      </w:r>
      <w:r>
        <w:lastRenderedPageBreak/>
        <w:t xml:space="preserve">researchers </w:t>
      </w:r>
      <w:r w:rsidR="00B62F89">
        <w:t>were able to participate</w:t>
      </w:r>
      <w:r>
        <w:t xml:space="preserve"> in the project in a range of different ways</w:t>
      </w:r>
      <w:r w:rsidR="00BE37BF">
        <w:t>,</w:t>
      </w:r>
      <w:r w:rsidR="001008FD">
        <w:rPr>
          <w:rStyle w:val="FootnoteReference"/>
        </w:rPr>
        <w:footnoteReference w:id="487"/>
      </w:r>
      <w:r>
        <w:t xml:space="preserve"> including face to face, by email, by teleconference or by videoconferencing</w:t>
      </w:r>
      <w:r w:rsidR="00BE37BF">
        <w:t>.</w:t>
      </w:r>
      <w:r w:rsidR="001008FD">
        <w:rPr>
          <w:rStyle w:val="FootnoteReference"/>
        </w:rPr>
        <w:footnoteReference w:id="488"/>
      </w:r>
      <w:r w:rsidR="003C4A58">
        <w:t xml:space="preserve"> Other studies discussed using tools or materials to support involvement</w:t>
      </w:r>
      <w:r w:rsidR="001008FD">
        <w:rPr>
          <w:rStyle w:val="FootnoteReference"/>
        </w:rPr>
        <w:footnoteReference w:id="489"/>
      </w:r>
      <w:r w:rsidR="003C4A58">
        <w:t xml:space="preserve"> such as handbooks</w:t>
      </w:r>
      <w:r w:rsidR="00BE37BF">
        <w:t>,</w:t>
      </w:r>
      <w:r w:rsidR="001008FD">
        <w:rPr>
          <w:rStyle w:val="FootnoteReference"/>
        </w:rPr>
        <w:footnoteReference w:id="490"/>
      </w:r>
      <w:r w:rsidR="003C4A58">
        <w:t xml:space="preserve"> telephone scripts</w:t>
      </w:r>
      <w:r w:rsidR="001008FD">
        <w:rPr>
          <w:rStyle w:val="FootnoteReference"/>
        </w:rPr>
        <w:footnoteReference w:id="491"/>
      </w:r>
      <w:r w:rsidR="003C4A58">
        <w:t xml:space="preserve"> and visual aids</w:t>
      </w:r>
      <w:r w:rsidR="00BE37BF">
        <w:t>.</w:t>
      </w:r>
      <w:r w:rsidR="001008FD">
        <w:rPr>
          <w:rStyle w:val="FootnoteReference"/>
        </w:rPr>
        <w:footnoteReference w:id="492"/>
      </w:r>
      <w:r w:rsidR="003C4A58">
        <w:t xml:space="preserve"> </w:t>
      </w:r>
      <w:r w:rsidR="00087F68">
        <w:t xml:space="preserve">Haya </w:t>
      </w:r>
      <w:proofErr w:type="spellStart"/>
      <w:r w:rsidR="003C4A58">
        <w:t>Salm</w:t>
      </w:r>
      <w:r w:rsidR="00087F68">
        <w:t>ó</w:t>
      </w:r>
      <w:r w:rsidR="003C4A58">
        <w:t>n</w:t>
      </w:r>
      <w:proofErr w:type="spellEnd"/>
      <w:r w:rsidR="003C4A58">
        <w:t xml:space="preserve"> </w:t>
      </w:r>
      <w:r w:rsidR="00B21BF6">
        <w:t>and</w:t>
      </w:r>
      <w:r w:rsidR="003C4A58">
        <w:t xml:space="preserve"> </w:t>
      </w:r>
      <w:r w:rsidR="00087F68">
        <w:t xml:space="preserve">Rojas </w:t>
      </w:r>
      <w:proofErr w:type="spellStart"/>
      <w:r w:rsidR="003C4A58">
        <w:t>Pernia</w:t>
      </w:r>
      <w:proofErr w:type="spellEnd"/>
      <w:r w:rsidR="003C4A58">
        <w:t xml:space="preserve"> (2020)</w:t>
      </w:r>
      <w:r>
        <w:t xml:space="preserve"> </w:t>
      </w:r>
      <w:r w:rsidR="003C4A58">
        <w:t xml:space="preserve">using </w:t>
      </w:r>
      <w:r>
        <w:t>Image Theatre</w:t>
      </w:r>
      <w:r w:rsidR="00BE37BF">
        <w:t>,</w:t>
      </w:r>
      <w:r>
        <w:rPr>
          <w:rStyle w:val="FootnoteReference"/>
        </w:rPr>
        <w:footnoteReference w:id="493"/>
      </w:r>
      <w:r>
        <w:t xml:space="preserve"> personal o</w:t>
      </w:r>
      <w:r w:rsidR="00B62F89">
        <w:t>bjects, plastic and visual art</w:t>
      </w:r>
      <w:r w:rsidR="003C4A58">
        <w:t xml:space="preserve">. </w:t>
      </w:r>
      <w:r>
        <w:rPr>
          <w:lang w:eastAsia="en-IE"/>
        </w:rPr>
        <w:t>In a number of studies, an individual or individuals acted as a liaison between the co-researchers and researchers, ensuring for example, their support needs were anticipated and met, the project was flexible and their involvement was encouraged</w:t>
      </w:r>
      <w:r w:rsidR="00BE37BF">
        <w:rPr>
          <w:lang w:eastAsia="en-IE"/>
        </w:rPr>
        <w:t>.</w:t>
      </w:r>
      <w:r w:rsidR="001008FD">
        <w:rPr>
          <w:rStyle w:val="FootnoteReference"/>
          <w:lang w:eastAsia="en-IE"/>
        </w:rPr>
        <w:footnoteReference w:id="494"/>
      </w:r>
      <w:r>
        <w:rPr>
          <w:lang w:eastAsia="en-IE"/>
        </w:rPr>
        <w:t xml:space="preserve"> </w:t>
      </w:r>
      <w:r w:rsidR="00B62F89">
        <w:rPr>
          <w:lang w:eastAsia="en-IE"/>
        </w:rPr>
        <w:t>Similarly, i</w:t>
      </w:r>
      <w:r>
        <w:rPr>
          <w:lang w:eastAsia="en-IE"/>
        </w:rPr>
        <w:t>n a number of other studies, teams had access to individuals whose role it was to support PPI involvement</w:t>
      </w:r>
      <w:r w:rsidR="00BE37BF">
        <w:rPr>
          <w:lang w:eastAsia="en-IE"/>
        </w:rPr>
        <w:t>.</w:t>
      </w:r>
      <w:r w:rsidR="001008FD">
        <w:rPr>
          <w:rStyle w:val="FootnoteReference"/>
          <w:lang w:eastAsia="en-IE"/>
        </w:rPr>
        <w:footnoteReference w:id="495"/>
      </w:r>
      <w:r w:rsidR="000D1CB4">
        <w:rPr>
          <w:lang w:eastAsia="en-IE"/>
        </w:rPr>
        <w:t xml:space="preserve"> Co-researchers were also facilitated in various ways to take part in </w:t>
      </w:r>
      <w:r w:rsidR="00B62F89">
        <w:rPr>
          <w:lang w:eastAsia="en-IE"/>
        </w:rPr>
        <w:t>specific parts of the</w:t>
      </w:r>
      <w:r w:rsidR="000D1CB4">
        <w:rPr>
          <w:lang w:eastAsia="en-IE"/>
        </w:rPr>
        <w:t xml:space="preserve"> research process</w:t>
      </w:r>
      <w:r w:rsidR="00B62F89">
        <w:rPr>
          <w:lang w:eastAsia="en-IE"/>
        </w:rPr>
        <w:t xml:space="preserve"> and these will be discussed </w:t>
      </w:r>
      <w:r w:rsidR="000D1CB4">
        <w:rPr>
          <w:lang w:eastAsia="en-IE"/>
        </w:rPr>
        <w:t>in the later section “Involvement of co-researchers in different stages of the research process”.</w:t>
      </w:r>
    </w:p>
    <w:p w14:paraId="2E9A6BF5" w14:textId="77777777" w:rsidR="00DB5669" w:rsidRDefault="00DB5669" w:rsidP="00B31DD6">
      <w:pPr>
        <w:pStyle w:val="Heading3"/>
      </w:pPr>
      <w:bookmarkStart w:id="65" w:name="_Toc104925127"/>
      <w:r>
        <w:t>Accessibility and accommodations</w:t>
      </w:r>
      <w:bookmarkEnd w:id="65"/>
    </w:p>
    <w:p w14:paraId="752C6619" w14:textId="50557FE7" w:rsidR="00DB5669" w:rsidRDefault="00DB5669" w:rsidP="00DB5669">
      <w:r>
        <w:t xml:space="preserve">Accessibility needs to be a key consideration in all </w:t>
      </w:r>
      <w:r w:rsidR="00C2612D">
        <w:t xml:space="preserve">collaborative research </w:t>
      </w:r>
      <w:r>
        <w:t xml:space="preserve">projects to enable the full and equal involvement of co-researchers with disabilities. One study recommended that accessibility </w:t>
      </w:r>
      <w:r w:rsidR="00B62F89">
        <w:t>be</w:t>
      </w:r>
      <w:r>
        <w:t xml:space="preserve"> checked with co-researchers t</w:t>
      </w:r>
      <w:r w:rsidR="00E77374">
        <w:t>hroughout the project</w:t>
      </w:r>
      <w:r w:rsidR="00BE37BF">
        <w:t>.</w:t>
      </w:r>
      <w:r w:rsidR="001008FD">
        <w:rPr>
          <w:rStyle w:val="FootnoteReference"/>
        </w:rPr>
        <w:footnoteReference w:id="496"/>
      </w:r>
      <w:r>
        <w:t xml:space="preserve"> </w:t>
      </w:r>
      <w:r w:rsidR="00244060">
        <w:t>Consideration of accessibility is the minimum that should be expected in collaborative research projects. However, some c</w:t>
      </w:r>
      <w:r w:rsidR="00244060" w:rsidRPr="00CF71D9">
        <w:t xml:space="preserve">o-researchers will have </w:t>
      </w:r>
      <w:r w:rsidR="00244060">
        <w:t>unique</w:t>
      </w:r>
      <w:r w:rsidR="00244060" w:rsidRPr="00CF71D9">
        <w:t xml:space="preserve"> support needs</w:t>
      </w:r>
      <w:r w:rsidR="00BE37BF">
        <w:t>,</w:t>
      </w:r>
      <w:r w:rsidR="001008FD">
        <w:rPr>
          <w:rStyle w:val="FootnoteReference"/>
        </w:rPr>
        <w:footnoteReference w:id="497"/>
      </w:r>
      <w:r w:rsidR="00244060">
        <w:t xml:space="preserve"> and many studies referred to other accommodations and supports that were or should be provided to facilitate the </w:t>
      </w:r>
      <w:r w:rsidR="00244060">
        <w:lastRenderedPageBreak/>
        <w:t>full involvement of co-researchers</w:t>
      </w:r>
      <w:r w:rsidR="00BE37BF">
        <w:t>.</w:t>
      </w:r>
      <w:r w:rsidR="001008FD">
        <w:rPr>
          <w:rStyle w:val="FootnoteReference"/>
        </w:rPr>
        <w:footnoteReference w:id="498"/>
      </w:r>
      <w:r w:rsidR="00244060">
        <w:t xml:space="preserve"> </w:t>
      </w:r>
      <w:r w:rsidR="00CC5F86">
        <w:t>Studies highlighted the need to ensure the accessibility and</w:t>
      </w:r>
      <w:r w:rsidR="00C0059D">
        <w:t xml:space="preserve"> availability of</w:t>
      </w:r>
      <w:r w:rsidR="00CC5F86">
        <w:t xml:space="preserve"> necessary accommodation</w:t>
      </w:r>
      <w:r w:rsidR="00985076">
        <w:t xml:space="preserve">s in the areas of communication and informational materials, venues and the working environment, transport and travel times for co-researchers to attend meetings and research activities, </w:t>
      </w:r>
      <w:r w:rsidR="00C0059D">
        <w:t xml:space="preserve">and </w:t>
      </w:r>
      <w:r w:rsidR="00985076">
        <w:t>with regard to time, support people</w:t>
      </w:r>
      <w:r w:rsidR="00B93156">
        <w:t xml:space="preserve">, </w:t>
      </w:r>
      <w:r w:rsidR="00985076">
        <w:t>support animals</w:t>
      </w:r>
      <w:r w:rsidR="00B93156">
        <w:t xml:space="preserve">, and technology. </w:t>
      </w:r>
      <w:r w:rsidR="000D1CB4">
        <w:t xml:space="preserve">These will be discussed further in the sections below. </w:t>
      </w:r>
    </w:p>
    <w:p w14:paraId="77FF862E" w14:textId="28715560" w:rsidR="00187B8C" w:rsidRDefault="00187B8C" w:rsidP="00737FC7">
      <w:pPr>
        <w:pStyle w:val="Heading4"/>
      </w:pPr>
      <w:r>
        <w:t>Communication and informational materials</w:t>
      </w:r>
    </w:p>
    <w:p w14:paraId="1F4FFED8" w14:textId="0C2F6367" w:rsidR="00A25AF5" w:rsidRDefault="00C2520E" w:rsidP="00806BC7">
      <w:r>
        <w:t xml:space="preserve">Studies referred to the importance of accessible communication and informational materials. </w:t>
      </w:r>
      <w:r w:rsidR="007D01A8">
        <w:t>This</w:t>
      </w:r>
      <w:r>
        <w:t xml:space="preserve"> included</w:t>
      </w:r>
      <w:r w:rsidR="007D01A8">
        <w:t xml:space="preserve"> the accessibility of</w:t>
      </w:r>
      <w:r>
        <w:t xml:space="preserve"> l</w:t>
      </w:r>
      <w:r w:rsidR="00DB5669" w:rsidRPr="00860DAB">
        <w:t>anguage used</w:t>
      </w:r>
      <w:r w:rsidR="00BE37BF">
        <w:t>,</w:t>
      </w:r>
      <w:r w:rsidR="001008FD">
        <w:rPr>
          <w:rStyle w:val="FootnoteReference"/>
        </w:rPr>
        <w:footnoteReference w:id="499"/>
      </w:r>
      <w:r w:rsidR="00BE37BF">
        <w:t xml:space="preserve"> e.g.</w:t>
      </w:r>
      <w:r w:rsidR="00E77374">
        <w:t xml:space="preserve"> </w:t>
      </w:r>
      <w:r w:rsidR="00A7708C" w:rsidRPr="00860DAB">
        <w:rPr>
          <w:rFonts w:cs="Calibri"/>
          <w:color w:val="000000"/>
          <w:lang w:eastAsia="en-IE"/>
        </w:rPr>
        <w:t xml:space="preserve">simple and jargon-free language, </w:t>
      </w:r>
      <w:r w:rsidR="00E77374">
        <w:rPr>
          <w:rFonts w:cs="Calibri"/>
          <w:color w:val="000000"/>
          <w:lang w:eastAsia="en-IE"/>
        </w:rPr>
        <w:t xml:space="preserve">and </w:t>
      </w:r>
      <w:r w:rsidR="00A7708C" w:rsidRPr="00860DAB">
        <w:rPr>
          <w:rFonts w:cs="Calibri"/>
          <w:color w:val="000000"/>
          <w:lang w:eastAsia="en-IE"/>
        </w:rPr>
        <w:t>reducing</w:t>
      </w:r>
      <w:r w:rsidR="007D01A8">
        <w:rPr>
          <w:rFonts w:cs="Calibri"/>
          <w:color w:val="000000"/>
          <w:lang w:eastAsia="en-IE"/>
        </w:rPr>
        <w:t xml:space="preserve"> the use of</w:t>
      </w:r>
      <w:r w:rsidR="00A7708C" w:rsidRPr="00860DAB">
        <w:rPr>
          <w:rFonts w:cs="Calibri"/>
          <w:color w:val="000000"/>
          <w:lang w:eastAsia="en-IE"/>
        </w:rPr>
        <w:t xml:space="preserve"> abstract language or concepts</w:t>
      </w:r>
      <w:r w:rsidR="00BE37BF">
        <w:rPr>
          <w:rFonts w:cs="Calibri"/>
          <w:color w:val="000000"/>
          <w:lang w:eastAsia="en-IE"/>
        </w:rPr>
        <w:t>.</w:t>
      </w:r>
      <w:r w:rsidR="001008FD">
        <w:rPr>
          <w:rStyle w:val="FootnoteReference"/>
          <w:rFonts w:cs="Calibri"/>
          <w:color w:val="000000"/>
          <w:lang w:eastAsia="en-IE"/>
        </w:rPr>
        <w:footnoteReference w:id="500"/>
      </w:r>
      <w:r w:rsidR="007D01A8">
        <w:rPr>
          <w:rFonts w:cs="Calibri"/>
          <w:color w:val="000000"/>
          <w:lang w:eastAsia="en-IE"/>
        </w:rPr>
        <w:t xml:space="preserve"> </w:t>
      </w:r>
      <w:r w:rsidR="00B62F89">
        <w:t>Accessibility regarding the m</w:t>
      </w:r>
      <w:r w:rsidR="007D01A8" w:rsidRPr="00860DAB">
        <w:t>ethods</w:t>
      </w:r>
      <w:r w:rsidR="007D01A8">
        <w:t xml:space="preserve"> of communication</w:t>
      </w:r>
      <w:r w:rsidR="001008FD">
        <w:rPr>
          <w:rStyle w:val="FootnoteReference"/>
        </w:rPr>
        <w:footnoteReference w:id="501"/>
      </w:r>
      <w:r w:rsidR="007D01A8">
        <w:t xml:space="preserve"> also need to be considered, for example ensuring the provision of</w:t>
      </w:r>
      <w:r w:rsidR="002468F4">
        <w:t xml:space="preserve"> Sign Language or other interpretation </w:t>
      </w:r>
      <w:r w:rsidR="007D01A8">
        <w:t xml:space="preserve">or using techniques such as </w:t>
      </w:r>
      <w:r w:rsidR="002468F4">
        <w:t xml:space="preserve">structured email formats </w:t>
      </w:r>
      <w:r w:rsidR="00AD74BB">
        <w:t>or individualized alerts and reminders</w:t>
      </w:r>
      <w:r w:rsidR="00BE37BF">
        <w:t>.</w:t>
      </w:r>
      <w:r w:rsidR="001008FD">
        <w:rPr>
          <w:rStyle w:val="FootnoteReference"/>
        </w:rPr>
        <w:footnoteReference w:id="502"/>
      </w:r>
      <w:r w:rsidR="00AD74BB">
        <w:t xml:space="preserve"> </w:t>
      </w:r>
      <w:r w:rsidR="004E3830">
        <w:t xml:space="preserve">As previously noted, </w:t>
      </w:r>
      <w:proofErr w:type="spellStart"/>
      <w:r w:rsidR="004E3830">
        <w:t>Frankena</w:t>
      </w:r>
      <w:proofErr w:type="spellEnd"/>
      <w:r w:rsidR="004E3830">
        <w:t xml:space="preserve"> </w:t>
      </w:r>
      <w:r w:rsidR="00185C11" w:rsidRPr="00185C11">
        <w:rPr>
          <w:i/>
        </w:rPr>
        <w:t xml:space="preserve">et al. </w:t>
      </w:r>
      <w:r w:rsidR="001008FD">
        <w:t>(</w:t>
      </w:r>
      <w:r w:rsidR="004E3830">
        <w:t>2015</w:t>
      </w:r>
      <w:r w:rsidR="001008FD">
        <w:t>)</w:t>
      </w:r>
      <w:r w:rsidR="004E3830">
        <w:t xml:space="preserve"> refer</w:t>
      </w:r>
      <w:r w:rsidR="00A42324">
        <w:t>red</w:t>
      </w:r>
      <w:r w:rsidR="004E3830">
        <w:t xml:space="preserve"> to the importance of using communication </w:t>
      </w:r>
      <w:r w:rsidR="00A42324">
        <w:t>technology</w:t>
      </w:r>
      <w:r w:rsidR="004E3830">
        <w:t xml:space="preserve"> such as Talking Mats</w:t>
      </w:r>
      <w:r w:rsidR="004E3830">
        <w:rPr>
          <w:rStyle w:val="FootnoteReference"/>
        </w:rPr>
        <w:footnoteReference w:id="503"/>
      </w:r>
      <w:r w:rsidR="00A25AF5">
        <w:t xml:space="preserve"> and in Dewa </w:t>
      </w:r>
      <w:r w:rsidR="00185C11" w:rsidRPr="00185C11">
        <w:rPr>
          <w:i/>
        </w:rPr>
        <w:t xml:space="preserve">et al. </w:t>
      </w:r>
      <w:r w:rsidR="00A25AF5">
        <w:t xml:space="preserve">(2020) co-researchers were able to </w:t>
      </w:r>
      <w:r w:rsidR="00A42324">
        <w:t>take and store</w:t>
      </w:r>
      <w:r w:rsidR="00A25AF5">
        <w:t xml:space="preserve"> notes in a range of formats while using the Evernote app</w:t>
      </w:r>
      <w:r w:rsidR="00BE37BF">
        <w:t>.</w:t>
      </w:r>
      <w:r w:rsidR="00BE37BF">
        <w:rPr>
          <w:rStyle w:val="FootnoteReference"/>
        </w:rPr>
        <w:footnoteReference w:id="504"/>
      </w:r>
      <w:r w:rsidR="00A25AF5">
        <w:t xml:space="preserve"> </w:t>
      </w:r>
    </w:p>
    <w:p w14:paraId="56E5364A" w14:textId="3F2B6BBF" w:rsidR="002468F4" w:rsidRPr="00860DAB" w:rsidRDefault="008415F3" w:rsidP="00737FC7">
      <w:r>
        <w:t>The accessibility of all informational materials pertaining to the research needs to be considered</w:t>
      </w:r>
      <w:r w:rsidR="00BE37BF">
        <w:t>,</w:t>
      </w:r>
      <w:r w:rsidR="001008FD">
        <w:rPr>
          <w:rStyle w:val="FootnoteReference"/>
        </w:rPr>
        <w:footnoteReference w:id="505"/>
      </w:r>
      <w:r w:rsidR="00DB5669">
        <w:t xml:space="preserve"> including </w:t>
      </w:r>
      <w:r>
        <w:t xml:space="preserve">for example, </w:t>
      </w:r>
      <w:r w:rsidR="00DC6F88">
        <w:t>meeting materials</w:t>
      </w:r>
      <w:r w:rsidR="00BE37BF">
        <w:t>,</w:t>
      </w:r>
      <w:r w:rsidR="001008FD">
        <w:rPr>
          <w:rStyle w:val="FootnoteReference"/>
        </w:rPr>
        <w:footnoteReference w:id="506"/>
      </w:r>
      <w:r w:rsidR="00DC6F88">
        <w:t xml:space="preserve"> </w:t>
      </w:r>
      <w:r>
        <w:t xml:space="preserve">and </w:t>
      </w:r>
      <w:r w:rsidR="00DB5669">
        <w:t xml:space="preserve">recruitment </w:t>
      </w:r>
      <w:r w:rsidR="00DB5669">
        <w:lastRenderedPageBreak/>
        <w:t>materials</w:t>
      </w:r>
      <w:r w:rsidR="00BE37BF">
        <w:t>.</w:t>
      </w:r>
      <w:r w:rsidR="001008FD">
        <w:rPr>
          <w:rStyle w:val="FootnoteReference"/>
        </w:rPr>
        <w:footnoteReference w:id="507"/>
      </w:r>
      <w:r>
        <w:t xml:space="preserve"> This also includes p</w:t>
      </w:r>
      <w:r w:rsidR="002468F4">
        <w:t>roject outputs</w:t>
      </w:r>
      <w:r w:rsidR="001008FD">
        <w:rPr>
          <w:rStyle w:val="FootnoteReference"/>
        </w:rPr>
        <w:footnoteReference w:id="508"/>
      </w:r>
      <w:r w:rsidR="00031B62">
        <w:t xml:space="preserve"> which</w:t>
      </w:r>
      <w:r w:rsidR="002468F4">
        <w:t xml:space="preserve"> might include considering producing outputs that are not typical in traditional research including exhibitions and performances</w:t>
      </w:r>
      <w:r w:rsidR="00BE37BF">
        <w:t>.</w:t>
      </w:r>
      <w:r w:rsidR="001008FD">
        <w:rPr>
          <w:rStyle w:val="FootnoteReference"/>
        </w:rPr>
        <w:footnoteReference w:id="509"/>
      </w:r>
      <w:r>
        <w:t xml:space="preserve"> Studies also refer</w:t>
      </w:r>
      <w:r w:rsidR="00D92E6D">
        <w:t>red</w:t>
      </w:r>
      <w:r>
        <w:t xml:space="preserve"> to considering different formats of infor</w:t>
      </w:r>
      <w:r w:rsidR="00D32C12">
        <w:t>mation, including visuals (e.g.</w:t>
      </w:r>
      <w:r>
        <w:t xml:space="preserve"> </w:t>
      </w:r>
      <w:proofErr w:type="spellStart"/>
      <w:r>
        <w:t>PhotoSymbols</w:t>
      </w:r>
      <w:proofErr w:type="spellEnd"/>
      <w:r w:rsidR="00307ADD">
        <w:rPr>
          <w:rStyle w:val="FootnoteReference"/>
        </w:rPr>
        <w:footnoteReference w:id="510"/>
      </w:r>
      <w:r w:rsidR="00307ADD">
        <w:t>)</w:t>
      </w:r>
      <w:r w:rsidRPr="0037151C">
        <w:t xml:space="preserve">, </w:t>
      </w:r>
      <w:r>
        <w:t>videos, and audio recordings</w:t>
      </w:r>
      <w:r w:rsidR="00BE37BF">
        <w:t>.</w:t>
      </w:r>
      <w:r w:rsidR="00307ADD">
        <w:rPr>
          <w:rStyle w:val="FootnoteReference"/>
        </w:rPr>
        <w:footnoteReference w:id="511"/>
      </w:r>
      <w:r>
        <w:t xml:space="preserve"> A number of studies discussed a</w:t>
      </w:r>
      <w:r w:rsidR="002468F4" w:rsidRPr="00860DAB">
        <w:t>dapting informational</w:t>
      </w:r>
      <w:r w:rsidR="002468F4">
        <w:t>/reading materials</w:t>
      </w:r>
      <w:r>
        <w:t xml:space="preserve"> for co-researchers</w:t>
      </w:r>
      <w:r w:rsidR="002468F4">
        <w:t xml:space="preserve">, for example, </w:t>
      </w:r>
      <w:r w:rsidR="002468F4" w:rsidRPr="00737FC7">
        <w:rPr>
          <w:rFonts w:cs="Calibri"/>
          <w:color w:val="000000"/>
          <w:lang w:eastAsia="en-IE"/>
        </w:rPr>
        <w:t>using large font</w:t>
      </w:r>
      <w:r w:rsidR="00BE37BF">
        <w:rPr>
          <w:rFonts w:cs="Calibri"/>
          <w:color w:val="000000"/>
          <w:lang w:eastAsia="en-IE"/>
        </w:rPr>
        <w:t>,</w:t>
      </w:r>
      <w:r w:rsidR="00307ADD">
        <w:rPr>
          <w:rStyle w:val="FootnoteReference"/>
          <w:rFonts w:cs="Calibri"/>
          <w:color w:val="000000"/>
          <w:lang w:eastAsia="en-IE"/>
        </w:rPr>
        <w:footnoteReference w:id="512"/>
      </w:r>
      <w:r w:rsidR="002468F4" w:rsidRPr="00737FC7">
        <w:rPr>
          <w:rFonts w:cs="Calibri"/>
          <w:color w:val="000000"/>
          <w:lang w:eastAsia="en-IE"/>
        </w:rPr>
        <w:t xml:space="preserve"> using black writing on coloured paper</w:t>
      </w:r>
      <w:r w:rsidR="00BE37BF">
        <w:rPr>
          <w:rFonts w:cs="Calibri"/>
          <w:color w:val="000000"/>
          <w:lang w:eastAsia="en-IE"/>
        </w:rPr>
        <w:t>,</w:t>
      </w:r>
      <w:r w:rsidR="00307ADD">
        <w:rPr>
          <w:rStyle w:val="FootnoteReference"/>
          <w:rFonts w:cs="Calibri"/>
          <w:color w:val="000000"/>
          <w:lang w:eastAsia="en-IE"/>
        </w:rPr>
        <w:footnoteReference w:id="513"/>
      </w:r>
      <w:r w:rsidR="002468F4" w:rsidRPr="00737FC7">
        <w:rPr>
          <w:rFonts w:cs="Calibri"/>
          <w:color w:val="000000"/>
          <w:lang w:eastAsia="en-IE"/>
        </w:rPr>
        <w:t xml:space="preserve"> and using pictures, word cards or story boards</w:t>
      </w:r>
      <w:r w:rsidR="00BE37BF">
        <w:rPr>
          <w:rFonts w:cs="Calibri"/>
          <w:color w:val="000000"/>
          <w:lang w:eastAsia="en-IE"/>
        </w:rPr>
        <w:t>.</w:t>
      </w:r>
      <w:r w:rsidR="00307ADD">
        <w:rPr>
          <w:rStyle w:val="FootnoteReference"/>
          <w:rFonts w:cs="Calibri"/>
          <w:color w:val="000000"/>
          <w:lang w:eastAsia="en-IE"/>
        </w:rPr>
        <w:footnoteReference w:id="514"/>
      </w:r>
    </w:p>
    <w:p w14:paraId="5F8C3C1A" w14:textId="2C16E5C9" w:rsidR="001B04D6" w:rsidRDefault="00C44D94" w:rsidP="001B04D6">
      <w:pPr>
        <w:pStyle w:val="Heading4"/>
      </w:pPr>
      <w:r>
        <w:t>Venues, transport and travel time</w:t>
      </w:r>
    </w:p>
    <w:p w14:paraId="104263C0" w14:textId="17C07D10" w:rsidR="00D33164" w:rsidRDefault="001B04D6" w:rsidP="00737FC7">
      <w:r>
        <w:t>The accessibility of venues needs to be considered in collaborative research, including venues for meetings</w:t>
      </w:r>
      <w:r w:rsidR="00D92E6D">
        <w:t>, research activities</w:t>
      </w:r>
      <w:r>
        <w:t xml:space="preserve"> and overnight accommodation</w:t>
      </w:r>
      <w:r w:rsidR="00BE37BF">
        <w:t>.</w:t>
      </w:r>
      <w:r w:rsidR="00307ADD">
        <w:rPr>
          <w:rStyle w:val="FootnoteReference"/>
        </w:rPr>
        <w:footnoteReference w:id="515"/>
      </w:r>
      <w:r>
        <w:t xml:space="preserve"> In addition to being physically accessible, consideration needs to be given to aspects such as lighting, signposting</w:t>
      </w:r>
      <w:r w:rsidR="00307ADD">
        <w:rPr>
          <w:rStyle w:val="FootnoteReference"/>
        </w:rPr>
        <w:footnoteReference w:id="516"/>
      </w:r>
      <w:r w:rsidR="0062126E">
        <w:t xml:space="preserve"> </w:t>
      </w:r>
      <w:r>
        <w:t>and ensuring they are non-stigmatising</w:t>
      </w:r>
      <w:r w:rsidR="00BE37BF">
        <w:t>.</w:t>
      </w:r>
      <w:r w:rsidR="00307ADD">
        <w:rPr>
          <w:rStyle w:val="FootnoteReference"/>
        </w:rPr>
        <w:footnoteReference w:id="517"/>
      </w:r>
      <w:r w:rsidR="0062126E">
        <w:t xml:space="preserve"> Studies also refer</w:t>
      </w:r>
      <w:r w:rsidR="00D92E6D">
        <w:t>red</w:t>
      </w:r>
      <w:r w:rsidR="0062126E">
        <w:t xml:space="preserve"> to the importance of considering the working environment</w:t>
      </w:r>
      <w:r w:rsidR="00BE37BF">
        <w:t>,</w:t>
      </w:r>
      <w:r w:rsidR="00307ADD">
        <w:rPr>
          <w:rStyle w:val="FootnoteReference"/>
        </w:rPr>
        <w:footnoteReference w:id="518"/>
      </w:r>
      <w:r>
        <w:t xml:space="preserve"> including the importance of it feel</w:t>
      </w:r>
      <w:r w:rsidR="00D92E6D">
        <w:t>ing</w:t>
      </w:r>
      <w:r>
        <w:t xml:space="preserve"> safe for co-researchers to fully engage</w:t>
      </w:r>
      <w:r w:rsidR="00BE37BF">
        <w:t>.</w:t>
      </w:r>
      <w:r w:rsidR="00307ADD">
        <w:rPr>
          <w:rStyle w:val="FootnoteReference"/>
        </w:rPr>
        <w:footnoteReference w:id="519"/>
      </w:r>
      <w:r w:rsidR="0062126E">
        <w:t xml:space="preserve"> Other studies refer</w:t>
      </w:r>
      <w:r w:rsidR="00D92E6D">
        <w:t>red</w:t>
      </w:r>
      <w:r w:rsidR="0062126E">
        <w:t xml:space="preserve"> to</w:t>
      </w:r>
      <w:r w:rsidR="00D92E6D">
        <w:t xml:space="preserve"> the need to consider</w:t>
      </w:r>
      <w:r>
        <w:t xml:space="preserve"> the sensory environment</w:t>
      </w:r>
      <w:r w:rsidR="00BE37BF">
        <w:t>,</w:t>
      </w:r>
      <w:r w:rsidR="00307ADD">
        <w:rPr>
          <w:rStyle w:val="FootnoteReference"/>
        </w:rPr>
        <w:footnoteReference w:id="520"/>
      </w:r>
      <w:r>
        <w:t xml:space="preserve"> </w:t>
      </w:r>
      <w:r w:rsidR="00D92E6D">
        <w:t xml:space="preserve">to </w:t>
      </w:r>
      <w:r>
        <w:t>provid</w:t>
      </w:r>
      <w:r w:rsidR="00D92E6D">
        <w:t>e</w:t>
      </w:r>
      <w:r>
        <w:t xml:space="preserve"> sensory supports</w:t>
      </w:r>
      <w:r w:rsidR="00307ADD">
        <w:rPr>
          <w:rStyle w:val="FootnoteReference"/>
        </w:rPr>
        <w:footnoteReference w:id="521"/>
      </w:r>
      <w:r>
        <w:t xml:space="preserve"> and </w:t>
      </w:r>
      <w:r w:rsidR="00D92E6D">
        <w:t xml:space="preserve">having </w:t>
      </w:r>
      <w:r>
        <w:t>a quiet space</w:t>
      </w:r>
      <w:r w:rsidR="0062126E">
        <w:t xml:space="preserve"> </w:t>
      </w:r>
      <w:r w:rsidR="00D92E6D">
        <w:t xml:space="preserve">available </w:t>
      </w:r>
      <w:r w:rsidR="0062126E">
        <w:lastRenderedPageBreak/>
        <w:t>for c</w:t>
      </w:r>
      <w:r w:rsidR="00BE37BF">
        <w:t>o-researchers who might need one.</w:t>
      </w:r>
      <w:r w:rsidR="00307ADD">
        <w:rPr>
          <w:rStyle w:val="FootnoteReference"/>
        </w:rPr>
        <w:footnoteReference w:id="522"/>
      </w:r>
      <w:r w:rsidR="00D33164">
        <w:t xml:space="preserve"> A few studies </w:t>
      </w:r>
      <w:r w:rsidR="00EA7BB5">
        <w:t>noted</w:t>
      </w:r>
      <w:r w:rsidR="00D33164">
        <w:t xml:space="preserve"> the importance of meeting in places which are familiar to co-researchers or which they are comfortable with</w:t>
      </w:r>
      <w:r w:rsidR="00BE37BF">
        <w:t>.</w:t>
      </w:r>
      <w:r w:rsidR="000C0292">
        <w:rPr>
          <w:rStyle w:val="FootnoteReference"/>
        </w:rPr>
        <w:footnoteReference w:id="523"/>
      </w:r>
      <w:r w:rsidR="00D33164">
        <w:t xml:space="preserve"> For example,</w:t>
      </w:r>
      <w:r w:rsidR="00D33164" w:rsidRPr="00DC6F88">
        <w:t xml:space="preserve"> </w:t>
      </w:r>
      <w:proofErr w:type="spellStart"/>
      <w:r w:rsidR="00D33164">
        <w:t>Beighton</w:t>
      </w:r>
      <w:proofErr w:type="spellEnd"/>
      <w:r w:rsidR="00D33164">
        <w:t xml:space="preserve"> </w:t>
      </w:r>
      <w:r w:rsidR="00185C11" w:rsidRPr="00185C11">
        <w:rPr>
          <w:i/>
        </w:rPr>
        <w:t xml:space="preserve">et al. </w:t>
      </w:r>
      <w:r w:rsidR="000C0292">
        <w:t>(</w:t>
      </w:r>
      <w:r w:rsidR="00D33164">
        <w:t>2019</w:t>
      </w:r>
      <w:r w:rsidR="000C0292">
        <w:t>)</w:t>
      </w:r>
      <w:r w:rsidR="00D33164" w:rsidRPr="00DC6F88">
        <w:t xml:space="preserve"> always held meetings in the same place</w:t>
      </w:r>
      <w:r w:rsidR="00D33164">
        <w:t>.</w:t>
      </w:r>
    </w:p>
    <w:p w14:paraId="5D713AD9" w14:textId="01CED9FB" w:rsidR="00C44D94" w:rsidRPr="000C7C60" w:rsidRDefault="00AE3C50" w:rsidP="00737FC7">
      <w:pPr>
        <w:rPr>
          <w:strike/>
        </w:rPr>
      </w:pPr>
      <w:r>
        <w:t>The importance of accessible public transport</w:t>
      </w:r>
      <w:r w:rsidR="000C0292">
        <w:rPr>
          <w:rStyle w:val="FootnoteReference"/>
        </w:rPr>
        <w:footnoteReference w:id="524"/>
      </w:r>
      <w:r>
        <w:t xml:space="preserve"> and appropriate travel times</w:t>
      </w:r>
      <w:r w:rsidR="000C0292">
        <w:rPr>
          <w:rStyle w:val="FootnoteReference"/>
        </w:rPr>
        <w:footnoteReference w:id="525"/>
      </w:r>
      <w:r>
        <w:t xml:space="preserve"> to the location of research-related activities were also noted as important for collaborative research. Several studies also referred to the importance of supporting co-researchers with transport or travel where necessary</w:t>
      </w:r>
      <w:r w:rsidR="00BE37BF">
        <w:t>.</w:t>
      </w:r>
      <w:r w:rsidR="000C0292">
        <w:rPr>
          <w:rStyle w:val="FootnoteReference"/>
        </w:rPr>
        <w:footnoteReference w:id="526"/>
      </w:r>
      <w:r w:rsidR="00BE37BF">
        <w:t xml:space="preserve"> </w:t>
      </w:r>
      <w:r w:rsidRPr="00AE3C50">
        <w:t>One study noted that transport was often unavailable or required advanced planning and scheduling</w:t>
      </w:r>
      <w:r w:rsidR="00BE37BF">
        <w:t>.</w:t>
      </w:r>
      <w:r w:rsidR="000C0292">
        <w:rPr>
          <w:rStyle w:val="FootnoteReference"/>
        </w:rPr>
        <w:footnoteReference w:id="527"/>
      </w:r>
      <w:r w:rsidRPr="00AE3C50">
        <w:t xml:space="preserve"> To address this, the research team dedicated time and resources to working around the schedules of the co-researchers, and provided training and held meetings at suitable locations, including individuals’ homes</w:t>
      </w:r>
      <w:r w:rsidR="00BE37BF">
        <w:t>.</w:t>
      </w:r>
      <w:r w:rsidR="00497854">
        <w:rPr>
          <w:rStyle w:val="FootnoteReference"/>
        </w:rPr>
        <w:footnoteReference w:id="528"/>
      </w:r>
      <w:r w:rsidRPr="00AE3C50">
        <w:t xml:space="preserve"> Another study noted that accessing and using transport could be so upsetting for the co-researcher that it impacted his ability to fulfil his role when he arrived at the university</w:t>
      </w:r>
      <w:r w:rsidR="00BE37BF">
        <w:t>.</w:t>
      </w:r>
      <w:r w:rsidR="00497854">
        <w:rPr>
          <w:rStyle w:val="FootnoteReference"/>
        </w:rPr>
        <w:footnoteReference w:id="529"/>
      </w:r>
      <w:r w:rsidRPr="00AE3C50">
        <w:t xml:space="preserve"> In this case, the researcher began to collect the co-researcher when requested, so that he did not have to use public transport.</w:t>
      </w:r>
      <w:r>
        <w:t xml:space="preserve"> </w:t>
      </w:r>
    </w:p>
    <w:p w14:paraId="25F0BDD8" w14:textId="77777777" w:rsidR="00D33164" w:rsidRPr="00AF1C03" w:rsidRDefault="00D33164" w:rsidP="00D33164">
      <w:pPr>
        <w:pStyle w:val="Heading4"/>
      </w:pPr>
      <w:r>
        <w:t>Meetings</w:t>
      </w:r>
    </w:p>
    <w:p w14:paraId="506E51FF" w14:textId="6EFA9F0F" w:rsidR="000C497C" w:rsidRPr="00293955" w:rsidRDefault="00D33164" w:rsidP="00175C22">
      <w:pPr>
        <w:autoSpaceDE w:val="0"/>
        <w:autoSpaceDN w:val="0"/>
        <w:adjustRightInd w:val="0"/>
        <w:spacing w:after="0"/>
      </w:pPr>
      <w:r w:rsidRPr="00293955">
        <w:t xml:space="preserve">Meetings were a core element of the research </w:t>
      </w:r>
      <w:r w:rsidR="00031B62">
        <w:t>activitie</w:t>
      </w:r>
      <w:r w:rsidRPr="00293955">
        <w:t>s in many of the studies reviewed</w:t>
      </w:r>
      <w:r w:rsidR="00497854">
        <w:rPr>
          <w:rStyle w:val="FootnoteReference"/>
        </w:rPr>
        <w:footnoteReference w:id="530"/>
      </w:r>
      <w:r>
        <w:t xml:space="preserve"> and a number of </w:t>
      </w:r>
      <w:r w:rsidR="00031B62">
        <w:t>elements</w:t>
      </w:r>
      <w:r>
        <w:t xml:space="preserve"> to consider in terms of their accessibility were noted by studies (aside from </w:t>
      </w:r>
      <w:r w:rsidR="00245733">
        <w:t xml:space="preserve">their </w:t>
      </w:r>
      <w:r>
        <w:t xml:space="preserve">venue and transport). </w:t>
      </w:r>
      <w:proofErr w:type="spellStart"/>
      <w:r>
        <w:t>Frankena</w:t>
      </w:r>
      <w:proofErr w:type="spellEnd"/>
      <w:r>
        <w:t xml:space="preserve"> </w:t>
      </w:r>
      <w:r w:rsidR="00185C11" w:rsidRPr="00185C11">
        <w:rPr>
          <w:i/>
        </w:rPr>
        <w:t xml:space="preserve">et al. </w:t>
      </w:r>
      <w:r>
        <w:t xml:space="preserve">(2015) </w:t>
      </w:r>
      <w:r w:rsidR="002100BE">
        <w:t>reported that accessible meeting lengths were good practice in inclusive research</w:t>
      </w:r>
      <w:r>
        <w:t xml:space="preserve">, </w:t>
      </w:r>
      <w:r w:rsidR="005C707E">
        <w:t>requiring researchers to ensure that</w:t>
      </w:r>
      <w:r>
        <w:t xml:space="preserve"> the length of meetings are adapted to suit the needs of the co-researchers. </w:t>
      </w:r>
      <w:r w:rsidR="00DF731D">
        <w:t>A number of studies</w:t>
      </w:r>
      <w:r>
        <w:t xml:space="preserve"> also referred to the </w:t>
      </w:r>
      <w:r w:rsidR="00F360E9">
        <w:lastRenderedPageBreak/>
        <w:t xml:space="preserve">need to plan </w:t>
      </w:r>
      <w:r>
        <w:t>for adequate breaks</w:t>
      </w:r>
      <w:r w:rsidR="00BE37BF">
        <w:t>.</w:t>
      </w:r>
      <w:r w:rsidR="00676F31">
        <w:rPr>
          <w:rStyle w:val="FootnoteReference"/>
        </w:rPr>
        <w:footnoteReference w:id="531"/>
      </w:r>
      <w:r>
        <w:t xml:space="preserve"> In one study, </w:t>
      </w:r>
      <w:r w:rsidRPr="00293955">
        <w:t>breaks</w:t>
      </w:r>
      <w:r>
        <w:t xml:space="preserve"> in meetings</w:t>
      </w:r>
      <w:r w:rsidRPr="00293955">
        <w:t xml:space="preserve"> were provided every hour</w:t>
      </w:r>
      <w:r w:rsidR="00BE37BF">
        <w:t>.</w:t>
      </w:r>
      <w:r w:rsidR="00676F31">
        <w:rPr>
          <w:rStyle w:val="FootnoteReference"/>
        </w:rPr>
        <w:footnoteReference w:id="532"/>
      </w:r>
      <w:r>
        <w:t xml:space="preserve"> </w:t>
      </w:r>
      <w:r w:rsidR="005C707E">
        <w:t xml:space="preserve">The need to consider the size of the group in meetings was highlighted by </w:t>
      </w:r>
      <w:r w:rsidRPr="00293955">
        <w:t xml:space="preserve">Miah </w:t>
      </w:r>
      <w:r w:rsidR="00185C11" w:rsidRPr="00185C11">
        <w:rPr>
          <w:i/>
        </w:rPr>
        <w:t xml:space="preserve">et al. </w:t>
      </w:r>
      <w:r w:rsidR="005C707E">
        <w:t>(</w:t>
      </w:r>
      <w:r>
        <w:t>2019</w:t>
      </w:r>
      <w:r w:rsidR="005C707E">
        <w:t>)</w:t>
      </w:r>
      <w:r w:rsidR="00031B62">
        <w:t xml:space="preserve"> and Drill Report (2018). F</w:t>
      </w:r>
      <w:r w:rsidR="00A56D6D">
        <w:t xml:space="preserve">or </w:t>
      </w:r>
      <w:r>
        <w:t xml:space="preserve">example, a large group might </w:t>
      </w:r>
      <w:r w:rsidR="00031B62">
        <w:t xml:space="preserve">be </w:t>
      </w:r>
      <w:r>
        <w:t>unsuitable for people with certain disabilities</w:t>
      </w:r>
      <w:r w:rsidR="00BE37BF">
        <w:t>.</w:t>
      </w:r>
      <w:r w:rsidR="00676F31">
        <w:rPr>
          <w:rStyle w:val="FootnoteReference"/>
        </w:rPr>
        <w:footnoteReference w:id="533"/>
      </w:r>
      <w:r w:rsidR="0090571B">
        <w:t xml:space="preserve"> Two studies discussed helping prepare co-researchers for meetings by holding pre-meetings with them</w:t>
      </w:r>
      <w:r w:rsidR="00BE37BF">
        <w:t>,</w:t>
      </w:r>
      <w:r w:rsidR="00676F31">
        <w:rPr>
          <w:rStyle w:val="FootnoteReference"/>
        </w:rPr>
        <w:footnoteReference w:id="534"/>
      </w:r>
      <w:r w:rsidR="000C497C">
        <w:t xml:space="preserve"> while a </w:t>
      </w:r>
      <w:r w:rsidR="00C74B21">
        <w:t>fu</w:t>
      </w:r>
      <w:r w:rsidR="00021E4F">
        <w:t>r</w:t>
      </w:r>
      <w:r w:rsidR="00C74B21">
        <w:t xml:space="preserve">ther two studies sent </w:t>
      </w:r>
      <w:r w:rsidR="000C497C">
        <w:t xml:space="preserve">feedback to </w:t>
      </w:r>
      <w:r w:rsidR="000C497C" w:rsidRPr="00293955">
        <w:t xml:space="preserve">members following each meeting summarising the </w:t>
      </w:r>
      <w:r w:rsidR="00005528">
        <w:t>inputs</w:t>
      </w:r>
      <w:r w:rsidR="000C497C" w:rsidRPr="00293955">
        <w:t>, actions and outcomes from each meeting</w:t>
      </w:r>
      <w:r w:rsidR="00021E4F">
        <w:t xml:space="preserve"> to ensure the co-researchers </w:t>
      </w:r>
      <w:r w:rsidR="00005528">
        <w:t>had a record of</w:t>
      </w:r>
      <w:r w:rsidR="00021E4F">
        <w:t xml:space="preserve"> how they had contributed </w:t>
      </w:r>
      <w:r w:rsidR="00005528">
        <w:t xml:space="preserve">and </w:t>
      </w:r>
      <w:r w:rsidR="00021E4F">
        <w:t xml:space="preserve">of </w:t>
      </w:r>
      <w:r w:rsidR="00005528">
        <w:t xml:space="preserve">the research </w:t>
      </w:r>
      <w:r w:rsidR="00021E4F">
        <w:t>progress</w:t>
      </w:r>
      <w:r w:rsidR="00BE37BF">
        <w:t>.</w:t>
      </w:r>
      <w:r w:rsidR="00676F31">
        <w:rPr>
          <w:rStyle w:val="FootnoteReference"/>
        </w:rPr>
        <w:footnoteReference w:id="535"/>
      </w:r>
    </w:p>
    <w:p w14:paraId="440FCD68" w14:textId="234AB5A0" w:rsidR="00187B8C" w:rsidRDefault="00187B8C" w:rsidP="00175C22">
      <w:pPr>
        <w:pStyle w:val="Heading4"/>
        <w:spacing w:before="120" w:after="120"/>
      </w:pPr>
      <w:r>
        <w:t>Time</w:t>
      </w:r>
    </w:p>
    <w:p w14:paraId="79B37075" w14:textId="5B52C4A7" w:rsidR="00DB5669" w:rsidRDefault="00C74B21" w:rsidP="00175C22">
      <w:r>
        <w:t>A number of studies referred to the importance of considering time in collaborative research projects</w:t>
      </w:r>
      <w:r w:rsidR="00111F15">
        <w:rPr>
          <w:rStyle w:val="FootnoteReference"/>
        </w:rPr>
        <w:footnoteReference w:id="536"/>
      </w:r>
      <w:r w:rsidR="00D32C12">
        <w:t xml:space="preserve"> – e.g.</w:t>
      </w:r>
      <w:r>
        <w:t xml:space="preserve"> giving co-researchers adequate time </w:t>
      </w:r>
      <w:r w:rsidRPr="00EE7BBA">
        <w:t>for discussion</w:t>
      </w:r>
      <w:r w:rsidR="00BE37BF">
        <w:t>,</w:t>
      </w:r>
      <w:r w:rsidR="00111F15">
        <w:rPr>
          <w:rStyle w:val="FootnoteReference"/>
        </w:rPr>
        <w:footnoteReference w:id="537"/>
      </w:r>
      <w:r>
        <w:t xml:space="preserve"> </w:t>
      </w:r>
      <w:r w:rsidR="000A7BCC">
        <w:t>for giving</w:t>
      </w:r>
      <w:r>
        <w:t xml:space="preserve"> input on </w:t>
      </w:r>
      <w:r w:rsidRPr="00051A4B">
        <w:t>decisions</w:t>
      </w:r>
      <w:r w:rsidR="00BE37BF">
        <w:t>,</w:t>
      </w:r>
      <w:r w:rsidR="00111F15">
        <w:rPr>
          <w:rStyle w:val="FootnoteReference"/>
        </w:rPr>
        <w:footnoteReference w:id="538"/>
      </w:r>
      <w:r>
        <w:t xml:space="preserve"> and </w:t>
      </w:r>
      <w:r w:rsidR="000A7BCC">
        <w:t>for reviewing</w:t>
      </w:r>
      <w:r>
        <w:t xml:space="preserve"> informational materials</w:t>
      </w:r>
      <w:r w:rsidR="00BE37BF">
        <w:t>.</w:t>
      </w:r>
      <w:r w:rsidR="00111F15">
        <w:rPr>
          <w:rStyle w:val="FootnoteReference"/>
        </w:rPr>
        <w:footnoteReference w:id="539"/>
      </w:r>
      <w:r>
        <w:t xml:space="preserve"> In</w:t>
      </w:r>
      <w:r w:rsidR="00DC6F88" w:rsidRPr="00293955">
        <w:t xml:space="preserve"> </w:t>
      </w:r>
      <w:proofErr w:type="spellStart"/>
      <w:r w:rsidR="007F7ABD" w:rsidRPr="007F7ABD">
        <w:t>Varkonyi</w:t>
      </w:r>
      <w:proofErr w:type="spellEnd"/>
      <w:r w:rsidR="007F7ABD" w:rsidRPr="007F7ABD">
        <w:t>-Sep,</w:t>
      </w:r>
      <w:r w:rsidR="007F7ABD">
        <w:t xml:space="preserve"> Cross and Howarth </w:t>
      </w:r>
      <w:r>
        <w:t>(</w:t>
      </w:r>
      <w:r w:rsidR="009D06D0">
        <w:t>2</w:t>
      </w:r>
      <w:r w:rsidR="00574D39" w:rsidRPr="00574D39">
        <w:t>017</w:t>
      </w:r>
      <w:r>
        <w:t>),</w:t>
      </w:r>
      <w:r w:rsidR="00DC6F88" w:rsidRPr="00574D39">
        <w:t xml:space="preserve"> co-researchers were sent </w:t>
      </w:r>
      <w:r w:rsidR="0063032A">
        <w:t>non-technical</w:t>
      </w:r>
      <w:r w:rsidR="0063032A" w:rsidRPr="00574D39">
        <w:t xml:space="preserve"> </w:t>
      </w:r>
      <w:r w:rsidR="00DC6F88" w:rsidRPr="00574D39">
        <w:t xml:space="preserve">versions of </w:t>
      </w:r>
      <w:r w:rsidR="000A7BCC">
        <w:t>issues that would be under discussion</w:t>
      </w:r>
      <w:r w:rsidR="00DC6F88" w:rsidRPr="00293955">
        <w:t xml:space="preserve"> two weeks prior to the </w:t>
      </w:r>
      <w:r w:rsidR="00DC6F88" w:rsidRPr="003F59F8">
        <w:t>discussion</w:t>
      </w:r>
      <w:r>
        <w:t>.</w:t>
      </w:r>
      <w:r w:rsidR="00EE7BBA" w:rsidRPr="003F59F8">
        <w:t xml:space="preserve"> </w:t>
      </w:r>
      <w:r>
        <w:t xml:space="preserve">Vaughan </w:t>
      </w:r>
      <w:r w:rsidR="00185C11" w:rsidRPr="00185C11">
        <w:rPr>
          <w:i/>
        </w:rPr>
        <w:t xml:space="preserve">et al. </w:t>
      </w:r>
      <w:r>
        <w:t xml:space="preserve">(2019) </w:t>
      </w:r>
      <w:r w:rsidR="000A7BCC">
        <w:t xml:space="preserve">also </w:t>
      </w:r>
      <w:r>
        <w:t>refer</w:t>
      </w:r>
      <w:r w:rsidR="000A7BCC">
        <w:t>red</w:t>
      </w:r>
      <w:r>
        <w:t xml:space="preserve"> to the need for flexibility in time frames to accommodate circumstances when it is challenging for co-researchers to contribute or to meet in person.</w:t>
      </w:r>
    </w:p>
    <w:p w14:paraId="2DD49DDC" w14:textId="4D589E35" w:rsidR="00244060" w:rsidRDefault="00244060" w:rsidP="00175C22">
      <w:pPr>
        <w:pStyle w:val="Heading4"/>
      </w:pPr>
      <w:r>
        <w:t>Other accessibility/ accommodation considerations</w:t>
      </w:r>
    </w:p>
    <w:p w14:paraId="4F088BDF" w14:textId="51BD4378" w:rsidR="00A25AF5" w:rsidRDefault="00F360E9" w:rsidP="00175C22">
      <w:r>
        <w:t>There were a number of other accessibility and accommodation considerations noted by studies, for example, e</w:t>
      </w:r>
      <w:r w:rsidR="00B2037E">
        <w:t xml:space="preserve">nsuring that co-researchers had a support person available </w:t>
      </w:r>
      <w:r w:rsidR="00223AEC">
        <w:t>where necessary</w:t>
      </w:r>
      <w:r w:rsidR="000E6409">
        <w:t>.</w:t>
      </w:r>
      <w:r w:rsidR="00111F15">
        <w:rPr>
          <w:rStyle w:val="FootnoteReference"/>
        </w:rPr>
        <w:footnoteReference w:id="540"/>
      </w:r>
      <w:r>
        <w:t xml:space="preserve"> </w:t>
      </w:r>
      <w:r w:rsidR="00AD211B">
        <w:t>One study also noted the importance of c</w:t>
      </w:r>
      <w:r>
        <w:t>onsider</w:t>
      </w:r>
      <w:r w:rsidR="00AD211B">
        <w:t>ing</w:t>
      </w:r>
      <w:r>
        <w:t xml:space="preserve"> how to facilitate</w:t>
      </w:r>
      <w:r w:rsidR="00B2037E">
        <w:t xml:space="preserve"> a</w:t>
      </w:r>
      <w:r w:rsidR="00B2037E" w:rsidRPr="00293955">
        <w:t xml:space="preserve">ttendance if support staff or caregivers are unable to attend </w:t>
      </w:r>
      <w:r w:rsidR="00B2037E" w:rsidRPr="00293955">
        <w:lastRenderedPageBreak/>
        <w:t>with a co-researcher</w:t>
      </w:r>
      <w:r w:rsidR="000E6409">
        <w:t>.</w:t>
      </w:r>
      <w:r w:rsidR="004F403E">
        <w:rPr>
          <w:rStyle w:val="FootnoteReference"/>
        </w:rPr>
        <w:footnoteReference w:id="541"/>
      </w:r>
      <w:r>
        <w:t xml:space="preserve"> Support animals such as guide dogs need to be considered</w:t>
      </w:r>
      <w:r w:rsidR="004F403E">
        <w:rPr>
          <w:rStyle w:val="FootnoteReference"/>
        </w:rPr>
        <w:footnoteReference w:id="542"/>
      </w:r>
      <w:r>
        <w:t xml:space="preserve"> </w:t>
      </w:r>
      <w:r w:rsidR="00223AEC">
        <w:t xml:space="preserve">and </w:t>
      </w:r>
      <w:r>
        <w:t xml:space="preserve">Roche </w:t>
      </w:r>
      <w:r w:rsidR="00185C11" w:rsidRPr="00185C11">
        <w:rPr>
          <w:i/>
        </w:rPr>
        <w:t xml:space="preserve">et al. </w:t>
      </w:r>
      <w:r>
        <w:t>(2020) also recommend ha</w:t>
      </w:r>
      <w:r w:rsidR="001D1B20">
        <w:t xml:space="preserve">ving food </w:t>
      </w:r>
      <w:r w:rsidR="003777D4" w:rsidRPr="001F3DA2">
        <w:t>available</w:t>
      </w:r>
      <w:r w:rsidR="003D0998" w:rsidRPr="001F3DA2">
        <w:t xml:space="preserve"> for people w</w:t>
      </w:r>
      <w:r w:rsidR="00D32C12">
        <w:t>ith particular conditions (e.g.</w:t>
      </w:r>
      <w:r w:rsidR="003D0998" w:rsidRPr="001F3DA2">
        <w:t xml:space="preserve"> diabetes)</w:t>
      </w:r>
      <w:r>
        <w:t xml:space="preserve">. </w:t>
      </w:r>
      <w:r w:rsidR="00A25AF5">
        <w:t>The u</w:t>
      </w:r>
      <w:r w:rsidR="00DB5669">
        <w:t>se</w:t>
      </w:r>
      <w:r w:rsidR="00A25AF5">
        <w:t xml:space="preserve"> and provision</w:t>
      </w:r>
      <w:r w:rsidR="00DB5669">
        <w:t xml:space="preserve"> of </w:t>
      </w:r>
      <w:r w:rsidR="00D32C12">
        <w:t>assistive technology (e.g.</w:t>
      </w:r>
      <w:r w:rsidR="00A25AF5">
        <w:t xml:space="preserve"> screen readers for those who are visually impaired) did not seem to be specifically mentioned in studies on collaborative research, however this is another important consideration. </w:t>
      </w:r>
    </w:p>
    <w:p w14:paraId="6C8B1D77" w14:textId="2457CC71" w:rsidR="00A816EC" w:rsidRDefault="00DB5669" w:rsidP="001F0BC9">
      <w:r>
        <w:t>Two studies referred to difficulties the co-researchers faced in getting necessary accommodations to fulfil their roles</w:t>
      </w:r>
      <w:r w:rsidR="007224E9">
        <w:t xml:space="preserve"> such as obtaining a </w:t>
      </w:r>
      <w:r w:rsidR="004A48F0">
        <w:t>C P</w:t>
      </w:r>
      <w:r w:rsidR="007224E9">
        <w:t>en</w:t>
      </w:r>
      <w:r w:rsidR="002E5CB4">
        <w:rPr>
          <w:rStyle w:val="FootnoteReference"/>
        </w:rPr>
        <w:footnoteReference w:id="543"/>
      </w:r>
      <w:r w:rsidR="002217C5">
        <w:t xml:space="preserve"> </w:t>
      </w:r>
      <w:r w:rsidR="002217C5">
        <w:rPr>
          <w:rStyle w:val="FootnoteReference"/>
        </w:rPr>
        <w:footnoteReference w:id="544"/>
      </w:r>
      <w:r w:rsidR="00B85D67">
        <w:t xml:space="preserve"> or begin granted reasonable a</w:t>
      </w:r>
      <w:r w:rsidR="00752EF6">
        <w:t>djustment</w:t>
      </w:r>
      <w:r w:rsidR="00B85D67">
        <w:t>s</w:t>
      </w:r>
      <w:r w:rsidR="000E6409">
        <w:t>.</w:t>
      </w:r>
      <w:r w:rsidR="002217C5">
        <w:rPr>
          <w:rStyle w:val="FootnoteReference"/>
        </w:rPr>
        <w:footnoteReference w:id="545"/>
      </w:r>
      <w:r>
        <w:t xml:space="preserve"> </w:t>
      </w:r>
      <w:r w:rsidR="009042AF">
        <w:t>A</w:t>
      </w:r>
      <w:r w:rsidRPr="00CA3D60">
        <w:t>ccessibility</w:t>
      </w:r>
      <w:r>
        <w:t xml:space="preserve"> and accommodation</w:t>
      </w:r>
      <w:r w:rsidR="009042AF">
        <w:t xml:space="preserve"> requirements can be </w:t>
      </w:r>
      <w:r w:rsidR="009A0117">
        <w:t>addressed by</w:t>
      </w:r>
      <w:r w:rsidRPr="00CA3D60">
        <w:t xml:space="preserve"> asking the co-researchers about how their disability might affect them in their role before commencing the work, assessing individual preferences for how information is presented, </w:t>
      </w:r>
      <w:r w:rsidR="003F28F6">
        <w:t>asking them what supports they</w:t>
      </w:r>
      <w:r w:rsidR="00CE7B42">
        <w:t xml:space="preserve"> may</w:t>
      </w:r>
      <w:r w:rsidR="003F28F6">
        <w:t xml:space="preserve"> need</w:t>
      </w:r>
      <w:r w:rsidR="002217C5">
        <w:rPr>
          <w:rStyle w:val="FootnoteReference"/>
        </w:rPr>
        <w:footnoteReference w:id="546"/>
      </w:r>
      <w:r w:rsidR="003F28F6">
        <w:t xml:space="preserve"> </w:t>
      </w:r>
      <w:r w:rsidRPr="00CA3D60">
        <w:t>and being flexible in approaches.</w:t>
      </w:r>
      <w:r w:rsidR="004367F5">
        <w:t xml:space="preserve"> Ultimately, </w:t>
      </w:r>
      <w:r w:rsidR="001F0BC9">
        <w:t xml:space="preserve">according to </w:t>
      </w:r>
      <w:proofErr w:type="spellStart"/>
      <w:r w:rsidR="001F0BC9">
        <w:t>Morbey</w:t>
      </w:r>
      <w:proofErr w:type="spellEnd"/>
      <w:r w:rsidR="001F0BC9">
        <w:t xml:space="preserve"> </w:t>
      </w:r>
      <w:r w:rsidR="00185C11" w:rsidRPr="00185C11">
        <w:rPr>
          <w:i/>
        </w:rPr>
        <w:t xml:space="preserve">et al. </w:t>
      </w:r>
      <w:r w:rsidR="00694773">
        <w:t>(2019</w:t>
      </w:r>
      <w:r w:rsidR="007F6787">
        <w:t>, p.1</w:t>
      </w:r>
      <w:r w:rsidR="00694773">
        <w:t>)</w:t>
      </w:r>
      <w:r w:rsidR="001F0BC9">
        <w:t xml:space="preserve">, </w:t>
      </w:r>
      <w:r w:rsidR="004367F5">
        <w:t xml:space="preserve">what is needed </w:t>
      </w:r>
      <w:r w:rsidR="00CE7B42">
        <w:t xml:space="preserve">in </w:t>
      </w:r>
      <w:r w:rsidR="00C2612D">
        <w:t xml:space="preserve">collaborative research </w:t>
      </w:r>
      <w:r w:rsidR="001F0BC9">
        <w:t>is a</w:t>
      </w:r>
      <w:r w:rsidR="004367F5">
        <w:t xml:space="preserve"> </w:t>
      </w:r>
      <w:r w:rsidR="001F0BC9">
        <w:t>“</w:t>
      </w:r>
      <w:r w:rsidR="004367F5">
        <w:t>flexible, responsive and adaptive approach</w:t>
      </w:r>
      <w:r w:rsidR="001F0BC9">
        <w:t xml:space="preserve">”. </w:t>
      </w:r>
      <w:r w:rsidR="00DD28B0">
        <w:t>This type of approach is particularly important as a</w:t>
      </w:r>
      <w:r w:rsidR="00A816EC">
        <w:t xml:space="preserve"> challenge to projects once they begin</w:t>
      </w:r>
      <w:r w:rsidR="00A816EC" w:rsidRPr="00BF2A78">
        <w:t xml:space="preserve"> relate</w:t>
      </w:r>
      <w:r w:rsidR="00A816EC">
        <w:t>s</w:t>
      </w:r>
      <w:r w:rsidR="00A816EC" w:rsidRPr="00BF2A78">
        <w:t xml:space="preserve"> to absenteeism and turnover of co-researchers</w:t>
      </w:r>
      <w:r w:rsidR="000E6409">
        <w:t>.</w:t>
      </w:r>
      <w:r w:rsidR="002217C5">
        <w:rPr>
          <w:rStyle w:val="FootnoteReference"/>
        </w:rPr>
        <w:footnoteReference w:id="547"/>
      </w:r>
      <w:r w:rsidR="00A816EC" w:rsidRPr="00CA7194">
        <w:t xml:space="preserve"> This may occur for various reasons, such as fatigue, changing health or cognitive status or no longer being</w:t>
      </w:r>
      <w:r w:rsidR="00A816EC" w:rsidRPr="00BF2A78">
        <w:t xml:space="preserve"> able or willing to be involved</w:t>
      </w:r>
      <w:r w:rsidR="000E6409">
        <w:t>.</w:t>
      </w:r>
      <w:r w:rsidR="002217C5">
        <w:rPr>
          <w:rStyle w:val="FootnoteReference"/>
        </w:rPr>
        <w:footnoteReference w:id="548"/>
      </w:r>
      <w:r w:rsidR="00A816EC" w:rsidRPr="00BF2A78">
        <w:t xml:space="preserve"> To manage personnel changes, </w:t>
      </w:r>
      <w:proofErr w:type="spellStart"/>
      <w:r w:rsidR="00A816EC" w:rsidRPr="00BF2A78">
        <w:t>Nicolaidis</w:t>
      </w:r>
      <w:proofErr w:type="spellEnd"/>
      <w:r w:rsidR="00A816EC" w:rsidRPr="00BF2A78">
        <w:t xml:space="preserve"> </w:t>
      </w:r>
      <w:r w:rsidR="00185C11" w:rsidRPr="00185C11">
        <w:rPr>
          <w:i/>
        </w:rPr>
        <w:t xml:space="preserve">et al. </w:t>
      </w:r>
      <w:r w:rsidR="00A816EC" w:rsidRPr="00BF2A78">
        <w:t>(2019) recommend that accommodation needs should be assessed whenever a new co-researcher joins the group, and that those needs be reassessed regularly and adjusted as required.</w:t>
      </w:r>
      <w:r w:rsidR="00A816EC">
        <w:t xml:space="preserve"> </w:t>
      </w:r>
    </w:p>
    <w:p w14:paraId="7A2E0CAC" w14:textId="7A3D0DC4" w:rsidR="00DD28B0" w:rsidRDefault="00DD28B0" w:rsidP="00175C22">
      <w:pPr>
        <w:pStyle w:val="Heading3"/>
      </w:pPr>
      <w:bookmarkStart w:id="66" w:name="_Toc104925128"/>
      <w:r>
        <w:t>Mitigating potential negative impacts of the research on co-researchers</w:t>
      </w:r>
    </w:p>
    <w:p w14:paraId="472A7230" w14:textId="71D62E91" w:rsidR="00D539C0" w:rsidRDefault="00D539C0" w:rsidP="00D539C0">
      <w:pPr>
        <w:rPr>
          <w:lang w:eastAsia="en-IE"/>
        </w:rPr>
      </w:pPr>
      <w:r>
        <w:t>Potential negative impacts of the research on co-researchers need to be considered and addressed</w:t>
      </w:r>
      <w:r w:rsidR="00D16433">
        <w:t xml:space="preserve"> to ensure the positive involvement of co-researchers in the collaborative research process</w:t>
      </w:r>
      <w:r>
        <w:t xml:space="preserve">. High workloads </w:t>
      </w:r>
      <w:r w:rsidR="00D16433">
        <w:t>may</w:t>
      </w:r>
      <w:r>
        <w:t xml:space="preserve"> lead to co-researchers </w:t>
      </w:r>
      <w:r>
        <w:lastRenderedPageBreak/>
        <w:t>feeling overwhelmed and under pressure, as well as</w:t>
      </w:r>
      <w:r w:rsidR="00D16433">
        <w:t xml:space="preserve"> being</w:t>
      </w:r>
      <w:r>
        <w:t xml:space="preserve"> tired and unable to complete their work on </w:t>
      </w:r>
      <w:r w:rsidRPr="00BD34C6">
        <w:t>time</w:t>
      </w:r>
      <w:r w:rsidR="008C7DDF">
        <w:t>.</w:t>
      </w:r>
      <w:r w:rsidR="002217C5">
        <w:rPr>
          <w:rStyle w:val="FootnoteReference"/>
        </w:rPr>
        <w:footnoteReference w:id="549"/>
      </w:r>
      <w:r w:rsidRPr="003B0D49">
        <w:t xml:space="preserve"> </w:t>
      </w:r>
      <w:r>
        <w:t>Researchers need to balance what they wish to do with not overburdening co-researchers. However, a</w:t>
      </w:r>
      <w:r>
        <w:rPr>
          <w:lang w:eastAsia="en-IE"/>
        </w:rPr>
        <w:t xml:space="preserve"> co-researcher with dementia stated:</w:t>
      </w:r>
    </w:p>
    <w:p w14:paraId="426B756D" w14:textId="35BFAB53" w:rsidR="00D539C0" w:rsidRDefault="00D539C0" w:rsidP="00D539C0">
      <w:pPr>
        <w:pStyle w:val="BlockQuote"/>
        <w:rPr>
          <w:lang w:eastAsia="en-IE"/>
        </w:rPr>
      </w:pPr>
      <w:r>
        <w:rPr>
          <w:lang w:eastAsia="en-IE"/>
        </w:rPr>
        <w:t>…</w:t>
      </w:r>
      <w:r w:rsidRPr="00DE7E40">
        <w:rPr>
          <w:lang w:eastAsia="en-IE"/>
        </w:rPr>
        <w:t>we still have the right to make our own choice and if we choose to be tired and we want to put our health at risk to be involved in this research, we have the right to do that</w:t>
      </w:r>
      <w:r w:rsidR="008C7DDF">
        <w:rPr>
          <w:lang w:eastAsia="en-IE"/>
        </w:rPr>
        <w:t>.</w:t>
      </w:r>
      <w:r w:rsidR="002217C5">
        <w:rPr>
          <w:rStyle w:val="FootnoteReference"/>
          <w:lang w:eastAsia="en-IE"/>
        </w:rPr>
        <w:footnoteReference w:id="550"/>
      </w:r>
      <w:r>
        <w:rPr>
          <w:lang w:eastAsia="en-IE"/>
        </w:rPr>
        <w:t xml:space="preserve"> </w:t>
      </w:r>
    </w:p>
    <w:p w14:paraId="2F84B635" w14:textId="29F43496" w:rsidR="00D539C0" w:rsidRDefault="00D539C0" w:rsidP="00D539C0">
      <w:pPr>
        <w:rPr>
          <w:lang w:eastAsia="en-IE"/>
        </w:rPr>
      </w:pPr>
      <w:r>
        <w:t>Co-researchers may become emotionally drained or distressed during sensitive research or through being exposed to peers’ sometimes-difficult stories and experiences</w:t>
      </w:r>
      <w:r w:rsidR="008C7DDF">
        <w:t>.</w:t>
      </w:r>
      <w:r w:rsidR="002217C5">
        <w:rPr>
          <w:rStyle w:val="FootnoteReference"/>
        </w:rPr>
        <w:footnoteReference w:id="551"/>
      </w:r>
      <w:r>
        <w:t xml:space="preserve"> They may also feel burdened or responsible for improving the lives of their participants or the wider community through their work</w:t>
      </w:r>
      <w:r w:rsidR="008C7DDF">
        <w:t>,</w:t>
      </w:r>
      <w:r w:rsidR="002217C5">
        <w:rPr>
          <w:rStyle w:val="FootnoteReference"/>
        </w:rPr>
        <w:footnoteReference w:id="552"/>
      </w:r>
      <w:r>
        <w:t xml:space="preserve"> or upset and disempowered if tasks do not go as planned</w:t>
      </w:r>
      <w:r w:rsidR="008C7DDF">
        <w:t>.</w:t>
      </w:r>
      <w:r w:rsidR="002217C5">
        <w:rPr>
          <w:rStyle w:val="FootnoteReference"/>
        </w:rPr>
        <w:footnoteReference w:id="553"/>
      </w:r>
      <w:r w:rsidRPr="00F860F1">
        <w:t xml:space="preserve"> Researchers should ensure that ongoing support and debriefing is offered to co-researchers whenever they need it</w:t>
      </w:r>
      <w:r w:rsidR="002217C5">
        <w:rPr>
          <w:rStyle w:val="FootnoteReference"/>
        </w:rPr>
        <w:footnoteReference w:id="554"/>
      </w:r>
      <w:r w:rsidRPr="00F860F1">
        <w:t xml:space="preserve"> and that the amount of work</w:t>
      </w:r>
      <w:r>
        <w:t xml:space="preserve"> planned is feasible</w:t>
      </w:r>
      <w:r w:rsidR="008C7DDF">
        <w:t>.</w:t>
      </w:r>
      <w:r w:rsidR="002217C5">
        <w:rPr>
          <w:rStyle w:val="FootnoteReference"/>
        </w:rPr>
        <w:footnoteReference w:id="555"/>
      </w:r>
      <w:r>
        <w:t xml:space="preserve"> </w:t>
      </w:r>
      <w:r>
        <w:rPr>
          <w:lang w:eastAsia="en-IE"/>
        </w:rPr>
        <w:t>One study considering collaborative research with mental health service users emphasised the importance of considering the emotions of all of the research team in such a partnership</w:t>
      </w:r>
      <w:r w:rsidR="008C7DDF">
        <w:rPr>
          <w:lang w:eastAsia="en-IE"/>
        </w:rPr>
        <w:t>.</w:t>
      </w:r>
      <w:r w:rsidR="002217C5">
        <w:rPr>
          <w:rStyle w:val="FootnoteReference"/>
          <w:lang w:eastAsia="en-IE"/>
        </w:rPr>
        <w:footnoteReference w:id="556"/>
      </w:r>
    </w:p>
    <w:p w14:paraId="69106CC0" w14:textId="74EE77FA" w:rsidR="005878D0" w:rsidRDefault="005878D0" w:rsidP="005878D0">
      <w:pPr>
        <w:pStyle w:val="Heading2"/>
      </w:pPr>
      <w:bookmarkStart w:id="67" w:name="_Toc116916225"/>
      <w:r>
        <w:t>Involvement of co-researchers in different stages of research</w:t>
      </w:r>
      <w:bookmarkEnd w:id="67"/>
    </w:p>
    <w:p w14:paraId="3B714C0B" w14:textId="4807A9F8" w:rsidR="00DB5669" w:rsidRDefault="00DB5669" w:rsidP="00175C22">
      <w:pPr>
        <w:pStyle w:val="Heading3"/>
      </w:pPr>
      <w:r>
        <w:t>Level of involvement of co-researchers</w:t>
      </w:r>
      <w:bookmarkEnd w:id="66"/>
    </w:p>
    <w:p w14:paraId="047F10D3" w14:textId="6F12DF7D" w:rsidR="00DB5669" w:rsidRDefault="00DB5669" w:rsidP="00DB5669">
      <w:r>
        <w:t>A number of studies noted that co-researchers were involved in all stages</w:t>
      </w:r>
      <w:r w:rsidRPr="0064632A">
        <w:rPr>
          <w:color w:val="ED7D31" w:themeColor="accent2"/>
          <w:szCs w:val="26"/>
          <w:lang w:eastAsia="en-IE"/>
        </w:rPr>
        <w:t xml:space="preserve"> </w:t>
      </w:r>
      <w:r w:rsidR="00292973">
        <w:rPr>
          <w:szCs w:val="26"/>
        </w:rPr>
        <w:t>of the research,</w:t>
      </w:r>
      <w:r w:rsidRPr="0064632A">
        <w:rPr>
          <w:szCs w:val="26"/>
        </w:rPr>
        <w:t xml:space="preserve"> from idea inception to dissemination of research </w:t>
      </w:r>
      <w:r w:rsidRPr="00726D7F">
        <w:t>findings</w:t>
      </w:r>
      <w:r w:rsidR="008C7DDF">
        <w:t>.</w:t>
      </w:r>
      <w:r w:rsidR="002217C5">
        <w:rPr>
          <w:rStyle w:val="FootnoteReference"/>
        </w:rPr>
        <w:footnoteReference w:id="557"/>
      </w:r>
      <w:r w:rsidRPr="00726D7F">
        <w:t xml:space="preserve"> </w:t>
      </w:r>
      <w:r>
        <w:t xml:space="preserve">Studies differed in their opinion </w:t>
      </w:r>
      <w:r w:rsidR="00953825">
        <w:t>as to</w:t>
      </w:r>
      <w:r>
        <w:t xml:space="preserve"> how much of the research project co-researchers </w:t>
      </w:r>
      <w:r>
        <w:lastRenderedPageBreak/>
        <w:t>with disabilities should be involved in. Some felt that the most meaningful engagement would be</w:t>
      </w:r>
      <w:r w:rsidR="00292973">
        <w:t xml:space="preserve"> to</w:t>
      </w:r>
      <w:r>
        <w:t xml:space="preserve"> </w:t>
      </w:r>
      <w:r w:rsidR="00C47DA0">
        <w:t>involve</w:t>
      </w:r>
      <w:r>
        <w:t xml:space="preserve"> co-researchers in all research stages</w:t>
      </w:r>
      <w:r w:rsidR="008C7DDF">
        <w:t>.</w:t>
      </w:r>
      <w:r w:rsidR="002217C5">
        <w:rPr>
          <w:rStyle w:val="FootnoteReference"/>
        </w:rPr>
        <w:footnoteReference w:id="558"/>
      </w:r>
      <w:r w:rsidR="004F1A6B">
        <w:t xml:space="preserve"> O</w:t>
      </w:r>
      <w:r>
        <w:t>thers noted that co-researchers with disabilities should have some ownership, choice and contr</w:t>
      </w:r>
      <w:r w:rsidR="00292973">
        <w:t>ol over the research r</w:t>
      </w:r>
      <w:r w:rsidR="00953825">
        <w:t>egardless of how many stages they are involved in</w:t>
      </w:r>
      <w:r w:rsidR="008C7DDF">
        <w:t>.</w:t>
      </w:r>
      <w:r w:rsidR="002217C5">
        <w:rPr>
          <w:rStyle w:val="FootnoteReference"/>
        </w:rPr>
        <w:footnoteReference w:id="559"/>
      </w:r>
      <w:r w:rsidR="00B54E8B">
        <w:t xml:space="preserve"> O</w:t>
      </w:r>
      <w:r>
        <w:t>thers felt it was important to consider the extent to which the co-researchers wanted to be involved</w:t>
      </w:r>
      <w:r w:rsidR="008C7DDF">
        <w:t>,</w:t>
      </w:r>
      <w:r w:rsidR="002217C5">
        <w:rPr>
          <w:rStyle w:val="FootnoteReference"/>
        </w:rPr>
        <w:footnoteReference w:id="560"/>
      </w:r>
      <w:r>
        <w:t xml:space="preserve"> which areas they wanted to be involved in</w:t>
      </w:r>
      <w:r w:rsidR="008C7DDF">
        <w:t>,</w:t>
      </w:r>
      <w:r w:rsidR="002217C5">
        <w:rPr>
          <w:rStyle w:val="FootnoteReference"/>
        </w:rPr>
        <w:footnoteReference w:id="561"/>
      </w:r>
      <w:r w:rsidR="002217C5">
        <w:t xml:space="preserve"> </w:t>
      </w:r>
      <w:r w:rsidR="00343B69">
        <w:rPr>
          <w:rStyle w:val="FootnoteReference"/>
        </w:rPr>
        <w:footnoteReference w:id="562"/>
      </w:r>
      <w:r w:rsidR="008C7DDF">
        <w:t xml:space="preserve"> </w:t>
      </w:r>
      <w:r>
        <w:t>and how their skills matched different stages and tasks of the research project</w:t>
      </w:r>
      <w:r w:rsidR="008C7DDF">
        <w:t>.</w:t>
      </w:r>
      <w:r w:rsidR="002217C5">
        <w:rPr>
          <w:rStyle w:val="FootnoteReference"/>
        </w:rPr>
        <w:footnoteReference w:id="563"/>
      </w:r>
      <w:r>
        <w:t xml:space="preserve"> </w:t>
      </w:r>
    </w:p>
    <w:p w14:paraId="19B5256D" w14:textId="0D692963" w:rsidR="00DB5669" w:rsidRDefault="00135AEB" w:rsidP="00DB5669">
      <w:pPr>
        <w:pStyle w:val="BlockQuote"/>
      </w:pPr>
      <w:r>
        <w:t>.</w:t>
      </w:r>
      <w:r w:rsidR="00DB5669">
        <w:t>..</w:t>
      </w:r>
      <w:r w:rsidR="00DB5669" w:rsidRPr="005407AD">
        <w:t>which is more important – involving people in all research phases or is it more important that the participants are actively involved in deciding how much, how and when they will (not) participate in the research process?</w:t>
      </w:r>
      <w:r w:rsidR="002217C5">
        <w:rPr>
          <w:rStyle w:val="FootnoteReference"/>
        </w:rPr>
        <w:footnoteReference w:id="564"/>
      </w:r>
      <w:r w:rsidR="00953825">
        <w:t xml:space="preserve"> </w:t>
      </w:r>
    </w:p>
    <w:p w14:paraId="556997F8" w14:textId="44AD437E" w:rsidR="00DB5669" w:rsidRDefault="00DB5669" w:rsidP="00DB5669">
      <w:r>
        <w:t>As to which stages co-researchers should be involved in, some studies noted that the most important stages were at the very start of a research project (e.g. at research proposal stage)</w:t>
      </w:r>
      <w:r w:rsidR="00F977CB">
        <w:rPr>
          <w:rStyle w:val="FootnoteReference"/>
        </w:rPr>
        <w:footnoteReference w:id="565"/>
      </w:r>
      <w:r w:rsidR="00654F26" w:rsidRPr="00F72555">
        <w:t xml:space="preserve"> </w:t>
      </w:r>
      <w:r w:rsidRPr="00F72555">
        <w:t>and in collecting data</w:t>
      </w:r>
      <w:r w:rsidR="005600B4">
        <w:t>.</w:t>
      </w:r>
      <w:r w:rsidR="00F977CB">
        <w:rPr>
          <w:rStyle w:val="FootnoteReference"/>
        </w:rPr>
        <w:footnoteReference w:id="566"/>
      </w:r>
      <w:r>
        <w:t xml:space="preserve"> </w:t>
      </w:r>
      <w:r w:rsidRPr="00111F6F">
        <w:t xml:space="preserve">From the studies reviewed, it seems that </w:t>
      </w:r>
      <w:r>
        <w:t xml:space="preserve">developing </w:t>
      </w:r>
      <w:r w:rsidRPr="00111F6F">
        <w:t>data collection</w:t>
      </w:r>
      <w:r>
        <w:t xml:space="preserve"> instruments, collecting data</w:t>
      </w:r>
      <w:r w:rsidRPr="00111F6F">
        <w:t xml:space="preserve"> and data analysis were </w:t>
      </w:r>
      <w:r>
        <w:t>some</w:t>
      </w:r>
      <w:r w:rsidRPr="00111F6F">
        <w:t xml:space="preserve"> of the main areas co-researchers were involved in.</w:t>
      </w:r>
    </w:p>
    <w:p w14:paraId="4EF7E8F9" w14:textId="165B0486" w:rsidR="00DB5669" w:rsidRDefault="00DB5669" w:rsidP="00DB5669">
      <w:r>
        <w:t>In the studies reviewed, frustrations were identified about perceived tokenistic involvement</w:t>
      </w:r>
      <w:r w:rsidR="00415B6C">
        <w:t xml:space="preserve"> of co-researchers</w:t>
      </w:r>
      <w:r>
        <w:t xml:space="preserve"> and a lack of </w:t>
      </w:r>
      <w:r w:rsidR="00415B6C">
        <w:t xml:space="preserve">their </w:t>
      </w:r>
      <w:r>
        <w:t xml:space="preserve">ownership over research. Some community organisations noted that they have sometimes been approached for </w:t>
      </w:r>
      <w:r>
        <w:lastRenderedPageBreak/>
        <w:t>input at the early stages of a project, only to have their suggestions ignored. This can create problems because co-researchers may feel that the time and resources they provided have not been valued or appreciated and were only sought as a box tick exercis</w:t>
      </w:r>
      <w:r w:rsidR="00E176FD">
        <w:t>e to put on a grant application</w:t>
      </w:r>
      <w:r w:rsidR="005600B4">
        <w:t>.</w:t>
      </w:r>
      <w:r w:rsidR="00D01642">
        <w:rPr>
          <w:rStyle w:val="FootnoteReference"/>
        </w:rPr>
        <w:footnoteReference w:id="567"/>
      </w:r>
      <w:r w:rsidR="00E176FD">
        <w:t xml:space="preserve"> </w:t>
      </w:r>
      <w:r w:rsidRPr="003C657B">
        <w:t>Perceptions of tokenism may result in disillusionment and</w:t>
      </w:r>
      <w:r>
        <w:t xml:space="preserve"> may mean that the community of interest may not fully benefit from the research</w:t>
      </w:r>
      <w:r w:rsidR="005600B4">
        <w:t>,</w:t>
      </w:r>
      <w:r w:rsidR="00D01642">
        <w:rPr>
          <w:rStyle w:val="FootnoteReference"/>
        </w:rPr>
        <w:footnoteReference w:id="568"/>
      </w:r>
      <w:r w:rsidRPr="003C657B">
        <w:t xml:space="preserve"> so it is important that researchers make every effort to avoid this</w:t>
      </w:r>
      <w:r w:rsidR="00307921">
        <w:t xml:space="preserve"> by ensuring meaningful collaboration takes place</w:t>
      </w:r>
      <w:r w:rsidRPr="003C657B">
        <w:t xml:space="preserve">. </w:t>
      </w:r>
    </w:p>
    <w:p w14:paraId="03922C2F" w14:textId="31C28289" w:rsidR="00EE7D0F" w:rsidRDefault="00DB5669" w:rsidP="00DB5669">
      <w:r w:rsidRPr="00BF2A78">
        <w:t>Several studies highlighted issues around conducting a fully collaborative project.</w:t>
      </w:r>
      <w:r w:rsidR="00EE7D0F" w:rsidRPr="00EE7D0F">
        <w:t xml:space="preserve"> Involving co-researchers in the early stages of the project such as in grant and ethics applications, and in data analysis were particularly challenging</w:t>
      </w:r>
      <w:r w:rsidR="005600B4">
        <w:t>.</w:t>
      </w:r>
      <w:r w:rsidR="00D01642">
        <w:rPr>
          <w:rStyle w:val="FootnoteReference"/>
        </w:rPr>
        <w:footnoteReference w:id="569"/>
      </w:r>
      <w:r w:rsidR="00EE7D0F" w:rsidRPr="00EE7D0F">
        <w:t xml:space="preserve"> </w:t>
      </w:r>
      <w:r w:rsidRPr="00BF2A78">
        <w:t>In some studies, the nature of the study was very technical which prevented the co-researchers from being involved fully</w:t>
      </w:r>
      <w:r w:rsidR="005600B4">
        <w:t>.</w:t>
      </w:r>
      <w:r w:rsidR="0028594C">
        <w:rPr>
          <w:rStyle w:val="FootnoteReference"/>
        </w:rPr>
        <w:footnoteReference w:id="570"/>
      </w:r>
      <w:r w:rsidRPr="00BF2A78">
        <w:t xml:space="preserve"> The presence of intellectual disability or a lack of confidence was also noted to be a challenge to involving co-researchers full</w:t>
      </w:r>
      <w:r w:rsidR="00E176FD">
        <w:t>y in all aspects of the process</w:t>
      </w:r>
      <w:r w:rsidR="005600B4">
        <w:t>.</w:t>
      </w:r>
      <w:r w:rsidR="0028594C">
        <w:rPr>
          <w:rStyle w:val="FootnoteReference"/>
        </w:rPr>
        <w:footnoteReference w:id="571"/>
      </w:r>
      <w:r w:rsidR="002A2DF8">
        <w:t xml:space="preserve"> </w:t>
      </w:r>
      <w:r w:rsidR="003C16D6">
        <w:t xml:space="preserve">In a review of </w:t>
      </w:r>
      <w:r w:rsidR="00D81148">
        <w:t xml:space="preserve">studies about </w:t>
      </w:r>
      <w:r w:rsidR="003C16D6">
        <w:t>PPI in dementia</w:t>
      </w:r>
      <w:r w:rsidR="00D16433">
        <w:t xml:space="preserve"> and other conditions</w:t>
      </w:r>
      <w:r w:rsidR="003C16D6">
        <w:t xml:space="preserve">, Burton </w:t>
      </w:r>
      <w:r w:rsidR="00185C11" w:rsidRPr="00185C11">
        <w:rPr>
          <w:i/>
        </w:rPr>
        <w:t xml:space="preserve">et al. </w:t>
      </w:r>
      <w:r w:rsidR="003C16D6">
        <w:t xml:space="preserve">(2019) noted that in one study, </w:t>
      </w:r>
      <w:r w:rsidR="002A2DF8">
        <w:t>some co-</w:t>
      </w:r>
      <w:r w:rsidR="003C16D6">
        <w:t>researchers</w:t>
      </w:r>
      <w:r w:rsidR="002A2DF8">
        <w:t xml:space="preserve"> with learning </w:t>
      </w:r>
      <w:r w:rsidR="003C16D6">
        <w:t>disabilities who would have liked to be involved in data analysis</w:t>
      </w:r>
      <w:r w:rsidR="002A2DF8">
        <w:t xml:space="preserve"> were not given the opportunity</w:t>
      </w:r>
      <w:r w:rsidR="005600B4">
        <w:t>.</w:t>
      </w:r>
      <w:r w:rsidR="0028594C">
        <w:rPr>
          <w:rStyle w:val="FootnoteReference"/>
        </w:rPr>
        <w:footnoteReference w:id="572"/>
      </w:r>
      <w:r w:rsidR="002A2DF8">
        <w:t xml:space="preserve"> </w:t>
      </w:r>
      <w:proofErr w:type="spellStart"/>
      <w:r w:rsidR="0067390C">
        <w:t>Oksnebjerg</w:t>
      </w:r>
      <w:proofErr w:type="spellEnd"/>
      <w:r w:rsidR="0067390C">
        <w:t xml:space="preserve"> </w:t>
      </w:r>
      <w:r w:rsidR="00185C11" w:rsidRPr="00185C11">
        <w:rPr>
          <w:i/>
        </w:rPr>
        <w:t xml:space="preserve">et al. </w:t>
      </w:r>
      <w:r w:rsidR="0028594C">
        <w:t>(</w:t>
      </w:r>
      <w:r w:rsidR="0067390C">
        <w:t>2018</w:t>
      </w:r>
      <w:r w:rsidR="0028594C">
        <w:t>)</w:t>
      </w:r>
      <w:r w:rsidR="0067390C">
        <w:t xml:space="preserve"> cited ‘practical reasons’ as the explanation</w:t>
      </w:r>
      <w:r w:rsidR="00D81148">
        <w:t xml:space="preserve"> for not involving the co-researchers in the analysis</w:t>
      </w:r>
      <w:r w:rsidR="00D07F39">
        <w:t>, but acknowledge that they should have given more consideration to this at design stage of the research.</w:t>
      </w:r>
      <w:r w:rsidR="0067390C">
        <w:t xml:space="preserve"> </w:t>
      </w:r>
      <w:r w:rsidR="00CA515D">
        <w:t>T</w:t>
      </w:r>
      <w:r w:rsidR="000A2277">
        <w:t xml:space="preserve">his </w:t>
      </w:r>
      <w:r w:rsidR="00A50128">
        <w:t>highlights</w:t>
      </w:r>
      <w:r w:rsidR="000A2277">
        <w:t xml:space="preserve"> the need for effective planning early in the </w:t>
      </w:r>
      <w:r w:rsidR="00A50128">
        <w:t>research. Every</w:t>
      </w:r>
      <w:r w:rsidR="00D07F39">
        <w:t xml:space="preserve"> effort should be made by the researchers to</w:t>
      </w:r>
      <w:r w:rsidR="002A2DF8">
        <w:t xml:space="preserve"> ensure that</w:t>
      </w:r>
      <w:r w:rsidR="007461A5">
        <w:t xml:space="preserve"> </w:t>
      </w:r>
      <w:r w:rsidR="00D07F39">
        <w:t>co-researchers</w:t>
      </w:r>
      <w:r w:rsidR="007461A5">
        <w:t xml:space="preserve"> can contribute to the </w:t>
      </w:r>
      <w:r w:rsidR="002A2DF8">
        <w:t>stages</w:t>
      </w:r>
      <w:r w:rsidR="00D07F39">
        <w:t xml:space="preserve"> of the research</w:t>
      </w:r>
      <w:r w:rsidR="002A2DF8">
        <w:t xml:space="preserve"> they want to be involved </w:t>
      </w:r>
      <w:r w:rsidR="00D07F39">
        <w:t xml:space="preserve">in. </w:t>
      </w:r>
    </w:p>
    <w:p w14:paraId="0E3576E1" w14:textId="374FAFD2" w:rsidR="00DB5669" w:rsidRDefault="00DB5669" w:rsidP="00E04417">
      <w:pPr>
        <w:pStyle w:val="Heading3"/>
      </w:pPr>
      <w:bookmarkStart w:id="68" w:name="_Toc104925129"/>
      <w:r>
        <w:t>Research topics, planning and design</w:t>
      </w:r>
      <w:bookmarkEnd w:id="68"/>
    </w:p>
    <w:p w14:paraId="1BBEF1D1" w14:textId="2780FE30" w:rsidR="00D30CEB" w:rsidRPr="006E4425" w:rsidRDefault="00DB5669" w:rsidP="00DB5669">
      <w:pPr>
        <w:rPr>
          <w:rFonts w:cs="Calibri"/>
          <w:szCs w:val="26"/>
          <w:lang w:eastAsia="en-IE"/>
        </w:rPr>
      </w:pPr>
      <w:r>
        <w:t>Involving co-researchers as early as possible in a research project would lend itself to promoting the values of ownership, equity and power sharing</w:t>
      </w:r>
      <w:r w:rsidR="0047350B">
        <w:t xml:space="preserve"> that are key elements of collaborative research</w:t>
      </w:r>
      <w:r>
        <w:t>.</w:t>
      </w:r>
      <w:r w:rsidR="0099367F">
        <w:t xml:space="preserve"> </w:t>
      </w:r>
      <w:r w:rsidR="0099367F">
        <w:rPr>
          <w:rFonts w:cs="Calibri"/>
          <w:szCs w:val="26"/>
          <w:lang w:eastAsia="en-IE"/>
        </w:rPr>
        <w:t xml:space="preserve">One of the </w:t>
      </w:r>
      <w:r w:rsidR="0099367F" w:rsidRPr="0099367F">
        <w:rPr>
          <w:rFonts w:cs="Calibri"/>
          <w:szCs w:val="26"/>
          <w:lang w:eastAsia="en-IE"/>
        </w:rPr>
        <w:t xml:space="preserve">challenges of involving some co-researchers in </w:t>
      </w:r>
      <w:r w:rsidR="00FD760A">
        <w:rPr>
          <w:rFonts w:cs="Calibri"/>
          <w:szCs w:val="26"/>
          <w:lang w:eastAsia="en-IE"/>
        </w:rPr>
        <w:t xml:space="preserve">the </w:t>
      </w:r>
      <w:r w:rsidR="0099367F" w:rsidRPr="0099367F">
        <w:rPr>
          <w:rFonts w:cs="Calibri"/>
          <w:szCs w:val="26"/>
          <w:lang w:eastAsia="en-IE"/>
        </w:rPr>
        <w:t>early stages of research</w:t>
      </w:r>
      <w:r w:rsidR="00654F26">
        <w:rPr>
          <w:rFonts w:cs="Calibri"/>
          <w:szCs w:val="26"/>
          <w:lang w:eastAsia="en-IE"/>
        </w:rPr>
        <w:t xml:space="preserve"> </w:t>
      </w:r>
      <w:r w:rsidR="0099367F" w:rsidRPr="0099367F">
        <w:rPr>
          <w:rFonts w:cs="Calibri"/>
          <w:szCs w:val="26"/>
          <w:lang w:eastAsia="en-IE"/>
        </w:rPr>
        <w:t xml:space="preserve">(e.g. those with cognitive difficulties or more profound intellectual disability) is that some of the activities like idea generation or </w:t>
      </w:r>
      <w:r w:rsidR="0099367F" w:rsidRPr="007E6604">
        <w:rPr>
          <w:rFonts w:cs="Calibri"/>
          <w:szCs w:val="26"/>
          <w:lang w:eastAsia="en-IE"/>
        </w:rPr>
        <w:t>planning research design may require</w:t>
      </w:r>
      <w:r w:rsidR="0076773D">
        <w:rPr>
          <w:rFonts w:cs="Calibri"/>
          <w:szCs w:val="26"/>
          <w:lang w:eastAsia="en-IE"/>
        </w:rPr>
        <w:t xml:space="preserve"> particularly abstract </w:t>
      </w:r>
      <w:r w:rsidR="0076773D">
        <w:rPr>
          <w:rFonts w:cs="Calibri"/>
          <w:szCs w:val="26"/>
          <w:lang w:eastAsia="en-IE"/>
        </w:rPr>
        <w:lastRenderedPageBreak/>
        <w:t>thinking</w:t>
      </w:r>
      <w:r w:rsidR="005600B4">
        <w:rPr>
          <w:rFonts w:cs="Calibri"/>
          <w:szCs w:val="26"/>
          <w:lang w:eastAsia="en-IE"/>
        </w:rPr>
        <w:t>.</w:t>
      </w:r>
      <w:r w:rsidR="0028594C">
        <w:rPr>
          <w:rStyle w:val="FootnoteReference"/>
          <w:rFonts w:cs="Calibri"/>
          <w:color w:val="000000"/>
          <w:lang w:eastAsia="en-IE"/>
        </w:rPr>
        <w:footnoteReference w:id="573"/>
      </w:r>
      <w:r w:rsidR="0099367F" w:rsidRPr="0099367F">
        <w:rPr>
          <w:rFonts w:cs="Calibri"/>
          <w:b/>
          <w:szCs w:val="26"/>
          <w:lang w:eastAsia="en-IE"/>
        </w:rPr>
        <w:t xml:space="preserve"> </w:t>
      </w:r>
      <w:r w:rsidR="0099367F" w:rsidRPr="0099367F">
        <w:rPr>
          <w:rFonts w:cs="Calibri"/>
          <w:szCs w:val="26"/>
          <w:lang w:eastAsia="en-IE"/>
        </w:rPr>
        <w:t xml:space="preserve">A review by </w:t>
      </w:r>
      <w:proofErr w:type="spellStart"/>
      <w:r w:rsidR="00E67998" w:rsidRPr="00E67998">
        <w:rPr>
          <w:rFonts w:cs="Calibri"/>
          <w:color w:val="000000"/>
          <w:lang w:eastAsia="en-IE"/>
        </w:rPr>
        <w:t>Suijkerbuijk</w:t>
      </w:r>
      <w:proofErr w:type="spellEnd"/>
      <w:r w:rsidR="00E67998">
        <w:rPr>
          <w:rFonts w:cs="Calibri"/>
          <w:color w:val="000000"/>
          <w:lang w:eastAsia="en-IE"/>
        </w:rPr>
        <w:t xml:space="preserve"> </w:t>
      </w:r>
      <w:r w:rsidR="00185C11" w:rsidRPr="00185C11">
        <w:rPr>
          <w:rFonts w:cs="Calibri"/>
          <w:i/>
          <w:color w:val="000000"/>
          <w:lang w:eastAsia="en-IE"/>
        </w:rPr>
        <w:t xml:space="preserve">et al. </w:t>
      </w:r>
      <w:r w:rsidR="00E67998">
        <w:rPr>
          <w:rFonts w:cs="Calibri"/>
          <w:color w:val="000000"/>
          <w:lang w:eastAsia="en-IE"/>
        </w:rPr>
        <w:t>(2</w:t>
      </w:r>
      <w:r w:rsidR="004B69FC">
        <w:rPr>
          <w:rFonts w:cs="Calibri"/>
          <w:color w:val="000000"/>
          <w:lang w:eastAsia="en-IE"/>
        </w:rPr>
        <w:t>019)</w:t>
      </w:r>
      <w:r w:rsidR="0099367F" w:rsidRPr="0064632A">
        <w:rPr>
          <w:rFonts w:cs="Calibri"/>
          <w:color w:val="000000"/>
          <w:lang w:eastAsia="en-IE"/>
        </w:rPr>
        <w:t xml:space="preserve"> found a number of studies made such research tasks more concrete by using activities such as </w:t>
      </w:r>
      <w:r w:rsidR="0099367F" w:rsidRPr="004F0BDE">
        <w:rPr>
          <w:rFonts w:cs="Calibri"/>
          <w:color w:val="000000"/>
          <w:lang w:eastAsia="en-IE"/>
        </w:rPr>
        <w:t xml:space="preserve">scenarios </w:t>
      </w:r>
      <w:r w:rsidR="004F0BDE" w:rsidRPr="004F0BDE">
        <w:rPr>
          <w:rFonts w:cs="Calibri"/>
          <w:color w:val="000000"/>
          <w:lang w:eastAsia="en-IE"/>
        </w:rPr>
        <w:t>or descriptions</w:t>
      </w:r>
      <w:r w:rsidR="004F0BDE">
        <w:rPr>
          <w:rFonts w:cs="Calibri"/>
          <w:color w:val="000000"/>
          <w:lang w:eastAsia="en-IE"/>
        </w:rPr>
        <w:t xml:space="preserve"> of </w:t>
      </w:r>
      <w:r w:rsidR="00FC51D4">
        <w:rPr>
          <w:rFonts w:cs="Calibri"/>
          <w:color w:val="000000"/>
          <w:lang w:eastAsia="en-IE"/>
        </w:rPr>
        <w:t xml:space="preserve">identifiable </w:t>
      </w:r>
      <w:r w:rsidR="004F0BDE">
        <w:rPr>
          <w:rFonts w:cs="Calibri"/>
          <w:color w:val="000000"/>
          <w:lang w:eastAsia="en-IE"/>
        </w:rPr>
        <w:t>real life situations</w:t>
      </w:r>
      <w:r w:rsidR="005600B4">
        <w:rPr>
          <w:rFonts w:cs="Calibri"/>
          <w:color w:val="000000"/>
          <w:lang w:eastAsia="en-IE"/>
        </w:rPr>
        <w:t>.</w:t>
      </w:r>
      <w:r w:rsidR="0028594C">
        <w:rPr>
          <w:rStyle w:val="FootnoteReference"/>
          <w:rFonts w:cs="Calibri"/>
          <w:color w:val="000000"/>
          <w:lang w:eastAsia="en-IE"/>
        </w:rPr>
        <w:footnoteReference w:id="574"/>
      </w:r>
      <w:r w:rsidR="0099367F">
        <w:rPr>
          <w:rFonts w:cs="Calibri"/>
          <w:color w:val="000000"/>
          <w:lang w:eastAsia="en-IE"/>
        </w:rPr>
        <w:t xml:space="preserve"> </w:t>
      </w:r>
      <w:r>
        <w:t xml:space="preserve">A number </w:t>
      </w:r>
      <w:r w:rsidRPr="0064632A">
        <w:rPr>
          <w:szCs w:val="26"/>
        </w:rPr>
        <w:t>of studies did specify that co-researchers played a role in influencing the research topic</w:t>
      </w:r>
      <w:r w:rsidR="004479E6">
        <w:rPr>
          <w:szCs w:val="26"/>
        </w:rPr>
        <w:t xml:space="preserve"> or questions</w:t>
      </w:r>
      <w:r w:rsidR="005600B4">
        <w:rPr>
          <w:szCs w:val="26"/>
        </w:rPr>
        <w:t>.</w:t>
      </w:r>
      <w:r w:rsidR="00F36A01">
        <w:rPr>
          <w:rStyle w:val="FootnoteReference"/>
          <w:rFonts w:cs="Calibri"/>
          <w:szCs w:val="26"/>
          <w:lang w:eastAsia="en-IE"/>
        </w:rPr>
        <w:footnoteReference w:id="575"/>
      </w:r>
      <w:r w:rsidRPr="006E4425">
        <w:rPr>
          <w:rFonts w:cs="Calibri"/>
          <w:szCs w:val="26"/>
          <w:lang w:eastAsia="en-IE"/>
        </w:rPr>
        <w:t xml:space="preserve"> </w:t>
      </w:r>
    </w:p>
    <w:p w14:paraId="538C5D1B" w14:textId="5178E3F9" w:rsidR="00A439F1" w:rsidRPr="001D3F26" w:rsidRDefault="00DB5669" w:rsidP="00DB5669">
      <w:pPr>
        <w:rPr>
          <w:rFonts w:cs="Calibri"/>
          <w:szCs w:val="26"/>
          <w:lang w:eastAsia="en-IE"/>
        </w:rPr>
      </w:pPr>
      <w:r w:rsidRPr="0064632A">
        <w:rPr>
          <w:szCs w:val="26"/>
        </w:rPr>
        <w:t>More studies referred to co-researchers being involved in planning and designing the research</w:t>
      </w:r>
      <w:r w:rsidR="005600B4">
        <w:rPr>
          <w:szCs w:val="26"/>
        </w:rPr>
        <w:t>.</w:t>
      </w:r>
      <w:r w:rsidR="00F36A01">
        <w:rPr>
          <w:rStyle w:val="FootnoteReference"/>
          <w:rFonts w:cs="Calibri"/>
          <w:szCs w:val="26"/>
          <w:lang w:eastAsia="en-IE"/>
        </w:rPr>
        <w:footnoteReference w:id="576"/>
      </w:r>
      <w:r w:rsidRPr="0076773D">
        <w:rPr>
          <w:rFonts w:cs="Calibri"/>
          <w:szCs w:val="26"/>
          <w:lang w:eastAsia="en-IE"/>
        </w:rPr>
        <w:t xml:space="preserve"> </w:t>
      </w:r>
      <w:r w:rsidRPr="0064632A">
        <w:rPr>
          <w:szCs w:val="26"/>
        </w:rPr>
        <w:t>One</w:t>
      </w:r>
      <w:r w:rsidRPr="0064632A">
        <w:rPr>
          <w:rFonts w:cs="Calibri"/>
          <w:szCs w:val="26"/>
          <w:lang w:eastAsia="en-IE"/>
        </w:rPr>
        <w:t xml:space="preserve"> of the most common ways co-researchers were involved in research projects was in the development</w:t>
      </w:r>
      <w:r w:rsidRPr="008108BB">
        <w:rPr>
          <w:rFonts w:cs="Calibri"/>
          <w:szCs w:val="26"/>
          <w:lang w:eastAsia="en-IE"/>
        </w:rPr>
        <w:t xml:space="preserve"> of data collection </w:t>
      </w:r>
      <w:r w:rsidRPr="0076773D">
        <w:rPr>
          <w:rFonts w:cs="Calibri"/>
          <w:szCs w:val="26"/>
          <w:lang w:eastAsia="en-IE"/>
        </w:rPr>
        <w:t>instruments</w:t>
      </w:r>
      <w:r w:rsidR="005600B4">
        <w:rPr>
          <w:rFonts w:cs="Calibri"/>
          <w:szCs w:val="26"/>
          <w:lang w:eastAsia="en-IE"/>
        </w:rPr>
        <w:t>.</w:t>
      </w:r>
      <w:r w:rsidR="00F36A01">
        <w:rPr>
          <w:rStyle w:val="FootnoteReference"/>
          <w:rFonts w:cs="Calibri"/>
          <w:szCs w:val="26"/>
          <w:lang w:eastAsia="en-IE"/>
        </w:rPr>
        <w:footnoteReference w:id="577"/>
      </w:r>
      <w:r w:rsidRPr="0076773D">
        <w:rPr>
          <w:rFonts w:cs="Calibri"/>
          <w:szCs w:val="26"/>
          <w:lang w:eastAsia="en-IE"/>
        </w:rPr>
        <w:t xml:space="preserve"> The vast majority of these were</w:t>
      </w:r>
      <w:r w:rsidRPr="00252E17">
        <w:rPr>
          <w:rFonts w:cs="Calibri"/>
          <w:szCs w:val="26"/>
          <w:lang w:eastAsia="en-IE"/>
        </w:rPr>
        <w:t xml:space="preserve"> focus group topic guides or interview schedules</w:t>
      </w:r>
      <w:r w:rsidR="007E26D4">
        <w:rPr>
          <w:rFonts w:cs="Calibri"/>
          <w:szCs w:val="26"/>
          <w:lang w:eastAsia="en-IE"/>
        </w:rPr>
        <w:t>.</w:t>
      </w:r>
      <w:r w:rsidRPr="00252E17">
        <w:rPr>
          <w:rFonts w:cs="Calibri"/>
          <w:szCs w:val="26"/>
          <w:lang w:eastAsia="en-IE"/>
        </w:rPr>
        <w:t xml:space="preserve"> </w:t>
      </w:r>
      <w:r w:rsidR="007E26D4">
        <w:rPr>
          <w:rFonts w:cs="Calibri"/>
          <w:szCs w:val="26"/>
          <w:lang w:eastAsia="en-IE"/>
        </w:rPr>
        <w:t>A</w:t>
      </w:r>
      <w:r w:rsidRPr="00252E17">
        <w:rPr>
          <w:rFonts w:cs="Calibri"/>
          <w:szCs w:val="26"/>
          <w:lang w:eastAsia="en-IE"/>
        </w:rPr>
        <w:t xml:space="preserve"> minority of co-researchers </w:t>
      </w:r>
      <w:r w:rsidR="007E26D4">
        <w:rPr>
          <w:rFonts w:cs="Calibri"/>
          <w:szCs w:val="26"/>
          <w:lang w:eastAsia="en-IE"/>
        </w:rPr>
        <w:t xml:space="preserve">were </w:t>
      </w:r>
      <w:r w:rsidR="0076773D">
        <w:rPr>
          <w:rFonts w:cs="Calibri"/>
          <w:szCs w:val="26"/>
          <w:lang w:eastAsia="en-IE"/>
        </w:rPr>
        <w:t>part of designing surveys</w:t>
      </w:r>
      <w:r w:rsidR="00004A45">
        <w:rPr>
          <w:rStyle w:val="FootnoteReference"/>
          <w:rFonts w:cs="Calibri"/>
          <w:szCs w:val="26"/>
          <w:lang w:eastAsia="en-IE"/>
        </w:rPr>
        <w:footnoteReference w:id="578"/>
      </w:r>
      <w:r w:rsidR="00FD760A">
        <w:rPr>
          <w:rFonts w:cs="Calibri"/>
          <w:szCs w:val="26"/>
          <w:lang w:eastAsia="en-IE"/>
        </w:rPr>
        <w:t xml:space="preserve"> and</w:t>
      </w:r>
      <w:r w:rsidR="007E26D4">
        <w:rPr>
          <w:rFonts w:cs="Calibri"/>
          <w:szCs w:val="26"/>
          <w:lang w:eastAsia="en-IE"/>
        </w:rPr>
        <w:t xml:space="preserve"> co-</w:t>
      </w:r>
      <w:r w:rsidR="003354AA">
        <w:rPr>
          <w:rFonts w:cs="Calibri"/>
          <w:szCs w:val="26"/>
          <w:lang w:eastAsia="en-IE"/>
        </w:rPr>
        <w:t>researchers</w:t>
      </w:r>
      <w:r w:rsidR="007E26D4">
        <w:rPr>
          <w:rFonts w:cs="Calibri"/>
          <w:szCs w:val="26"/>
          <w:lang w:eastAsia="en-IE"/>
        </w:rPr>
        <w:t xml:space="preserve"> in one study </w:t>
      </w:r>
      <w:r w:rsidR="00535E56">
        <w:rPr>
          <w:rFonts w:cs="Calibri"/>
          <w:szCs w:val="26"/>
          <w:lang w:eastAsia="en-IE"/>
        </w:rPr>
        <w:t xml:space="preserve">were involved in developing </w:t>
      </w:r>
      <w:r w:rsidR="007E26D4">
        <w:rPr>
          <w:rFonts w:cs="Calibri"/>
          <w:szCs w:val="26"/>
          <w:lang w:eastAsia="en-IE"/>
        </w:rPr>
        <w:t xml:space="preserve">an </w:t>
      </w:r>
      <w:r w:rsidR="003354AA">
        <w:rPr>
          <w:rFonts w:cs="Calibri"/>
          <w:szCs w:val="26"/>
          <w:lang w:eastAsia="en-IE"/>
        </w:rPr>
        <w:t xml:space="preserve">adapted </w:t>
      </w:r>
      <w:r w:rsidR="003354AA" w:rsidRPr="0076773D">
        <w:rPr>
          <w:rFonts w:cs="Calibri"/>
          <w:szCs w:val="26"/>
          <w:lang w:eastAsia="en-IE"/>
        </w:rPr>
        <w:t>question</w:t>
      </w:r>
      <w:r w:rsidR="00A0000E" w:rsidRPr="0076773D">
        <w:rPr>
          <w:rFonts w:cs="Calibri"/>
          <w:szCs w:val="26"/>
          <w:lang w:eastAsia="en-IE"/>
        </w:rPr>
        <w:t xml:space="preserve"> scale</w:t>
      </w:r>
      <w:r w:rsidR="005600B4">
        <w:rPr>
          <w:rFonts w:cs="Calibri"/>
          <w:szCs w:val="26"/>
          <w:lang w:eastAsia="en-IE"/>
        </w:rPr>
        <w:t>.</w:t>
      </w:r>
      <w:r w:rsidR="00004A45">
        <w:rPr>
          <w:rStyle w:val="FootnoteReference"/>
          <w:rFonts w:cs="Calibri"/>
          <w:szCs w:val="26"/>
          <w:lang w:eastAsia="en-IE"/>
        </w:rPr>
        <w:footnoteReference w:id="579"/>
      </w:r>
      <w:r w:rsidR="0076773D">
        <w:rPr>
          <w:rFonts w:cs="Calibri"/>
          <w:szCs w:val="26"/>
          <w:lang w:eastAsia="en-IE"/>
        </w:rPr>
        <w:t xml:space="preserve"> </w:t>
      </w:r>
      <w:r w:rsidRPr="0076773D">
        <w:rPr>
          <w:rFonts w:cs="Calibri"/>
          <w:szCs w:val="26"/>
          <w:lang w:eastAsia="en-IE"/>
        </w:rPr>
        <w:t xml:space="preserve">In </w:t>
      </w:r>
      <w:proofErr w:type="spellStart"/>
      <w:r w:rsidRPr="0064632A">
        <w:rPr>
          <w:rFonts w:cs="Calibri"/>
          <w:szCs w:val="26"/>
          <w:lang w:eastAsia="en-IE"/>
        </w:rPr>
        <w:t>Aldersley</w:t>
      </w:r>
      <w:proofErr w:type="spellEnd"/>
      <w:r w:rsidRPr="0064632A">
        <w:rPr>
          <w:rFonts w:cs="Calibri"/>
          <w:szCs w:val="26"/>
          <w:lang w:eastAsia="en-IE"/>
        </w:rPr>
        <w:t xml:space="preserve"> </w:t>
      </w:r>
      <w:r w:rsidR="00655C49" w:rsidRPr="00655C49">
        <w:rPr>
          <w:rFonts w:cs="Calibri"/>
          <w:i/>
          <w:szCs w:val="26"/>
          <w:lang w:eastAsia="en-IE"/>
        </w:rPr>
        <w:t xml:space="preserve">et </w:t>
      </w:r>
      <w:proofErr w:type="spellStart"/>
      <w:r w:rsidR="00655C49" w:rsidRPr="00655C49">
        <w:rPr>
          <w:rFonts w:cs="Calibri"/>
          <w:i/>
          <w:szCs w:val="26"/>
          <w:lang w:eastAsia="en-IE"/>
        </w:rPr>
        <w:t>al’s</w:t>
      </w:r>
      <w:proofErr w:type="spellEnd"/>
      <w:r w:rsidRPr="0064632A">
        <w:rPr>
          <w:rFonts w:cs="Calibri"/>
          <w:szCs w:val="26"/>
          <w:lang w:eastAsia="en-IE"/>
        </w:rPr>
        <w:t xml:space="preserve"> </w:t>
      </w:r>
      <w:r w:rsidR="00D16433">
        <w:rPr>
          <w:rFonts w:cs="Calibri"/>
          <w:szCs w:val="26"/>
          <w:lang w:eastAsia="en-IE"/>
        </w:rPr>
        <w:t>(</w:t>
      </w:r>
      <w:r w:rsidRPr="0064632A">
        <w:rPr>
          <w:rFonts w:cs="Calibri"/>
          <w:szCs w:val="26"/>
          <w:lang w:eastAsia="en-IE"/>
        </w:rPr>
        <w:t>2018</w:t>
      </w:r>
      <w:r w:rsidR="00D16433">
        <w:rPr>
          <w:rFonts w:cs="Calibri"/>
          <w:szCs w:val="26"/>
          <w:lang w:eastAsia="en-IE"/>
        </w:rPr>
        <w:t>)</w:t>
      </w:r>
      <w:r w:rsidRPr="0064632A">
        <w:rPr>
          <w:rFonts w:cs="Calibri"/>
          <w:szCs w:val="26"/>
          <w:lang w:eastAsia="en-IE"/>
        </w:rPr>
        <w:t xml:space="preserve"> study, co-researchers photographed </w:t>
      </w:r>
      <w:r w:rsidRPr="00232E8E">
        <w:rPr>
          <w:rFonts w:eastAsia="SimSun"/>
          <w:szCs w:val="26"/>
          <w:lang w:eastAsia="en-IE"/>
        </w:rPr>
        <w:t xml:space="preserve">barriers and facilitators they encountered in daily life as wheelchair users for a period of </w:t>
      </w:r>
      <w:r w:rsidR="00535E56">
        <w:rPr>
          <w:rFonts w:eastAsia="SimSun"/>
          <w:szCs w:val="26"/>
          <w:lang w:eastAsia="en-IE"/>
        </w:rPr>
        <w:t>four</w:t>
      </w:r>
      <w:r w:rsidR="00535E56" w:rsidRPr="00232E8E">
        <w:rPr>
          <w:rFonts w:eastAsia="SimSun"/>
          <w:szCs w:val="26"/>
          <w:lang w:eastAsia="en-IE"/>
        </w:rPr>
        <w:t xml:space="preserve"> </w:t>
      </w:r>
      <w:r w:rsidRPr="00232E8E">
        <w:rPr>
          <w:rFonts w:eastAsia="SimSun"/>
          <w:szCs w:val="26"/>
          <w:lang w:eastAsia="en-IE"/>
        </w:rPr>
        <w:t xml:space="preserve">months, which the research team would regularly discuss and </w:t>
      </w:r>
      <w:r w:rsidR="00DF76B8">
        <w:rPr>
          <w:rFonts w:eastAsia="SimSun"/>
          <w:szCs w:val="26"/>
          <w:lang w:eastAsia="en-IE"/>
        </w:rPr>
        <w:t xml:space="preserve">then </w:t>
      </w:r>
      <w:r w:rsidRPr="00232E8E">
        <w:rPr>
          <w:rFonts w:eastAsia="SimSun"/>
          <w:szCs w:val="26"/>
          <w:lang w:eastAsia="en-IE"/>
        </w:rPr>
        <w:t>use</w:t>
      </w:r>
      <w:r w:rsidR="00DF76B8">
        <w:rPr>
          <w:rFonts w:eastAsia="SimSun"/>
          <w:szCs w:val="26"/>
          <w:lang w:eastAsia="en-IE"/>
        </w:rPr>
        <w:t>d</w:t>
      </w:r>
      <w:r w:rsidRPr="00232E8E">
        <w:rPr>
          <w:rFonts w:eastAsia="SimSun"/>
          <w:szCs w:val="26"/>
          <w:lang w:eastAsia="en-IE"/>
        </w:rPr>
        <w:t xml:space="preserve"> to </w:t>
      </w:r>
      <w:r w:rsidR="00DF76B8">
        <w:rPr>
          <w:rFonts w:cs="Calibri"/>
          <w:szCs w:val="26"/>
          <w:lang w:eastAsia="en-IE"/>
        </w:rPr>
        <w:t>inform</w:t>
      </w:r>
      <w:r w:rsidRPr="00232E8E">
        <w:rPr>
          <w:rFonts w:cs="Calibri"/>
          <w:szCs w:val="26"/>
          <w:lang w:eastAsia="en-IE"/>
        </w:rPr>
        <w:t xml:space="preserve"> the content of research interviews. Regarding the involvement of co-researchers in other early stages of research</w:t>
      </w:r>
      <w:r>
        <w:rPr>
          <w:rFonts w:cs="Calibri"/>
          <w:szCs w:val="26"/>
          <w:lang w:eastAsia="en-IE"/>
        </w:rPr>
        <w:t xml:space="preserve">, </w:t>
      </w:r>
      <w:r w:rsidR="0076773D">
        <w:rPr>
          <w:rFonts w:cs="Calibri"/>
          <w:szCs w:val="26"/>
          <w:lang w:eastAsia="en-IE"/>
        </w:rPr>
        <w:t>in some studies they were involved in literature searches and reviews</w:t>
      </w:r>
      <w:r w:rsidR="005600B4">
        <w:rPr>
          <w:rFonts w:cs="Calibri"/>
          <w:szCs w:val="26"/>
          <w:lang w:eastAsia="en-IE"/>
        </w:rPr>
        <w:t>,</w:t>
      </w:r>
      <w:r w:rsidR="00004A45">
        <w:rPr>
          <w:rStyle w:val="FootnoteReference"/>
          <w:rFonts w:cs="Calibri"/>
          <w:szCs w:val="26"/>
          <w:lang w:eastAsia="en-IE"/>
        </w:rPr>
        <w:footnoteReference w:id="580"/>
      </w:r>
      <w:r w:rsidR="0076773D">
        <w:rPr>
          <w:rFonts w:cs="Calibri"/>
          <w:szCs w:val="26"/>
          <w:lang w:eastAsia="en-IE"/>
        </w:rPr>
        <w:t xml:space="preserve"> </w:t>
      </w:r>
      <w:r>
        <w:rPr>
          <w:rFonts w:cs="Calibri"/>
          <w:szCs w:val="26"/>
          <w:lang w:eastAsia="en-IE"/>
        </w:rPr>
        <w:t xml:space="preserve">and in </w:t>
      </w:r>
      <w:r w:rsidR="008B2A1E" w:rsidRPr="008B2A1E">
        <w:rPr>
          <w:rFonts w:cs="Calibri"/>
          <w:szCs w:val="26"/>
          <w:lang w:eastAsia="en-IE"/>
        </w:rPr>
        <w:t xml:space="preserve">O’Hara </w:t>
      </w:r>
      <w:r w:rsidR="00185C11" w:rsidRPr="00185C11">
        <w:rPr>
          <w:rFonts w:cs="Calibri"/>
          <w:i/>
          <w:szCs w:val="26"/>
          <w:lang w:eastAsia="en-IE"/>
        </w:rPr>
        <w:t xml:space="preserve">et al. </w:t>
      </w:r>
      <w:r w:rsidR="00776E27">
        <w:rPr>
          <w:rFonts w:cs="Calibri"/>
          <w:szCs w:val="26"/>
          <w:lang w:eastAsia="en-IE"/>
        </w:rPr>
        <w:t>(</w:t>
      </w:r>
      <w:r w:rsidR="009D06D0">
        <w:rPr>
          <w:rFonts w:cs="Calibri"/>
          <w:szCs w:val="26"/>
          <w:lang w:eastAsia="en-IE"/>
        </w:rPr>
        <w:t>2</w:t>
      </w:r>
      <w:r w:rsidR="008B2A1E" w:rsidRPr="008B2A1E">
        <w:rPr>
          <w:rFonts w:cs="Calibri"/>
          <w:szCs w:val="26"/>
          <w:lang w:eastAsia="en-IE"/>
        </w:rPr>
        <w:t>017</w:t>
      </w:r>
      <w:r w:rsidR="00776E27">
        <w:rPr>
          <w:rFonts w:cs="Calibri"/>
          <w:szCs w:val="26"/>
          <w:lang w:eastAsia="en-IE"/>
        </w:rPr>
        <w:t>)</w:t>
      </w:r>
      <w:r w:rsidRPr="008B2A1E">
        <w:rPr>
          <w:rFonts w:cs="Calibri"/>
          <w:szCs w:val="26"/>
          <w:lang w:eastAsia="en-IE"/>
        </w:rPr>
        <w:t xml:space="preserve">, co-researchers came up with the study name and logo and were </w:t>
      </w:r>
      <w:r>
        <w:rPr>
          <w:rFonts w:cs="Calibri"/>
          <w:szCs w:val="26"/>
          <w:lang w:eastAsia="en-IE"/>
        </w:rPr>
        <w:t xml:space="preserve">involved in providing project </w:t>
      </w:r>
      <w:r>
        <w:rPr>
          <w:rFonts w:cs="Calibri"/>
          <w:szCs w:val="26"/>
          <w:lang w:eastAsia="en-IE"/>
        </w:rPr>
        <w:lastRenderedPageBreak/>
        <w:t xml:space="preserve">updates on social media. In </w:t>
      </w:r>
      <w:r w:rsidR="001172F3">
        <w:rPr>
          <w:rFonts w:cs="Calibri"/>
          <w:szCs w:val="26"/>
          <w:lang w:eastAsia="en-IE"/>
        </w:rPr>
        <w:t>Drill Report (2018)</w:t>
      </w:r>
      <w:r>
        <w:rPr>
          <w:rFonts w:cs="Calibri"/>
          <w:szCs w:val="26"/>
          <w:lang w:eastAsia="en-IE"/>
        </w:rPr>
        <w:t>, co-researchers also developed and used social media and a project website to promote the study. As noted earlier, it was not common for co-researchers to be involved in funding or ethics applications.</w:t>
      </w:r>
      <w:r w:rsidR="003671EA">
        <w:rPr>
          <w:rFonts w:cs="Calibri"/>
          <w:szCs w:val="26"/>
          <w:lang w:eastAsia="en-IE"/>
        </w:rPr>
        <w:t xml:space="preserve"> </w:t>
      </w:r>
    </w:p>
    <w:p w14:paraId="08F43445" w14:textId="77777777" w:rsidR="00DB5669" w:rsidRDefault="00DB5669" w:rsidP="00317531">
      <w:pPr>
        <w:pStyle w:val="Heading3"/>
      </w:pPr>
      <w:bookmarkStart w:id="69" w:name="_Toc104925130"/>
      <w:r>
        <w:t>Participant recruitment and data collection</w:t>
      </w:r>
      <w:bookmarkEnd w:id="69"/>
    </w:p>
    <w:p w14:paraId="1B85E1BB" w14:textId="64F6AE5B" w:rsidR="00DB5669" w:rsidRPr="007C7E7B" w:rsidRDefault="00DB5669" w:rsidP="00DB5669">
      <w:pPr>
        <w:rPr>
          <w:i/>
        </w:rPr>
      </w:pPr>
      <w:r>
        <w:t>Several studies noted that co-researchers had been part of developing participant recruitment materials</w:t>
      </w:r>
      <w:r w:rsidR="00004A45">
        <w:rPr>
          <w:rStyle w:val="FootnoteReference"/>
        </w:rPr>
        <w:footnoteReference w:id="581"/>
      </w:r>
      <w:r>
        <w:t xml:space="preserve"> including information sheets and consent forms</w:t>
      </w:r>
      <w:r w:rsidR="005600B4">
        <w:t>,</w:t>
      </w:r>
      <w:r w:rsidR="00004A45">
        <w:rPr>
          <w:rStyle w:val="FootnoteReference"/>
        </w:rPr>
        <w:footnoteReference w:id="582"/>
      </w:r>
      <w:r>
        <w:t xml:space="preserve"> and others noted that co-researchers had been involved in participant recruitment</w:t>
      </w:r>
      <w:r w:rsidR="00004A45">
        <w:rPr>
          <w:rStyle w:val="FootnoteReference"/>
        </w:rPr>
        <w:footnoteReference w:id="583"/>
      </w:r>
      <w:r w:rsidR="000918B6">
        <w:t xml:space="preserve"> </w:t>
      </w:r>
      <w:r w:rsidR="00BF70A6">
        <w:t>and refining the consent process</w:t>
      </w:r>
      <w:r>
        <w:t xml:space="preserve">. In </w:t>
      </w:r>
      <w:r w:rsidR="0067446C" w:rsidRPr="0067446C">
        <w:t xml:space="preserve">McCartan </w:t>
      </w:r>
      <w:r w:rsidR="00185C11" w:rsidRPr="00185C11">
        <w:rPr>
          <w:i/>
        </w:rPr>
        <w:t xml:space="preserve">et al. </w:t>
      </w:r>
      <w:r w:rsidR="002306A3">
        <w:t>(</w:t>
      </w:r>
      <w:r w:rsidR="009D06D0">
        <w:t>2</w:t>
      </w:r>
      <w:r w:rsidR="0067446C" w:rsidRPr="0067446C">
        <w:t>019</w:t>
      </w:r>
      <w:r w:rsidR="002306A3">
        <w:t>)</w:t>
      </w:r>
      <w:r w:rsidRPr="0067446C">
        <w:t xml:space="preserve">, the </w:t>
      </w:r>
      <w:r>
        <w:t xml:space="preserve">study held ‘brief and recruit schemes’ where co-researchers </w:t>
      </w:r>
      <w:r w:rsidR="0076773D">
        <w:t>were available to talk to prospective</w:t>
      </w:r>
      <w:r>
        <w:t xml:space="preserve"> participants</w:t>
      </w:r>
      <w:r w:rsidR="0076773D">
        <w:t xml:space="preserve"> about t</w:t>
      </w:r>
      <w:r>
        <w:t xml:space="preserve">he research. As noted in the earlier section on benefits to </w:t>
      </w:r>
      <w:r w:rsidR="009237D2">
        <w:t>collaborative research,</w:t>
      </w:r>
      <w:r>
        <w:t xml:space="preserve"> a number of studies felt the involvement of co-researchers faci</w:t>
      </w:r>
      <w:r w:rsidR="00DF76B8">
        <w:t xml:space="preserve">litated participant recruitment. </w:t>
      </w:r>
      <w:r>
        <w:t>On the other hand, a couple of studies felt that the involvement of co-researchers could have an adverse impact on recruiting participants and which in turn could impact on the rigour of the research. For example, in one study, employers were being interviewed by disabled co-researchers about their perceptions of barriers to employing and retaining people with disabilities</w:t>
      </w:r>
      <w:r w:rsidR="005600B4">
        <w:t>.</w:t>
      </w:r>
      <w:r w:rsidR="00C400C4">
        <w:rPr>
          <w:rStyle w:val="FootnoteReference"/>
        </w:rPr>
        <w:footnoteReference w:id="584"/>
      </w:r>
      <w:r>
        <w:t xml:space="preserve"> It became clear that employers were reluctant to discuss the topic with the co-researchers, which may have impacted on the response rate</w:t>
      </w:r>
      <w:r w:rsidR="0076773D">
        <w:t>.</w:t>
      </w:r>
      <w:r>
        <w:t xml:space="preserve"> Another study found that mental healthcare users were less likely to accept an invitation to participate in a research interview </w:t>
      </w:r>
      <w:r w:rsidRPr="00237BB2">
        <w:t xml:space="preserve">when it was revealed that the interviewer would be a </w:t>
      </w:r>
      <w:r>
        <w:t>co</w:t>
      </w:r>
      <w:r w:rsidRPr="00237BB2">
        <w:t>-researcher</w:t>
      </w:r>
      <w:r>
        <w:t xml:space="preserve"> who wa</w:t>
      </w:r>
      <w:r w:rsidR="0076773D">
        <w:t>s also a mental healthcare user</w:t>
      </w:r>
      <w:r w:rsidR="005600B4">
        <w:t>.</w:t>
      </w:r>
      <w:r w:rsidR="00C400C4">
        <w:rPr>
          <w:rStyle w:val="FootnoteReference"/>
        </w:rPr>
        <w:footnoteReference w:id="585"/>
      </w:r>
      <w:r>
        <w:t xml:space="preserve"> The potential for this dynamic between co-researchers and participants needs to be considered in the design of </w:t>
      </w:r>
      <w:r w:rsidR="00C2612D">
        <w:t xml:space="preserve">collaborative research </w:t>
      </w:r>
      <w:r>
        <w:t>projects.</w:t>
      </w:r>
    </w:p>
    <w:p w14:paraId="7A319248" w14:textId="4557FE19" w:rsidR="00DB5669" w:rsidRDefault="00B556D6" w:rsidP="00DB5669">
      <w:r>
        <w:t xml:space="preserve">One of </w:t>
      </w:r>
      <w:r w:rsidR="00DB5669">
        <w:t>the most common way</w:t>
      </w:r>
      <w:r>
        <w:t>s</w:t>
      </w:r>
      <w:r w:rsidR="00DB5669">
        <w:t xml:space="preserve"> co-researchers were involved in research projects was in directly </w:t>
      </w:r>
      <w:r w:rsidR="00DB5669" w:rsidRPr="00252E17">
        <w:rPr>
          <w:szCs w:val="26"/>
        </w:rPr>
        <w:t>collecting data from participants</w:t>
      </w:r>
      <w:r w:rsidR="005600B4">
        <w:rPr>
          <w:szCs w:val="26"/>
        </w:rPr>
        <w:t>,</w:t>
      </w:r>
      <w:r w:rsidR="00205C15">
        <w:rPr>
          <w:rStyle w:val="FootnoteReference"/>
          <w:szCs w:val="26"/>
        </w:rPr>
        <w:footnoteReference w:id="586"/>
      </w:r>
      <w:r w:rsidR="00DB5669" w:rsidRPr="00252E17">
        <w:rPr>
          <w:szCs w:val="26"/>
        </w:rPr>
        <w:t xml:space="preserve"> mainly in conducting interviews or focus groups</w:t>
      </w:r>
      <w:r w:rsidR="005600B4">
        <w:rPr>
          <w:szCs w:val="26"/>
        </w:rPr>
        <w:t>.</w:t>
      </w:r>
      <w:r w:rsidR="00205C15">
        <w:rPr>
          <w:rStyle w:val="FootnoteReference"/>
          <w:rFonts w:cs="Calibri"/>
          <w:szCs w:val="26"/>
          <w:lang w:eastAsia="en-IE"/>
        </w:rPr>
        <w:footnoteReference w:id="587"/>
      </w:r>
      <w:r w:rsidR="00DB5669" w:rsidRPr="0076773D">
        <w:rPr>
          <w:rFonts w:cs="Calibri"/>
          <w:szCs w:val="26"/>
          <w:lang w:eastAsia="en-IE"/>
        </w:rPr>
        <w:t xml:space="preserve"> </w:t>
      </w:r>
      <w:r w:rsidR="00DB5669" w:rsidRPr="0076773D">
        <w:rPr>
          <w:szCs w:val="26"/>
        </w:rPr>
        <w:t>A numb</w:t>
      </w:r>
      <w:r w:rsidR="00DB5669" w:rsidRPr="00252E17">
        <w:rPr>
          <w:szCs w:val="26"/>
        </w:rPr>
        <w:t>er of</w:t>
      </w:r>
      <w:r w:rsidR="0076773D">
        <w:rPr>
          <w:szCs w:val="26"/>
        </w:rPr>
        <w:t xml:space="preserve"> accessibility</w:t>
      </w:r>
      <w:r w:rsidR="00DB5669" w:rsidRPr="00252E17">
        <w:rPr>
          <w:szCs w:val="26"/>
        </w:rPr>
        <w:t xml:space="preserve"> challenges were </w:t>
      </w:r>
      <w:r w:rsidR="00DB5669" w:rsidRPr="00252E17">
        <w:rPr>
          <w:szCs w:val="26"/>
        </w:rPr>
        <w:lastRenderedPageBreak/>
        <w:t>highlighted that were specific to co-researchers collecting</w:t>
      </w:r>
      <w:r w:rsidR="00DB5669">
        <w:t xml:space="preserve"> data, including transport</w:t>
      </w:r>
      <w:r w:rsidR="00205C15">
        <w:rPr>
          <w:rStyle w:val="FootnoteReference"/>
        </w:rPr>
        <w:footnoteReference w:id="588"/>
      </w:r>
      <w:r w:rsidR="00DB5669">
        <w:t xml:space="preserve"> and</w:t>
      </w:r>
      <w:r w:rsidR="0076773D">
        <w:t xml:space="preserve"> </w:t>
      </w:r>
      <w:r w:rsidR="00DB5669">
        <w:t>venues such as participants’ homes and public spaces</w:t>
      </w:r>
      <w:r w:rsidR="005600B4">
        <w:t>.</w:t>
      </w:r>
      <w:r w:rsidR="00205C15">
        <w:rPr>
          <w:rStyle w:val="FootnoteReference"/>
        </w:rPr>
        <w:footnoteReference w:id="589"/>
      </w:r>
      <w:r w:rsidR="00DB5669">
        <w:t xml:space="preserve"> Interviewing could</w:t>
      </w:r>
      <w:r w:rsidR="00B37D07">
        <w:t xml:space="preserve"> also</w:t>
      </w:r>
      <w:r w:rsidR="00DB5669">
        <w:t xml:space="preserve"> be difficult for some </w:t>
      </w:r>
      <w:r w:rsidR="00B37D07">
        <w:t>co-researchers as</w:t>
      </w:r>
      <w:r w:rsidR="00DB5669">
        <w:t xml:space="preserve"> it involves high demands on working memory</w:t>
      </w:r>
      <w:r w:rsidR="005600B4">
        <w:t>,</w:t>
      </w:r>
      <w:r w:rsidR="00205C15">
        <w:rPr>
          <w:rStyle w:val="FootnoteReference"/>
        </w:rPr>
        <w:footnoteReference w:id="590"/>
      </w:r>
      <w:r w:rsidR="00DB5669">
        <w:t xml:space="preserve"> and focus groups require a variety of facilitating skills</w:t>
      </w:r>
      <w:r w:rsidR="005600B4">
        <w:t>.</w:t>
      </w:r>
      <w:r w:rsidR="00205C15">
        <w:rPr>
          <w:rStyle w:val="FootnoteReference"/>
        </w:rPr>
        <w:footnoteReference w:id="591"/>
      </w:r>
      <w:r w:rsidR="00B37D07">
        <w:t xml:space="preserve"> C</w:t>
      </w:r>
      <w:r w:rsidR="00DB5669" w:rsidRPr="00E76818">
        <w:t>o-researchers did not always feel prepared to conduct interviews or focus groups</w:t>
      </w:r>
      <w:r w:rsidR="005600B4">
        <w:t>.</w:t>
      </w:r>
      <w:r w:rsidR="00205C15">
        <w:rPr>
          <w:rStyle w:val="FootnoteReference"/>
        </w:rPr>
        <w:footnoteReference w:id="592"/>
      </w:r>
      <w:r w:rsidR="00DB5669" w:rsidRPr="00923EDA">
        <w:t xml:space="preserve"> This could lead to feelings of anxiety and nervousness</w:t>
      </w:r>
      <w:r w:rsidR="005600B4">
        <w:t>.</w:t>
      </w:r>
      <w:r w:rsidR="00205C15">
        <w:rPr>
          <w:rStyle w:val="FootnoteReference"/>
        </w:rPr>
        <w:footnoteReference w:id="593"/>
      </w:r>
      <w:r w:rsidR="00DB5669" w:rsidRPr="00923EDA">
        <w:t xml:space="preserve"> In several studies, co-researchers were able to practice interviewing or facilitating before beginning the research</w:t>
      </w:r>
      <w:r w:rsidR="00205C15">
        <w:rPr>
          <w:rStyle w:val="FootnoteReference"/>
        </w:rPr>
        <w:footnoteReference w:id="594"/>
      </w:r>
      <w:r w:rsidR="00DB5669" w:rsidRPr="00923EDA">
        <w:t xml:space="preserve"> or </w:t>
      </w:r>
      <w:r w:rsidR="00DB5669">
        <w:t>were supported by a researcher a</w:t>
      </w:r>
      <w:r w:rsidR="00DB5669" w:rsidRPr="00923EDA">
        <w:t>s they wanted</w:t>
      </w:r>
      <w:r w:rsidR="005600B4">
        <w:t>.</w:t>
      </w:r>
      <w:r w:rsidR="00205C15">
        <w:rPr>
          <w:rStyle w:val="FootnoteReference"/>
        </w:rPr>
        <w:footnoteReference w:id="595"/>
      </w:r>
      <w:r w:rsidR="00DB5669">
        <w:t xml:space="preserve"> </w:t>
      </w:r>
    </w:p>
    <w:p w14:paraId="5AC5BBB5" w14:textId="77777777" w:rsidR="00DB5669" w:rsidRDefault="00DB5669" w:rsidP="00DB5669">
      <w:r>
        <w:t>Many of the studies adapted their data collection methods to facilitate the involvement of co-researchers or gave recommendations about how to adapt methods by:</w:t>
      </w:r>
    </w:p>
    <w:p w14:paraId="7DA7E3A6" w14:textId="79934D33" w:rsidR="00C738A6" w:rsidRDefault="00C738A6" w:rsidP="00DB5669">
      <w:pPr>
        <w:pStyle w:val="ListBullet"/>
      </w:pPr>
      <w:r>
        <w:t>Using video to illustrate the data c</w:t>
      </w:r>
      <w:r w:rsidR="002306A3">
        <w:t>ollection and consent process</w:t>
      </w:r>
      <w:r w:rsidR="00205C15">
        <w:rPr>
          <w:rStyle w:val="FootnoteReference"/>
        </w:rPr>
        <w:footnoteReference w:id="596"/>
      </w:r>
    </w:p>
    <w:p w14:paraId="6EBEE9CA" w14:textId="5821EA64" w:rsidR="00DB5669" w:rsidRPr="00252E17" w:rsidRDefault="00DB5669" w:rsidP="00DB5669">
      <w:pPr>
        <w:pStyle w:val="ListBullet"/>
      </w:pPr>
      <w:r>
        <w:t>Using photos taken by participants to develop rapport and stimulate discussion with co-researchers</w:t>
      </w:r>
      <w:r w:rsidR="00205C15">
        <w:rPr>
          <w:rStyle w:val="FootnoteReference"/>
          <w:rFonts w:cs="Calibri"/>
          <w:bCs/>
          <w:color w:val="000000"/>
          <w:lang w:eastAsia="en-IE"/>
        </w:rPr>
        <w:footnoteReference w:id="597"/>
      </w:r>
    </w:p>
    <w:p w14:paraId="2D1BDED3" w14:textId="19CA24D0" w:rsidR="00DB5669" w:rsidRDefault="00DB5669" w:rsidP="00DB5669">
      <w:pPr>
        <w:pStyle w:val="ListBullet"/>
      </w:pPr>
      <w:r>
        <w:t>Having co-researchers shadow the researchers</w:t>
      </w:r>
      <w:r w:rsidR="00773A87">
        <w:rPr>
          <w:rStyle w:val="FootnoteReference"/>
        </w:rPr>
        <w:footnoteReference w:id="598"/>
      </w:r>
    </w:p>
    <w:p w14:paraId="2DBCBCDB" w14:textId="7B774DFF" w:rsidR="007168B6" w:rsidRDefault="007168B6" w:rsidP="00DB5669">
      <w:pPr>
        <w:pStyle w:val="ListBullet"/>
      </w:pPr>
      <w:r>
        <w:lastRenderedPageBreak/>
        <w:t>Having researchers shadow co-researchers and</w:t>
      </w:r>
      <w:r w:rsidR="00B639FE">
        <w:t xml:space="preserve"> then</w:t>
      </w:r>
      <w:r>
        <w:t xml:space="preserve"> debrief</w:t>
      </w:r>
      <w:r w:rsidR="00B639FE">
        <w:t>ing</w:t>
      </w:r>
      <w:r>
        <w:t xml:space="preserve"> and advis</w:t>
      </w:r>
      <w:r w:rsidR="00B639FE">
        <w:t>ing</w:t>
      </w:r>
      <w:r>
        <w:t xml:space="preserve"> them on what they might need to do differently</w:t>
      </w:r>
      <w:r w:rsidR="00773A87">
        <w:rPr>
          <w:rStyle w:val="FootnoteReference"/>
        </w:rPr>
        <w:footnoteReference w:id="599"/>
      </w:r>
    </w:p>
    <w:p w14:paraId="2140029F" w14:textId="0F576A15" w:rsidR="00DB5669" w:rsidRDefault="00DB5669" w:rsidP="00DB5669">
      <w:pPr>
        <w:pStyle w:val="ListBullet"/>
      </w:pPr>
      <w:r>
        <w:t>Having co-researchers conduct interviews in pairs</w:t>
      </w:r>
      <w:r w:rsidR="00773A87">
        <w:rPr>
          <w:rStyle w:val="FootnoteReference"/>
        </w:rPr>
        <w:footnoteReference w:id="600"/>
      </w:r>
      <w:r>
        <w:t xml:space="preserve"> or co-facilitating with researchers</w:t>
      </w:r>
      <w:r w:rsidR="00773A87">
        <w:rPr>
          <w:rStyle w:val="FootnoteReference"/>
        </w:rPr>
        <w:footnoteReference w:id="601"/>
      </w:r>
      <w:r w:rsidR="003179FE">
        <w:t xml:space="preserve"> or supporters</w:t>
      </w:r>
      <w:r w:rsidR="00773A87">
        <w:rPr>
          <w:rStyle w:val="FootnoteReference"/>
        </w:rPr>
        <w:footnoteReference w:id="602"/>
      </w:r>
    </w:p>
    <w:p w14:paraId="2FB1498E" w14:textId="50F0D1C5" w:rsidR="00DB5669" w:rsidRDefault="00DB5669" w:rsidP="00DB5669">
      <w:pPr>
        <w:pStyle w:val="ListBullet"/>
      </w:pPr>
      <w:r>
        <w:t>Having focus groups/interviews with deaf participants conducted by</w:t>
      </w:r>
      <w:r w:rsidR="00B37D07">
        <w:t xml:space="preserve"> a</w:t>
      </w:r>
      <w:r>
        <w:t xml:space="preserve"> deaf researcher and sign language fluent hearing researcher in partnership</w:t>
      </w:r>
      <w:r w:rsidR="00773A87">
        <w:rPr>
          <w:rStyle w:val="FootnoteReference"/>
        </w:rPr>
        <w:footnoteReference w:id="603"/>
      </w:r>
    </w:p>
    <w:p w14:paraId="1F1C756F" w14:textId="1875BFF0" w:rsidR="00C52787" w:rsidRPr="00C52787" w:rsidRDefault="00C52787" w:rsidP="00C52787">
      <w:pPr>
        <w:pStyle w:val="ListBullet"/>
      </w:pPr>
      <w:r>
        <w:t xml:space="preserve">Using </w:t>
      </w:r>
      <w:r w:rsidRPr="00C52787">
        <w:t xml:space="preserve"> a ‘round robin’ approach in focus groups to ensure ever</w:t>
      </w:r>
      <w:r>
        <w:t>y participant could contribute</w:t>
      </w:r>
      <w:r w:rsidR="00773A87">
        <w:rPr>
          <w:rStyle w:val="FootnoteReference"/>
        </w:rPr>
        <w:footnoteReference w:id="604"/>
      </w:r>
    </w:p>
    <w:p w14:paraId="3F5FA47A" w14:textId="4CCD50FD" w:rsidR="00DB5669" w:rsidRDefault="00DB5669" w:rsidP="00DB5669">
      <w:pPr>
        <w:pStyle w:val="ListBullet"/>
      </w:pPr>
      <w:r>
        <w:t>Providing co-researchers with a plain language interview guide with prompts</w:t>
      </w:r>
      <w:r w:rsidR="00773A87">
        <w:rPr>
          <w:rStyle w:val="FootnoteReference"/>
        </w:rPr>
        <w:footnoteReference w:id="605"/>
      </w:r>
    </w:p>
    <w:p w14:paraId="4EF8F04C" w14:textId="5597EF4E" w:rsidR="00DB5669" w:rsidRDefault="00DB5669" w:rsidP="00DB5669">
      <w:pPr>
        <w:pStyle w:val="ListBullet"/>
      </w:pPr>
      <w:r>
        <w:t>Video recording interviews to aid recall</w:t>
      </w:r>
      <w:r w:rsidR="00773A87">
        <w:rPr>
          <w:rStyle w:val="FootnoteReference"/>
        </w:rPr>
        <w:footnoteReference w:id="606"/>
      </w:r>
    </w:p>
    <w:p w14:paraId="3F277E75" w14:textId="78BAA5B0" w:rsidR="00DB5669" w:rsidRDefault="00DB5669" w:rsidP="00DB5669">
      <w:pPr>
        <w:pStyle w:val="ListBullet"/>
      </w:pPr>
      <w:r>
        <w:t>Using creative ways to collect and generate data – e.g. body mapping</w:t>
      </w:r>
      <w:r w:rsidR="005600B4">
        <w:t>,</w:t>
      </w:r>
      <w:r>
        <w:rPr>
          <w:rStyle w:val="FootnoteReference"/>
        </w:rPr>
        <w:footnoteReference w:id="607"/>
      </w:r>
      <w:r w:rsidR="00773A87">
        <w:t xml:space="preserve"> </w:t>
      </w:r>
      <w:r w:rsidR="00773A87">
        <w:rPr>
          <w:rStyle w:val="FootnoteReference"/>
        </w:rPr>
        <w:footnoteReference w:id="608"/>
      </w:r>
      <w:r w:rsidR="005600B4">
        <w:t xml:space="preserve"> </w:t>
      </w:r>
      <w:r>
        <w:t>video, visuals</w:t>
      </w:r>
      <w:r w:rsidR="005600B4">
        <w:t>,</w:t>
      </w:r>
      <w:r w:rsidR="00773A87">
        <w:rPr>
          <w:rStyle w:val="FootnoteReference"/>
        </w:rPr>
        <w:footnoteReference w:id="609"/>
      </w:r>
      <w:r w:rsidR="00632480">
        <w:t xml:space="preserve"> </w:t>
      </w:r>
      <w:r w:rsidR="00B37D07">
        <w:t xml:space="preserve">and </w:t>
      </w:r>
      <w:r w:rsidR="00632480">
        <w:t>drawings</w:t>
      </w:r>
      <w:r w:rsidR="00773A87">
        <w:rPr>
          <w:rStyle w:val="FootnoteReference"/>
        </w:rPr>
        <w:footnoteReference w:id="610"/>
      </w:r>
    </w:p>
    <w:p w14:paraId="692B2917" w14:textId="33CEBE7F" w:rsidR="00DB5669" w:rsidRPr="00554483" w:rsidRDefault="00DB5669" w:rsidP="00DB5669">
      <w:pPr>
        <w:pStyle w:val="ListBullet"/>
      </w:pPr>
      <w:r w:rsidRPr="00554483">
        <w:t>Conducting debriefs with co-researchers after focus groups/interviews</w:t>
      </w:r>
      <w:r w:rsidR="005600B4">
        <w:t>.</w:t>
      </w:r>
      <w:r w:rsidR="00773A87">
        <w:rPr>
          <w:rStyle w:val="FootnoteReference"/>
        </w:rPr>
        <w:footnoteReference w:id="611"/>
      </w:r>
    </w:p>
    <w:p w14:paraId="37D44859" w14:textId="5162542A" w:rsidR="00DB5669" w:rsidRDefault="00DB5669" w:rsidP="00DB5669">
      <w:pPr>
        <w:autoSpaceDE w:val="0"/>
        <w:autoSpaceDN w:val="0"/>
        <w:adjustRightInd w:val="0"/>
        <w:spacing w:after="0"/>
        <w:rPr>
          <w:rFonts w:cs="ArialMT"/>
          <w:szCs w:val="26"/>
        </w:rPr>
      </w:pPr>
      <w:r>
        <w:t xml:space="preserve">In Munro </w:t>
      </w:r>
      <w:r w:rsidR="00185C11" w:rsidRPr="00185C11">
        <w:rPr>
          <w:i/>
        </w:rPr>
        <w:t xml:space="preserve">et al. </w:t>
      </w:r>
      <w:r w:rsidR="002306A3">
        <w:t>(2018)</w:t>
      </w:r>
      <w:r>
        <w:t xml:space="preserve"> a co-production study on reimagining children and adult’s social care, the co-researchers with disabilities were also the participants. </w:t>
      </w:r>
      <w:r w:rsidRPr="00723B36">
        <w:rPr>
          <w:szCs w:val="26"/>
        </w:rPr>
        <w:t xml:space="preserve">This project used </w:t>
      </w:r>
      <w:r>
        <w:rPr>
          <w:szCs w:val="26"/>
        </w:rPr>
        <w:t>a diverse and creative set of</w:t>
      </w:r>
      <w:r w:rsidR="00DF76B8">
        <w:rPr>
          <w:szCs w:val="26"/>
        </w:rPr>
        <w:t xml:space="preserve"> methods to collect data</w:t>
      </w:r>
      <w:r w:rsidRPr="007E6604">
        <w:t>.</w:t>
      </w:r>
      <w:r w:rsidRPr="00C316E8">
        <w:t xml:space="preserve"> These methods included focus groups, discussions, storyboarding, use of personas and visuals such as fishbone analysis. Please see Appendix </w:t>
      </w:r>
      <w:r w:rsidR="00B064DC">
        <w:t>C</w:t>
      </w:r>
      <w:r w:rsidRPr="00C316E8">
        <w:t xml:space="preserve"> for more detail on the methods they used.</w:t>
      </w:r>
      <w:r>
        <w:rPr>
          <w:rFonts w:cs="ArialMT"/>
          <w:szCs w:val="26"/>
        </w:rPr>
        <w:t xml:space="preserve"> </w:t>
      </w:r>
    </w:p>
    <w:p w14:paraId="65E854DF" w14:textId="77777777" w:rsidR="00DB5669" w:rsidRDefault="00DB5669" w:rsidP="00A83E5A">
      <w:pPr>
        <w:pStyle w:val="Heading3"/>
        <w:spacing w:before="120" w:after="120"/>
      </w:pPr>
      <w:bookmarkStart w:id="70" w:name="_Toc104925131"/>
      <w:r>
        <w:lastRenderedPageBreak/>
        <w:t>Data analysis</w:t>
      </w:r>
      <w:bookmarkEnd w:id="70"/>
    </w:p>
    <w:p w14:paraId="1D0CE759" w14:textId="5D047609" w:rsidR="00DB5669" w:rsidRPr="00A14C6C" w:rsidRDefault="00DB5669" w:rsidP="00DB5669">
      <w:r>
        <w:t>Co-researchers were involved in data analysis in many of the studies reviewed</w:t>
      </w:r>
      <w:r w:rsidR="00672760">
        <w:t>.</w:t>
      </w:r>
      <w:r w:rsidR="00773A87">
        <w:rPr>
          <w:rStyle w:val="FootnoteReference"/>
          <w:rFonts w:cs="Calibri"/>
          <w:szCs w:val="26"/>
          <w:lang w:eastAsia="en-IE"/>
        </w:rPr>
        <w:footnoteReference w:id="612"/>
      </w:r>
      <w:r w:rsidR="008959A6" w:rsidRPr="00B37D07">
        <w:rPr>
          <w:rFonts w:cs="Calibri"/>
          <w:szCs w:val="26"/>
          <w:lang w:eastAsia="en-IE"/>
        </w:rPr>
        <w:t xml:space="preserve"> </w:t>
      </w:r>
      <w:r w:rsidRPr="00252E17">
        <w:rPr>
          <w:szCs w:val="26"/>
        </w:rPr>
        <w:t xml:space="preserve">While in </w:t>
      </w:r>
      <w:r w:rsidR="00B765F9" w:rsidRPr="00B765F9">
        <w:rPr>
          <w:szCs w:val="26"/>
        </w:rPr>
        <w:t xml:space="preserve">King </w:t>
      </w:r>
      <w:r w:rsidR="00185C11" w:rsidRPr="00185C11">
        <w:rPr>
          <w:i/>
          <w:szCs w:val="26"/>
        </w:rPr>
        <w:t xml:space="preserve">et al. </w:t>
      </w:r>
      <w:r w:rsidR="00806BC7">
        <w:rPr>
          <w:szCs w:val="26"/>
        </w:rPr>
        <w:t>(</w:t>
      </w:r>
      <w:r w:rsidR="009D06D0">
        <w:rPr>
          <w:szCs w:val="26"/>
        </w:rPr>
        <w:t>2</w:t>
      </w:r>
      <w:r w:rsidR="00B765F9" w:rsidRPr="00B765F9">
        <w:rPr>
          <w:szCs w:val="26"/>
        </w:rPr>
        <w:t>019</w:t>
      </w:r>
      <w:r w:rsidR="00806BC7">
        <w:rPr>
          <w:szCs w:val="26"/>
        </w:rPr>
        <w:t>)</w:t>
      </w:r>
      <w:r w:rsidRPr="00252E17">
        <w:rPr>
          <w:color w:val="ED7D31" w:themeColor="accent2"/>
          <w:szCs w:val="26"/>
        </w:rPr>
        <w:t xml:space="preserve"> </w:t>
      </w:r>
      <w:r w:rsidRPr="00252E17">
        <w:rPr>
          <w:szCs w:val="26"/>
        </w:rPr>
        <w:t xml:space="preserve">co-researchers analysed quantitative and qualitative data, </w:t>
      </w:r>
      <w:r w:rsidR="00794E13">
        <w:rPr>
          <w:szCs w:val="26"/>
        </w:rPr>
        <w:t xml:space="preserve">in </w:t>
      </w:r>
      <w:r w:rsidR="000B369C">
        <w:rPr>
          <w:szCs w:val="26"/>
        </w:rPr>
        <w:t xml:space="preserve">many </w:t>
      </w:r>
      <w:r w:rsidR="00794E13">
        <w:rPr>
          <w:szCs w:val="26"/>
        </w:rPr>
        <w:t xml:space="preserve">other studies </w:t>
      </w:r>
      <w:r w:rsidRPr="00252E17">
        <w:rPr>
          <w:szCs w:val="26"/>
        </w:rPr>
        <w:t xml:space="preserve">co-researchers were </w:t>
      </w:r>
      <w:r w:rsidR="0083335B">
        <w:rPr>
          <w:szCs w:val="26"/>
        </w:rPr>
        <w:t>only</w:t>
      </w:r>
      <w:r w:rsidR="0083335B" w:rsidRPr="00252E17">
        <w:rPr>
          <w:szCs w:val="26"/>
        </w:rPr>
        <w:t xml:space="preserve"> </w:t>
      </w:r>
      <w:r w:rsidRPr="00252E17">
        <w:rPr>
          <w:szCs w:val="26"/>
        </w:rPr>
        <w:t>involved in analysing qualitative data.</w:t>
      </w:r>
      <w:r w:rsidRPr="00252E17">
        <w:rPr>
          <w:color w:val="ED7D31"/>
          <w:szCs w:val="26"/>
        </w:rPr>
        <w:t xml:space="preserve"> </w:t>
      </w:r>
      <w:r w:rsidRPr="00252E17">
        <w:rPr>
          <w:szCs w:val="26"/>
        </w:rPr>
        <w:t>Some academics felt that it was very difficult to conduct qualitative data analysis in an inclusive way due to the theoretical and conceptual complexities involved</w:t>
      </w:r>
      <w:r w:rsidR="00672760">
        <w:rPr>
          <w:szCs w:val="26"/>
        </w:rPr>
        <w:t>.</w:t>
      </w:r>
      <w:r w:rsidR="00773A87">
        <w:rPr>
          <w:rStyle w:val="FootnoteReference"/>
          <w:szCs w:val="26"/>
        </w:rPr>
        <w:footnoteReference w:id="613"/>
      </w:r>
      <w:r w:rsidRPr="00252E17">
        <w:rPr>
          <w:szCs w:val="26"/>
        </w:rPr>
        <w:t xml:space="preserve"> Some quantitative data analysis was also perceived as too complex</w:t>
      </w:r>
      <w:r w:rsidR="00672760">
        <w:rPr>
          <w:szCs w:val="26"/>
        </w:rPr>
        <w:t>,</w:t>
      </w:r>
      <w:r w:rsidR="00773A87">
        <w:rPr>
          <w:rStyle w:val="FootnoteReference"/>
          <w:szCs w:val="26"/>
        </w:rPr>
        <w:footnoteReference w:id="614"/>
      </w:r>
      <w:r w:rsidR="009E41EC" w:rsidRPr="00252E17">
        <w:rPr>
          <w:szCs w:val="26"/>
        </w:rPr>
        <w:t xml:space="preserve"> and Di </w:t>
      </w:r>
      <w:proofErr w:type="spellStart"/>
      <w:r w:rsidR="009E41EC" w:rsidRPr="00252E17">
        <w:rPr>
          <w:szCs w:val="26"/>
        </w:rPr>
        <w:t>Lorito</w:t>
      </w:r>
      <w:proofErr w:type="spellEnd"/>
      <w:r w:rsidR="009E41EC" w:rsidRPr="00252E17">
        <w:rPr>
          <w:szCs w:val="26"/>
        </w:rPr>
        <w:t xml:space="preserve"> </w:t>
      </w:r>
      <w:r w:rsidR="00185C11" w:rsidRPr="00185C11">
        <w:rPr>
          <w:i/>
          <w:szCs w:val="26"/>
        </w:rPr>
        <w:t xml:space="preserve">et al. </w:t>
      </w:r>
      <w:r w:rsidR="00443D82">
        <w:rPr>
          <w:szCs w:val="26"/>
        </w:rPr>
        <w:t>(2017)</w:t>
      </w:r>
      <w:r w:rsidR="009E41EC">
        <w:t xml:space="preserve"> noted that the </w:t>
      </w:r>
      <w:r w:rsidR="00252E17">
        <w:t>complexity</w:t>
      </w:r>
      <w:r w:rsidR="009E41EC">
        <w:t xml:space="preserve"> of quantitative analysis can pose challenges for </w:t>
      </w:r>
      <w:r w:rsidR="009E41EC" w:rsidRPr="00A14C6C">
        <w:t xml:space="preserve">power sharing in research between </w:t>
      </w:r>
      <w:r w:rsidR="00067D7A">
        <w:t>researchers</w:t>
      </w:r>
      <w:r w:rsidR="009E41EC" w:rsidRPr="00A14C6C">
        <w:t xml:space="preserve"> and co-researchers.</w:t>
      </w:r>
      <w:r w:rsidR="00B37D07" w:rsidRPr="00A14C6C">
        <w:t xml:space="preserve"> </w:t>
      </w:r>
      <w:r w:rsidRPr="00A14C6C">
        <w:t xml:space="preserve">However, according to </w:t>
      </w:r>
      <w:r w:rsidR="00406E42" w:rsidRPr="00A14C6C">
        <w:t>Smith-Merry</w:t>
      </w:r>
      <w:r w:rsidR="00205B33">
        <w:t xml:space="preserve"> </w:t>
      </w:r>
      <w:r w:rsidR="00A14C6C" w:rsidRPr="00A14C6C">
        <w:t>(</w:t>
      </w:r>
      <w:r w:rsidR="00A14C6C" w:rsidRPr="00205B33">
        <w:t>no year,</w:t>
      </w:r>
      <w:r w:rsidR="00A14C6C" w:rsidRPr="00A14C6C">
        <w:t xml:space="preserve"> p.</w:t>
      </w:r>
      <w:r w:rsidR="00205B33">
        <w:t xml:space="preserve"> </w:t>
      </w:r>
      <w:r w:rsidR="00A14C6C" w:rsidRPr="00A14C6C">
        <w:t>11)</w:t>
      </w:r>
      <w:r w:rsidRPr="00A14C6C">
        <w:t>:</w:t>
      </w:r>
    </w:p>
    <w:p w14:paraId="1314103C" w14:textId="1C6876A2" w:rsidR="00DB5669" w:rsidRPr="00A14C6C" w:rsidRDefault="00DB5669" w:rsidP="00DB5669">
      <w:pPr>
        <w:pStyle w:val="BlockQuote"/>
      </w:pPr>
      <w:r w:rsidRPr="00A14C6C">
        <w:t>It is ideal to include co-researchers as much as possible in the analysis. While some types of data analysis are too technically complex to be conducted by people who are new to research, most research data will be a</w:t>
      </w:r>
      <w:r w:rsidR="008B5228">
        <w:t>ble to be analysed with training.</w:t>
      </w:r>
    </w:p>
    <w:p w14:paraId="53196BB5" w14:textId="7CCF5DFF" w:rsidR="00BE55A5" w:rsidRDefault="00E95EB4" w:rsidP="00B97376">
      <w:r w:rsidRPr="00BF2A78">
        <w:t>It is important that researchers implement effective strategies to enable co-researchers to take part in the process while ensuring the integrity of data analysis</w:t>
      </w:r>
      <w:r w:rsidR="00672760">
        <w:t>.</w:t>
      </w:r>
      <w:r w:rsidR="00BD359D">
        <w:rPr>
          <w:rStyle w:val="FootnoteReference"/>
        </w:rPr>
        <w:footnoteReference w:id="615"/>
      </w:r>
      <w:r>
        <w:t xml:space="preserve"> </w:t>
      </w:r>
      <w:r w:rsidR="00DB5669" w:rsidRPr="00A14C6C">
        <w:t>Studies recommend that researchers devise creative ways of supporting</w:t>
      </w:r>
      <w:r w:rsidR="00DB5669" w:rsidRPr="003212BB">
        <w:t xml:space="preserve"> co-researchers to conduct data analysis</w:t>
      </w:r>
      <w:r w:rsidR="00672760">
        <w:t>.</w:t>
      </w:r>
      <w:r w:rsidR="00BD359D">
        <w:rPr>
          <w:rStyle w:val="FootnoteReference"/>
        </w:rPr>
        <w:footnoteReference w:id="616"/>
      </w:r>
      <w:r w:rsidR="00DB5669">
        <w:t xml:space="preserve"> One </w:t>
      </w:r>
      <w:r w:rsidR="00DB5669" w:rsidRPr="002C6CC0">
        <w:t xml:space="preserve">study </w:t>
      </w:r>
      <w:r w:rsidR="002C6CC0">
        <w:t xml:space="preserve">used the advice of a research methodologist on how to tailor their data analytic approach to meet the aim of the research </w:t>
      </w:r>
      <w:r w:rsidR="00DF76B8">
        <w:t>as well as</w:t>
      </w:r>
      <w:r w:rsidR="002C6CC0">
        <w:t xml:space="preserve"> the n</w:t>
      </w:r>
      <w:r w:rsidR="00DF76B8">
        <w:t xml:space="preserve">eeds of a </w:t>
      </w:r>
      <w:r w:rsidR="00C2612D">
        <w:t xml:space="preserve">collaborative research </w:t>
      </w:r>
      <w:r w:rsidR="00DF76B8" w:rsidRPr="00714734">
        <w:t>approach</w:t>
      </w:r>
      <w:r w:rsidR="00672760">
        <w:t>.</w:t>
      </w:r>
      <w:r w:rsidR="00BD359D">
        <w:rPr>
          <w:rStyle w:val="FootnoteReference"/>
        </w:rPr>
        <w:footnoteReference w:id="617"/>
      </w:r>
      <w:r w:rsidR="00DB5669" w:rsidRPr="00714734">
        <w:t xml:space="preserve"> A number </w:t>
      </w:r>
      <w:r w:rsidR="00DB5669">
        <w:t xml:space="preserve">of studies tailored the involvement of co-researchers in analysis to their preferences and the time limitations of the project. For example, in </w:t>
      </w:r>
      <w:proofErr w:type="spellStart"/>
      <w:r w:rsidR="00C8185D">
        <w:t>Strnadová</w:t>
      </w:r>
      <w:proofErr w:type="spellEnd"/>
      <w:r w:rsidR="00CA6BAE">
        <w:t xml:space="preserve"> </w:t>
      </w:r>
      <w:r w:rsidR="00185C11" w:rsidRPr="00185C11">
        <w:rPr>
          <w:i/>
        </w:rPr>
        <w:t xml:space="preserve">et al. </w:t>
      </w:r>
      <w:r w:rsidR="00BD359D">
        <w:t>(</w:t>
      </w:r>
      <w:r w:rsidR="009D06D0">
        <w:t>2</w:t>
      </w:r>
      <w:r w:rsidR="00CA6BAE">
        <w:t>016</w:t>
      </w:r>
      <w:r w:rsidR="00562C17">
        <w:t>)</w:t>
      </w:r>
      <w:r w:rsidR="00DB5669">
        <w:t xml:space="preserve">, the co-researchers chose not to be involved in any data analysis, in </w:t>
      </w:r>
      <w:r w:rsidR="002C6CC0">
        <w:t xml:space="preserve">other studies </w:t>
      </w:r>
      <w:r w:rsidR="00DB5669">
        <w:t xml:space="preserve">co-researchers did not analyse all </w:t>
      </w:r>
      <w:r w:rsidR="002C6CC0">
        <w:t xml:space="preserve">of the available </w:t>
      </w:r>
      <w:r w:rsidR="00DB5669">
        <w:t>data</w:t>
      </w:r>
      <w:r w:rsidR="00672760">
        <w:t>,</w:t>
      </w:r>
      <w:r w:rsidR="00562C17">
        <w:rPr>
          <w:rStyle w:val="FootnoteReference"/>
        </w:rPr>
        <w:footnoteReference w:id="618"/>
      </w:r>
      <w:r w:rsidR="00DB5669">
        <w:t xml:space="preserve"> and in </w:t>
      </w:r>
      <w:r w:rsidR="007F31E6">
        <w:t xml:space="preserve">Evans </w:t>
      </w:r>
      <w:r w:rsidR="00185C11" w:rsidRPr="00185C11">
        <w:rPr>
          <w:i/>
        </w:rPr>
        <w:t xml:space="preserve">et al. </w:t>
      </w:r>
      <w:r w:rsidR="007E5478">
        <w:t>(</w:t>
      </w:r>
      <w:r w:rsidR="009D06D0">
        <w:t>2</w:t>
      </w:r>
      <w:r w:rsidR="007F31E6">
        <w:t>019</w:t>
      </w:r>
      <w:r w:rsidR="007E5478">
        <w:t>)</w:t>
      </w:r>
      <w:r w:rsidR="00DB5669">
        <w:t xml:space="preserve">, co-researchers were not involved in coding data or </w:t>
      </w:r>
      <w:r w:rsidR="00DB5669">
        <w:lastRenderedPageBreak/>
        <w:t xml:space="preserve">thematic analysis. In some cases when co-researchers were not fully involved in data analysis, they were given the opportunity to </w:t>
      </w:r>
      <w:r w:rsidR="00DB5669" w:rsidRPr="009E6A51">
        <w:t>discuss what was analysed by the researchers</w:t>
      </w:r>
      <w:r w:rsidR="00672760">
        <w:t>.</w:t>
      </w:r>
      <w:r w:rsidR="00562C17">
        <w:rPr>
          <w:rStyle w:val="FootnoteReference"/>
        </w:rPr>
        <w:footnoteReference w:id="619"/>
      </w:r>
    </w:p>
    <w:p w14:paraId="2DD36CD0" w14:textId="2C81CCC5" w:rsidR="00B97376" w:rsidRDefault="00C316E8" w:rsidP="00B97376">
      <w:r w:rsidRPr="00C316E8">
        <w:t xml:space="preserve">Jennings </w:t>
      </w:r>
      <w:r w:rsidR="00185C11" w:rsidRPr="00185C11">
        <w:rPr>
          <w:i/>
        </w:rPr>
        <w:t xml:space="preserve">et al. </w:t>
      </w:r>
      <w:r w:rsidR="00E4449A">
        <w:t xml:space="preserve">(2018) </w:t>
      </w:r>
      <w:r w:rsidRPr="00C316E8">
        <w:t>outline</w:t>
      </w:r>
      <w:r w:rsidR="00FB259D">
        <w:t>d</w:t>
      </w:r>
      <w:r w:rsidRPr="00C316E8">
        <w:t xml:space="preserve"> four characteristics for successful collaborative data analysis: that the process is co-produced, realistic (within time and resources), the demands on co-researchers are manageable and</w:t>
      </w:r>
      <w:r>
        <w:t xml:space="preserve"> that</w:t>
      </w:r>
      <w:r w:rsidRPr="00C316E8">
        <w:t xml:space="preserve"> group expectations and dynamics</w:t>
      </w:r>
      <w:r>
        <w:t xml:space="preserve"> are appropriately handled.</w:t>
      </w:r>
      <w:r w:rsidRPr="00C316E8">
        <w:t xml:space="preserve"> </w:t>
      </w:r>
      <w:r>
        <w:t>This study also</w:t>
      </w:r>
      <w:r w:rsidR="00AA60C7">
        <w:t xml:space="preserve"> devised a</w:t>
      </w:r>
      <w:r w:rsidRPr="00C316E8">
        <w:t xml:space="preserve"> three-stage approach to </w:t>
      </w:r>
      <w:r w:rsidR="00AA60C7">
        <w:t>collaborative data analysis</w:t>
      </w:r>
      <w:r w:rsidRPr="00C316E8">
        <w:t xml:space="preserve">: Preparation, </w:t>
      </w:r>
      <w:r w:rsidR="00FB259D">
        <w:t>Collaborative Data Analysis</w:t>
      </w:r>
      <w:r w:rsidR="00AA60C7">
        <w:t xml:space="preserve"> and Application (see </w:t>
      </w:r>
      <w:r w:rsidR="00BE5DE2" w:rsidRPr="00C316E8">
        <w:t xml:space="preserve">Jennings </w:t>
      </w:r>
      <w:r w:rsidR="00BE5DE2">
        <w:rPr>
          <w:i/>
        </w:rPr>
        <w:t xml:space="preserve">et al. </w:t>
      </w:r>
      <w:r w:rsidR="00517ED4">
        <w:t>(</w:t>
      </w:r>
      <w:r w:rsidR="00BE5DE2">
        <w:t>2018</w:t>
      </w:r>
      <w:r w:rsidR="00517ED4">
        <w:t>)</w:t>
      </w:r>
      <w:r w:rsidR="00BE5DE2">
        <w:t xml:space="preserve"> </w:t>
      </w:r>
      <w:r w:rsidR="00AA60C7">
        <w:t xml:space="preserve">for more detail). </w:t>
      </w:r>
      <w:r w:rsidR="00B97376">
        <w:t xml:space="preserve">Regarding planning collaborative data analysis sessions, Jennings </w:t>
      </w:r>
      <w:r w:rsidR="00185C11" w:rsidRPr="00185C11">
        <w:rPr>
          <w:i/>
        </w:rPr>
        <w:t xml:space="preserve">et al. </w:t>
      </w:r>
      <w:r w:rsidR="00E4449A">
        <w:t>(2018</w:t>
      </w:r>
      <w:r w:rsidR="009D7C7E">
        <w:t xml:space="preserve">, p. </w:t>
      </w:r>
      <w:r w:rsidR="006F0440">
        <w:t>6</w:t>
      </w:r>
      <w:r w:rsidR="00E4449A">
        <w:t xml:space="preserve">) </w:t>
      </w:r>
      <w:r w:rsidR="00B97376">
        <w:t>note:</w:t>
      </w:r>
    </w:p>
    <w:p w14:paraId="0BDBD972" w14:textId="738887D3" w:rsidR="00B97376" w:rsidRDefault="00AE379D" w:rsidP="00AE379D">
      <w:pPr>
        <w:pStyle w:val="BlockQuote"/>
      </w:pPr>
      <w:r>
        <w:t>…</w:t>
      </w:r>
      <w:r w:rsidR="00B97376">
        <w:t xml:space="preserve">a balance was needed between over-planning sessions (risking stifling creativity and encouraging PPI co-researcher passivity) and carefully planning the structure and content of sessions so as to generate the deepest and most collaborative </w:t>
      </w:r>
      <w:r>
        <w:t>analysis.</w:t>
      </w:r>
    </w:p>
    <w:p w14:paraId="6658FA62" w14:textId="35D257C8" w:rsidR="00DB5669" w:rsidRDefault="00DB5669" w:rsidP="00B97376">
      <w:r>
        <w:t xml:space="preserve">Other approaches taken or recommended to facilitate the involvement of co-researchers in data analysis include the following (bearing in mind that qualitative analysis </w:t>
      </w:r>
      <w:r w:rsidR="00252F4A">
        <w:t>was the predominant approach</w:t>
      </w:r>
      <w:r>
        <w:t xml:space="preserve"> in the reviewed studies):</w:t>
      </w:r>
    </w:p>
    <w:p w14:paraId="7E8A65DA" w14:textId="489DF0DF" w:rsidR="00DB5669" w:rsidRDefault="00DB5669" w:rsidP="00DB5669">
      <w:pPr>
        <w:pStyle w:val="ListBullet"/>
      </w:pPr>
      <w:r>
        <w:t>Training in data analysis (as discussed earlier) and workshops to practise data analysis</w:t>
      </w:r>
      <w:r w:rsidR="009D7C7E">
        <w:rPr>
          <w:rStyle w:val="FootnoteReference"/>
        </w:rPr>
        <w:footnoteReference w:id="620"/>
      </w:r>
    </w:p>
    <w:p w14:paraId="6ECE2ABB" w14:textId="679C1DAE" w:rsidR="00BE7950" w:rsidRDefault="00DB5669" w:rsidP="00AB3349">
      <w:pPr>
        <w:pStyle w:val="ListBullet"/>
        <w:rPr>
          <w:lang w:eastAsia="en-IE"/>
        </w:rPr>
      </w:pPr>
      <w:r w:rsidRPr="00252E17">
        <w:t xml:space="preserve">Considering </w:t>
      </w:r>
      <w:r w:rsidR="00BE7950">
        <w:t xml:space="preserve">the best way for </w:t>
      </w:r>
      <w:r w:rsidRPr="00252E17">
        <w:t xml:space="preserve">data </w:t>
      </w:r>
      <w:r w:rsidR="00BE7950">
        <w:t xml:space="preserve">to </w:t>
      </w:r>
      <w:r w:rsidRPr="00252E17">
        <w:t>be presented for analysis and discussion</w:t>
      </w:r>
      <w:r w:rsidR="00672760">
        <w:t>.</w:t>
      </w:r>
      <w:r w:rsidR="009D7C7E">
        <w:rPr>
          <w:rStyle w:val="FootnoteReference"/>
        </w:rPr>
        <w:footnoteReference w:id="621"/>
      </w:r>
      <w:r w:rsidR="009C1262">
        <w:t xml:space="preserve"> </w:t>
      </w:r>
      <w:r w:rsidR="009C1262" w:rsidRPr="00252E17">
        <w:t xml:space="preserve">In some cases, raw data was presented for analysis in more accessible </w:t>
      </w:r>
      <w:r w:rsidR="009C1262">
        <w:t>ways:</w:t>
      </w:r>
    </w:p>
    <w:p w14:paraId="7AFC39A5" w14:textId="3BFA3AB3" w:rsidR="009C1262" w:rsidRDefault="009C1262" w:rsidP="009C1262">
      <w:pPr>
        <w:pStyle w:val="ListBullet2"/>
        <w:rPr>
          <w:lang w:eastAsia="en-IE"/>
        </w:rPr>
      </w:pPr>
      <w:r>
        <w:rPr>
          <w:lang w:eastAsia="en-IE"/>
        </w:rPr>
        <w:t>By reducing the amount of information presented</w:t>
      </w:r>
      <w:r w:rsidR="009110F3">
        <w:rPr>
          <w:rStyle w:val="FootnoteReference"/>
          <w:lang w:eastAsia="en-IE"/>
        </w:rPr>
        <w:footnoteReference w:id="622"/>
      </w:r>
    </w:p>
    <w:p w14:paraId="5ED67DD9" w14:textId="3EF8F809" w:rsidR="009C1262" w:rsidRPr="009C1262" w:rsidRDefault="009C1262" w:rsidP="009C1262">
      <w:pPr>
        <w:pStyle w:val="ListBullet2"/>
        <w:rPr>
          <w:lang w:eastAsia="en-IE"/>
        </w:rPr>
      </w:pPr>
      <w:r>
        <w:rPr>
          <w:lang w:eastAsia="en-IE"/>
        </w:rPr>
        <w:t xml:space="preserve">By </w:t>
      </w:r>
      <w:r w:rsidR="00DB5669" w:rsidRPr="00252E17">
        <w:t xml:space="preserve">presenting the information </w:t>
      </w:r>
      <w:r w:rsidR="00DB5669" w:rsidRPr="008E054D">
        <w:t>slowly</w:t>
      </w:r>
      <w:r w:rsidR="009110F3">
        <w:rPr>
          <w:rStyle w:val="FootnoteReference"/>
        </w:rPr>
        <w:footnoteReference w:id="623"/>
      </w:r>
    </w:p>
    <w:p w14:paraId="01117FFA" w14:textId="105934A0" w:rsidR="009C1262" w:rsidRDefault="009C1262" w:rsidP="009C1262">
      <w:pPr>
        <w:pStyle w:val="ListBullet2"/>
        <w:rPr>
          <w:lang w:eastAsia="en-IE"/>
        </w:rPr>
      </w:pPr>
      <w:r w:rsidRPr="009C1262">
        <w:t>By</w:t>
      </w:r>
      <w:r>
        <w:rPr>
          <w:color w:val="ED7D31" w:themeColor="accent2"/>
        </w:rPr>
        <w:t xml:space="preserve"> </w:t>
      </w:r>
      <w:r w:rsidR="003179FE" w:rsidRPr="009C1262">
        <w:t>summarising into easy read summaries</w:t>
      </w:r>
      <w:r w:rsidR="009110F3">
        <w:rPr>
          <w:rStyle w:val="FootnoteReference"/>
        </w:rPr>
        <w:footnoteReference w:id="624"/>
      </w:r>
    </w:p>
    <w:p w14:paraId="790770F8" w14:textId="1D49369E" w:rsidR="009C1262" w:rsidRDefault="009C1262" w:rsidP="0058672E">
      <w:pPr>
        <w:pStyle w:val="ListBullet2"/>
        <w:rPr>
          <w:lang w:eastAsia="en-IE"/>
        </w:rPr>
      </w:pPr>
      <w:r>
        <w:lastRenderedPageBreak/>
        <w:t>By</w:t>
      </w:r>
      <w:r w:rsidR="00DB5669" w:rsidRPr="00252E17">
        <w:t xml:space="preserve"> presenting it via posters</w:t>
      </w:r>
      <w:r w:rsidR="009110F3">
        <w:rPr>
          <w:rStyle w:val="FootnoteReference"/>
        </w:rPr>
        <w:footnoteReference w:id="625"/>
      </w:r>
      <w:r w:rsidR="00DB5669" w:rsidRPr="00252E17">
        <w:t>, PowerPoint presentations</w:t>
      </w:r>
      <w:r w:rsidR="00672760">
        <w:t>,</w:t>
      </w:r>
      <w:r w:rsidR="009110F3">
        <w:rPr>
          <w:rStyle w:val="FootnoteReference"/>
        </w:rPr>
        <w:footnoteReference w:id="626"/>
      </w:r>
      <w:r w:rsidR="00DB5669" w:rsidRPr="00252E17">
        <w:t xml:space="preserve"> </w:t>
      </w:r>
      <w:r>
        <w:t xml:space="preserve">or </w:t>
      </w:r>
      <w:r w:rsidRPr="009C1262">
        <w:t>on flip charts</w:t>
      </w:r>
      <w:r w:rsidR="009110F3">
        <w:rPr>
          <w:rStyle w:val="FootnoteReference"/>
        </w:rPr>
        <w:footnoteReference w:id="627"/>
      </w:r>
    </w:p>
    <w:p w14:paraId="1F5BBD68" w14:textId="7FA67B95" w:rsidR="009C1262" w:rsidRDefault="009C1262" w:rsidP="009C1262">
      <w:pPr>
        <w:pStyle w:val="ListBullet2"/>
        <w:rPr>
          <w:lang w:eastAsia="en-IE"/>
        </w:rPr>
      </w:pPr>
      <w:r>
        <w:t>I</w:t>
      </w:r>
      <w:r w:rsidRPr="00252E17">
        <w:t>n large fonts</w:t>
      </w:r>
      <w:r w:rsidR="00672760">
        <w:t>,</w:t>
      </w:r>
      <w:r w:rsidR="009110F3">
        <w:rPr>
          <w:rStyle w:val="FootnoteReference"/>
        </w:rPr>
        <w:footnoteReference w:id="628"/>
      </w:r>
      <w:r>
        <w:t xml:space="preserve"> using colour contrasts to increase visual distinctiveness</w:t>
      </w:r>
      <w:r w:rsidR="009110F3">
        <w:rPr>
          <w:rStyle w:val="FootnoteReference"/>
        </w:rPr>
        <w:footnoteReference w:id="629"/>
      </w:r>
    </w:p>
    <w:p w14:paraId="718AEE76" w14:textId="4729A3C7" w:rsidR="001D6DBB" w:rsidRPr="001D6DBB" w:rsidRDefault="009C1262" w:rsidP="00CB0D17">
      <w:pPr>
        <w:pStyle w:val="ListBullet2"/>
        <w:rPr>
          <w:lang w:eastAsia="en-IE"/>
        </w:rPr>
      </w:pPr>
      <w:r>
        <w:rPr>
          <w:lang w:eastAsia="en-IE"/>
        </w:rPr>
        <w:t>I</w:t>
      </w:r>
      <w:r w:rsidR="00DB5669" w:rsidRPr="00252E17">
        <w:t xml:space="preserve">n a visual map of categories using sticky </w:t>
      </w:r>
      <w:r w:rsidR="00DF76B8" w:rsidRPr="00252E17">
        <w:t>notes that</w:t>
      </w:r>
      <w:r w:rsidR="00DB5669" w:rsidRPr="00252E17">
        <w:t xml:space="preserve"> could be rearranged</w:t>
      </w:r>
      <w:r w:rsidR="009110F3">
        <w:rPr>
          <w:rStyle w:val="FootnoteReference"/>
        </w:rPr>
        <w:footnoteReference w:id="630"/>
      </w:r>
    </w:p>
    <w:p w14:paraId="6720D1BE" w14:textId="20121533" w:rsidR="001D6DBB" w:rsidRPr="001D6DBB" w:rsidRDefault="001D6DBB" w:rsidP="00CB0D17">
      <w:pPr>
        <w:pStyle w:val="ListBullet2"/>
        <w:rPr>
          <w:lang w:eastAsia="en-IE"/>
        </w:rPr>
      </w:pPr>
      <w:r w:rsidRPr="001D6DBB">
        <w:t>Using</w:t>
      </w:r>
      <w:r w:rsidR="009063B5" w:rsidRPr="001D6DBB">
        <w:rPr>
          <w:rFonts w:cs="Calibri"/>
          <w:lang w:eastAsia="en-IE"/>
        </w:rPr>
        <w:t xml:space="preserve"> </w:t>
      </w:r>
      <w:r w:rsidR="009063B5" w:rsidRPr="009C1262">
        <w:rPr>
          <w:rFonts w:cs="Calibri"/>
          <w:color w:val="000000"/>
          <w:lang w:eastAsia="en-IE"/>
        </w:rPr>
        <w:t>picture cards, word cards, storyboards and vignettes</w:t>
      </w:r>
      <w:r w:rsidR="009110F3">
        <w:rPr>
          <w:rStyle w:val="FootnoteReference"/>
          <w:rFonts w:cs="Calibri"/>
          <w:color w:val="000000"/>
          <w:lang w:eastAsia="en-IE"/>
        </w:rPr>
        <w:footnoteReference w:id="631"/>
      </w:r>
    </w:p>
    <w:p w14:paraId="621E584E" w14:textId="7131E752" w:rsidR="001D6DBB" w:rsidRPr="001D6DBB" w:rsidRDefault="001D6DBB" w:rsidP="00A17E28">
      <w:pPr>
        <w:pStyle w:val="ListBullet2"/>
        <w:rPr>
          <w:lang w:eastAsia="en-IE"/>
        </w:rPr>
      </w:pPr>
      <w:r>
        <w:rPr>
          <w:lang w:eastAsia="en-IE"/>
        </w:rPr>
        <w:t>Using role play</w:t>
      </w:r>
      <w:r w:rsidR="009110F3">
        <w:rPr>
          <w:rStyle w:val="FootnoteReference"/>
          <w:rFonts w:cs="Calibri"/>
          <w:color w:val="000000"/>
          <w:lang w:eastAsia="en-IE"/>
        </w:rPr>
        <w:footnoteReference w:id="632"/>
      </w:r>
      <w:r w:rsidR="00AB3349" w:rsidRPr="001D6DBB">
        <w:rPr>
          <w:rFonts w:cs="Calibri"/>
          <w:color w:val="000000"/>
          <w:lang w:eastAsia="en-IE"/>
        </w:rPr>
        <w:t xml:space="preserve"> </w:t>
      </w:r>
    </w:p>
    <w:p w14:paraId="3F263FBB" w14:textId="5D50D097" w:rsidR="00AB3349" w:rsidRPr="00252E17" w:rsidRDefault="001D6DBB" w:rsidP="00CB0D17">
      <w:pPr>
        <w:pStyle w:val="ListBullet2"/>
        <w:rPr>
          <w:lang w:eastAsia="en-IE"/>
        </w:rPr>
      </w:pPr>
      <w:r>
        <w:rPr>
          <w:rFonts w:cs="Calibri"/>
          <w:color w:val="000000"/>
          <w:lang w:eastAsia="en-IE"/>
        </w:rPr>
        <w:t>U</w:t>
      </w:r>
      <w:r w:rsidR="00AB3349" w:rsidRPr="001D6DBB">
        <w:rPr>
          <w:rFonts w:cs="Calibri"/>
          <w:color w:val="000000"/>
          <w:lang w:eastAsia="en-IE"/>
        </w:rPr>
        <w:t>sing symbols and/or words</w:t>
      </w:r>
      <w:r w:rsidR="00675563">
        <w:rPr>
          <w:rStyle w:val="FootnoteReference"/>
          <w:lang w:eastAsia="en-IE"/>
        </w:rPr>
        <w:footnoteReference w:id="633"/>
      </w:r>
    </w:p>
    <w:p w14:paraId="2483447A" w14:textId="6DE8DBA5" w:rsidR="00DB5669" w:rsidRDefault="00DB5669" w:rsidP="00DB5669">
      <w:pPr>
        <w:pStyle w:val="ListBullet"/>
      </w:pPr>
      <w:r>
        <w:t>Ensuring a reflexive, probing approach to data analysis (to mitigate instances of co-researchers identifying strongly with participants)</w:t>
      </w:r>
      <w:r w:rsidR="00675563">
        <w:rPr>
          <w:rStyle w:val="FootnoteReference"/>
        </w:rPr>
        <w:footnoteReference w:id="634"/>
      </w:r>
    </w:p>
    <w:p w14:paraId="5AE6B8DC" w14:textId="5E1F4A92" w:rsidR="00DB5669" w:rsidRDefault="00DB5669" w:rsidP="0058672E">
      <w:pPr>
        <w:pStyle w:val="ListBullet"/>
      </w:pPr>
      <w:r>
        <w:t>Using group discussions for data analysis</w:t>
      </w:r>
      <w:r w:rsidR="00672760">
        <w:t>.</w:t>
      </w:r>
      <w:r w:rsidR="00675563">
        <w:rPr>
          <w:rStyle w:val="FootnoteReference"/>
        </w:rPr>
        <w:footnoteReference w:id="635"/>
      </w:r>
      <w:r w:rsidR="008652C8">
        <w:t xml:space="preserve"> I</w:t>
      </w:r>
      <w:r>
        <w:t xml:space="preserve">n </w:t>
      </w:r>
      <w:proofErr w:type="spellStart"/>
      <w:r w:rsidR="00847E86">
        <w:t>Vlot</w:t>
      </w:r>
      <w:proofErr w:type="spellEnd"/>
      <w:r w:rsidR="00847E86">
        <w:t xml:space="preserve">-van </w:t>
      </w:r>
      <w:proofErr w:type="spellStart"/>
      <w:r w:rsidR="00847E86">
        <w:t>Anrooij</w:t>
      </w:r>
      <w:proofErr w:type="spellEnd"/>
      <w:r w:rsidR="00847E86">
        <w:t xml:space="preserve"> </w:t>
      </w:r>
      <w:r w:rsidR="00185C11" w:rsidRPr="00185C11">
        <w:rPr>
          <w:i/>
        </w:rPr>
        <w:t xml:space="preserve">et al. </w:t>
      </w:r>
      <w:r w:rsidR="007E5478">
        <w:t>(</w:t>
      </w:r>
      <w:r w:rsidR="009D06D0">
        <w:t>2</w:t>
      </w:r>
      <w:r w:rsidR="00847E86">
        <w:t>018</w:t>
      </w:r>
      <w:r w:rsidR="007E5478">
        <w:t>)</w:t>
      </w:r>
      <w:r w:rsidR="00847E86">
        <w:t xml:space="preserve"> </w:t>
      </w:r>
      <w:r>
        <w:t>the discussion included a moderator with experience in facilitating group discussion with people with ID.</w:t>
      </w:r>
      <w:r w:rsidRPr="00DA00B4">
        <w:t xml:space="preserve"> </w:t>
      </w:r>
      <w:r w:rsidRPr="000613D8">
        <w:t xml:space="preserve">In </w:t>
      </w:r>
      <w:r w:rsidR="000613D8" w:rsidRPr="000613D8">
        <w:t xml:space="preserve">National Development Team for Inclusion, </w:t>
      </w:r>
      <w:r w:rsidR="00675563">
        <w:t>(</w:t>
      </w:r>
      <w:r w:rsidR="000613D8" w:rsidRPr="000613D8">
        <w:t>2019</w:t>
      </w:r>
      <w:r w:rsidR="00675563">
        <w:t>)</w:t>
      </w:r>
      <w:r w:rsidRPr="000613D8">
        <w:t xml:space="preserve">, the group watched videos of </w:t>
      </w:r>
      <w:r>
        <w:t xml:space="preserve">focus groups and interviews, and a discussion </w:t>
      </w:r>
      <w:r w:rsidR="00FB259D">
        <w:t>was</w:t>
      </w:r>
      <w:r>
        <w:t xml:space="preserve"> facilitated by a supporter or researcher.</w:t>
      </w:r>
      <w:r w:rsidR="0018483C">
        <w:t xml:space="preserve"> </w:t>
      </w:r>
    </w:p>
    <w:p w14:paraId="604EC722" w14:textId="0B80D1D9" w:rsidR="00DB5669" w:rsidRDefault="00DB5669" w:rsidP="00DB5669">
      <w:pPr>
        <w:pStyle w:val="ListBullet"/>
      </w:pPr>
      <w:r>
        <w:t>U</w:t>
      </w:r>
      <w:r w:rsidRPr="003212BB">
        <w:t>s</w:t>
      </w:r>
      <w:r>
        <w:t xml:space="preserve">ing </w:t>
      </w:r>
      <w:r w:rsidRPr="003212BB">
        <w:t xml:space="preserve">a 10 step community of </w:t>
      </w:r>
      <w:r w:rsidR="008275CA">
        <w:t>i</w:t>
      </w:r>
      <w:r w:rsidRPr="003212BB">
        <w:t xml:space="preserve">nquiry approach </w:t>
      </w:r>
      <w:r>
        <w:t xml:space="preserve">to </w:t>
      </w:r>
      <w:r w:rsidR="00C35D7A">
        <w:t xml:space="preserve">data </w:t>
      </w:r>
      <w:r>
        <w:t>analysis</w:t>
      </w:r>
      <w:r w:rsidR="00CA6CAB">
        <w:rPr>
          <w:rStyle w:val="FootnoteReference"/>
        </w:rPr>
        <w:footnoteReference w:id="636"/>
      </w:r>
      <w:r w:rsidR="00CA6CAB">
        <w:t xml:space="preserve"> </w:t>
      </w:r>
      <w:r w:rsidR="00675563">
        <w:rPr>
          <w:rStyle w:val="FootnoteReference"/>
        </w:rPr>
        <w:footnoteReference w:id="637"/>
      </w:r>
    </w:p>
    <w:p w14:paraId="493A3CD1" w14:textId="08CABEF1" w:rsidR="00DB5669" w:rsidRPr="001D6DBB" w:rsidRDefault="00DB5669" w:rsidP="00DB5669">
      <w:pPr>
        <w:pStyle w:val="ListBullet"/>
        <w:rPr>
          <w:i/>
        </w:rPr>
      </w:pPr>
      <w:r w:rsidRPr="009E785B">
        <w:t>Using a Participatory Theme Elicitation (PTE) methodology</w:t>
      </w:r>
      <w:r w:rsidR="00675563">
        <w:rPr>
          <w:rStyle w:val="FootnoteReference"/>
        </w:rPr>
        <w:footnoteReference w:id="638"/>
      </w:r>
      <w:r w:rsidR="00A336C9" w:rsidRPr="00AA24B2">
        <w:t xml:space="preserve"> which </w:t>
      </w:r>
      <w:r w:rsidR="00FC51D4">
        <w:t xml:space="preserve">entails card sorting and </w:t>
      </w:r>
      <w:r w:rsidR="00A336C9" w:rsidRPr="001D6DBB">
        <w:t>was developed for lay researc</w:t>
      </w:r>
      <w:r w:rsidR="008652C8">
        <w:t>hers to identify themes in data</w:t>
      </w:r>
    </w:p>
    <w:p w14:paraId="5A3BF31E" w14:textId="471CF241" w:rsidR="00DB5669" w:rsidRDefault="00DB5669" w:rsidP="00DB5669">
      <w:pPr>
        <w:pStyle w:val="ListBullet"/>
      </w:pPr>
      <w:r>
        <w:lastRenderedPageBreak/>
        <w:t>Watching</w:t>
      </w:r>
      <w:r w:rsidRPr="003212BB">
        <w:t xml:space="preserve"> video recordings of interviews multiple time</w:t>
      </w:r>
      <w:r w:rsidR="00C35D7A">
        <w:t>s</w:t>
      </w:r>
      <w:r w:rsidRPr="003212BB">
        <w:t xml:space="preserve"> to identify patterns</w:t>
      </w:r>
      <w:r w:rsidR="00675563">
        <w:rPr>
          <w:rStyle w:val="FootnoteReference"/>
        </w:rPr>
        <w:footnoteReference w:id="639"/>
      </w:r>
      <w:r w:rsidRPr="003212BB">
        <w:t xml:space="preserve"> </w:t>
      </w:r>
    </w:p>
    <w:p w14:paraId="48EAB3E5" w14:textId="66CC3D97" w:rsidR="00DB5669" w:rsidRDefault="00DB5669" w:rsidP="00DB5669">
      <w:pPr>
        <w:pStyle w:val="ListBullet"/>
      </w:pPr>
      <w:r>
        <w:t xml:space="preserve">Using </w:t>
      </w:r>
      <w:proofErr w:type="spellStart"/>
      <w:r w:rsidR="00FC51D4">
        <w:t>P</w:t>
      </w:r>
      <w:r>
        <w:t>hotovoice</w:t>
      </w:r>
      <w:proofErr w:type="spellEnd"/>
      <w:r>
        <w:t xml:space="preserve"> method</w:t>
      </w:r>
      <w:r w:rsidR="00794E13">
        <w:rPr>
          <w:rStyle w:val="FootnoteReference"/>
        </w:rPr>
        <w:footnoteReference w:id="640"/>
      </w:r>
      <w:r>
        <w:t xml:space="preserve"> for the initial analysis</w:t>
      </w:r>
      <w:r w:rsidR="00675563">
        <w:rPr>
          <w:rStyle w:val="FootnoteReference"/>
        </w:rPr>
        <w:footnoteReference w:id="641"/>
      </w:r>
    </w:p>
    <w:p w14:paraId="57AB5713" w14:textId="0FC0B7A3" w:rsidR="00ED423F" w:rsidRPr="00252E17" w:rsidRDefault="007E6604" w:rsidP="009E785B">
      <w:pPr>
        <w:pStyle w:val="ListBullet"/>
      </w:pPr>
      <w:r>
        <w:t xml:space="preserve">Ensuring </w:t>
      </w:r>
      <w:r w:rsidRPr="00252E17">
        <w:t>appropriate breaks are taken</w:t>
      </w:r>
      <w:r w:rsidR="00675563">
        <w:rPr>
          <w:rStyle w:val="FootnoteReference"/>
        </w:rPr>
        <w:footnoteReference w:id="642"/>
      </w:r>
    </w:p>
    <w:p w14:paraId="2EFFE28A" w14:textId="20505F21" w:rsidR="00C316E8" w:rsidRPr="00252E17" w:rsidRDefault="00C316E8" w:rsidP="009E785B">
      <w:pPr>
        <w:pStyle w:val="ListBullet"/>
      </w:pPr>
      <w:r w:rsidRPr="00252E17">
        <w:t>Providing adequate time to complete tasks</w:t>
      </w:r>
      <w:r w:rsidR="00675563">
        <w:rPr>
          <w:rStyle w:val="FootnoteReference"/>
        </w:rPr>
        <w:footnoteReference w:id="643"/>
      </w:r>
    </w:p>
    <w:p w14:paraId="302FBBBA" w14:textId="65C3B292" w:rsidR="00C316E8" w:rsidRPr="00252E17" w:rsidRDefault="00C316E8" w:rsidP="00E03BF7">
      <w:pPr>
        <w:pStyle w:val="ListBullet"/>
      </w:pPr>
      <w:r w:rsidRPr="00252E17">
        <w:t>Ensuring a relaxed, non-judgemental environment</w:t>
      </w:r>
      <w:r w:rsidR="00675563">
        <w:rPr>
          <w:rStyle w:val="FootnoteReference"/>
          <w:rFonts w:cs="Calibri"/>
          <w:color w:val="000000"/>
          <w:lang w:eastAsia="en-IE"/>
        </w:rPr>
        <w:footnoteReference w:id="644"/>
      </w:r>
    </w:p>
    <w:p w14:paraId="21709AD6" w14:textId="6503482B" w:rsidR="00DF5E1F" w:rsidRDefault="00DF5E1F" w:rsidP="0004359B">
      <w:pPr>
        <w:pStyle w:val="Heading3"/>
        <w:spacing w:before="120" w:after="120"/>
      </w:pPr>
      <w:bookmarkStart w:id="71" w:name="_Toc104925132"/>
      <w:r>
        <w:t>Write up</w:t>
      </w:r>
      <w:r w:rsidR="00A77266">
        <w:t xml:space="preserve"> of research</w:t>
      </w:r>
      <w:r>
        <w:t>/authorship</w:t>
      </w:r>
      <w:bookmarkEnd w:id="71"/>
    </w:p>
    <w:p w14:paraId="0CFAC5DC" w14:textId="3A40D4DF" w:rsidR="00DB5669" w:rsidRPr="002932C4" w:rsidRDefault="00DB5669" w:rsidP="004429B3">
      <w:pPr>
        <w:rPr>
          <w:b/>
          <w:bCs/>
          <w:sz w:val="22"/>
          <w:szCs w:val="22"/>
          <w:lang w:eastAsia="en-IE"/>
        </w:rPr>
      </w:pPr>
      <w:r>
        <w:t xml:space="preserve">While </w:t>
      </w:r>
      <w:r w:rsidR="00252F4A">
        <w:t>involvement</w:t>
      </w:r>
      <w:r w:rsidRPr="000571D6">
        <w:t xml:space="preserve"> in the writing and publication of academic papers </w:t>
      </w:r>
      <w:r>
        <w:t>appears</w:t>
      </w:r>
      <w:r w:rsidR="009F0931">
        <w:t xml:space="preserve"> largely</w:t>
      </w:r>
      <w:r w:rsidRPr="000571D6">
        <w:t xml:space="preserve"> </w:t>
      </w:r>
      <w:r>
        <w:t xml:space="preserve">lacking in </w:t>
      </w:r>
      <w:r w:rsidR="00C2612D">
        <w:t xml:space="preserve">collaborative research </w:t>
      </w:r>
      <w:r>
        <w:t>projects</w:t>
      </w:r>
      <w:r w:rsidR="00672760">
        <w:t>,</w:t>
      </w:r>
      <w:r w:rsidR="00DD2201">
        <w:rPr>
          <w:rStyle w:val="FootnoteReference"/>
        </w:rPr>
        <w:footnoteReference w:id="645"/>
      </w:r>
      <w:r>
        <w:t xml:space="preserve"> some studies did report on the involvement of co-researchers in </w:t>
      </w:r>
      <w:r w:rsidRPr="00252E17">
        <w:rPr>
          <w:szCs w:val="26"/>
        </w:rPr>
        <w:t>writing up the research</w:t>
      </w:r>
      <w:r w:rsidR="00672760">
        <w:rPr>
          <w:szCs w:val="26"/>
        </w:rPr>
        <w:t>.</w:t>
      </w:r>
      <w:r w:rsidR="00DD2201">
        <w:rPr>
          <w:rStyle w:val="FootnoteReference"/>
          <w:szCs w:val="26"/>
          <w:lang w:eastAsia="en-IE"/>
        </w:rPr>
        <w:footnoteReference w:id="646"/>
      </w:r>
      <w:r w:rsidRPr="00252E17">
        <w:rPr>
          <w:szCs w:val="26"/>
        </w:rPr>
        <w:t xml:space="preserve"> The extent of involvement varied</w:t>
      </w:r>
      <w:r w:rsidR="00252F4A">
        <w:rPr>
          <w:szCs w:val="26"/>
        </w:rPr>
        <w:t>.</w:t>
      </w:r>
      <w:r w:rsidR="004429B3">
        <w:rPr>
          <w:szCs w:val="26"/>
        </w:rPr>
        <w:t xml:space="preserve"> </w:t>
      </w:r>
      <w:r w:rsidR="00BD2448">
        <w:rPr>
          <w:szCs w:val="26"/>
        </w:rPr>
        <w:t>I</w:t>
      </w:r>
      <w:r w:rsidRPr="00252E17">
        <w:rPr>
          <w:szCs w:val="26"/>
        </w:rPr>
        <w:t>n a number of studies co-researchers wrote part</w:t>
      </w:r>
      <w:r w:rsidR="004429B3">
        <w:rPr>
          <w:szCs w:val="26"/>
        </w:rPr>
        <w:t>s of published articles</w:t>
      </w:r>
      <w:r w:rsidR="00DD2201">
        <w:rPr>
          <w:rStyle w:val="FootnoteReference"/>
          <w:szCs w:val="26"/>
        </w:rPr>
        <w:footnoteReference w:id="647"/>
      </w:r>
      <w:r w:rsidR="004429B3">
        <w:rPr>
          <w:szCs w:val="26"/>
        </w:rPr>
        <w:t xml:space="preserve"> and</w:t>
      </w:r>
      <w:r w:rsidRPr="00252E17">
        <w:rPr>
          <w:szCs w:val="26"/>
        </w:rPr>
        <w:t xml:space="preserve"> </w:t>
      </w:r>
      <w:r w:rsidR="004429B3">
        <w:rPr>
          <w:szCs w:val="26"/>
        </w:rPr>
        <w:t>i</w:t>
      </w:r>
      <w:r w:rsidRPr="00252E17">
        <w:rPr>
          <w:szCs w:val="26"/>
        </w:rPr>
        <w:t>n</w:t>
      </w:r>
      <w:r>
        <w:t xml:space="preserve"> </w:t>
      </w:r>
      <w:r w:rsidR="00E11343">
        <w:t xml:space="preserve">Butler </w:t>
      </w:r>
      <w:r w:rsidR="00185C11" w:rsidRPr="00185C11">
        <w:rPr>
          <w:i/>
        </w:rPr>
        <w:t xml:space="preserve">et al. </w:t>
      </w:r>
      <w:r w:rsidR="00182C44">
        <w:t>(</w:t>
      </w:r>
      <w:r w:rsidR="00E11343">
        <w:t>2020</w:t>
      </w:r>
      <w:r w:rsidR="00182C44">
        <w:t>)</w:t>
      </w:r>
      <w:r>
        <w:t xml:space="preserve"> the report was written by the researchers but the structure, recommendations and key points were all decided by the co-researchers. Several papers took a similar approach of having the researcher write the report at first, and this was then shaped and changed by co-researchers thro</w:t>
      </w:r>
      <w:r w:rsidR="004429B3">
        <w:t>ugh their feedback and comments</w:t>
      </w:r>
      <w:r w:rsidR="00672760">
        <w:t>.</w:t>
      </w:r>
      <w:r w:rsidR="00DD2201">
        <w:rPr>
          <w:rStyle w:val="FootnoteReference"/>
          <w:rFonts w:cs="Calibri"/>
          <w:bCs/>
          <w:color w:val="000000"/>
          <w:lang w:eastAsia="en-IE"/>
        </w:rPr>
        <w:footnoteReference w:id="648"/>
      </w:r>
      <w:r w:rsidRPr="004429B3">
        <w:t xml:space="preserve"> In some studies, co-researchers were responsible for different formats of the write up, including </w:t>
      </w:r>
      <w:r w:rsidR="005C4842" w:rsidRPr="004429B3">
        <w:lastRenderedPageBreak/>
        <w:t>accessible publications</w:t>
      </w:r>
      <w:r w:rsidR="00DD2201">
        <w:rPr>
          <w:rStyle w:val="FootnoteReference"/>
        </w:rPr>
        <w:footnoteReference w:id="649"/>
      </w:r>
      <w:r w:rsidR="00334A84">
        <w:t xml:space="preserve"> such as</w:t>
      </w:r>
      <w:r w:rsidR="005C4842" w:rsidRPr="004429B3">
        <w:t xml:space="preserve"> </w:t>
      </w:r>
      <w:r w:rsidRPr="004429B3">
        <w:t xml:space="preserve">Plain English </w:t>
      </w:r>
      <w:r w:rsidR="005C4842" w:rsidRPr="004429B3">
        <w:t>summaries</w:t>
      </w:r>
      <w:r w:rsidR="00672760">
        <w:t>,</w:t>
      </w:r>
      <w:r w:rsidR="00DD2201">
        <w:rPr>
          <w:rStyle w:val="FootnoteReference"/>
        </w:rPr>
        <w:footnoteReference w:id="650"/>
      </w:r>
      <w:r w:rsidR="004429B3" w:rsidRPr="002932C4">
        <w:t xml:space="preserve"> </w:t>
      </w:r>
      <w:r w:rsidR="005C4842" w:rsidRPr="004429B3">
        <w:t>easy to read reports with quotes and pictures</w:t>
      </w:r>
      <w:r w:rsidR="00672760">
        <w:t>,</w:t>
      </w:r>
      <w:r w:rsidR="00DD2201">
        <w:rPr>
          <w:rStyle w:val="FootnoteReference"/>
          <w:szCs w:val="26"/>
        </w:rPr>
        <w:footnoteReference w:id="651"/>
      </w:r>
      <w:r w:rsidR="005C4842" w:rsidRPr="004429B3">
        <w:rPr>
          <w:szCs w:val="26"/>
        </w:rPr>
        <w:t xml:space="preserve"> </w:t>
      </w:r>
      <w:r w:rsidR="005C4842" w:rsidRPr="004429B3">
        <w:t>and</w:t>
      </w:r>
      <w:r w:rsidRPr="004429B3">
        <w:t xml:space="preserve"> blogs and think pieces</w:t>
      </w:r>
      <w:r w:rsidR="00672760">
        <w:t>.</w:t>
      </w:r>
      <w:r w:rsidR="00DD2201">
        <w:rPr>
          <w:rStyle w:val="FootnoteReference"/>
        </w:rPr>
        <w:footnoteReference w:id="652"/>
      </w:r>
      <w:r w:rsidRPr="002932C4">
        <w:t xml:space="preserve"> </w:t>
      </w:r>
      <w:r w:rsidR="00ED61F6" w:rsidRPr="002932C4">
        <w:t xml:space="preserve">Dewa </w:t>
      </w:r>
      <w:r w:rsidR="00185C11" w:rsidRPr="00185C11">
        <w:rPr>
          <w:i/>
        </w:rPr>
        <w:t xml:space="preserve">et al. </w:t>
      </w:r>
      <w:r w:rsidR="00F50139">
        <w:t xml:space="preserve">(2020) </w:t>
      </w:r>
      <w:r w:rsidR="00ED61F6" w:rsidRPr="002932C4">
        <w:t>noted that co-</w:t>
      </w:r>
      <w:r w:rsidR="009F27FC" w:rsidRPr="002932C4">
        <w:t>researcher</w:t>
      </w:r>
      <w:r w:rsidR="00ED61F6" w:rsidRPr="002932C4">
        <w:t xml:space="preserve"> involvement in write up and dissemination was hampered</w:t>
      </w:r>
      <w:r w:rsidR="004429B3" w:rsidRPr="002932C4">
        <w:t xml:space="preserve"> in their study</w:t>
      </w:r>
      <w:r w:rsidR="00ED61F6" w:rsidRPr="002932C4">
        <w:t xml:space="preserve"> by limited funding being assigned to this stage of the research.</w:t>
      </w:r>
    </w:p>
    <w:p w14:paraId="611DBBA8" w14:textId="4535D1AA" w:rsidR="00DB5669" w:rsidRDefault="00DB5669" w:rsidP="004429B3">
      <w:r>
        <w:t xml:space="preserve">A </w:t>
      </w:r>
      <w:r w:rsidR="009133D7">
        <w:t xml:space="preserve">number of </w:t>
      </w:r>
      <w:r>
        <w:t xml:space="preserve">articles went into detail </w:t>
      </w:r>
      <w:r w:rsidRPr="00252E17">
        <w:rPr>
          <w:szCs w:val="26"/>
        </w:rPr>
        <w:t xml:space="preserve">regarding their process of collaborating to plan and write up research findings. Box </w:t>
      </w:r>
      <w:r w:rsidR="009E7E2E">
        <w:rPr>
          <w:szCs w:val="26"/>
        </w:rPr>
        <w:t>3</w:t>
      </w:r>
      <w:r w:rsidRPr="00252E17">
        <w:rPr>
          <w:szCs w:val="26"/>
        </w:rPr>
        <w:t xml:space="preserve"> shows the process used by Vaugh</w:t>
      </w:r>
      <w:r w:rsidR="00331FCF">
        <w:rPr>
          <w:szCs w:val="26"/>
        </w:rPr>
        <w:t>a</w:t>
      </w:r>
      <w:r w:rsidRPr="00252E17">
        <w:rPr>
          <w:szCs w:val="26"/>
        </w:rPr>
        <w:t xml:space="preserve">n </w:t>
      </w:r>
      <w:r w:rsidR="00185C11" w:rsidRPr="00185C11">
        <w:rPr>
          <w:i/>
          <w:szCs w:val="26"/>
        </w:rPr>
        <w:t xml:space="preserve">et al. </w:t>
      </w:r>
      <w:r w:rsidR="00C25925">
        <w:rPr>
          <w:szCs w:val="26"/>
        </w:rPr>
        <w:t>(</w:t>
      </w:r>
      <w:r w:rsidR="009D06D0">
        <w:rPr>
          <w:szCs w:val="26"/>
        </w:rPr>
        <w:t>2</w:t>
      </w:r>
      <w:r w:rsidRPr="00252E17">
        <w:rPr>
          <w:szCs w:val="26"/>
        </w:rPr>
        <w:t>019</w:t>
      </w:r>
      <w:r w:rsidR="00C25925">
        <w:rPr>
          <w:szCs w:val="26"/>
        </w:rPr>
        <w:t>)</w:t>
      </w:r>
      <w:r w:rsidRPr="00252E17">
        <w:rPr>
          <w:szCs w:val="26"/>
        </w:rPr>
        <w:t xml:space="preserve"> to develop their research article. </w:t>
      </w:r>
      <w:r w:rsidR="003E26B1" w:rsidRPr="0025101F">
        <w:rPr>
          <w:szCs w:val="26"/>
        </w:rPr>
        <w:t xml:space="preserve">In </w:t>
      </w:r>
      <w:r w:rsidR="00087F68">
        <w:rPr>
          <w:szCs w:val="26"/>
        </w:rPr>
        <w:t xml:space="preserve">Haya </w:t>
      </w:r>
      <w:proofErr w:type="spellStart"/>
      <w:r w:rsidR="0025101F" w:rsidRPr="0025101F">
        <w:rPr>
          <w:szCs w:val="26"/>
        </w:rPr>
        <w:t>Salm</w:t>
      </w:r>
      <w:r w:rsidR="00087F68">
        <w:rPr>
          <w:szCs w:val="26"/>
        </w:rPr>
        <w:t>ó</w:t>
      </w:r>
      <w:r w:rsidR="0025101F" w:rsidRPr="0025101F">
        <w:rPr>
          <w:szCs w:val="26"/>
        </w:rPr>
        <w:t>n</w:t>
      </w:r>
      <w:proofErr w:type="spellEnd"/>
      <w:r w:rsidR="0025101F" w:rsidRPr="0025101F">
        <w:rPr>
          <w:szCs w:val="26"/>
        </w:rPr>
        <w:t xml:space="preserve"> </w:t>
      </w:r>
      <w:r w:rsidR="00B21BF6">
        <w:rPr>
          <w:szCs w:val="26"/>
        </w:rPr>
        <w:t>and</w:t>
      </w:r>
      <w:r w:rsidR="0025101F" w:rsidRPr="0025101F">
        <w:rPr>
          <w:szCs w:val="26"/>
        </w:rPr>
        <w:t xml:space="preserve"> </w:t>
      </w:r>
      <w:r w:rsidR="00087F68">
        <w:rPr>
          <w:szCs w:val="26"/>
        </w:rPr>
        <w:t xml:space="preserve">Rojas </w:t>
      </w:r>
      <w:proofErr w:type="spellStart"/>
      <w:r w:rsidR="0025101F" w:rsidRPr="0025101F">
        <w:rPr>
          <w:szCs w:val="26"/>
        </w:rPr>
        <w:t>Pernia</w:t>
      </w:r>
      <w:proofErr w:type="spellEnd"/>
      <w:r w:rsidR="0025101F" w:rsidRPr="0025101F">
        <w:rPr>
          <w:szCs w:val="26"/>
        </w:rPr>
        <w:t xml:space="preserve"> </w:t>
      </w:r>
      <w:r w:rsidR="00331FCF">
        <w:rPr>
          <w:szCs w:val="26"/>
        </w:rPr>
        <w:t>(</w:t>
      </w:r>
      <w:r w:rsidR="0025101F" w:rsidRPr="0025101F">
        <w:rPr>
          <w:szCs w:val="26"/>
        </w:rPr>
        <w:t>2020</w:t>
      </w:r>
      <w:r w:rsidR="00331FCF">
        <w:rPr>
          <w:szCs w:val="26"/>
        </w:rPr>
        <w:t>)</w:t>
      </w:r>
      <w:r w:rsidR="003E26B1">
        <w:rPr>
          <w:szCs w:val="26"/>
        </w:rPr>
        <w:t>, two researchers and two co-researchers w</w:t>
      </w:r>
      <w:r w:rsidR="00334A84">
        <w:rPr>
          <w:szCs w:val="26"/>
        </w:rPr>
        <w:t>ith ID spent two</w:t>
      </w:r>
      <w:r w:rsidR="003E26B1">
        <w:rPr>
          <w:szCs w:val="26"/>
        </w:rPr>
        <w:t xml:space="preserve"> months writing an academic article.</w:t>
      </w:r>
      <w:r w:rsidR="009133D7">
        <w:rPr>
          <w:szCs w:val="26"/>
        </w:rPr>
        <w:t xml:space="preserve"> </w:t>
      </w:r>
      <w:r>
        <w:t xml:space="preserve">One study found that </w:t>
      </w:r>
      <w:r w:rsidR="00CB3782">
        <w:t xml:space="preserve">some </w:t>
      </w:r>
      <w:r>
        <w:t>projects had linked co-researchers with ID with an experienced mentor who could help them write pieces</w:t>
      </w:r>
      <w:r w:rsidR="00672760">
        <w:t>.</w:t>
      </w:r>
      <w:r w:rsidR="00DD2201">
        <w:rPr>
          <w:rStyle w:val="FootnoteReference"/>
        </w:rPr>
        <w:footnoteReference w:id="653"/>
      </w:r>
      <w:r>
        <w:t xml:space="preserve"> According to </w:t>
      </w:r>
      <w:r w:rsidR="0096271D" w:rsidRPr="0096271D">
        <w:t>Riches, O'Brien and CDS In</w:t>
      </w:r>
      <w:r w:rsidR="0096271D">
        <w:t xml:space="preserve">clusive Research Network </w:t>
      </w:r>
      <w:r w:rsidR="00331FCF">
        <w:t>(</w:t>
      </w:r>
      <w:r w:rsidR="009D06D0">
        <w:t>2</w:t>
      </w:r>
      <w:r w:rsidR="00FA58A1">
        <w:t>020</w:t>
      </w:r>
      <w:r w:rsidR="00331FCF">
        <w:t>)</w:t>
      </w:r>
      <w:r>
        <w:t xml:space="preserve">, inclusive </w:t>
      </w:r>
      <w:r w:rsidR="00A42704">
        <w:t>write-ups</w:t>
      </w:r>
      <w:r w:rsidR="00331FCF">
        <w:t xml:space="preserve"> with co-researchers (with ID)</w:t>
      </w:r>
      <w:r>
        <w:t xml:space="preserve"> take time, and there seem</w:t>
      </w:r>
      <w:r w:rsidR="00A42704">
        <w:t xml:space="preserve">s to be no </w:t>
      </w:r>
      <w:r w:rsidR="001F221A">
        <w:t>best practice</w:t>
      </w:r>
      <w:r w:rsidR="00A42704">
        <w:t xml:space="preserve"> </w:t>
      </w:r>
      <w:r>
        <w:t>strategies by which co-researchers can be included in writing peer reviewed articles</w:t>
      </w:r>
      <w:r w:rsidR="00A42704">
        <w:t>.</w:t>
      </w:r>
      <w:r>
        <w:t xml:space="preserve"> </w:t>
      </w:r>
    </w:p>
    <w:p w14:paraId="4CB4FDF6" w14:textId="329A6E93" w:rsidR="00DB5669" w:rsidRDefault="00DB5669" w:rsidP="00DB5669">
      <w:pPr>
        <w:pBdr>
          <w:top w:val="single" w:sz="4" w:space="1" w:color="auto"/>
          <w:left w:val="single" w:sz="4" w:space="4" w:color="auto"/>
          <w:bottom w:val="single" w:sz="4" w:space="1" w:color="auto"/>
          <w:right w:val="single" w:sz="4" w:space="4" w:color="auto"/>
        </w:pBdr>
        <w:rPr>
          <w:lang w:eastAsia="en-IE"/>
        </w:rPr>
      </w:pPr>
      <w:r>
        <w:rPr>
          <w:lang w:eastAsia="en-IE"/>
        </w:rPr>
        <w:t xml:space="preserve">Box </w:t>
      </w:r>
      <w:r w:rsidR="009E7E2E">
        <w:rPr>
          <w:lang w:eastAsia="en-IE"/>
        </w:rPr>
        <w:t>3. Process of collaboratively</w:t>
      </w:r>
      <w:r>
        <w:rPr>
          <w:lang w:eastAsia="en-IE"/>
        </w:rPr>
        <w:t xml:space="preserve"> developing</w:t>
      </w:r>
      <w:r w:rsidR="009E7E2E">
        <w:rPr>
          <w:lang w:eastAsia="en-IE"/>
        </w:rPr>
        <w:t xml:space="preserve"> a</w:t>
      </w:r>
      <w:r>
        <w:rPr>
          <w:lang w:eastAsia="en-IE"/>
        </w:rPr>
        <w:t xml:space="preserve"> research article</w:t>
      </w:r>
      <w:r w:rsidR="009E7E2E">
        <w:rPr>
          <w:rStyle w:val="FootnoteReference"/>
          <w:lang w:eastAsia="en-IE"/>
        </w:rPr>
        <w:footnoteReference w:id="654"/>
      </w:r>
    </w:p>
    <w:p w14:paraId="567FAFB7" w14:textId="022FB9F9" w:rsidR="00DB5669" w:rsidRPr="003E7995" w:rsidRDefault="007032F3" w:rsidP="00DB5669">
      <w:pPr>
        <w:pBdr>
          <w:top w:val="single" w:sz="4" w:space="1" w:color="auto"/>
          <w:left w:val="single" w:sz="4" w:space="4" w:color="auto"/>
          <w:bottom w:val="single" w:sz="4" w:space="1" w:color="auto"/>
          <w:right w:val="single" w:sz="4" w:space="4" w:color="auto"/>
        </w:pBdr>
        <w:rPr>
          <w:lang w:eastAsia="en-IE"/>
        </w:rPr>
      </w:pPr>
      <w:r>
        <w:rPr>
          <w:lang w:eastAsia="en-IE"/>
        </w:rPr>
        <w:t>“</w:t>
      </w:r>
      <w:r w:rsidR="00DB5669" w:rsidRPr="003E7995">
        <w:rPr>
          <w:lang w:eastAsia="en-IE"/>
        </w:rPr>
        <w:t xml:space="preserve">To develop the article, </w:t>
      </w:r>
      <w:r>
        <w:rPr>
          <w:lang w:eastAsia="en-IE"/>
        </w:rPr>
        <w:t>we</w:t>
      </w:r>
      <w:r w:rsidRPr="003E7995">
        <w:rPr>
          <w:lang w:eastAsia="en-IE"/>
        </w:rPr>
        <w:t xml:space="preserve"> </w:t>
      </w:r>
      <w:r w:rsidR="00DB5669" w:rsidRPr="003E7995">
        <w:rPr>
          <w:lang w:eastAsia="en-IE"/>
        </w:rPr>
        <w:t>came together for a series of four workshop-style group meetings, each lasting approximately two hours in length, over the period May–August 2018</w:t>
      </w:r>
      <w:r>
        <w:rPr>
          <w:lang w:eastAsia="en-IE"/>
        </w:rPr>
        <w:t>.</w:t>
      </w:r>
      <w:r w:rsidR="00DB5669" w:rsidRPr="003E7995">
        <w:rPr>
          <w:lang w:eastAsia="en-IE"/>
        </w:rPr>
        <w:t xml:space="preserve"> </w:t>
      </w:r>
      <w:r>
        <w:rPr>
          <w:lang w:eastAsia="en-IE"/>
        </w:rPr>
        <w:t>These meetings aimed to elicit reflection and discussion about our individual and collective experience of inclusive research in practice…</w:t>
      </w:r>
      <w:r w:rsidR="00DB5669" w:rsidRPr="003E7995">
        <w:rPr>
          <w:lang w:eastAsia="en-IE"/>
        </w:rPr>
        <w:t>At each workshop, two or more members of the team would take notes, detailing key points arising in our discussions. Records from group brainstorming activities (documented via a white board) were photographed. We</w:t>
      </w:r>
      <w:r w:rsidR="00DB5669">
        <w:rPr>
          <w:lang w:eastAsia="en-IE"/>
        </w:rPr>
        <w:t xml:space="preserve"> </w:t>
      </w:r>
      <w:r w:rsidR="00DB5669" w:rsidRPr="003E7995">
        <w:rPr>
          <w:lang w:eastAsia="en-IE"/>
        </w:rPr>
        <w:t>circulated these documents among the group, and through discussion of them at workshops and in between workshops at informal meetings or via email, decided upon the structure of this article and the key reflections that we wanted to share, with the writing shared among co-authors</w:t>
      </w:r>
      <w:r w:rsidR="00DD2201">
        <w:rPr>
          <w:lang w:eastAsia="en-IE"/>
        </w:rPr>
        <w:t>.</w:t>
      </w:r>
      <w:r>
        <w:rPr>
          <w:lang w:eastAsia="en-IE"/>
        </w:rPr>
        <w:t>”</w:t>
      </w:r>
      <w:r w:rsidR="00DB5669" w:rsidRPr="003E7995">
        <w:rPr>
          <w:lang w:eastAsia="en-IE"/>
        </w:rPr>
        <w:t xml:space="preserve"> </w:t>
      </w:r>
    </w:p>
    <w:p w14:paraId="7B84E827" w14:textId="73343747" w:rsidR="00DB5669" w:rsidRDefault="00A42704" w:rsidP="00DB5669">
      <w:r>
        <w:lastRenderedPageBreak/>
        <w:t xml:space="preserve">A number of studies </w:t>
      </w:r>
      <w:r w:rsidR="00DB5669">
        <w:t>noted the importance of considering how co-res</w:t>
      </w:r>
      <w:r w:rsidR="003E26B1">
        <w:t>e</w:t>
      </w:r>
      <w:r w:rsidR="00DB5669">
        <w:t xml:space="preserve">archers </w:t>
      </w:r>
      <w:r w:rsidR="00CB3782">
        <w:t>would</w:t>
      </w:r>
      <w:r w:rsidR="00DB5669">
        <w:t xml:space="preserve"> be recognised and acknow</w:t>
      </w:r>
      <w:r>
        <w:t>ledged in research</w:t>
      </w:r>
      <w:r w:rsidR="00CB3782">
        <w:t xml:space="preserve"> outputs</w:t>
      </w:r>
      <w:r w:rsidR="00672760">
        <w:t>.</w:t>
      </w:r>
      <w:r w:rsidR="00DD2201">
        <w:rPr>
          <w:rStyle w:val="FootnoteReference"/>
          <w:rFonts w:cs="Calibri"/>
          <w:color w:val="000000"/>
          <w:szCs w:val="26"/>
          <w:lang w:eastAsia="en-IE"/>
        </w:rPr>
        <w:footnoteReference w:id="655"/>
      </w:r>
      <w:r>
        <w:rPr>
          <w:rFonts w:cs="Calibri"/>
          <w:color w:val="000000"/>
          <w:szCs w:val="26"/>
          <w:lang w:eastAsia="en-IE"/>
        </w:rPr>
        <w:t xml:space="preserve"> </w:t>
      </w:r>
      <w:r w:rsidR="00CB3782">
        <w:rPr>
          <w:rFonts w:cs="Calibri"/>
          <w:color w:val="000000"/>
          <w:szCs w:val="26"/>
          <w:lang w:eastAsia="en-IE"/>
        </w:rPr>
        <w:t>C</w:t>
      </w:r>
      <w:r w:rsidR="00DB5669" w:rsidRPr="003E26B1">
        <w:rPr>
          <w:szCs w:val="26"/>
        </w:rPr>
        <w:t>o-researchers were recognised as co-authors on</w:t>
      </w:r>
      <w:r w:rsidR="00CB3782">
        <w:rPr>
          <w:szCs w:val="26"/>
        </w:rPr>
        <w:t xml:space="preserve"> some</w:t>
      </w:r>
      <w:r w:rsidR="00DB5669" w:rsidRPr="003E26B1">
        <w:rPr>
          <w:szCs w:val="26"/>
        </w:rPr>
        <w:t xml:space="preserve"> publications</w:t>
      </w:r>
      <w:r w:rsidR="00672760">
        <w:rPr>
          <w:szCs w:val="26"/>
        </w:rPr>
        <w:t>.</w:t>
      </w:r>
      <w:r w:rsidR="0006752A">
        <w:rPr>
          <w:rStyle w:val="FootnoteReference"/>
          <w:rFonts w:cs="Calibri"/>
          <w:bCs/>
          <w:color w:val="000000"/>
          <w:szCs w:val="26"/>
          <w:lang w:eastAsia="en-IE"/>
        </w:rPr>
        <w:footnoteReference w:id="656"/>
      </w:r>
      <w:r w:rsidR="00DB5669" w:rsidRPr="003E26B1">
        <w:rPr>
          <w:szCs w:val="26"/>
        </w:rPr>
        <w:t xml:space="preserve"> </w:t>
      </w:r>
      <w:proofErr w:type="spellStart"/>
      <w:r w:rsidR="001025F4" w:rsidRPr="00252E17">
        <w:rPr>
          <w:szCs w:val="26"/>
        </w:rPr>
        <w:t>Nicolaidis</w:t>
      </w:r>
      <w:proofErr w:type="spellEnd"/>
      <w:r w:rsidR="001025F4" w:rsidRPr="00252E17">
        <w:rPr>
          <w:szCs w:val="26"/>
        </w:rPr>
        <w:t xml:space="preserve"> </w:t>
      </w:r>
      <w:r w:rsidR="00185C11" w:rsidRPr="00185C11">
        <w:rPr>
          <w:i/>
          <w:szCs w:val="26"/>
        </w:rPr>
        <w:t xml:space="preserve">et al. </w:t>
      </w:r>
      <w:r w:rsidR="001025F4" w:rsidRPr="00252E17">
        <w:rPr>
          <w:szCs w:val="26"/>
        </w:rPr>
        <w:t>(2019) found it challenging</w:t>
      </w:r>
      <w:r w:rsidR="001025F4">
        <w:t xml:space="preserve"> for co-researchers to </w:t>
      </w:r>
      <w:r w:rsidR="00334A84">
        <w:t xml:space="preserve">fulfil authorship requirements but </w:t>
      </w:r>
      <w:r w:rsidR="001025F4">
        <w:t>to address this they</w:t>
      </w:r>
      <w:r w:rsidR="001025F4" w:rsidRPr="0077083D">
        <w:t xml:space="preserve"> created a document </w:t>
      </w:r>
      <w:r w:rsidR="001025F4">
        <w:t>placing</w:t>
      </w:r>
      <w:r w:rsidR="001025F4" w:rsidRPr="0077083D">
        <w:t xml:space="preserve"> each paragraph of the draft manuscript into one column of a table, with a lay translation in the second column. They then held group or individual meetings where they read and discussed the information in the lay translation column. This enabled the co-researchers to review a</w:t>
      </w:r>
      <w:r w:rsidR="00334A84">
        <w:t>nnotated versions of manuscript</w:t>
      </w:r>
      <w:r w:rsidR="001025F4" w:rsidRPr="0077083D">
        <w:t xml:space="preserve"> and make substantive suggestions for revisions of the content and so they met authorship criteria</w:t>
      </w:r>
      <w:r w:rsidR="001025F4">
        <w:t xml:space="preserve">. </w:t>
      </w:r>
      <w:r w:rsidR="00DB5669" w:rsidRPr="003E26B1">
        <w:rPr>
          <w:szCs w:val="26"/>
        </w:rPr>
        <w:t xml:space="preserve">In a review of </w:t>
      </w:r>
      <w:r w:rsidR="00C2612D">
        <w:rPr>
          <w:szCs w:val="26"/>
        </w:rPr>
        <w:t xml:space="preserve">collaborative research </w:t>
      </w:r>
      <w:r w:rsidR="00DB5669">
        <w:t xml:space="preserve">papers, </w:t>
      </w:r>
      <w:r w:rsidR="00406E42">
        <w:t>Smith-Merry</w:t>
      </w:r>
      <w:r w:rsidR="002B3918">
        <w:t xml:space="preserve"> (2017)</w:t>
      </w:r>
      <w:r w:rsidR="00DB5669">
        <w:t xml:space="preserve"> found that</w:t>
      </w:r>
      <w:r w:rsidR="001025F4">
        <w:t xml:space="preserve"> just</w:t>
      </w:r>
      <w:r w:rsidR="00DB5669">
        <w:t xml:space="preserve"> one third of papers in their review included co-researchers as authors. They noted that some journals may specify that a researcher needs to have written part of a paper to be named as an author, but questioned the ethics of excluding co-researchers who have been partners in the process:</w:t>
      </w:r>
    </w:p>
    <w:p w14:paraId="2BDE2703" w14:textId="6AAAEB5C" w:rsidR="001B2E69" w:rsidRDefault="00AB23EC" w:rsidP="001B2E69">
      <w:pPr>
        <w:pStyle w:val="BlockQuote"/>
      </w:pPr>
      <w:r>
        <w:t>…</w:t>
      </w:r>
      <w:r w:rsidR="00DB5669" w:rsidRPr="00233650">
        <w:t xml:space="preserve">if the co-researchers have devised the project and contributed to a significant part of the data collection and/or analysis which is reported in the paper, it may not be ethical </w:t>
      </w:r>
      <w:r w:rsidR="00672760">
        <w:t>to exclude them from authorship.</w:t>
      </w:r>
      <w:r w:rsidR="0006752A">
        <w:rPr>
          <w:rStyle w:val="FootnoteReference"/>
        </w:rPr>
        <w:footnoteReference w:id="657"/>
      </w:r>
    </w:p>
    <w:p w14:paraId="04141B4F" w14:textId="1F0F5FE2" w:rsidR="000E0E4E" w:rsidRDefault="000E0E4E" w:rsidP="00317531">
      <w:pPr>
        <w:pStyle w:val="Heading3"/>
      </w:pPr>
      <w:bookmarkStart w:id="72" w:name="_Toc104925133"/>
      <w:r>
        <w:t>Dissemination</w:t>
      </w:r>
      <w:bookmarkEnd w:id="72"/>
    </w:p>
    <w:p w14:paraId="12686790" w14:textId="0E6975FC" w:rsidR="000E0E4E" w:rsidRDefault="000E0E4E" w:rsidP="000E0E4E">
      <w:r>
        <w:t xml:space="preserve">Studies have </w:t>
      </w:r>
      <w:r w:rsidR="00CB3782">
        <w:t>referred to</w:t>
      </w:r>
      <w:r>
        <w:t xml:space="preserve"> the importance of </w:t>
      </w:r>
      <w:r w:rsidR="00C2612D">
        <w:t xml:space="preserve">collaborative research </w:t>
      </w:r>
      <w:r>
        <w:t>teams collaborating, discussing and agreeing on dissemination</w:t>
      </w:r>
      <w:r w:rsidR="00672760">
        <w:t>,</w:t>
      </w:r>
      <w:r w:rsidR="0006752A">
        <w:rPr>
          <w:rStyle w:val="FootnoteReference"/>
        </w:rPr>
        <w:footnoteReference w:id="658"/>
      </w:r>
      <w:r>
        <w:t xml:space="preserve"> on making dissemination accessible</w:t>
      </w:r>
      <w:r w:rsidR="0006752A">
        <w:rPr>
          <w:rStyle w:val="FootnoteReference"/>
        </w:rPr>
        <w:footnoteReference w:id="659"/>
      </w:r>
      <w:r>
        <w:t xml:space="preserve"> and on ensuring ways that co-researchers can present </w:t>
      </w:r>
      <w:r w:rsidR="00E52DB3">
        <w:t xml:space="preserve">research </w:t>
      </w:r>
      <w:r>
        <w:t>findings</w:t>
      </w:r>
      <w:r w:rsidR="00672760">
        <w:t>.</w:t>
      </w:r>
      <w:r w:rsidR="0006752A">
        <w:rPr>
          <w:rStyle w:val="FootnoteReference"/>
        </w:rPr>
        <w:footnoteReference w:id="660"/>
      </w:r>
      <w:r>
        <w:t xml:space="preserve"> Box </w:t>
      </w:r>
      <w:r w:rsidR="00353505">
        <w:t>4</w:t>
      </w:r>
      <w:r>
        <w:t xml:space="preserve"> displays the recommendations from </w:t>
      </w:r>
      <w:proofErr w:type="spellStart"/>
      <w:r w:rsidR="00E84E92">
        <w:t>Frankena</w:t>
      </w:r>
      <w:proofErr w:type="spellEnd"/>
      <w:r w:rsidR="00E84E92">
        <w:t xml:space="preserve"> </w:t>
      </w:r>
      <w:r w:rsidR="00185C11" w:rsidRPr="00185C11">
        <w:rPr>
          <w:i/>
        </w:rPr>
        <w:t xml:space="preserve">et al. </w:t>
      </w:r>
      <w:r w:rsidR="00F14504">
        <w:t>(</w:t>
      </w:r>
      <w:r w:rsidR="009D06D0">
        <w:t>2</w:t>
      </w:r>
      <w:r w:rsidR="00E84E92">
        <w:t>019a</w:t>
      </w:r>
      <w:r w:rsidR="00F14504">
        <w:t>)</w:t>
      </w:r>
      <w:r w:rsidR="00E84E92">
        <w:t xml:space="preserve"> </w:t>
      </w:r>
      <w:r>
        <w:t xml:space="preserve">on how to use results </w:t>
      </w:r>
      <w:r w:rsidR="00A42704">
        <w:t>from</w:t>
      </w:r>
      <w:r>
        <w:t xml:space="preserve"> </w:t>
      </w:r>
      <w:r w:rsidR="00C2612D">
        <w:t xml:space="preserve">collaborative research </w:t>
      </w:r>
      <w:r>
        <w:t>projects</w:t>
      </w:r>
      <w:r w:rsidR="00CB3782">
        <w:t xml:space="preserve">. While this </w:t>
      </w:r>
      <w:r w:rsidR="00CB3782">
        <w:lastRenderedPageBreak/>
        <w:t xml:space="preserve">study was specifically focused on co-researchers with ID, the advice could be applied to any </w:t>
      </w:r>
      <w:r w:rsidR="00C2612D">
        <w:t xml:space="preserve">collaborative research </w:t>
      </w:r>
      <w:r w:rsidR="00CB3782">
        <w:t xml:space="preserve">partnership. </w:t>
      </w:r>
    </w:p>
    <w:p w14:paraId="4A59CC30" w14:textId="6F1664DC" w:rsidR="000E0E4E" w:rsidRDefault="000E0E4E" w:rsidP="000E0E4E">
      <w:pPr>
        <w:pBdr>
          <w:top w:val="single" w:sz="4" w:space="1" w:color="auto"/>
          <w:left w:val="single" w:sz="4" w:space="4" w:color="auto"/>
          <w:bottom w:val="single" w:sz="4" w:space="1" w:color="auto"/>
          <w:right w:val="single" w:sz="4" w:space="4" w:color="auto"/>
        </w:pBdr>
      </w:pPr>
      <w:r>
        <w:t xml:space="preserve">Box </w:t>
      </w:r>
      <w:r w:rsidR="00353505">
        <w:t>4</w:t>
      </w:r>
      <w:r w:rsidR="007D0A1F">
        <w:t>.</w:t>
      </w:r>
      <w:r>
        <w:t xml:space="preserve"> </w:t>
      </w:r>
      <w:r w:rsidR="009F0931">
        <w:t>C</w:t>
      </w:r>
      <w:r>
        <w:t>onsensus statement on how to conduct inclusive health research</w:t>
      </w:r>
      <w:r w:rsidR="009F0931">
        <w:t xml:space="preserve"> – Using results</w:t>
      </w:r>
      <w:r w:rsidR="0006752A">
        <w:rPr>
          <w:rStyle w:val="FootnoteReference"/>
        </w:rPr>
        <w:footnoteReference w:id="661"/>
      </w:r>
    </w:p>
    <w:p w14:paraId="3EFF9F4F" w14:textId="67034BD1" w:rsidR="00D656E5" w:rsidRDefault="00D656E5" w:rsidP="00EF2DC6">
      <w:pPr>
        <w:pBdr>
          <w:top w:val="single" w:sz="4" w:space="1" w:color="auto"/>
          <w:left w:val="single" w:sz="4" w:space="4" w:color="auto"/>
          <w:bottom w:val="single" w:sz="4" w:space="1" w:color="auto"/>
          <w:right w:val="single" w:sz="4" w:space="4" w:color="auto"/>
        </w:pBdr>
      </w:pPr>
      <w:proofErr w:type="spellStart"/>
      <w:r>
        <w:t>i</w:t>
      </w:r>
      <w:proofErr w:type="spellEnd"/>
      <w:r>
        <w:t xml:space="preserve">. </w:t>
      </w:r>
      <w:r w:rsidRPr="00D656E5">
        <w:t>Discussing with team members: how results will be disseminated in an accessible manner; how co-authorship will be arranged and how the voice of health researchers with intellectual disabilities will be represented; and how access to and ownership of the data will be ensured.</w:t>
      </w:r>
    </w:p>
    <w:p w14:paraId="1EE4912E" w14:textId="5946367C" w:rsidR="00D656E5" w:rsidRDefault="00D656E5" w:rsidP="00EF2DC6">
      <w:pPr>
        <w:pBdr>
          <w:top w:val="single" w:sz="4" w:space="1" w:color="auto"/>
          <w:left w:val="single" w:sz="4" w:space="4" w:color="auto"/>
          <w:bottom w:val="single" w:sz="4" w:space="1" w:color="auto"/>
          <w:right w:val="single" w:sz="4" w:space="4" w:color="auto"/>
        </w:pBdr>
      </w:pPr>
      <w:r>
        <w:t xml:space="preserve">ii. </w:t>
      </w:r>
      <w:r w:rsidRPr="00D656E5">
        <w:t>Discussing and identifying possible new ideas, limitations and ethical issues with team members.</w:t>
      </w:r>
    </w:p>
    <w:p w14:paraId="75A52B14" w14:textId="2A166976" w:rsidR="00D656E5" w:rsidRDefault="00D656E5" w:rsidP="00EF2DC6">
      <w:pPr>
        <w:pBdr>
          <w:top w:val="single" w:sz="4" w:space="1" w:color="auto"/>
          <w:left w:val="single" w:sz="4" w:space="4" w:color="auto"/>
          <w:bottom w:val="single" w:sz="4" w:space="1" w:color="auto"/>
          <w:right w:val="single" w:sz="4" w:space="4" w:color="auto"/>
        </w:pBdr>
      </w:pPr>
      <w:r>
        <w:t xml:space="preserve">iii. </w:t>
      </w:r>
      <w:r w:rsidRPr="00D656E5">
        <w:t>Reporting on the process and added value of inclusive health research.</w:t>
      </w:r>
    </w:p>
    <w:p w14:paraId="38D895A8" w14:textId="45FF1704" w:rsidR="00D656E5" w:rsidRDefault="00D656E5" w:rsidP="00EF2DC6">
      <w:pPr>
        <w:pBdr>
          <w:top w:val="single" w:sz="4" w:space="1" w:color="auto"/>
          <w:left w:val="single" w:sz="4" w:space="4" w:color="auto"/>
          <w:bottom w:val="single" w:sz="4" w:space="1" w:color="auto"/>
          <w:right w:val="single" w:sz="4" w:space="4" w:color="auto"/>
        </w:pBdr>
      </w:pPr>
      <w:r>
        <w:t xml:space="preserve">iv. </w:t>
      </w:r>
      <w:r w:rsidRPr="00D656E5">
        <w:t>Evaluating the dissemination of results.</w:t>
      </w:r>
    </w:p>
    <w:p w14:paraId="6622D27C" w14:textId="1EFC733A" w:rsidR="00D656E5" w:rsidRDefault="00D656E5" w:rsidP="00EF2DC6">
      <w:pPr>
        <w:pBdr>
          <w:top w:val="single" w:sz="4" w:space="1" w:color="auto"/>
          <w:left w:val="single" w:sz="4" w:space="4" w:color="auto"/>
          <w:bottom w:val="single" w:sz="4" w:space="1" w:color="auto"/>
          <w:right w:val="single" w:sz="4" w:space="4" w:color="auto"/>
        </w:pBdr>
      </w:pPr>
      <w:r>
        <w:t xml:space="preserve">v. </w:t>
      </w:r>
      <w:r w:rsidRPr="00D656E5">
        <w:t>Discussing academic and advocacy publications as well as different publication formats</w:t>
      </w:r>
      <w:r w:rsidR="003D6927">
        <w:t>.</w:t>
      </w:r>
    </w:p>
    <w:p w14:paraId="1B040FCD" w14:textId="094ACF1C" w:rsidR="00E52DB3" w:rsidRDefault="000E0E4E" w:rsidP="000E0E4E">
      <w:r>
        <w:t>A number of studies did report that co-researchers</w:t>
      </w:r>
      <w:r w:rsidR="00E52DB3">
        <w:t xml:space="preserve"> were included</w:t>
      </w:r>
      <w:r>
        <w:t xml:space="preserve"> in the planning and dissemination of research</w:t>
      </w:r>
      <w:r w:rsidR="00672760">
        <w:t>.</w:t>
      </w:r>
      <w:r w:rsidR="0006752A">
        <w:rPr>
          <w:rStyle w:val="FootnoteReference"/>
        </w:rPr>
        <w:footnoteReference w:id="662"/>
      </w:r>
      <w:r>
        <w:t xml:space="preserve"> Co-researchers </w:t>
      </w:r>
      <w:r w:rsidRPr="007B1AB3">
        <w:t xml:space="preserve">in </w:t>
      </w:r>
      <w:proofErr w:type="spellStart"/>
      <w:r w:rsidR="007B1AB3" w:rsidRPr="007B1AB3">
        <w:t>ImaYDiT</w:t>
      </w:r>
      <w:proofErr w:type="spellEnd"/>
      <w:r w:rsidR="007B1AB3" w:rsidRPr="007B1AB3">
        <w:t xml:space="preserve"> </w:t>
      </w:r>
      <w:r w:rsidR="006E4425">
        <w:t>(</w:t>
      </w:r>
      <w:r w:rsidR="007B1AB3" w:rsidRPr="007B1AB3">
        <w:t>2018</w:t>
      </w:r>
      <w:r w:rsidR="00B00F3A">
        <w:t xml:space="preserve">, p. </w:t>
      </w:r>
      <w:r w:rsidR="00023A37">
        <w:t>13</w:t>
      </w:r>
      <w:r w:rsidR="006E4425">
        <w:t>)</w:t>
      </w:r>
      <w:r w:rsidRPr="007B1AB3">
        <w:t xml:space="preserve"> </w:t>
      </w:r>
      <w:r>
        <w:t>noted</w:t>
      </w:r>
      <w:r w:rsidR="00E52DB3">
        <w:t>:</w:t>
      </w:r>
    </w:p>
    <w:p w14:paraId="0EEEA72C" w14:textId="6C6EC5D5" w:rsidR="00E52DB3" w:rsidRDefault="000E0E4E" w:rsidP="00E52DB3">
      <w:pPr>
        <w:pStyle w:val="BlockQuote"/>
        <w:rPr>
          <w:lang w:eastAsia="en-IE"/>
        </w:rPr>
      </w:pPr>
      <w:r w:rsidRPr="0007763A">
        <w:rPr>
          <w:lang w:eastAsia="en-IE"/>
        </w:rPr>
        <w:t>We talked about who we wanted to tell about</w:t>
      </w:r>
      <w:r>
        <w:rPr>
          <w:lang w:eastAsia="en-IE"/>
        </w:rPr>
        <w:t xml:space="preserve"> </w:t>
      </w:r>
      <w:r w:rsidRPr="0007763A">
        <w:rPr>
          <w:lang w:eastAsia="en-IE"/>
        </w:rPr>
        <w:t>our research and what we would like them to do</w:t>
      </w:r>
      <w:r>
        <w:rPr>
          <w:lang w:eastAsia="en-IE"/>
        </w:rPr>
        <w:t xml:space="preserve"> </w:t>
      </w:r>
      <w:r w:rsidRPr="0007763A">
        <w:rPr>
          <w:lang w:eastAsia="en-IE"/>
        </w:rPr>
        <w:t>to make it all happen</w:t>
      </w:r>
      <w:r w:rsidR="00B00F3A">
        <w:rPr>
          <w:lang w:eastAsia="en-IE"/>
        </w:rPr>
        <w:t>.</w:t>
      </w:r>
      <w:r>
        <w:rPr>
          <w:lang w:eastAsia="en-IE"/>
        </w:rPr>
        <w:t xml:space="preserve"> </w:t>
      </w:r>
    </w:p>
    <w:p w14:paraId="4D354869" w14:textId="157500DA" w:rsidR="000E0E4E" w:rsidRDefault="007C1597" w:rsidP="000E0E4E">
      <w:r>
        <w:t>Co-researchers engaged in tr</w:t>
      </w:r>
      <w:r w:rsidR="000E0E4E" w:rsidRPr="00E52DB3">
        <w:t xml:space="preserve">aditional </w:t>
      </w:r>
      <w:r>
        <w:t>methods of dissemination in some studies</w:t>
      </w:r>
      <w:r w:rsidR="000E0E4E" w:rsidRPr="00E52DB3">
        <w:t xml:space="preserve">, including research </w:t>
      </w:r>
      <w:r w:rsidR="000E0E4E" w:rsidRPr="00251EC3">
        <w:rPr>
          <w:szCs w:val="26"/>
        </w:rPr>
        <w:t xml:space="preserve">events, workshops, talks, seminars, launches and conference </w:t>
      </w:r>
      <w:r w:rsidR="000E0E4E" w:rsidRPr="00B32B6E">
        <w:rPr>
          <w:szCs w:val="26"/>
        </w:rPr>
        <w:t>presentations</w:t>
      </w:r>
      <w:r>
        <w:rPr>
          <w:szCs w:val="26"/>
        </w:rPr>
        <w:t xml:space="preserve"> – they either presented themselves or co-presented with researchers or supporters</w:t>
      </w:r>
      <w:r w:rsidR="00672760">
        <w:rPr>
          <w:szCs w:val="26"/>
        </w:rPr>
        <w:t>.</w:t>
      </w:r>
      <w:r w:rsidR="0006752A">
        <w:rPr>
          <w:rStyle w:val="FootnoteReference"/>
          <w:szCs w:val="26"/>
        </w:rPr>
        <w:footnoteReference w:id="663"/>
      </w:r>
      <w:r w:rsidR="00251EC3" w:rsidRPr="00251EC3">
        <w:rPr>
          <w:szCs w:val="26"/>
        </w:rPr>
        <w:t xml:space="preserve"> </w:t>
      </w:r>
      <w:r w:rsidR="00E52DB3" w:rsidRPr="00251EC3">
        <w:rPr>
          <w:szCs w:val="26"/>
        </w:rPr>
        <w:t>A number of</w:t>
      </w:r>
      <w:r w:rsidR="00E52DB3" w:rsidRPr="00E52DB3">
        <w:t xml:space="preserve"> studies</w:t>
      </w:r>
      <w:r w:rsidR="000E0E4E">
        <w:t xml:space="preserve"> also reported </w:t>
      </w:r>
      <w:r w:rsidR="00E52DB3">
        <w:t>using</w:t>
      </w:r>
      <w:r w:rsidR="000E0E4E">
        <w:t xml:space="preserve"> </w:t>
      </w:r>
      <w:r w:rsidR="00B00F3A">
        <w:t xml:space="preserve">alternative </w:t>
      </w:r>
      <w:r w:rsidR="000E0E4E">
        <w:t xml:space="preserve">methods </w:t>
      </w:r>
      <w:r w:rsidR="00E52DB3">
        <w:t xml:space="preserve">to </w:t>
      </w:r>
      <w:r w:rsidR="000E0E4E">
        <w:t xml:space="preserve">traditional </w:t>
      </w:r>
      <w:r w:rsidR="00067D7A">
        <w:t>research</w:t>
      </w:r>
      <w:r w:rsidR="000E0E4E">
        <w:t xml:space="preserve"> approaches. These approaches included:</w:t>
      </w:r>
    </w:p>
    <w:p w14:paraId="40696B4C" w14:textId="6B9A2EF3" w:rsidR="000E0E4E" w:rsidRPr="007B1AB3" w:rsidRDefault="00A42704" w:rsidP="000E0E4E">
      <w:pPr>
        <w:pStyle w:val="ListBullet"/>
      </w:pPr>
      <w:r>
        <w:lastRenderedPageBreak/>
        <w:t xml:space="preserve">A </w:t>
      </w:r>
      <w:r w:rsidRPr="007B1AB3">
        <w:t>c</w:t>
      </w:r>
      <w:r w:rsidR="000E0E4E" w:rsidRPr="007B1AB3">
        <w:t>ommunity event</w:t>
      </w:r>
      <w:r w:rsidR="0006752A">
        <w:rPr>
          <w:rStyle w:val="FootnoteReference"/>
        </w:rPr>
        <w:footnoteReference w:id="664"/>
      </w:r>
    </w:p>
    <w:p w14:paraId="27461256" w14:textId="3651959C" w:rsidR="000E0E4E" w:rsidRPr="007B1AB3" w:rsidRDefault="000E0E4E" w:rsidP="000E0E4E">
      <w:pPr>
        <w:pStyle w:val="ListBullet"/>
      </w:pPr>
      <w:r w:rsidRPr="007B1AB3">
        <w:t>Co-researchers being interviewed by local media</w:t>
      </w:r>
      <w:r w:rsidR="0006752A">
        <w:rPr>
          <w:rStyle w:val="FootnoteReference"/>
        </w:rPr>
        <w:footnoteReference w:id="665"/>
      </w:r>
    </w:p>
    <w:p w14:paraId="463A2AE8" w14:textId="5E027AE2" w:rsidR="000E0E4E" w:rsidRDefault="00A42704" w:rsidP="002C44DB">
      <w:pPr>
        <w:pStyle w:val="ListBullet"/>
      </w:pPr>
      <w:r>
        <w:t>A t</w:t>
      </w:r>
      <w:r w:rsidR="000E0E4E">
        <w:t>heatre performance</w:t>
      </w:r>
      <w:r w:rsidR="001E24DA">
        <w:rPr>
          <w:rStyle w:val="FootnoteReference"/>
        </w:rPr>
        <w:footnoteReference w:id="666"/>
      </w:r>
    </w:p>
    <w:p w14:paraId="402D76F8" w14:textId="783EAC1E" w:rsidR="00A42704" w:rsidRDefault="00A42704" w:rsidP="002C44DB">
      <w:pPr>
        <w:pStyle w:val="ListBullet"/>
      </w:pPr>
      <w:r>
        <w:t>An art exhibition</w:t>
      </w:r>
      <w:r w:rsidR="001E24DA">
        <w:rPr>
          <w:rStyle w:val="FootnoteReference"/>
        </w:rPr>
        <w:footnoteReference w:id="667"/>
      </w:r>
      <w:r w:rsidR="00E52DB3">
        <w:t xml:space="preserve"> </w:t>
      </w:r>
    </w:p>
    <w:p w14:paraId="408CF2ED" w14:textId="7292A797" w:rsidR="000E0E4E" w:rsidRDefault="00A42704" w:rsidP="000E0E4E">
      <w:pPr>
        <w:pStyle w:val="ListBullet"/>
      </w:pPr>
      <w:r>
        <w:t xml:space="preserve">A </w:t>
      </w:r>
      <w:r w:rsidR="00E52DB3">
        <w:t xml:space="preserve">photo exhibition (with an accompanying podcast to support the experience of those who were visually </w:t>
      </w:r>
      <w:r w:rsidR="00E52DB3" w:rsidRPr="006A62C3">
        <w:rPr>
          <w:szCs w:val="26"/>
        </w:rPr>
        <w:t>impaired)</w:t>
      </w:r>
      <w:r w:rsidR="001E24DA">
        <w:rPr>
          <w:rStyle w:val="FootnoteReference"/>
          <w:szCs w:val="26"/>
          <w:lang w:eastAsia="en-IE"/>
        </w:rPr>
        <w:footnoteReference w:id="668"/>
      </w:r>
    </w:p>
    <w:p w14:paraId="7A505678" w14:textId="1B65451B" w:rsidR="000E0E4E" w:rsidRDefault="000E0E4E" w:rsidP="000E0E4E">
      <w:pPr>
        <w:pStyle w:val="ListBullet"/>
      </w:pPr>
      <w:r>
        <w:t>Videos and films</w:t>
      </w:r>
      <w:r w:rsidR="001E24DA">
        <w:rPr>
          <w:rStyle w:val="FootnoteReference"/>
        </w:rPr>
        <w:footnoteReference w:id="669"/>
      </w:r>
    </w:p>
    <w:p w14:paraId="5F951B90" w14:textId="0455F8A2" w:rsidR="00C46530" w:rsidRDefault="003E26B1" w:rsidP="003E26B1">
      <w:pPr>
        <w:pStyle w:val="ListBullet"/>
      </w:pPr>
      <w:r>
        <w:t>Comics and illustrations</w:t>
      </w:r>
      <w:r w:rsidR="001E24DA">
        <w:rPr>
          <w:rStyle w:val="FootnoteReference"/>
        </w:rPr>
        <w:footnoteReference w:id="670"/>
      </w:r>
    </w:p>
    <w:p w14:paraId="331409AE" w14:textId="41100A64" w:rsidR="00C46530" w:rsidRDefault="00C46530" w:rsidP="003E26B1">
      <w:pPr>
        <w:pStyle w:val="ListBullet"/>
      </w:pPr>
      <w:r>
        <w:t>Magazines, newsletters</w:t>
      </w:r>
      <w:r w:rsidR="001E24DA">
        <w:rPr>
          <w:rStyle w:val="FootnoteReference"/>
        </w:rPr>
        <w:footnoteReference w:id="671"/>
      </w:r>
    </w:p>
    <w:p w14:paraId="7C96EAB2" w14:textId="0806E387" w:rsidR="000E0E4E" w:rsidRDefault="001F221A" w:rsidP="003E26B1">
      <w:pPr>
        <w:pStyle w:val="ListBullet"/>
      </w:pPr>
      <w:r>
        <w:t>Launch of</w:t>
      </w:r>
      <w:r w:rsidR="00C46530">
        <w:t xml:space="preserve"> a website</w:t>
      </w:r>
      <w:r w:rsidR="00672760">
        <w:t>.</w:t>
      </w:r>
      <w:r w:rsidR="001E24DA">
        <w:rPr>
          <w:rStyle w:val="FootnoteReference"/>
        </w:rPr>
        <w:footnoteReference w:id="672"/>
      </w:r>
    </w:p>
    <w:p w14:paraId="44B6AF17" w14:textId="64DCC44F" w:rsidR="000E0E4E" w:rsidRDefault="000E0E4E" w:rsidP="000E0E4E">
      <w:r>
        <w:t>The way research is traditionally presented was noted as disabling and inaccessible to many</w:t>
      </w:r>
      <w:r w:rsidR="00451B49">
        <w:t xml:space="preserve"> disabled</w:t>
      </w:r>
      <w:r>
        <w:t xml:space="preserve"> people and their supporters</w:t>
      </w:r>
      <w:r w:rsidR="00672760">
        <w:t>.</w:t>
      </w:r>
      <w:r w:rsidR="001E24DA">
        <w:rPr>
          <w:rStyle w:val="FootnoteReference"/>
        </w:rPr>
        <w:footnoteReference w:id="673"/>
      </w:r>
      <w:r>
        <w:t xml:space="preserve"> </w:t>
      </w:r>
      <w:r w:rsidRPr="000571D6">
        <w:t>Few easy read journ</w:t>
      </w:r>
      <w:r>
        <w:t>als exist and those that accept</w:t>
      </w:r>
      <w:r w:rsidRPr="000571D6">
        <w:t xml:space="preserve"> articles by inclusive research teams often </w:t>
      </w:r>
      <w:r>
        <w:t>have</w:t>
      </w:r>
      <w:r w:rsidRPr="000571D6">
        <w:t xml:space="preserve"> lower impact factors than those that </w:t>
      </w:r>
      <w:r>
        <w:t>are</w:t>
      </w:r>
      <w:r w:rsidRPr="000571D6">
        <w:t xml:space="preserve"> less accessible in language and style</w:t>
      </w:r>
      <w:r w:rsidR="00672760">
        <w:t>.</w:t>
      </w:r>
      <w:r w:rsidR="001E24DA">
        <w:rPr>
          <w:rStyle w:val="FootnoteReference"/>
        </w:rPr>
        <w:footnoteReference w:id="674"/>
      </w:r>
      <w:r>
        <w:t xml:space="preserve"> There were also challenges around the varied priorities of different stakeholder groups in terms of outputs</w:t>
      </w:r>
      <w:r w:rsidR="00672760">
        <w:t>.</w:t>
      </w:r>
      <w:r w:rsidR="001E24DA">
        <w:rPr>
          <w:rStyle w:val="FootnoteReference"/>
        </w:rPr>
        <w:footnoteReference w:id="675"/>
      </w:r>
      <w:r>
        <w:t xml:space="preserve"> For example, academic institutions </w:t>
      </w:r>
      <w:r w:rsidR="000A3FDF">
        <w:t>were reported to be more</w:t>
      </w:r>
      <w:r>
        <w:t xml:space="preserve"> focused on academic journals or books than co-</w:t>
      </w:r>
      <w:r>
        <w:lastRenderedPageBreak/>
        <w:t>researchers</w:t>
      </w:r>
      <w:r w:rsidR="00672760">
        <w:t>.</w:t>
      </w:r>
      <w:r w:rsidR="001E24DA">
        <w:rPr>
          <w:rStyle w:val="FootnoteReference"/>
        </w:rPr>
        <w:footnoteReference w:id="676"/>
      </w:r>
      <w:r w:rsidRPr="006E59F1">
        <w:t xml:space="preserve"> Further</w:t>
      </w:r>
      <w:r>
        <w:t>, co-researchers sometimes felt there were not many opportunities to present research results to their communities</w:t>
      </w:r>
      <w:r w:rsidR="00672760">
        <w:t>.</w:t>
      </w:r>
      <w:r w:rsidR="001E24DA">
        <w:rPr>
          <w:rStyle w:val="FootnoteReference"/>
        </w:rPr>
        <w:footnoteReference w:id="677"/>
      </w:r>
      <w:r>
        <w:t xml:space="preserve"> </w:t>
      </w:r>
      <w:r w:rsidRPr="007124B2">
        <w:t xml:space="preserve">Relatedly, one study mentioned that co-researchers </w:t>
      </w:r>
      <w:r>
        <w:t>felt frustrated</w:t>
      </w:r>
      <w:r w:rsidRPr="007124B2">
        <w:t xml:space="preserve"> </w:t>
      </w:r>
      <w:r>
        <w:t xml:space="preserve">when their </w:t>
      </w:r>
      <w:r w:rsidRPr="007124B2">
        <w:t xml:space="preserve">work did not lead to change </w:t>
      </w:r>
      <w:r>
        <w:t>or</w:t>
      </w:r>
      <w:r w:rsidRPr="007124B2">
        <w:t xml:space="preserve"> if they did not receive acknowledgement or responses from policy and decision makers</w:t>
      </w:r>
      <w:r w:rsidR="00672760">
        <w:t>.</w:t>
      </w:r>
      <w:r w:rsidR="00690F67">
        <w:rPr>
          <w:rStyle w:val="FootnoteReference"/>
        </w:rPr>
        <w:footnoteReference w:id="678"/>
      </w:r>
    </w:p>
    <w:p w14:paraId="7AE776E0" w14:textId="77777777" w:rsidR="00DB5669" w:rsidRPr="0092372B" w:rsidRDefault="00DB5669" w:rsidP="00317531">
      <w:pPr>
        <w:pStyle w:val="Heading3"/>
      </w:pPr>
      <w:bookmarkStart w:id="73" w:name="_Toc104925134"/>
      <w:r>
        <w:t>Closing out the project</w:t>
      </w:r>
      <w:bookmarkEnd w:id="73"/>
    </w:p>
    <w:p w14:paraId="1CC87593" w14:textId="655A63A4" w:rsidR="00DB5669" w:rsidRDefault="00DB5669" w:rsidP="00DB5669">
      <w:r w:rsidRPr="0077083D">
        <w:t xml:space="preserve">The end of a project </w:t>
      </w:r>
      <w:r>
        <w:t>can</w:t>
      </w:r>
      <w:r w:rsidRPr="0077083D">
        <w:t xml:space="preserve"> be a big adjustment for </w:t>
      </w:r>
      <w:r>
        <w:t>co-researchers</w:t>
      </w:r>
      <w:r w:rsidR="00672760">
        <w:t>,</w:t>
      </w:r>
      <w:r w:rsidR="00690F67">
        <w:rPr>
          <w:rStyle w:val="FootnoteReference"/>
        </w:rPr>
        <w:footnoteReference w:id="679"/>
      </w:r>
      <w:r>
        <w:t xml:space="preserve"> as t</w:t>
      </w:r>
      <w:r w:rsidRPr="0077083D">
        <w:t xml:space="preserve">hey </w:t>
      </w:r>
      <w:r>
        <w:t>have</w:t>
      </w:r>
      <w:r w:rsidRPr="0077083D">
        <w:t xml:space="preserve"> often developed relationships and routines as part of their involvement. For this reason, it was </w:t>
      </w:r>
      <w:r w:rsidR="003818DF">
        <w:t>noted</w:t>
      </w:r>
      <w:r w:rsidRPr="0077083D">
        <w:t xml:space="preserve"> as important</w:t>
      </w:r>
      <w:r>
        <w:t xml:space="preserve"> </w:t>
      </w:r>
      <w:r w:rsidR="001301D9">
        <w:t xml:space="preserve">to </w:t>
      </w:r>
      <w:r>
        <w:t>support them in this transition and</w:t>
      </w:r>
      <w:r w:rsidRPr="0077083D">
        <w:t xml:space="preserve"> to formal</w:t>
      </w:r>
      <w:r w:rsidR="00B049A3">
        <w:t>ly mark the end of the project</w:t>
      </w:r>
      <w:r w:rsidR="00672760">
        <w:t>.</w:t>
      </w:r>
      <w:r w:rsidR="00690F67">
        <w:rPr>
          <w:rStyle w:val="FootnoteReference"/>
        </w:rPr>
        <w:footnoteReference w:id="680"/>
      </w:r>
      <w:r w:rsidR="00B049A3">
        <w:t xml:space="preserve"> Smith-Merry </w:t>
      </w:r>
      <w:r w:rsidR="00B00F3A">
        <w:t>(</w:t>
      </w:r>
      <w:r w:rsidR="00205B33">
        <w:t>no date</w:t>
      </w:r>
      <w:r w:rsidR="00B00F3A">
        <w:t xml:space="preserve">) </w:t>
      </w:r>
      <w:r>
        <w:t xml:space="preserve">suggested having an </w:t>
      </w:r>
      <w:r w:rsidRPr="0077083D">
        <w:t>eve</w:t>
      </w:r>
      <w:r>
        <w:t>n</w:t>
      </w:r>
      <w:r w:rsidRPr="0077083D">
        <w:t xml:space="preserve">t to celebrate the work done </w:t>
      </w:r>
      <w:r>
        <w:t xml:space="preserve">and </w:t>
      </w:r>
      <w:r w:rsidRPr="0077083D">
        <w:t>to close out the project. This may help to give a sense of closure to everyone involved.</w:t>
      </w:r>
      <w:r w:rsidR="001301D9">
        <w:t xml:space="preserve"> In addition, if co-researchers finish their involvement before a project ends, they should be asked if they want to hear about the findings and outcomes of a research project</w:t>
      </w:r>
      <w:r w:rsidR="00672760">
        <w:t>.</w:t>
      </w:r>
      <w:r w:rsidR="00690F67">
        <w:rPr>
          <w:rStyle w:val="FootnoteReference"/>
        </w:rPr>
        <w:footnoteReference w:id="681"/>
      </w:r>
      <w:r w:rsidR="00FF7362">
        <w:t xml:space="preserve"> According to a co-researcher in Roberts </w:t>
      </w:r>
      <w:r w:rsidR="00185C11" w:rsidRPr="00185C11">
        <w:rPr>
          <w:i/>
        </w:rPr>
        <w:t xml:space="preserve">et al. </w:t>
      </w:r>
      <w:r w:rsidR="00B00F3A">
        <w:t>(</w:t>
      </w:r>
      <w:r w:rsidR="009D06D0">
        <w:t>2</w:t>
      </w:r>
      <w:r w:rsidR="00FF7362">
        <w:t>020</w:t>
      </w:r>
      <w:r w:rsidR="00B00F3A">
        <w:t>, p.</w:t>
      </w:r>
      <w:r w:rsidR="00587F91">
        <w:t xml:space="preserve"> 14</w:t>
      </w:r>
      <w:r w:rsidR="00B00F3A">
        <w:t>)</w:t>
      </w:r>
      <w:r w:rsidR="00FF7362">
        <w:t>:</w:t>
      </w:r>
    </w:p>
    <w:p w14:paraId="3449B4BC" w14:textId="4B315DC3" w:rsidR="00FF7362" w:rsidRDefault="00FF7362" w:rsidP="00B049A3">
      <w:pPr>
        <w:pStyle w:val="BlockQuote"/>
      </w:pPr>
      <w:r>
        <w:t>Due consideration must be given to the aftermath of research. If I take part in research, I want to know the outcomes. Too often, people living with dementia are asked for their opinion or to share the lived experience and have no idea where it goes. What happened next? Did the work influence public policy or care practice? Is there a next step and does that next step continue to involve people living with dementia?</w:t>
      </w:r>
    </w:p>
    <w:p w14:paraId="1A33CC20" w14:textId="489ED4BA" w:rsidR="006D0891" w:rsidRDefault="006D0891" w:rsidP="006D0891">
      <w:pPr>
        <w:pStyle w:val="Heading2"/>
      </w:pPr>
      <w:bookmarkStart w:id="74" w:name="_Toc104925135"/>
      <w:bookmarkStart w:id="75" w:name="_Toc116916226"/>
      <w:r>
        <w:t xml:space="preserve">Documenting and evaluating the </w:t>
      </w:r>
      <w:r w:rsidR="00C2612D">
        <w:t xml:space="preserve">collaborative research </w:t>
      </w:r>
      <w:r>
        <w:t>process</w:t>
      </w:r>
      <w:bookmarkEnd w:id="74"/>
      <w:bookmarkEnd w:id="75"/>
    </w:p>
    <w:p w14:paraId="502AB7DF" w14:textId="22D6AEB4" w:rsidR="006D0891" w:rsidRPr="00916D34" w:rsidRDefault="006D0891" w:rsidP="006D0891">
      <w:r>
        <w:t xml:space="preserve">Given the limited empirical analysis on </w:t>
      </w:r>
      <w:r w:rsidR="00C2612D">
        <w:t xml:space="preserve">collaborative research </w:t>
      </w:r>
      <w:r>
        <w:t xml:space="preserve">partnerships, it is not surprising that studies referred to the importance of documenting and evaluating the </w:t>
      </w:r>
      <w:r w:rsidR="00C2612D">
        <w:t xml:space="preserve">collaborative research </w:t>
      </w:r>
      <w:r>
        <w:t>process and impact</w:t>
      </w:r>
      <w:r w:rsidR="00672760">
        <w:t>.</w:t>
      </w:r>
      <w:r w:rsidR="00690F67">
        <w:rPr>
          <w:rStyle w:val="FootnoteReference"/>
        </w:rPr>
        <w:footnoteReference w:id="682"/>
      </w:r>
      <w:r>
        <w:t xml:space="preserve"> A number of studies documented the </w:t>
      </w:r>
      <w:r w:rsidR="00C2612D">
        <w:t xml:space="preserve">collaborative research </w:t>
      </w:r>
      <w:r w:rsidRPr="006A62C3">
        <w:t xml:space="preserve">process through video and audio </w:t>
      </w:r>
      <w:r w:rsidRPr="006A62C3">
        <w:lastRenderedPageBreak/>
        <w:t>recordings</w:t>
      </w:r>
      <w:r w:rsidR="00672760">
        <w:t>,</w:t>
      </w:r>
      <w:r w:rsidR="0093024C">
        <w:rPr>
          <w:rStyle w:val="FootnoteReference"/>
        </w:rPr>
        <w:footnoteReference w:id="683"/>
      </w:r>
      <w:r w:rsidRPr="006A62C3">
        <w:t xml:space="preserve"> personal diaries</w:t>
      </w:r>
      <w:r w:rsidR="00672760">
        <w:t>,</w:t>
      </w:r>
      <w:r w:rsidR="0093024C">
        <w:rPr>
          <w:rStyle w:val="FootnoteReference"/>
        </w:rPr>
        <w:footnoteReference w:id="684"/>
      </w:r>
      <w:r w:rsidRPr="006A62C3">
        <w:t xml:space="preserve"> other field notes</w:t>
      </w:r>
      <w:r w:rsidR="0093024C">
        <w:rPr>
          <w:rStyle w:val="FootnoteReference"/>
        </w:rPr>
        <w:footnoteReference w:id="685"/>
      </w:r>
      <w:r w:rsidRPr="006A62C3">
        <w:t xml:space="preserve"> and by using the Guidance for Reporting Involvement of </w:t>
      </w:r>
      <w:r>
        <w:t>Patients and the Public 2 (GRIPP 2)</w:t>
      </w:r>
      <w:r w:rsidR="0093024C">
        <w:rPr>
          <w:rStyle w:val="FootnoteReference"/>
        </w:rPr>
        <w:footnoteReference w:id="686"/>
      </w:r>
      <w:r w:rsidR="00267442">
        <w:t xml:space="preserve"> reporting checklist tool</w:t>
      </w:r>
      <w:r w:rsidR="00672760">
        <w:t>.</w:t>
      </w:r>
      <w:r w:rsidR="00267442">
        <w:rPr>
          <w:rStyle w:val="FootnoteReference"/>
        </w:rPr>
        <w:footnoteReference w:id="687"/>
      </w:r>
      <w:r w:rsidR="0093024C">
        <w:t xml:space="preserve"> </w:t>
      </w:r>
      <w:r w:rsidR="0093024C">
        <w:rPr>
          <w:rStyle w:val="FootnoteReference"/>
        </w:rPr>
        <w:footnoteReference w:id="688"/>
      </w:r>
      <w:r>
        <w:t xml:space="preserve"> While the GRIPP 2 tool does offer a standardised approach to recording the involvement of co-researchers in a project, it has been </w:t>
      </w:r>
      <w:r w:rsidR="0033109B">
        <w:t>critiqued as</w:t>
      </w:r>
      <w:r>
        <w:t xml:space="preserve"> having “no standards for evaluating and reporting the quality of the PPI or for systematically quantifying impact of PPI on research”</w:t>
      </w:r>
      <w:r w:rsidR="00672760">
        <w:t>.</w:t>
      </w:r>
      <w:r w:rsidR="005B71DD">
        <w:rPr>
          <w:rStyle w:val="FootnoteReference"/>
        </w:rPr>
        <w:footnoteReference w:id="689"/>
      </w:r>
      <w:r>
        <w:t xml:space="preserve"> Conducting formal evaluations of the </w:t>
      </w:r>
      <w:r w:rsidR="00C2612D">
        <w:t xml:space="preserve">collaborative research </w:t>
      </w:r>
      <w:r>
        <w:t xml:space="preserve">process would provide more rigorous evidence on the impact of </w:t>
      </w:r>
      <w:r w:rsidR="00C2612D">
        <w:t xml:space="preserve">collaborative research </w:t>
      </w:r>
      <w:r>
        <w:t xml:space="preserve">on the research project and research partners, and would provide a more comprehensive evidence base </w:t>
      </w:r>
      <w:r w:rsidR="00B00F3A">
        <w:t xml:space="preserve">as to </w:t>
      </w:r>
      <w:r>
        <w:t xml:space="preserve">what approaches work </w:t>
      </w:r>
      <w:r w:rsidR="001168F2">
        <w:t xml:space="preserve">best </w:t>
      </w:r>
      <w:r>
        <w:t xml:space="preserve">in </w:t>
      </w:r>
      <w:r w:rsidR="009237D2">
        <w:t>collaborative research</w:t>
      </w:r>
      <w:r>
        <w:t xml:space="preserve">. </w:t>
      </w:r>
    </w:p>
    <w:p w14:paraId="0CD4FD56" w14:textId="4383EBE9" w:rsidR="002E2B9B" w:rsidRDefault="00FE7E5A" w:rsidP="00B93FC5">
      <w:pPr>
        <w:pStyle w:val="Heading1"/>
      </w:pPr>
      <w:bookmarkStart w:id="76" w:name="_Toc104925136"/>
      <w:bookmarkStart w:id="77" w:name="_Toc116916227"/>
      <w:r>
        <w:t xml:space="preserve">Section 5: </w:t>
      </w:r>
      <w:r w:rsidR="002C6F9E">
        <w:t>Conclusion</w:t>
      </w:r>
      <w:bookmarkEnd w:id="76"/>
      <w:bookmarkEnd w:id="77"/>
    </w:p>
    <w:p w14:paraId="779981E4" w14:textId="77777777" w:rsidR="00E8253C" w:rsidRDefault="00E8253C" w:rsidP="00E8253C">
      <w:pPr>
        <w:pStyle w:val="Heading2"/>
      </w:pPr>
      <w:bookmarkStart w:id="78" w:name="_Toc104925137"/>
      <w:bookmarkStart w:id="79" w:name="_Toc116916228"/>
      <w:r>
        <w:t>Summary of findings</w:t>
      </w:r>
      <w:bookmarkEnd w:id="78"/>
      <w:bookmarkEnd w:id="79"/>
    </w:p>
    <w:p w14:paraId="5718EE2E" w14:textId="1E13EA84" w:rsidR="00E8253C" w:rsidRDefault="00E8253C" w:rsidP="00E8253C">
      <w:r>
        <w:t>This review of literature has identified that there is no one best practice model of collaborative research between researchers and people with disabilities. Such research occurs under a broad range of labels, including</w:t>
      </w:r>
      <w:r w:rsidR="00620D10">
        <w:t>, but not limited to,</w:t>
      </w:r>
      <w:r>
        <w:t xml:space="preserve"> co-research, co-production, PPI</w:t>
      </w:r>
      <w:r w:rsidR="0004221C">
        <w:t>,</w:t>
      </w:r>
      <w:r>
        <w:t xml:space="preserve"> </w:t>
      </w:r>
      <w:r w:rsidR="00620D10">
        <w:t>inclusive research and engaged research.</w:t>
      </w:r>
      <w:r>
        <w:t xml:space="preserve"> Understanding these collaborative approaches is made more challenging</w:t>
      </w:r>
      <w:r w:rsidR="00620D10">
        <w:t xml:space="preserve"> as terms are often used interchangeably</w:t>
      </w:r>
      <w:r w:rsidR="001168F2">
        <w:t>, practices</w:t>
      </w:r>
      <w:r>
        <w:t xml:space="preserve"> differ within each labelled approach and involvement </w:t>
      </w:r>
      <w:r w:rsidR="002532A9">
        <w:t>o</w:t>
      </w:r>
      <w:r>
        <w:t xml:space="preserve">f </w:t>
      </w:r>
      <w:r w:rsidR="00451B49">
        <w:t xml:space="preserve">disabled </w:t>
      </w:r>
      <w:r>
        <w:t xml:space="preserve">people can vary from a consultative role on one part of a research project to having influence and power over the research project as a whole. </w:t>
      </w:r>
    </w:p>
    <w:p w14:paraId="1A90E453" w14:textId="77777777" w:rsidR="0052470B" w:rsidRDefault="0004221C" w:rsidP="00E8253C">
      <w:r>
        <w:t xml:space="preserve">For the purpose of this review, we defined collaborative research as a partnership between the co-researchers with disabilities and trained/professional researchers in which the contributions of all team members were considered </w:t>
      </w:r>
      <w:r w:rsidR="00AB5146">
        <w:t>meaningful</w:t>
      </w:r>
      <w:r>
        <w:t xml:space="preserve">. To be considered collaborative research, the co-researchers had to have some control or ownership of the research, or decision-making power over the research </w:t>
      </w:r>
      <w:r w:rsidR="00AB5146">
        <w:t xml:space="preserve">topic, </w:t>
      </w:r>
      <w:r>
        <w:t>approach, materials, processes or outputs.</w:t>
      </w:r>
      <w:r w:rsidR="00E8253C">
        <w:t xml:space="preserve"> Despite the </w:t>
      </w:r>
      <w:r w:rsidR="00E8253C">
        <w:lastRenderedPageBreak/>
        <w:t xml:space="preserve">variation in practices across studies, this review did identify </w:t>
      </w:r>
      <w:r w:rsidR="00E8253C" w:rsidRPr="0048799C">
        <w:t xml:space="preserve">common themes to consider when designing and conducting a </w:t>
      </w:r>
      <w:r w:rsidR="00C2612D">
        <w:t xml:space="preserve">collaborative research </w:t>
      </w:r>
      <w:r w:rsidR="00E8253C" w:rsidRPr="0048799C">
        <w:t>project.</w:t>
      </w:r>
      <w:r w:rsidR="00E8253C">
        <w:t xml:space="preserve"> Key considerations include the extra time, resources and planning that are likely to be needed for a </w:t>
      </w:r>
      <w:r w:rsidR="00C2612D">
        <w:t xml:space="preserve">collaborative research </w:t>
      </w:r>
      <w:r w:rsidR="00E8253C">
        <w:t xml:space="preserve">project. Accessibility needs to be considered throughout all elements of the research, </w:t>
      </w:r>
      <w:r w:rsidR="00AB5146">
        <w:t xml:space="preserve">including for example in communication and informational materials, </w:t>
      </w:r>
      <w:r w:rsidR="00E8253C">
        <w:t>venues where meetings or research activities take place and the transport</w:t>
      </w:r>
      <w:r w:rsidR="00AB5146">
        <w:t xml:space="preserve"> and travel times</w:t>
      </w:r>
      <w:r w:rsidR="00E8253C">
        <w:t xml:space="preserve"> to those </w:t>
      </w:r>
      <w:r w:rsidR="00AB5146">
        <w:t>locations</w:t>
      </w:r>
      <w:r w:rsidR="00E8253C">
        <w:t xml:space="preserve">. Other adjustments to the research design and other activities may need to be considered based on individuals’ needs and preferences. Providing such support, offering training and paying co-researchers for their time are important measures to ensure the full participation of co-researchers with disabilities. </w:t>
      </w:r>
    </w:p>
    <w:p w14:paraId="72763958" w14:textId="2CB44391" w:rsidR="00E8253C" w:rsidRDefault="00E8253C" w:rsidP="00E8253C">
      <w:r>
        <w:t>Key challenges for collaborative research teams include a</w:t>
      </w:r>
      <w:r w:rsidRPr="000601BA">
        <w:t xml:space="preserve">ligning the traditional </w:t>
      </w:r>
      <w:r w:rsidR="00067D7A">
        <w:t>research</w:t>
      </w:r>
      <w:r w:rsidRPr="000601BA">
        <w:t xml:space="preserve"> approach with a </w:t>
      </w:r>
      <w:r w:rsidR="00C2612D">
        <w:t xml:space="preserve">collaborative research </w:t>
      </w:r>
      <w:r w:rsidRPr="000601BA">
        <w:t>approach</w:t>
      </w:r>
      <w:r>
        <w:t>, balancing power sharing, how to involve co-researchers early in the process without any funding to do so, and ensuring any p</w:t>
      </w:r>
      <w:r w:rsidRPr="000601BA">
        <w:t>otential for bias and challenges to rigour</w:t>
      </w:r>
      <w:r>
        <w:t xml:space="preserve"> in </w:t>
      </w:r>
      <w:r w:rsidR="00C2612D">
        <w:t xml:space="preserve">collaborative research </w:t>
      </w:r>
      <w:r>
        <w:t xml:space="preserve">projects are considered and addressed. </w:t>
      </w:r>
    </w:p>
    <w:p w14:paraId="3C82CE9E" w14:textId="77777777" w:rsidR="00E8253C" w:rsidRDefault="00E8253C" w:rsidP="00E8253C">
      <w:pPr>
        <w:pStyle w:val="Heading2"/>
      </w:pPr>
      <w:bookmarkStart w:id="80" w:name="_Toc104925138"/>
      <w:bookmarkStart w:id="81" w:name="_Toc116916229"/>
      <w:r>
        <w:t>Limitations</w:t>
      </w:r>
      <w:bookmarkEnd w:id="80"/>
      <w:bookmarkEnd w:id="81"/>
    </w:p>
    <w:p w14:paraId="013D61BD" w14:textId="7EB5CDC7" w:rsidR="00E8253C" w:rsidRDefault="00E8253C" w:rsidP="00E8253C">
      <w:r>
        <w:t xml:space="preserve">Articles were chosen for inclusion in this review based on the authors’ </w:t>
      </w:r>
      <w:r w:rsidR="0063032A">
        <w:t xml:space="preserve">selection criteria </w:t>
      </w:r>
      <w:r>
        <w:t>that co-researchers had to have some control and ownership of the research or decision-making power over the research</w:t>
      </w:r>
      <w:r w:rsidR="00AB5146">
        <w:t xml:space="preserve"> topic, approach, materials, processes or outputs</w:t>
      </w:r>
      <w:r>
        <w:t>. It is important to note here that this level of control or ownership was determined at face-value based on the information that was reported by the authors of the included studies. It is not possible to say with certainty if these reports reflected the true experiences and perceptions of the people with disabilities who were co-researchers.</w:t>
      </w:r>
    </w:p>
    <w:p w14:paraId="2ADB3713" w14:textId="4232CC29" w:rsidR="00E8253C" w:rsidRDefault="00E8253C" w:rsidP="00E8253C">
      <w:r>
        <w:t xml:space="preserve">This review has been limited by the fact that there is little empirical evidence available on the processes and impacts of collaborative research partnerships between researchers and co-researchers with disabilities. As such, this review relied on commonalities across studies and largely on the experiences reported by members of </w:t>
      </w:r>
      <w:r w:rsidR="00C2612D">
        <w:t xml:space="preserve">collaborative research </w:t>
      </w:r>
      <w:r>
        <w:t xml:space="preserve">teams as reported in their articles. </w:t>
      </w:r>
    </w:p>
    <w:p w14:paraId="5768A6E1" w14:textId="011C2F26" w:rsidR="00E93A3A" w:rsidRDefault="00E93A3A" w:rsidP="00E8253C">
      <w:r>
        <w:t>This review is also limited as the searches were restricted to a timeframe from 2015-202</w:t>
      </w:r>
      <w:r w:rsidR="00794E13">
        <w:t>0</w:t>
      </w:r>
      <w:r w:rsidR="0063032A">
        <w:t xml:space="preserve"> and to those published in English</w:t>
      </w:r>
      <w:r>
        <w:t>. This means that more recently published articles</w:t>
      </w:r>
      <w:r w:rsidR="0063032A">
        <w:t xml:space="preserve"> or articles in other languages</w:t>
      </w:r>
      <w:r>
        <w:t xml:space="preserve"> have not been included.</w:t>
      </w:r>
      <w:r w:rsidR="00F70ACD">
        <w:t xml:space="preserve"> Similarly, excluding older articles may have resulted in some insights being missed. However, comprehensive searches were conducted within the selected timeframe and efforts were made to ensure that all types of collaborative research were considered. </w:t>
      </w:r>
    </w:p>
    <w:p w14:paraId="36DC9C36" w14:textId="77777777" w:rsidR="00E8253C" w:rsidRDefault="00E8253C" w:rsidP="00E8253C">
      <w:pPr>
        <w:pStyle w:val="Heading2"/>
      </w:pPr>
      <w:bookmarkStart w:id="82" w:name="_Toc104925139"/>
      <w:bookmarkStart w:id="83" w:name="_Toc116916230"/>
      <w:r>
        <w:lastRenderedPageBreak/>
        <w:t>Next steps</w:t>
      </w:r>
      <w:bookmarkEnd w:id="82"/>
      <w:bookmarkEnd w:id="83"/>
    </w:p>
    <w:p w14:paraId="347296E8" w14:textId="497BCA4E" w:rsidR="00107E44" w:rsidRDefault="00E8253C" w:rsidP="00E8253C">
      <w:r>
        <w:t xml:space="preserve">This review will form the basis of NDA </w:t>
      </w:r>
      <w:r w:rsidRPr="00BD6BD8">
        <w:t xml:space="preserve">guidance for researchers in conducting collaborative research with </w:t>
      </w:r>
      <w:r w:rsidR="00451B49">
        <w:t xml:space="preserve">disabled </w:t>
      </w:r>
      <w:r w:rsidRPr="00BD6BD8">
        <w:t xml:space="preserve">people in Ireland. </w:t>
      </w:r>
      <w:r>
        <w:t>This guidance will be developed in partnership with an advisory group of people with disabilities and will be shaped by feedback from relevant stakeholders.</w:t>
      </w:r>
    </w:p>
    <w:p w14:paraId="2D8CA50E" w14:textId="6406503B" w:rsidR="002E2B9B" w:rsidRDefault="00107E44" w:rsidP="00E8253C">
      <w:r>
        <w:t>We envisage that this guidance could be consulted as a first step when planning for collaborative research initiatives, especially for those who are new to this approach, as a means to gaining a high level overview of key considerations. Researchers will need to consult with DPOs, other disability organisations and disabled individuals when considering conducting research with individuals who have specific disabilities.</w:t>
      </w:r>
      <w:r w:rsidR="002E2B9B">
        <w:br w:type="page"/>
      </w:r>
    </w:p>
    <w:p w14:paraId="07A4DE89" w14:textId="77777777" w:rsidR="00F24B09" w:rsidRDefault="002E2B9B" w:rsidP="002E2B9B">
      <w:pPr>
        <w:pStyle w:val="Heading1"/>
      </w:pPr>
      <w:bookmarkStart w:id="84" w:name="_Toc104925140"/>
      <w:bookmarkStart w:id="85" w:name="_Toc116916231"/>
      <w:r>
        <w:lastRenderedPageBreak/>
        <w:t>References</w:t>
      </w:r>
      <w:bookmarkEnd w:id="84"/>
      <w:bookmarkEnd w:id="85"/>
    </w:p>
    <w:p w14:paraId="15C485EE" w14:textId="77777777" w:rsidR="00162962" w:rsidRPr="00162962" w:rsidRDefault="00162962" w:rsidP="00162962">
      <w:proofErr w:type="spellStart"/>
      <w:r w:rsidRPr="00162962">
        <w:t>Aldersey</w:t>
      </w:r>
      <w:proofErr w:type="spellEnd"/>
      <w:r w:rsidRPr="00162962">
        <w:t xml:space="preserve">, H.M., </w:t>
      </w:r>
      <w:proofErr w:type="spellStart"/>
      <w:r w:rsidRPr="00162962">
        <w:t>Quadir</w:t>
      </w:r>
      <w:proofErr w:type="spellEnd"/>
      <w:r w:rsidRPr="00162962">
        <w:t xml:space="preserve">, M.M., </w:t>
      </w:r>
      <w:proofErr w:type="spellStart"/>
      <w:r w:rsidRPr="00162962">
        <w:t>Akter</w:t>
      </w:r>
      <w:proofErr w:type="spellEnd"/>
      <w:r w:rsidRPr="00162962">
        <w:t xml:space="preserve">, S., </w:t>
      </w:r>
      <w:proofErr w:type="spellStart"/>
      <w:r w:rsidRPr="00162962">
        <w:t>Mozumder</w:t>
      </w:r>
      <w:proofErr w:type="spellEnd"/>
      <w:r w:rsidRPr="00162962">
        <w:t xml:space="preserve">, R.H., </w:t>
      </w:r>
      <w:proofErr w:type="spellStart"/>
      <w:r w:rsidRPr="00162962">
        <w:t>Nazneen</w:t>
      </w:r>
      <w:proofErr w:type="spellEnd"/>
      <w:r w:rsidRPr="00162962">
        <w:t xml:space="preserve">, N. and Nuri, R.P. (2018) ‘Barriers and facilitators for wheelchair users in Bangladesh: A participatory action research project’, </w:t>
      </w:r>
      <w:r w:rsidRPr="00162962">
        <w:rPr>
          <w:b/>
        </w:rPr>
        <w:t>Disability, CBR &amp; Inclusive Development</w:t>
      </w:r>
      <w:r w:rsidRPr="00162962">
        <w:t xml:space="preserve">, 29(2), pp.24-44. Available at: </w:t>
      </w:r>
      <w:hyperlink r:id="rId12" w:history="1">
        <w:r w:rsidRPr="00162962">
          <w:rPr>
            <w:color w:val="0000FF"/>
            <w:u w:val="single"/>
          </w:rPr>
          <w:t>https://doi.org/10.5463/dcid.v29i2.730</w:t>
        </w:r>
      </w:hyperlink>
      <w:r w:rsidRPr="00162962">
        <w:t xml:space="preserve"> [last accessed July 2022].</w:t>
      </w:r>
    </w:p>
    <w:p w14:paraId="2F52ACB1" w14:textId="77777777" w:rsidR="00162962" w:rsidRPr="00162962" w:rsidRDefault="00162962" w:rsidP="00162962">
      <w:r w:rsidRPr="00162962">
        <w:t xml:space="preserve">Anderson, M.L., Riker, T., Gagne, K., </w:t>
      </w:r>
      <w:proofErr w:type="spellStart"/>
      <w:r w:rsidRPr="00162962">
        <w:t>Hakulin</w:t>
      </w:r>
      <w:proofErr w:type="spellEnd"/>
      <w:r w:rsidRPr="00162962">
        <w:t xml:space="preserve">, S., Higgins, T., Meehan, J., Stout, E., </w:t>
      </w:r>
      <w:proofErr w:type="spellStart"/>
      <w:r w:rsidRPr="00162962">
        <w:t>Pici-D’Ottavio</w:t>
      </w:r>
      <w:proofErr w:type="spellEnd"/>
      <w:r w:rsidRPr="00162962">
        <w:t xml:space="preserve">, E., </w:t>
      </w:r>
      <w:proofErr w:type="spellStart"/>
      <w:r w:rsidRPr="00162962">
        <w:t>Cappetta</w:t>
      </w:r>
      <w:proofErr w:type="spellEnd"/>
      <w:r w:rsidRPr="00162962">
        <w:t xml:space="preserve">, K. and Wolf Craig, K.S. (2018) ‘Deaf qualitative health research: Leveraging technology to conduct linguistically and </w:t>
      </w:r>
      <w:proofErr w:type="spellStart"/>
      <w:r w:rsidRPr="00162962">
        <w:t>sociopolitically</w:t>
      </w:r>
      <w:proofErr w:type="spellEnd"/>
      <w:r w:rsidRPr="00162962">
        <w:t xml:space="preserve"> appropriate methods of inquiry’, </w:t>
      </w:r>
      <w:r w:rsidRPr="00162962">
        <w:rPr>
          <w:b/>
        </w:rPr>
        <w:t>Qualitative Health Research</w:t>
      </w:r>
      <w:r w:rsidRPr="00162962">
        <w:t xml:space="preserve">, 28(11), pp.1813-1824. Available at: </w:t>
      </w:r>
      <w:hyperlink r:id="rId13" w:history="1">
        <w:r w:rsidRPr="00162962">
          <w:rPr>
            <w:color w:val="0000FF"/>
            <w:u w:val="single"/>
          </w:rPr>
          <w:t>https://doi.org/10.1177/1049732318779050</w:t>
        </w:r>
      </w:hyperlink>
      <w:r w:rsidRPr="00162962">
        <w:t xml:space="preserve"> [last accessed July 2022].</w:t>
      </w:r>
    </w:p>
    <w:p w14:paraId="11B7C2BE" w14:textId="77777777" w:rsidR="00162962" w:rsidRPr="00162962" w:rsidRDefault="00162962" w:rsidP="00162962">
      <w:r w:rsidRPr="00162962">
        <w:t xml:space="preserve">Anderson, I., </w:t>
      </w:r>
      <w:proofErr w:type="spellStart"/>
      <w:r w:rsidRPr="00162962">
        <w:t>Theakestone</w:t>
      </w:r>
      <w:proofErr w:type="spellEnd"/>
      <w:r w:rsidRPr="00162962">
        <w:t xml:space="preserve">, D., Lawrence, J., </w:t>
      </w:r>
      <w:proofErr w:type="spellStart"/>
      <w:r w:rsidRPr="00162962">
        <w:t>Pmnble</w:t>
      </w:r>
      <w:proofErr w:type="spellEnd"/>
      <w:r w:rsidRPr="00162962">
        <w:t xml:space="preserve">, C. (2019) ‘Match me -What works for adapted social housing lettings? Action research to enhance independent living for disabled people’, University of Stirling. Available at: </w:t>
      </w:r>
      <w:hyperlink r:id="rId14" w:history="1">
        <w:r w:rsidRPr="00162962">
          <w:rPr>
            <w:color w:val="0000FF"/>
            <w:u w:val="single"/>
          </w:rPr>
          <w:t>https://www.housinglin.org.uk/Topics/type/Match-Me-What-works-for-adapted-social-housing-lettings/</w:t>
        </w:r>
      </w:hyperlink>
      <w:r w:rsidRPr="00162962">
        <w:t xml:space="preserve"> [last accessed July 2022].</w:t>
      </w:r>
    </w:p>
    <w:p w14:paraId="51B6AE97" w14:textId="77777777" w:rsidR="00162962" w:rsidRPr="00162962" w:rsidRDefault="00162962" w:rsidP="00162962">
      <w:r w:rsidRPr="00162962">
        <w:t xml:space="preserve">Armstrong, A., </w:t>
      </w:r>
      <w:proofErr w:type="spellStart"/>
      <w:r w:rsidRPr="00162962">
        <w:t>Cansdale</w:t>
      </w:r>
      <w:proofErr w:type="spellEnd"/>
      <w:r w:rsidRPr="00162962">
        <w:t xml:space="preserve">, M., Collis, A.R., Collis, B.E., Rice, S. and </w:t>
      </w:r>
      <w:proofErr w:type="spellStart"/>
      <w:r w:rsidRPr="00162962">
        <w:t>Walmsley</w:t>
      </w:r>
      <w:proofErr w:type="spellEnd"/>
      <w:r w:rsidRPr="00162962">
        <w:t xml:space="preserve">, J., (2019) ‘What makes a good self-advocacy project? The added value of co-production’, </w:t>
      </w:r>
      <w:r w:rsidRPr="00162962">
        <w:rPr>
          <w:b/>
        </w:rPr>
        <w:t>Disability &amp; Society</w:t>
      </w:r>
      <w:r w:rsidRPr="00162962">
        <w:t>, 34(7-8), pp.1289-1311 [last accessed July 2022].</w:t>
      </w:r>
    </w:p>
    <w:p w14:paraId="6854C034" w14:textId="77777777" w:rsidR="00162962" w:rsidRPr="00162962" w:rsidRDefault="00162962" w:rsidP="00162962">
      <w:proofErr w:type="spellStart"/>
      <w:r w:rsidRPr="00162962">
        <w:t>Arnstein</w:t>
      </w:r>
      <w:proofErr w:type="spellEnd"/>
      <w:r w:rsidRPr="00162962">
        <w:t xml:space="preserve">, S.R. (1969) ‘A ladder of citizen participation’, </w:t>
      </w:r>
      <w:r w:rsidRPr="00162962">
        <w:rPr>
          <w:b/>
        </w:rPr>
        <w:t>Journal of the American Institute of planners</w:t>
      </w:r>
      <w:r w:rsidRPr="00162962">
        <w:t xml:space="preserve">, 35(4), pp.216-224. Available at: </w:t>
      </w:r>
      <w:hyperlink r:id="rId15" w:history="1">
        <w:r w:rsidRPr="00162962">
          <w:rPr>
            <w:color w:val="0000FF"/>
            <w:u w:val="single"/>
          </w:rPr>
          <w:t>https://doi.org/10.1080/01944366908977225</w:t>
        </w:r>
      </w:hyperlink>
      <w:r w:rsidRPr="00162962">
        <w:t xml:space="preserve"> [last accessed July 2022].</w:t>
      </w:r>
    </w:p>
    <w:p w14:paraId="165E7391" w14:textId="77777777" w:rsidR="00162962" w:rsidRPr="00162962" w:rsidRDefault="00162962" w:rsidP="00162962">
      <w:r w:rsidRPr="00162962">
        <w:t xml:space="preserve">Ashcroft, J., </w:t>
      </w:r>
      <w:proofErr w:type="spellStart"/>
      <w:r w:rsidRPr="00162962">
        <w:t>Wykes</w:t>
      </w:r>
      <w:proofErr w:type="spellEnd"/>
      <w:r w:rsidRPr="00162962">
        <w:t xml:space="preserve">, T., Taylor, J., Crowther, A. and </w:t>
      </w:r>
      <w:proofErr w:type="spellStart"/>
      <w:r w:rsidRPr="00162962">
        <w:t>Szmukler</w:t>
      </w:r>
      <w:proofErr w:type="spellEnd"/>
      <w:r w:rsidRPr="00162962">
        <w:t xml:space="preserve">, G. (2016) ‘Impact on the individual: what do patients and carers gain, lose and expect from being involved in research?’, </w:t>
      </w:r>
      <w:r w:rsidRPr="00162962">
        <w:rPr>
          <w:b/>
        </w:rPr>
        <w:t>Journal of Mental Health</w:t>
      </w:r>
      <w:r w:rsidRPr="00162962">
        <w:t xml:space="preserve">, 25(1), pp.28-35. </w:t>
      </w:r>
      <w:hyperlink r:id="rId16" w:history="1">
        <w:r w:rsidRPr="00162962">
          <w:rPr>
            <w:color w:val="0000FF"/>
            <w:u w:val="single"/>
          </w:rPr>
          <w:t>https://doi.org/10.3109/09638237.2015.1101424</w:t>
        </w:r>
      </w:hyperlink>
      <w:r w:rsidRPr="00162962">
        <w:t xml:space="preserve"> [last accessed July 2022].</w:t>
      </w:r>
    </w:p>
    <w:p w14:paraId="40845200" w14:textId="77777777" w:rsidR="00162962" w:rsidRPr="00162962" w:rsidRDefault="00162962" w:rsidP="00162962">
      <w:r w:rsidRPr="00162962">
        <w:t xml:space="preserve">Bailey, S., </w:t>
      </w:r>
      <w:proofErr w:type="spellStart"/>
      <w:r w:rsidRPr="00162962">
        <w:t>Boddyy</w:t>
      </w:r>
      <w:proofErr w:type="spellEnd"/>
      <w:r w:rsidRPr="00162962">
        <w:t xml:space="preserve">, K., Briscoe, S. and Morris, C. (2015) ‘Involving disabled children and young people as partners in research: a systematic review’, </w:t>
      </w:r>
      <w:r w:rsidRPr="00162962">
        <w:rPr>
          <w:b/>
        </w:rPr>
        <w:t>Child: Care, Health and Development</w:t>
      </w:r>
      <w:r w:rsidRPr="00162962">
        <w:t xml:space="preserve">, 41(4), pp.505-514. Available at: </w:t>
      </w:r>
      <w:hyperlink r:id="rId17" w:history="1">
        <w:r w:rsidRPr="00162962">
          <w:rPr>
            <w:color w:val="0000FF"/>
            <w:u w:val="single"/>
          </w:rPr>
          <w:t>https://doi.org/10.1111/cch.12197</w:t>
        </w:r>
      </w:hyperlink>
      <w:r w:rsidRPr="00162962">
        <w:t xml:space="preserve"> [last accessed July 2022].</w:t>
      </w:r>
    </w:p>
    <w:p w14:paraId="2F4A990D" w14:textId="77777777" w:rsidR="00162962" w:rsidRPr="00162962" w:rsidRDefault="00162962" w:rsidP="00162962">
      <w:r w:rsidRPr="00162962">
        <w:t xml:space="preserve">Baines, R., Donovan, J., Regan de </w:t>
      </w:r>
      <w:proofErr w:type="spellStart"/>
      <w:r w:rsidRPr="00162962">
        <w:t>Bere</w:t>
      </w:r>
      <w:proofErr w:type="spellEnd"/>
      <w:r w:rsidRPr="00162962">
        <w:t xml:space="preserve">, S., Archer, J. and Jones, R. (2019) ‘Patient and public involvement in the design, administration and evaluation of patient feedback tools, an example in psychiatry: a systematic review and critical </w:t>
      </w:r>
      <w:r w:rsidRPr="00162962">
        <w:lastRenderedPageBreak/>
        <w:t xml:space="preserve">interpretative synthesis’, </w:t>
      </w:r>
      <w:r w:rsidRPr="00162962">
        <w:rPr>
          <w:b/>
        </w:rPr>
        <w:t>Journal of Health Services Research &amp; Policy</w:t>
      </w:r>
      <w:r w:rsidRPr="00162962">
        <w:t xml:space="preserve">, 24(2), pp.130-142. Available at: </w:t>
      </w:r>
      <w:hyperlink r:id="rId18" w:history="1">
        <w:r w:rsidRPr="00162962">
          <w:rPr>
            <w:color w:val="0000FF"/>
            <w:u w:val="single"/>
          </w:rPr>
          <w:t>https://doi.org/10.1177/1355819618811866</w:t>
        </w:r>
      </w:hyperlink>
      <w:r w:rsidRPr="00162962">
        <w:t xml:space="preserve"> [last accessed July 2022].</w:t>
      </w:r>
    </w:p>
    <w:p w14:paraId="5BDE5366" w14:textId="77777777" w:rsidR="00162962" w:rsidRPr="00162962" w:rsidRDefault="00162962" w:rsidP="00162962">
      <w:r w:rsidRPr="00162962">
        <w:t xml:space="preserve">Banks, S. and Brydon-Miller, M. (2018) ‘Ethics in participatory research’, In Banks, S. and Brydon-Miller, M. (eds.) </w:t>
      </w:r>
      <w:r w:rsidRPr="00162962">
        <w:rPr>
          <w:b/>
        </w:rPr>
        <w:t xml:space="preserve">Ethics in participatory research for health and social well-being. </w:t>
      </w:r>
      <w:r w:rsidRPr="00162962">
        <w:t>London: Routledge</w:t>
      </w:r>
      <w:r w:rsidRPr="00162962">
        <w:rPr>
          <w:b/>
        </w:rPr>
        <w:t xml:space="preserve">, </w:t>
      </w:r>
      <w:r w:rsidRPr="00162962">
        <w:t xml:space="preserve">(pp. 25-54). </w:t>
      </w:r>
    </w:p>
    <w:p w14:paraId="7B325B6C" w14:textId="77777777" w:rsidR="00162962" w:rsidRPr="00162962" w:rsidRDefault="00162962" w:rsidP="00162962">
      <w:r w:rsidRPr="00162962">
        <w:t>Barnes, C. (2001) ‘Emancipatory’ Disability Research: project or process?’ Public Lecture at City Chambers, Glasgow, on 24 October 2001 (</w:t>
      </w:r>
      <w:hyperlink r:id="rId19" w:history="1">
        <w:r w:rsidRPr="00162962">
          <w:rPr>
            <w:color w:val="0000FF"/>
            <w:u w:val="single"/>
          </w:rPr>
          <w:t>http://www.leeds.ac.uk/disability-studies/archiveuk/Barnes/glasgow%20lecture.pdf</w:t>
        </w:r>
      </w:hyperlink>
      <w:r w:rsidRPr="00162962">
        <w:t>) [last accessed July 2022].</w:t>
      </w:r>
    </w:p>
    <w:p w14:paraId="55EA499A" w14:textId="77777777" w:rsidR="00162962" w:rsidRPr="00162962" w:rsidRDefault="00162962" w:rsidP="00162962">
      <w:proofErr w:type="spellStart"/>
      <w:r w:rsidRPr="00162962">
        <w:t>Barod</w:t>
      </w:r>
      <w:proofErr w:type="spellEnd"/>
      <w:r w:rsidRPr="00162962">
        <w:t xml:space="preserve"> Community Interest Company (2019) Behind the scenes: Action Research with people with learning disabilities Available at:  </w:t>
      </w:r>
      <w:hyperlink r:id="rId20" w:history="1">
        <w:r w:rsidRPr="00162962">
          <w:rPr>
            <w:color w:val="0000FF"/>
            <w:u w:val="single"/>
          </w:rPr>
          <w:t>https://www.drilluk.org.uk/wp-content/uploads/2020/08/factsheet-behind-the-scenes-1.pdf</w:t>
        </w:r>
      </w:hyperlink>
      <w:r w:rsidRPr="00162962">
        <w:t xml:space="preserve"> [last accessed July 2022].</w:t>
      </w:r>
    </w:p>
    <w:p w14:paraId="18166D18" w14:textId="77777777" w:rsidR="00162962" w:rsidRPr="00162962" w:rsidRDefault="00162962" w:rsidP="00162962">
      <w:r w:rsidRPr="00162962">
        <w:t xml:space="preserve">Barry, A. (2016) ‘Perspectives and power dynamics in inclusive research: experiences from an Irish context’. Unpublished PhD thesis. University of Limerick. Available at: </w:t>
      </w:r>
      <w:hyperlink r:id="rId21" w:history="1">
        <w:r w:rsidRPr="00162962">
          <w:rPr>
            <w:color w:val="0000FF"/>
            <w:u w:val="single"/>
          </w:rPr>
          <w:t>https://ulir.ul.ie/handle/10344/574</w:t>
        </w:r>
      </w:hyperlink>
      <w:r w:rsidRPr="00162962">
        <w:t xml:space="preserve"> [last accessed July 2022].</w:t>
      </w:r>
    </w:p>
    <w:p w14:paraId="2F63E485" w14:textId="77777777" w:rsidR="00162962" w:rsidRPr="00162962" w:rsidRDefault="00162962" w:rsidP="00162962">
      <w:r w:rsidRPr="00DD31D7">
        <w:t>Baum, F., MacDougall, C. and Smith, D. (2006</w:t>
      </w:r>
      <w:r w:rsidRPr="00162962">
        <w:t xml:space="preserve">) Participatory action research. </w:t>
      </w:r>
      <w:r w:rsidRPr="00162962">
        <w:rPr>
          <w:b/>
        </w:rPr>
        <w:t>Journal of Epidemiology and Community Health</w:t>
      </w:r>
      <w:r w:rsidRPr="00162962">
        <w:t xml:space="preserve">, 60(10), p.854. Available at: </w:t>
      </w:r>
      <w:hyperlink r:id="rId22" w:history="1">
        <w:r w:rsidRPr="00162962">
          <w:rPr>
            <w:color w:val="0000FF"/>
            <w:u w:val="single"/>
          </w:rPr>
          <w:t>https://doi.org/10.1136/jech.2004.028662</w:t>
        </w:r>
      </w:hyperlink>
      <w:r w:rsidRPr="00162962">
        <w:t xml:space="preserve"> [last accessed July 2022].</w:t>
      </w:r>
    </w:p>
    <w:p w14:paraId="2642A200" w14:textId="77777777" w:rsidR="00162962" w:rsidRPr="00162962" w:rsidRDefault="00162962" w:rsidP="00162962">
      <w:r w:rsidRPr="00162962">
        <w:t xml:space="preserve">Beaumont, J. (2019) Commentary on “A critical reflection on the development of the Participatory Autism Research Collective (PARC)”. </w:t>
      </w:r>
      <w:r w:rsidRPr="00162962">
        <w:rPr>
          <w:b/>
        </w:rPr>
        <w:t>Tizard Learning Disability Review</w:t>
      </w:r>
      <w:r w:rsidRPr="00162962">
        <w:t xml:space="preserve">. 24(2), p.90-93. Available from: </w:t>
      </w:r>
      <w:hyperlink r:id="rId23" w:history="1">
        <w:r w:rsidRPr="00162962">
          <w:rPr>
            <w:color w:val="0000FF"/>
            <w:u w:val="single"/>
          </w:rPr>
          <w:t>https://doi.org/10.1108/TLDR-03-2019-0012</w:t>
        </w:r>
      </w:hyperlink>
      <w:r w:rsidRPr="00162962">
        <w:t xml:space="preserve"> [last accessed July 2022].</w:t>
      </w:r>
    </w:p>
    <w:p w14:paraId="654DB21D" w14:textId="77777777" w:rsidR="00162962" w:rsidRPr="00162962" w:rsidRDefault="00162962" w:rsidP="00162962">
      <w:proofErr w:type="spellStart"/>
      <w:r w:rsidRPr="00162962">
        <w:t>Beighton</w:t>
      </w:r>
      <w:proofErr w:type="spellEnd"/>
      <w:r w:rsidRPr="00162962">
        <w:t xml:space="preserve">, C., Victor, C., Carey, I.M., Hosking, F., </w:t>
      </w:r>
      <w:proofErr w:type="spellStart"/>
      <w:r w:rsidRPr="00162962">
        <w:t>DeWilde</w:t>
      </w:r>
      <w:proofErr w:type="spellEnd"/>
      <w:r w:rsidRPr="00162962">
        <w:t xml:space="preserve">, S., Cook, D.G., Manners, P. and Harris, T. (2019) ‘‘I’m sure we made it a better study…’: Experiences of adults with intellectual disabilities and parent carers of patient and public involvement in a health research study’, </w:t>
      </w:r>
      <w:r w:rsidRPr="00162962">
        <w:rPr>
          <w:b/>
        </w:rPr>
        <w:t>Journal of Intellectual Disabilities</w:t>
      </w:r>
      <w:r w:rsidRPr="00162962">
        <w:t xml:space="preserve">, 23(1), pp.78-96. Available at: </w:t>
      </w:r>
      <w:hyperlink r:id="rId24" w:history="1">
        <w:r w:rsidRPr="00162962">
          <w:rPr>
            <w:color w:val="0000FF"/>
            <w:u w:val="single"/>
          </w:rPr>
          <w:t>https://doi.org/10.1177/1744629517723485</w:t>
        </w:r>
      </w:hyperlink>
      <w:r w:rsidRPr="00162962">
        <w:t xml:space="preserve"> [last accessed July 2022].</w:t>
      </w:r>
    </w:p>
    <w:p w14:paraId="70B6F3C0" w14:textId="77777777" w:rsidR="00162962" w:rsidRPr="00162962" w:rsidRDefault="00162962" w:rsidP="00162962">
      <w:proofErr w:type="spellStart"/>
      <w:r w:rsidRPr="00162962">
        <w:t>Bertilsdotter</w:t>
      </w:r>
      <w:proofErr w:type="spellEnd"/>
      <w:r w:rsidRPr="00162962">
        <w:t xml:space="preserve"> Rosqvist, H., </w:t>
      </w:r>
      <w:proofErr w:type="spellStart"/>
      <w:r w:rsidRPr="00162962">
        <w:t>Kourti</w:t>
      </w:r>
      <w:proofErr w:type="spellEnd"/>
      <w:r w:rsidRPr="00162962">
        <w:t xml:space="preserve">, M., Jackson-Perry, D., Brownlow, C., Fletcher, K., </w:t>
      </w:r>
      <w:proofErr w:type="spellStart"/>
      <w:r w:rsidRPr="00162962">
        <w:t>Bendelman</w:t>
      </w:r>
      <w:proofErr w:type="spellEnd"/>
      <w:r w:rsidRPr="00162962">
        <w:t xml:space="preserve">, D. and O'Dell, L. (2019) ‘Doing it differently: emancipatory autism studies within a </w:t>
      </w:r>
      <w:proofErr w:type="spellStart"/>
      <w:r w:rsidRPr="00162962">
        <w:t>neurodiverse</w:t>
      </w:r>
      <w:proofErr w:type="spellEnd"/>
      <w:r w:rsidRPr="00162962">
        <w:t xml:space="preserve"> academic space’, </w:t>
      </w:r>
      <w:r w:rsidRPr="00162962">
        <w:rPr>
          <w:b/>
        </w:rPr>
        <w:t>Disability &amp; Society</w:t>
      </w:r>
      <w:r w:rsidRPr="00162962">
        <w:t xml:space="preserve">, 34(7-8), pp.1082-1101. Available at: </w:t>
      </w:r>
      <w:hyperlink r:id="rId25" w:history="1">
        <w:r w:rsidRPr="00162962">
          <w:rPr>
            <w:color w:val="0000FF"/>
            <w:u w:val="single"/>
          </w:rPr>
          <w:t>https://doi.org/10.1080/09687599.2019.1603102</w:t>
        </w:r>
      </w:hyperlink>
      <w:r w:rsidRPr="00162962">
        <w:t xml:space="preserve"> [last accessed July 2022].</w:t>
      </w:r>
    </w:p>
    <w:p w14:paraId="35B1F833" w14:textId="77777777" w:rsidR="00162962" w:rsidRPr="00162962" w:rsidRDefault="00162962" w:rsidP="00162962">
      <w:proofErr w:type="spellStart"/>
      <w:r w:rsidRPr="00162962">
        <w:lastRenderedPageBreak/>
        <w:t>Bigby</w:t>
      </w:r>
      <w:proofErr w:type="spellEnd"/>
      <w:r w:rsidRPr="00162962">
        <w:t xml:space="preserve">, C. and </w:t>
      </w:r>
      <w:proofErr w:type="spellStart"/>
      <w:r w:rsidRPr="00162962">
        <w:t>Frawley</w:t>
      </w:r>
      <w:proofErr w:type="spellEnd"/>
      <w:r w:rsidRPr="00162962">
        <w:t xml:space="preserve">, P. (2010) ‘Reflections on doing inclusive research in the “Making Life Good in the Community” study’, </w:t>
      </w:r>
      <w:r w:rsidRPr="00162962">
        <w:rPr>
          <w:b/>
        </w:rPr>
        <w:t>Journal of Intellectual and Developmental Disability</w:t>
      </w:r>
      <w:r w:rsidRPr="00162962">
        <w:t xml:space="preserve">, 35(2), pp.53-61. Available at: </w:t>
      </w:r>
      <w:hyperlink r:id="rId26" w:history="1">
        <w:r w:rsidRPr="00162962">
          <w:rPr>
            <w:color w:val="0000FF"/>
            <w:u w:val="single"/>
          </w:rPr>
          <w:t>https://doi.org/10.3109/13668251003716425</w:t>
        </w:r>
      </w:hyperlink>
      <w:r w:rsidRPr="00162962">
        <w:t xml:space="preserve"> [last accessed July 2022].</w:t>
      </w:r>
    </w:p>
    <w:p w14:paraId="078B824A" w14:textId="77777777" w:rsidR="00162962" w:rsidRPr="00F210B9" w:rsidRDefault="00162962" w:rsidP="00162962">
      <w:proofErr w:type="spellStart"/>
      <w:r w:rsidRPr="00F210B9">
        <w:t>Bigby</w:t>
      </w:r>
      <w:proofErr w:type="spellEnd"/>
      <w:r w:rsidRPr="00F210B9">
        <w:t xml:space="preserve">, C., </w:t>
      </w:r>
      <w:proofErr w:type="spellStart"/>
      <w:r w:rsidRPr="00F210B9">
        <w:t>Frawley</w:t>
      </w:r>
      <w:proofErr w:type="spellEnd"/>
      <w:r w:rsidRPr="00F210B9">
        <w:t xml:space="preserve">, P. and </w:t>
      </w:r>
      <w:proofErr w:type="spellStart"/>
      <w:r w:rsidRPr="00F210B9">
        <w:t>Ramcharan</w:t>
      </w:r>
      <w:proofErr w:type="spellEnd"/>
      <w:r w:rsidRPr="00F210B9">
        <w:t xml:space="preserve">, P. (2014a) ‘A collaborative group method of inclusive research’, </w:t>
      </w:r>
      <w:r w:rsidRPr="00F210B9">
        <w:rPr>
          <w:b/>
        </w:rPr>
        <w:t>Journal of Applied Research in Intellectual Disabilities</w:t>
      </w:r>
      <w:r w:rsidRPr="00F210B9">
        <w:t xml:space="preserve">, 27(1), pp.54-64. Available at: </w:t>
      </w:r>
      <w:hyperlink r:id="rId27" w:history="1">
        <w:r w:rsidRPr="00F210B9">
          <w:rPr>
            <w:color w:val="0000FF"/>
            <w:u w:val="single"/>
          </w:rPr>
          <w:t>https://doi.org/10.1111/jar.12082</w:t>
        </w:r>
      </w:hyperlink>
      <w:r w:rsidRPr="00F210B9">
        <w:t xml:space="preserve"> [last accessed July 2022].</w:t>
      </w:r>
    </w:p>
    <w:p w14:paraId="0E12087C" w14:textId="77777777" w:rsidR="00162962" w:rsidRPr="00162962" w:rsidRDefault="00162962" w:rsidP="00162962">
      <w:proofErr w:type="spellStart"/>
      <w:r w:rsidRPr="00F210B9">
        <w:t>Bigby</w:t>
      </w:r>
      <w:proofErr w:type="spellEnd"/>
      <w:r w:rsidRPr="00F210B9">
        <w:t xml:space="preserve">, C., </w:t>
      </w:r>
      <w:proofErr w:type="spellStart"/>
      <w:r w:rsidRPr="00F210B9">
        <w:t>Frawley</w:t>
      </w:r>
      <w:proofErr w:type="spellEnd"/>
      <w:r w:rsidRPr="00F210B9">
        <w:t xml:space="preserve">, P. and </w:t>
      </w:r>
      <w:proofErr w:type="spellStart"/>
      <w:r w:rsidRPr="00F210B9">
        <w:t>Ramcharan</w:t>
      </w:r>
      <w:proofErr w:type="spellEnd"/>
      <w:r w:rsidRPr="00F210B9">
        <w:t>, P. (2014b) ‘Conceptualizing inclusive research with people with intellectual disability’</w:t>
      </w:r>
      <w:r w:rsidRPr="00162962">
        <w:t xml:space="preserve">. </w:t>
      </w:r>
      <w:r w:rsidRPr="00162962">
        <w:rPr>
          <w:b/>
        </w:rPr>
        <w:t>Journal of Applied Research in Intellectual Disabilities</w:t>
      </w:r>
      <w:r w:rsidRPr="00162962">
        <w:t xml:space="preserve">, 27(1), pp.3-12. Available at: </w:t>
      </w:r>
      <w:hyperlink r:id="rId28" w:history="1">
        <w:r w:rsidRPr="00162962">
          <w:rPr>
            <w:color w:val="0000FF"/>
            <w:u w:val="single"/>
          </w:rPr>
          <w:t>https://doi.org/10.1111/jar.12083</w:t>
        </w:r>
      </w:hyperlink>
      <w:r w:rsidRPr="00162962">
        <w:t xml:space="preserve"> [last accessed July 2022].</w:t>
      </w:r>
    </w:p>
    <w:p w14:paraId="64DC27FB" w14:textId="77777777" w:rsidR="00162962" w:rsidRPr="00162962" w:rsidRDefault="00162962" w:rsidP="00162962">
      <w:r w:rsidRPr="00162962">
        <w:t xml:space="preserve">Blomkamp, E. (2018) ‘The Promise of Co-Design for Public Policy’. In: </w:t>
      </w:r>
      <w:proofErr w:type="spellStart"/>
      <w:r w:rsidRPr="00162962">
        <w:t>Howlett</w:t>
      </w:r>
      <w:proofErr w:type="spellEnd"/>
      <w:r w:rsidRPr="00162962">
        <w:t xml:space="preserve">, M and </w:t>
      </w:r>
      <w:proofErr w:type="spellStart"/>
      <w:r w:rsidRPr="00162962">
        <w:t>Ishani</w:t>
      </w:r>
      <w:proofErr w:type="spellEnd"/>
      <w:r w:rsidRPr="00162962">
        <w:t>, M. (</w:t>
      </w:r>
      <w:proofErr w:type="spellStart"/>
      <w:r w:rsidRPr="00162962">
        <w:t>eds</w:t>
      </w:r>
      <w:proofErr w:type="spellEnd"/>
      <w:r w:rsidRPr="00162962">
        <w:t xml:space="preserve">). </w:t>
      </w:r>
      <w:r w:rsidRPr="00162962">
        <w:rPr>
          <w:b/>
        </w:rPr>
        <w:t>Routledge handbook of policy design</w:t>
      </w:r>
      <w:r w:rsidRPr="00162962">
        <w:t xml:space="preserve">. </w:t>
      </w:r>
      <w:proofErr w:type="spellStart"/>
      <w:r w:rsidRPr="00162962">
        <w:t>Lodon</w:t>
      </w:r>
      <w:proofErr w:type="spellEnd"/>
      <w:r w:rsidRPr="00162962">
        <w:t>: Routledge. p. 59-73.</w:t>
      </w:r>
    </w:p>
    <w:p w14:paraId="6CF6A518" w14:textId="77777777" w:rsidR="00162962" w:rsidRPr="00162962" w:rsidRDefault="00162962" w:rsidP="00162962">
      <w:r w:rsidRPr="00162962">
        <w:t xml:space="preserve">Bollard, M. (2017) ‘Health promotion and intellectual disability: listening to men’, </w:t>
      </w:r>
      <w:r w:rsidRPr="00162962">
        <w:rPr>
          <w:b/>
        </w:rPr>
        <w:t>Health &amp; Social Care in the Community</w:t>
      </w:r>
      <w:r w:rsidRPr="00162962">
        <w:t xml:space="preserve">, 25(1), pp.185-193. Available at: </w:t>
      </w:r>
      <w:hyperlink r:id="rId29" w:history="1">
        <w:r w:rsidRPr="00162962">
          <w:rPr>
            <w:color w:val="0000FF"/>
            <w:u w:val="single"/>
          </w:rPr>
          <w:t>https://doi.org/10.1111/hsc.12291</w:t>
        </w:r>
      </w:hyperlink>
      <w:r w:rsidRPr="00162962">
        <w:t xml:space="preserve"> [last accessed July 2022].</w:t>
      </w:r>
    </w:p>
    <w:p w14:paraId="4D286C8C" w14:textId="77777777" w:rsidR="00162962" w:rsidRPr="00162962" w:rsidRDefault="00162962" w:rsidP="00162962">
      <w:r w:rsidRPr="00162962">
        <w:t xml:space="preserve">Brady, G. and Franklin, A. (2019) ‘Challenging dominant notions of participation and protection through a co-led disabled young researcher study’, </w:t>
      </w:r>
      <w:r w:rsidRPr="00162962">
        <w:rPr>
          <w:b/>
        </w:rPr>
        <w:t>Journal of Children's Services</w:t>
      </w:r>
      <w:r w:rsidRPr="00162962">
        <w:t xml:space="preserve">, 14(3) 174-185. Available at: </w:t>
      </w:r>
      <w:hyperlink r:id="rId30" w:history="1">
        <w:r w:rsidRPr="00162962">
          <w:rPr>
            <w:color w:val="0000FF"/>
            <w:u w:val="single"/>
          </w:rPr>
          <w:t>https://doi.org/10.1108/JCS-03-2019-0016</w:t>
        </w:r>
      </w:hyperlink>
      <w:r w:rsidRPr="00162962">
        <w:t xml:space="preserve"> [last accessed July 2022].</w:t>
      </w:r>
    </w:p>
    <w:p w14:paraId="22D9272E" w14:textId="77777777" w:rsidR="00162962" w:rsidRPr="00162962" w:rsidRDefault="00162962" w:rsidP="00162962">
      <w:proofErr w:type="spellStart"/>
      <w:r w:rsidRPr="00162962">
        <w:t>Breault</w:t>
      </w:r>
      <w:proofErr w:type="spellEnd"/>
      <w:r w:rsidRPr="00162962">
        <w:t xml:space="preserve">, L.J., </w:t>
      </w:r>
      <w:proofErr w:type="spellStart"/>
      <w:r w:rsidRPr="00162962">
        <w:t>Rittenbach</w:t>
      </w:r>
      <w:proofErr w:type="spellEnd"/>
      <w:r w:rsidRPr="00162962">
        <w:t xml:space="preserve">, K., </w:t>
      </w:r>
      <w:proofErr w:type="spellStart"/>
      <w:r w:rsidRPr="00162962">
        <w:t>Hartle</w:t>
      </w:r>
      <w:proofErr w:type="spellEnd"/>
      <w:r w:rsidRPr="00162962">
        <w:t xml:space="preserve">, K., </w:t>
      </w:r>
      <w:proofErr w:type="spellStart"/>
      <w:r w:rsidRPr="00162962">
        <w:t>Babins</w:t>
      </w:r>
      <w:proofErr w:type="spellEnd"/>
      <w:r w:rsidRPr="00162962">
        <w:t xml:space="preserve">-Wagner, R., de </w:t>
      </w:r>
      <w:proofErr w:type="spellStart"/>
      <w:r w:rsidRPr="00162962">
        <w:t>Beaudrap</w:t>
      </w:r>
      <w:proofErr w:type="spellEnd"/>
      <w:r w:rsidRPr="00162962">
        <w:t xml:space="preserve">, C., </w:t>
      </w:r>
      <w:proofErr w:type="spellStart"/>
      <w:r w:rsidRPr="00162962">
        <w:t>Jasaui</w:t>
      </w:r>
      <w:proofErr w:type="spellEnd"/>
      <w:r w:rsidRPr="00162962">
        <w:t xml:space="preserve">, Y., </w:t>
      </w:r>
      <w:proofErr w:type="spellStart"/>
      <w:r w:rsidRPr="00162962">
        <w:t>Ardell</w:t>
      </w:r>
      <w:proofErr w:type="spellEnd"/>
      <w:r w:rsidRPr="00162962">
        <w:t xml:space="preserve">, E., Purdon, S.E., Michael, A., Sullivan, G. and </w:t>
      </w:r>
      <w:proofErr w:type="spellStart"/>
      <w:r w:rsidRPr="00162962">
        <w:t>Vandall</w:t>
      </w:r>
      <w:proofErr w:type="spellEnd"/>
      <w:r w:rsidRPr="00162962">
        <w:t xml:space="preserve">-Walker, L (2018a) ‘The top research questions asked by people with lived depression experience in Alberta: a survey’, </w:t>
      </w:r>
      <w:r w:rsidRPr="00162962">
        <w:rPr>
          <w:b/>
        </w:rPr>
        <w:t>Canadian Medical Association Open Access Journal</w:t>
      </w:r>
      <w:r w:rsidRPr="00162962">
        <w:t xml:space="preserve">, 6(3), pp.E398-E405. Available at: </w:t>
      </w:r>
      <w:hyperlink r:id="rId31" w:history="1">
        <w:r w:rsidRPr="00162962">
          <w:rPr>
            <w:color w:val="0000FF"/>
            <w:u w:val="single"/>
          </w:rPr>
          <w:t>https://doi.org/10.9778/cmajo.20180034</w:t>
        </w:r>
      </w:hyperlink>
      <w:r w:rsidRPr="00162962">
        <w:t xml:space="preserve"> [last accessed July 2022].</w:t>
      </w:r>
    </w:p>
    <w:p w14:paraId="7FC0CDE6" w14:textId="77777777" w:rsidR="00162962" w:rsidRPr="00162962" w:rsidRDefault="00162962" w:rsidP="00162962">
      <w:proofErr w:type="spellStart"/>
      <w:r w:rsidRPr="00162962">
        <w:t>Breault</w:t>
      </w:r>
      <w:proofErr w:type="spellEnd"/>
      <w:r w:rsidRPr="00162962">
        <w:t xml:space="preserve">, L.J., </w:t>
      </w:r>
      <w:proofErr w:type="spellStart"/>
      <w:r w:rsidRPr="00162962">
        <w:t>Rittenbach</w:t>
      </w:r>
      <w:proofErr w:type="spellEnd"/>
      <w:r w:rsidRPr="00162962">
        <w:t xml:space="preserve">, K., </w:t>
      </w:r>
      <w:proofErr w:type="spellStart"/>
      <w:r w:rsidRPr="00162962">
        <w:t>Hartle</w:t>
      </w:r>
      <w:proofErr w:type="spellEnd"/>
      <w:r w:rsidRPr="00162962">
        <w:t xml:space="preserve">, K., </w:t>
      </w:r>
      <w:proofErr w:type="spellStart"/>
      <w:r w:rsidRPr="00162962">
        <w:t>Babins</w:t>
      </w:r>
      <w:proofErr w:type="spellEnd"/>
      <w:r w:rsidRPr="00162962">
        <w:t xml:space="preserve">-Wagner, R., de </w:t>
      </w:r>
      <w:proofErr w:type="spellStart"/>
      <w:r w:rsidRPr="00162962">
        <w:t>Beaudrap</w:t>
      </w:r>
      <w:proofErr w:type="spellEnd"/>
      <w:r w:rsidRPr="00162962">
        <w:t xml:space="preserve">, C., </w:t>
      </w:r>
      <w:proofErr w:type="spellStart"/>
      <w:r w:rsidRPr="00162962">
        <w:t>Jasaui</w:t>
      </w:r>
      <w:proofErr w:type="spellEnd"/>
      <w:r w:rsidRPr="00162962">
        <w:t xml:space="preserve">, Y., </w:t>
      </w:r>
      <w:proofErr w:type="spellStart"/>
      <w:r w:rsidRPr="00162962">
        <w:t>Ardell</w:t>
      </w:r>
      <w:proofErr w:type="spellEnd"/>
      <w:r w:rsidRPr="00162962">
        <w:t xml:space="preserve">, E., Purdon, S.E., Michael, A., Sullivan, G. and </w:t>
      </w:r>
      <w:proofErr w:type="spellStart"/>
      <w:r w:rsidRPr="00162962">
        <w:t>Vandall</w:t>
      </w:r>
      <w:proofErr w:type="spellEnd"/>
      <w:r w:rsidRPr="00162962">
        <w:t xml:space="preserve">-Walker, L., (2018b) People with lived experience (PWLE) of depression: describing and reflecting on an explicit patient engagement process within depression research priority setting in Alberta, Canada. </w:t>
      </w:r>
      <w:r w:rsidRPr="00162962">
        <w:rPr>
          <w:b/>
        </w:rPr>
        <w:t>Research Involvement and Engagement</w:t>
      </w:r>
      <w:r w:rsidRPr="00162962">
        <w:t xml:space="preserve">, 4(1), pp.1-10. Available at: </w:t>
      </w:r>
      <w:hyperlink r:id="rId32" w:history="1">
        <w:r w:rsidRPr="00162962">
          <w:rPr>
            <w:color w:val="0000FF"/>
            <w:u w:val="single"/>
          </w:rPr>
          <w:t>https://doi.org/10.1186/s40900-018-0115-1</w:t>
        </w:r>
      </w:hyperlink>
      <w:r w:rsidRPr="00162962">
        <w:t xml:space="preserve"> [last accessed July 2022].</w:t>
      </w:r>
    </w:p>
    <w:p w14:paraId="22A7E79E" w14:textId="77777777" w:rsidR="00162962" w:rsidRPr="00162962" w:rsidRDefault="00162962" w:rsidP="00162962">
      <w:proofErr w:type="spellStart"/>
      <w:r w:rsidRPr="00162962">
        <w:lastRenderedPageBreak/>
        <w:t>Brosnan</w:t>
      </w:r>
      <w:proofErr w:type="spellEnd"/>
      <w:r w:rsidRPr="00162962">
        <w:t xml:space="preserve">, M., Parsons, S., Good, J. and </w:t>
      </w:r>
      <w:proofErr w:type="spellStart"/>
      <w:r w:rsidRPr="00162962">
        <w:t>Yuill</w:t>
      </w:r>
      <w:proofErr w:type="spellEnd"/>
      <w:r w:rsidRPr="00162962">
        <w:t xml:space="preserve">, N. (2016) ‘How can participatory design inform the design and development of innovative technologies for autistic communities?’ </w:t>
      </w:r>
      <w:r w:rsidRPr="00162962">
        <w:rPr>
          <w:b/>
        </w:rPr>
        <w:t>Journal of Assistive Technologies</w:t>
      </w:r>
      <w:r w:rsidRPr="00162962">
        <w:t xml:space="preserve">. Available at: </w:t>
      </w:r>
      <w:hyperlink r:id="rId33" w:history="1">
        <w:r w:rsidRPr="00162962">
          <w:rPr>
            <w:color w:val="0000FF"/>
            <w:u w:val="single"/>
          </w:rPr>
          <w:t>https://doi.org/10.1108/JAT-12-2015-0033</w:t>
        </w:r>
      </w:hyperlink>
      <w:r w:rsidRPr="00162962">
        <w:t xml:space="preserve"> [last accessed July 2022].</w:t>
      </w:r>
    </w:p>
    <w:p w14:paraId="1E6D6401" w14:textId="77777777" w:rsidR="00162962" w:rsidRPr="00162962" w:rsidRDefault="00162962" w:rsidP="00162962">
      <w:r w:rsidRPr="00162962">
        <w:t xml:space="preserve">Browne, J. and </w:t>
      </w:r>
      <w:proofErr w:type="spellStart"/>
      <w:r w:rsidRPr="00162962">
        <w:t>Dorris</w:t>
      </w:r>
      <w:proofErr w:type="spellEnd"/>
      <w:r w:rsidRPr="00162962">
        <w:t xml:space="preserve">, E.R. (2022) ‘What can we learn from a human-rights based approach to disability for public and patient involvement in research?’ </w:t>
      </w:r>
      <w:r w:rsidRPr="00162962">
        <w:rPr>
          <w:b/>
        </w:rPr>
        <w:t>Frontiers in Rehabilitation Sciences</w:t>
      </w:r>
      <w:r w:rsidRPr="00162962">
        <w:t xml:space="preserve">, p.44. Available at: </w:t>
      </w:r>
      <w:hyperlink r:id="rId34" w:history="1">
        <w:r w:rsidRPr="00162962">
          <w:rPr>
            <w:color w:val="0000FF"/>
            <w:u w:val="single"/>
          </w:rPr>
          <w:t>https://doi.org/10.3389/fresc.2022.878231</w:t>
        </w:r>
      </w:hyperlink>
      <w:r w:rsidRPr="00162962">
        <w:t xml:space="preserve"> [last accessed July 2022].</w:t>
      </w:r>
    </w:p>
    <w:p w14:paraId="65A23867" w14:textId="77777777" w:rsidR="00162962" w:rsidRPr="00162962" w:rsidRDefault="00162962" w:rsidP="00162962">
      <w:r w:rsidRPr="00162962">
        <w:t xml:space="preserve">Burke, E., le May, A., </w:t>
      </w:r>
      <w:proofErr w:type="spellStart"/>
      <w:r w:rsidRPr="00162962">
        <w:t>Kébé</w:t>
      </w:r>
      <w:proofErr w:type="spellEnd"/>
      <w:r w:rsidRPr="00162962">
        <w:t xml:space="preserve">, F., </w:t>
      </w:r>
      <w:proofErr w:type="spellStart"/>
      <w:r w:rsidRPr="00162962">
        <w:t>Flink</w:t>
      </w:r>
      <w:proofErr w:type="spellEnd"/>
      <w:r w:rsidRPr="00162962">
        <w:t xml:space="preserve">, I. and van </w:t>
      </w:r>
      <w:proofErr w:type="spellStart"/>
      <w:r w:rsidRPr="00162962">
        <w:t>Reeuwijk</w:t>
      </w:r>
      <w:proofErr w:type="spellEnd"/>
      <w:r w:rsidRPr="00162962">
        <w:t xml:space="preserve">, M. (2019) ‘Experiences of being, and working with, young people with disabilities as peer researchers in Senegal: the impact on data quality, analysis, and well-being’, </w:t>
      </w:r>
      <w:r w:rsidRPr="00162962">
        <w:rPr>
          <w:b/>
        </w:rPr>
        <w:t>Qualitative Social Work</w:t>
      </w:r>
      <w:r w:rsidRPr="00162962">
        <w:t xml:space="preserve">, 18(4), pp.583-600. Available at: </w:t>
      </w:r>
      <w:hyperlink r:id="rId35" w:history="1">
        <w:r w:rsidRPr="00162962">
          <w:rPr>
            <w:color w:val="0000FF"/>
            <w:u w:val="single"/>
          </w:rPr>
          <w:t>https://doi.org/10.1177/1473325018763515</w:t>
        </w:r>
      </w:hyperlink>
      <w:r w:rsidRPr="00162962">
        <w:t xml:space="preserve"> [last accessed July 2022].</w:t>
      </w:r>
    </w:p>
    <w:p w14:paraId="1B5AB08C" w14:textId="77777777" w:rsidR="00162962" w:rsidRPr="00162962" w:rsidRDefault="00162962" w:rsidP="00162962">
      <w:r w:rsidRPr="00162962">
        <w:t xml:space="preserve">Burkett, I. (2012) An introduction to co-design. Sydney: </w:t>
      </w:r>
      <w:proofErr w:type="spellStart"/>
      <w:r w:rsidRPr="00162962">
        <w:t>Knode</w:t>
      </w:r>
      <w:proofErr w:type="spellEnd"/>
      <w:r w:rsidRPr="00162962">
        <w:t xml:space="preserve">. Available at: </w:t>
      </w:r>
      <w:hyperlink r:id="rId36" w:history="1">
        <w:r w:rsidRPr="00162962">
          <w:rPr>
            <w:color w:val="0000FF"/>
            <w:u w:val="single"/>
          </w:rPr>
          <w:t>http://ingridburkett.com/wp-content/uploads/2017/09/Introduction-to-Codesign-2.pdf</w:t>
        </w:r>
      </w:hyperlink>
      <w:r w:rsidRPr="00162962">
        <w:t xml:space="preserve"> [last accessed July 2022].</w:t>
      </w:r>
    </w:p>
    <w:p w14:paraId="01339845" w14:textId="77777777" w:rsidR="00162962" w:rsidRPr="00162962" w:rsidRDefault="00162962" w:rsidP="00162962">
      <w:r w:rsidRPr="001B326C">
        <w:t>Burton, A., Ogden, M. and Cooper, C.</w:t>
      </w:r>
      <w:r w:rsidRPr="00162962">
        <w:t xml:space="preserve"> (2019) Planning and enabling meaningful patient and public involvement in dementia research. </w:t>
      </w:r>
      <w:r w:rsidRPr="00162962">
        <w:rPr>
          <w:b/>
        </w:rPr>
        <w:t>Current Opinion in Psychiatry</w:t>
      </w:r>
      <w:r w:rsidRPr="00162962">
        <w:t xml:space="preserve">, 32(6), pp.557-562. Available from: </w:t>
      </w:r>
      <w:hyperlink r:id="rId37" w:history="1">
        <w:r w:rsidRPr="00162962">
          <w:rPr>
            <w:color w:val="0000FF"/>
            <w:u w:val="single"/>
          </w:rPr>
          <w:t>https://doi.org/10.1097/YCO.0000000000000548</w:t>
        </w:r>
      </w:hyperlink>
      <w:r w:rsidRPr="00162962">
        <w:t xml:space="preserve"> [last accessed July 2022].</w:t>
      </w:r>
    </w:p>
    <w:p w14:paraId="33654564" w14:textId="77777777" w:rsidR="00162962" w:rsidRPr="00162962" w:rsidRDefault="00162962" w:rsidP="00162962">
      <w:r w:rsidRPr="00162962">
        <w:t xml:space="preserve">Butler et al. (2020) ‘Young people and friendships: What matters to us?’, Swansea: Carp Collaborations. Available at: </w:t>
      </w:r>
      <w:hyperlink r:id="rId38" w:history="1">
        <w:r w:rsidRPr="00162962">
          <w:rPr>
            <w:color w:val="0000FF"/>
            <w:u w:val="single"/>
          </w:rPr>
          <w:t>https://www.drilluk.org.uk/wp-content/uploads/2020/09/young-people-and-friendships-what-matters-to-us.pdf</w:t>
        </w:r>
      </w:hyperlink>
      <w:r w:rsidRPr="00162962">
        <w:t xml:space="preserve"> [last accessed July 2022].</w:t>
      </w:r>
    </w:p>
    <w:p w14:paraId="4F23DB41" w14:textId="77777777" w:rsidR="00162962" w:rsidRPr="00162962" w:rsidRDefault="00162962" w:rsidP="00162962">
      <w:r w:rsidRPr="00162962">
        <w:t xml:space="preserve">Cameron, C., Moore, M., Nutt, A. and Chambers, E. (2019) ‘Improving understanding of service-user involvement and identity: collaborative research traversing disability, activism and the academy’. Disability &amp; Society, 34(7-8), pp.1312-1331. Available at: </w:t>
      </w:r>
      <w:hyperlink r:id="rId39" w:history="1">
        <w:r w:rsidRPr="00162962">
          <w:rPr>
            <w:color w:val="0000FF"/>
            <w:u w:val="single"/>
          </w:rPr>
          <w:t>https://doi.org/10.1080/09687599.2019.1632693</w:t>
        </w:r>
      </w:hyperlink>
      <w:r w:rsidRPr="00162962">
        <w:t xml:space="preserve"> [last accessed July 2022].</w:t>
      </w:r>
    </w:p>
    <w:p w14:paraId="2D9F2E5C" w14:textId="77777777" w:rsidR="00162962" w:rsidRPr="00162962" w:rsidRDefault="00162962" w:rsidP="00162962">
      <w:r w:rsidRPr="00162962">
        <w:t xml:space="preserve">Callus, A.M. (2019) ‘Being an inclusive researcher: seeking questions, raising answers’, </w:t>
      </w:r>
      <w:r w:rsidRPr="00162962">
        <w:rPr>
          <w:b/>
        </w:rPr>
        <w:t>Disability &amp; Society</w:t>
      </w:r>
      <w:r w:rsidRPr="00162962">
        <w:t xml:space="preserve">, 34(7-8), pp.1241-1263. Available at: </w:t>
      </w:r>
      <w:hyperlink r:id="rId40" w:history="1">
        <w:r w:rsidRPr="00162962">
          <w:rPr>
            <w:color w:val="0000FF"/>
            <w:u w:val="single"/>
          </w:rPr>
          <w:t>https://doi.org/10.1080/09687599.2019.1602511</w:t>
        </w:r>
      </w:hyperlink>
      <w:r w:rsidRPr="00162962">
        <w:t xml:space="preserve"> [last accessed July 2022].</w:t>
      </w:r>
    </w:p>
    <w:p w14:paraId="4EC24435" w14:textId="77777777" w:rsidR="00162962" w:rsidRPr="00162962" w:rsidRDefault="00162962" w:rsidP="00162962">
      <w:r w:rsidRPr="00162962">
        <w:t xml:space="preserve">Campus Engage (2017) ‘Engaged research society and higher education: Addressing grand societal challenges together’. Dublin: Campus Engage. Available at: </w:t>
      </w:r>
      <w:hyperlink r:id="rId41" w:history="1">
        <w:r w:rsidRPr="00162962">
          <w:rPr>
            <w:color w:val="0000FF"/>
            <w:u w:val="single"/>
          </w:rPr>
          <w:t>https://www.iua.ie/publications/engaged-research-society-and-higher-</w:t>
        </w:r>
        <w:r w:rsidRPr="00162962">
          <w:rPr>
            <w:color w:val="0000FF"/>
            <w:u w:val="single"/>
          </w:rPr>
          <w:lastRenderedPageBreak/>
          <w:t>education-addressing-grand-societal-challenges-together/#</w:t>
        </w:r>
      </w:hyperlink>
      <w:r w:rsidRPr="00162962">
        <w:t xml:space="preserve"> [last accessed July 2022].</w:t>
      </w:r>
    </w:p>
    <w:p w14:paraId="0DBF755B" w14:textId="77777777" w:rsidR="00162962" w:rsidRPr="00162962" w:rsidRDefault="00162962" w:rsidP="00162962">
      <w:r w:rsidRPr="00162962">
        <w:t xml:space="preserve">Cargo, M. and Mercer, S.L. (2008) ‘The value and challenges of participatory research: strengthening its practice’, </w:t>
      </w:r>
      <w:r w:rsidRPr="00162962">
        <w:rPr>
          <w:b/>
        </w:rPr>
        <w:t>Annual Review of Public Health</w:t>
      </w:r>
      <w:r w:rsidRPr="00162962">
        <w:t xml:space="preserve">, 29, pp.325-350. Available at: </w:t>
      </w:r>
      <w:hyperlink r:id="rId42" w:history="1">
        <w:r w:rsidRPr="00162962">
          <w:rPr>
            <w:color w:val="0000FF"/>
            <w:u w:val="single"/>
          </w:rPr>
          <w:t>https://doi.org/10.1146/annurev.publhealth.29.091307.083824</w:t>
        </w:r>
      </w:hyperlink>
      <w:r w:rsidRPr="00162962">
        <w:t xml:space="preserve"> [last accessed July 2022].</w:t>
      </w:r>
    </w:p>
    <w:p w14:paraId="0505DE35" w14:textId="77777777" w:rsidR="00162962" w:rsidRPr="00162962" w:rsidRDefault="00162962" w:rsidP="00162962">
      <w:proofErr w:type="spellStart"/>
      <w:r w:rsidRPr="00162962">
        <w:t>Carr</w:t>
      </w:r>
      <w:proofErr w:type="spellEnd"/>
      <w:r w:rsidRPr="00162962">
        <w:t xml:space="preserve">, S. (2019) ‘‘I am not your nutter’: a personal reflection on commodification and comradeship in service user and survivor research’. </w:t>
      </w:r>
      <w:r w:rsidRPr="00162962">
        <w:rPr>
          <w:b/>
        </w:rPr>
        <w:t>Disability &amp; Society</w:t>
      </w:r>
      <w:r w:rsidRPr="00162962">
        <w:t xml:space="preserve">, 34(7-8), pp.1140-1153. Available at: </w:t>
      </w:r>
      <w:hyperlink r:id="rId43" w:history="1">
        <w:r w:rsidRPr="00162962">
          <w:rPr>
            <w:color w:val="0000FF"/>
            <w:u w:val="single"/>
          </w:rPr>
          <w:t>https://doi.org/10.1080/09687599.2019.1608424</w:t>
        </w:r>
      </w:hyperlink>
      <w:r w:rsidRPr="00162962">
        <w:t xml:space="preserve"> [last accessed July 2022].</w:t>
      </w:r>
    </w:p>
    <w:p w14:paraId="4D2A48EE" w14:textId="77777777" w:rsidR="00162962" w:rsidRPr="00162962" w:rsidRDefault="00162962" w:rsidP="00162962">
      <w:r w:rsidRPr="00162962">
        <w:t xml:space="preserve">Castro, E.M., Van </w:t>
      </w:r>
      <w:proofErr w:type="spellStart"/>
      <w:r w:rsidRPr="00162962">
        <w:t>Regenmortel</w:t>
      </w:r>
      <w:proofErr w:type="spellEnd"/>
      <w:r w:rsidRPr="00162962">
        <w:t xml:space="preserve">, T., </w:t>
      </w:r>
      <w:proofErr w:type="spellStart"/>
      <w:r w:rsidRPr="00162962">
        <w:t>Vanhaecht</w:t>
      </w:r>
      <w:proofErr w:type="spellEnd"/>
      <w:r w:rsidRPr="00162962">
        <w:t xml:space="preserve">, K., </w:t>
      </w:r>
      <w:proofErr w:type="spellStart"/>
      <w:r w:rsidRPr="00162962">
        <w:t>Sermeus</w:t>
      </w:r>
      <w:proofErr w:type="spellEnd"/>
      <w:r w:rsidRPr="00162962">
        <w:t xml:space="preserve">, W. and Van </w:t>
      </w:r>
      <w:proofErr w:type="spellStart"/>
      <w:r w:rsidRPr="00162962">
        <w:t>Hecke</w:t>
      </w:r>
      <w:proofErr w:type="spellEnd"/>
      <w:r w:rsidRPr="00162962">
        <w:t xml:space="preserve">, A. (2016) ‘Patient empowerment, patient participation and patient-centeredness in hospital care: A concept analysis based on a literature review’, </w:t>
      </w:r>
      <w:r w:rsidRPr="00162962">
        <w:rPr>
          <w:b/>
        </w:rPr>
        <w:t xml:space="preserve">Patient Education and </w:t>
      </w:r>
      <w:proofErr w:type="spellStart"/>
      <w:r w:rsidRPr="00162962">
        <w:rPr>
          <w:b/>
        </w:rPr>
        <w:t>Counselin</w:t>
      </w:r>
      <w:r w:rsidRPr="00162962">
        <w:t>g</w:t>
      </w:r>
      <w:proofErr w:type="spellEnd"/>
      <w:r w:rsidRPr="00162962">
        <w:t xml:space="preserve">, 99(12), pp.1923-1939. </w:t>
      </w:r>
      <w:hyperlink r:id="rId44" w:history="1">
        <w:r w:rsidRPr="00162962">
          <w:rPr>
            <w:color w:val="0000FF"/>
            <w:u w:val="single"/>
          </w:rPr>
          <w:t>https://doi.org/10.1016/j.pec.2016.07.026</w:t>
        </w:r>
      </w:hyperlink>
      <w:r w:rsidRPr="00162962">
        <w:t xml:space="preserve"> [last accessed July 2022].</w:t>
      </w:r>
    </w:p>
    <w:p w14:paraId="6A3CBCB5" w14:textId="77777777" w:rsidR="00162962" w:rsidRPr="00162962" w:rsidRDefault="00162962" w:rsidP="00162962">
      <w:proofErr w:type="spellStart"/>
      <w:r w:rsidRPr="00162962">
        <w:t>Charlesworth</w:t>
      </w:r>
      <w:proofErr w:type="spellEnd"/>
      <w:r w:rsidRPr="00162962">
        <w:t xml:space="preserve">, G. (2018) ‘Public and patient involvement in dementia research: Time to reflect?’ </w:t>
      </w:r>
      <w:r w:rsidRPr="00162962">
        <w:rPr>
          <w:b/>
        </w:rPr>
        <w:t>Dementia</w:t>
      </w:r>
      <w:r w:rsidRPr="00162962">
        <w:t xml:space="preserve">, 17(8), pp.1064-1067. Available at: </w:t>
      </w:r>
      <w:hyperlink r:id="rId45" w:history="1">
        <w:r w:rsidRPr="00162962">
          <w:rPr>
            <w:color w:val="0000FF"/>
            <w:u w:val="single"/>
          </w:rPr>
          <w:t>https://doi.org/10.1177/2397172X18802501</w:t>
        </w:r>
      </w:hyperlink>
      <w:r w:rsidRPr="00162962">
        <w:t xml:space="preserve"> [last accessed July 2022].</w:t>
      </w:r>
    </w:p>
    <w:p w14:paraId="37205B53" w14:textId="77777777" w:rsidR="00162962" w:rsidRPr="00162962" w:rsidRDefault="00162962" w:rsidP="00162962">
      <w:r w:rsidRPr="00162962">
        <w:t xml:space="preserve">Chick, A. (2018) ‘Improving intellectual access in temporary exhibitions for sight loss visitors through co-creation and co-assessment’, </w:t>
      </w:r>
      <w:r w:rsidRPr="00162962">
        <w:rPr>
          <w:b/>
        </w:rPr>
        <w:t>The Design Journal</w:t>
      </w:r>
      <w:r w:rsidRPr="00162962">
        <w:t xml:space="preserve">, 21(4), pp.561-582. Available at: </w:t>
      </w:r>
      <w:hyperlink r:id="rId46" w:history="1">
        <w:r w:rsidRPr="00162962">
          <w:rPr>
            <w:color w:val="0000FF"/>
            <w:u w:val="single"/>
          </w:rPr>
          <w:t>https://doi.org/10.1080/14606925.2018.1472441</w:t>
        </w:r>
      </w:hyperlink>
      <w:r w:rsidRPr="00162962">
        <w:t xml:space="preserve"> [last accessed July 2022].</w:t>
      </w:r>
    </w:p>
    <w:p w14:paraId="6F5C4462" w14:textId="77777777" w:rsidR="00162962" w:rsidRPr="00162962" w:rsidRDefault="00162962" w:rsidP="00162962">
      <w:proofErr w:type="spellStart"/>
      <w:r w:rsidRPr="00162962">
        <w:t>Chown</w:t>
      </w:r>
      <w:proofErr w:type="spellEnd"/>
      <w:r w:rsidRPr="00162962">
        <w:t xml:space="preserve">, N., Robinson, J., </w:t>
      </w:r>
      <w:proofErr w:type="spellStart"/>
      <w:r w:rsidRPr="00162962">
        <w:t>Beardon</w:t>
      </w:r>
      <w:proofErr w:type="spellEnd"/>
      <w:r w:rsidRPr="00162962">
        <w:t xml:space="preserve">, L., Downing, J., Hughes, L., </w:t>
      </w:r>
      <w:proofErr w:type="spellStart"/>
      <w:r w:rsidRPr="00162962">
        <w:t>Leatherland</w:t>
      </w:r>
      <w:proofErr w:type="spellEnd"/>
      <w:r w:rsidRPr="00162962">
        <w:t xml:space="preserve">, J., Fox, K., Hickman, L. and MacGregor, D. (2017) ‘Improving research about us, with us: A draft framework for inclusive autism research’, </w:t>
      </w:r>
      <w:r w:rsidRPr="00162962">
        <w:rPr>
          <w:b/>
        </w:rPr>
        <w:t>Disability &amp; society</w:t>
      </w:r>
      <w:r w:rsidRPr="00162962">
        <w:t xml:space="preserve">, 32(5), pp.720-734. Available at: </w:t>
      </w:r>
      <w:hyperlink r:id="rId47" w:history="1">
        <w:r w:rsidRPr="00162962">
          <w:rPr>
            <w:color w:val="0000FF"/>
            <w:u w:val="single"/>
          </w:rPr>
          <w:t>https://doi.org/10.1080/09687599.2017.1320273</w:t>
        </w:r>
      </w:hyperlink>
      <w:r w:rsidRPr="00162962">
        <w:t xml:space="preserve"> [last accessed July 2022].</w:t>
      </w:r>
    </w:p>
    <w:p w14:paraId="41B85D83" w14:textId="77777777" w:rsidR="00162962" w:rsidRPr="00162962" w:rsidRDefault="00162962" w:rsidP="00162962">
      <w:r w:rsidRPr="00162962">
        <w:t xml:space="preserve">Clarke, C.L., Wilkinson, H., Watson, J., </w:t>
      </w:r>
      <w:proofErr w:type="spellStart"/>
      <w:r w:rsidRPr="00162962">
        <w:t>Wilcockson</w:t>
      </w:r>
      <w:proofErr w:type="spellEnd"/>
      <w:r w:rsidRPr="00162962">
        <w:t xml:space="preserve">, J., Kinnaird, L. and Williamson, T. (2018) ‘A seat around the table: participatory data analysis with people living with dementia’, </w:t>
      </w:r>
      <w:r w:rsidRPr="00162962">
        <w:rPr>
          <w:b/>
        </w:rPr>
        <w:t>Qualitative Health Research</w:t>
      </w:r>
      <w:r w:rsidRPr="00162962">
        <w:t xml:space="preserve">, 28(9), pp.1421-1433. Available at: </w:t>
      </w:r>
      <w:hyperlink r:id="rId48" w:history="1">
        <w:r w:rsidRPr="00162962">
          <w:rPr>
            <w:color w:val="0000FF"/>
            <w:u w:val="single"/>
          </w:rPr>
          <w:t>https://doi.org/10.1177/1049732318774768</w:t>
        </w:r>
      </w:hyperlink>
      <w:r w:rsidRPr="00162962">
        <w:t xml:space="preserve"> [last accessed July 2022].</w:t>
      </w:r>
    </w:p>
    <w:p w14:paraId="58E83272" w14:textId="77777777" w:rsidR="00162962" w:rsidRPr="00162962" w:rsidRDefault="00162962" w:rsidP="00162962">
      <w:proofErr w:type="spellStart"/>
      <w:r w:rsidRPr="00162962">
        <w:t>Cluley</w:t>
      </w:r>
      <w:proofErr w:type="spellEnd"/>
      <w:r w:rsidRPr="00162962">
        <w:t xml:space="preserve">, V. (2018) ‘From “Learning disability to intellectual disability”—Perceptions of the increasing use of the term “intellectual disability” in learning disability </w:t>
      </w:r>
      <w:r w:rsidRPr="00162962">
        <w:lastRenderedPageBreak/>
        <w:t xml:space="preserve">policy, research and practice’, </w:t>
      </w:r>
      <w:r w:rsidRPr="00162962">
        <w:rPr>
          <w:b/>
        </w:rPr>
        <w:t>British Journal of Learning Disabilities</w:t>
      </w:r>
      <w:r w:rsidRPr="00162962">
        <w:t xml:space="preserve">, 46(1), pp.24-32. Available at: </w:t>
      </w:r>
      <w:hyperlink r:id="rId49" w:history="1">
        <w:r w:rsidRPr="00162962">
          <w:rPr>
            <w:color w:val="0000FF"/>
            <w:u w:val="single"/>
          </w:rPr>
          <w:t>https://doi.org/10.1111/bld.12209</w:t>
        </w:r>
      </w:hyperlink>
      <w:r w:rsidRPr="00162962">
        <w:t xml:space="preserve"> [last accessed July 2022].</w:t>
      </w:r>
    </w:p>
    <w:p w14:paraId="5EE420AB" w14:textId="77777777" w:rsidR="00162962" w:rsidRPr="00162962" w:rsidRDefault="00162962" w:rsidP="00162962">
      <w:r w:rsidRPr="00D04764">
        <w:t xml:space="preserve">Cooper, K., </w:t>
      </w:r>
      <w:proofErr w:type="spellStart"/>
      <w:r w:rsidRPr="00D04764">
        <w:t>Gillmore</w:t>
      </w:r>
      <w:proofErr w:type="spellEnd"/>
      <w:r w:rsidRPr="00D04764">
        <w:t>, C. and Hogg, L. (2016</w:t>
      </w:r>
      <w:r w:rsidRPr="00162962">
        <w:t xml:space="preserve">) ‘Experience-based co-design in an adult psychological therapies service’, </w:t>
      </w:r>
      <w:r w:rsidRPr="00162962">
        <w:rPr>
          <w:b/>
        </w:rPr>
        <w:t>Journal of Mental Health</w:t>
      </w:r>
      <w:r w:rsidRPr="00162962">
        <w:t xml:space="preserve">, 25(1), pp.36-40. Available from: </w:t>
      </w:r>
      <w:hyperlink r:id="rId50" w:history="1">
        <w:r w:rsidRPr="00162962">
          <w:rPr>
            <w:color w:val="0000FF"/>
            <w:u w:val="single"/>
          </w:rPr>
          <w:t>https://doi.org/10.3109/09638237.2015.1101423</w:t>
        </w:r>
      </w:hyperlink>
      <w:r w:rsidRPr="00162962">
        <w:t xml:space="preserve"> [last accessed July 2022].</w:t>
      </w:r>
    </w:p>
    <w:p w14:paraId="70C6377B" w14:textId="77777777" w:rsidR="00162962" w:rsidRPr="00162962" w:rsidRDefault="00162962" w:rsidP="00162962">
      <w:r w:rsidRPr="00162962">
        <w:t xml:space="preserve">Cornwall, A. and </w:t>
      </w:r>
      <w:proofErr w:type="spellStart"/>
      <w:r w:rsidRPr="00162962">
        <w:t>Jewkes</w:t>
      </w:r>
      <w:proofErr w:type="spellEnd"/>
      <w:r w:rsidRPr="00162962">
        <w:t xml:space="preserve">, R. (1995) ‘What is participatory research?’ </w:t>
      </w:r>
      <w:r w:rsidRPr="00162962">
        <w:rPr>
          <w:b/>
        </w:rPr>
        <w:t>Social Science &amp; Medicine</w:t>
      </w:r>
      <w:r w:rsidRPr="00162962">
        <w:t xml:space="preserve">, 41(12), pp.1667-1676. Available at: </w:t>
      </w:r>
      <w:hyperlink r:id="rId51" w:history="1">
        <w:r w:rsidRPr="00162962">
          <w:rPr>
            <w:color w:val="0000FF"/>
            <w:u w:val="single"/>
          </w:rPr>
          <w:t>https://doi.org/10.1016/0277-9536(95)00127-S</w:t>
        </w:r>
      </w:hyperlink>
      <w:r w:rsidRPr="00162962">
        <w:t xml:space="preserve"> [last accessed July 2022].</w:t>
      </w:r>
    </w:p>
    <w:p w14:paraId="7F4B5115" w14:textId="77777777" w:rsidR="00162962" w:rsidRPr="00162962" w:rsidRDefault="00162962" w:rsidP="00162962">
      <w:r w:rsidRPr="00162962">
        <w:t xml:space="preserve">Craven, M.P., Goodwin, R., </w:t>
      </w:r>
      <w:proofErr w:type="spellStart"/>
      <w:r w:rsidRPr="00162962">
        <w:t>Rawsthorne</w:t>
      </w:r>
      <w:proofErr w:type="spellEnd"/>
      <w:r w:rsidRPr="00162962">
        <w:t xml:space="preserve">, M., Butler, D., </w:t>
      </w:r>
      <w:proofErr w:type="spellStart"/>
      <w:r w:rsidRPr="00162962">
        <w:t>Waddingham</w:t>
      </w:r>
      <w:proofErr w:type="spellEnd"/>
      <w:r w:rsidRPr="00162962">
        <w:t xml:space="preserve">, P., Brown, S. and Jamieson, M. (2019) ‘Try to see it my way: exploring the co-design of visual presentations of wellbeing through a workshop process’, </w:t>
      </w:r>
      <w:r w:rsidRPr="00162962">
        <w:rPr>
          <w:b/>
        </w:rPr>
        <w:t>Perspectives in Public Health</w:t>
      </w:r>
      <w:r w:rsidRPr="00162962">
        <w:t xml:space="preserve">, 139(3), pp.153-161. Available at: </w:t>
      </w:r>
      <w:hyperlink r:id="rId52" w:history="1">
        <w:r w:rsidRPr="00162962">
          <w:rPr>
            <w:color w:val="0000FF"/>
            <w:u w:val="single"/>
          </w:rPr>
          <w:t>https://doi.org/10.1177/1757913919835231</w:t>
        </w:r>
      </w:hyperlink>
      <w:r w:rsidRPr="00162962">
        <w:t xml:space="preserve"> [last accessed July 2022].</w:t>
      </w:r>
    </w:p>
    <w:p w14:paraId="077285F3" w14:textId="77777777" w:rsidR="00162962" w:rsidRPr="00162962" w:rsidRDefault="00162962" w:rsidP="00162962">
      <w:r w:rsidRPr="00162962">
        <w:t xml:space="preserve">Davidson, G., Edge, R., Falls, D., Keenan, F., Kelly, B., McLaughlin, A., Montgomery, L., </w:t>
      </w:r>
      <w:proofErr w:type="spellStart"/>
      <w:r w:rsidRPr="00162962">
        <w:t>Mulvenna</w:t>
      </w:r>
      <w:proofErr w:type="spellEnd"/>
      <w:r w:rsidRPr="00162962">
        <w:t xml:space="preserve">, C., Norris, B., Owens, A. and Irvine, R.S. (2018) ‘Supported decision making-experiences, approaches and preferences’, Available at: </w:t>
      </w:r>
      <w:hyperlink r:id="rId53" w:history="1">
        <w:r w:rsidRPr="00162962">
          <w:rPr>
            <w:color w:val="0000FF"/>
            <w:u w:val="single"/>
          </w:rPr>
          <w:t>https://pure.ulster.ac.uk/ws/files/99260045/Supported_decision_making_standard_report_online.pdf</w:t>
        </w:r>
      </w:hyperlink>
      <w:r w:rsidRPr="00162962">
        <w:t xml:space="preserve"> [last accessed July 2022].</w:t>
      </w:r>
    </w:p>
    <w:p w14:paraId="4F895D5E" w14:textId="77777777" w:rsidR="00162962" w:rsidRPr="00162962" w:rsidRDefault="00162962" w:rsidP="00162962">
      <w:r w:rsidRPr="00162962">
        <w:t>Dewa, L.H., Lawrence</w:t>
      </w:r>
      <w:r w:rsidRPr="00162962">
        <w:rPr>
          <w:rFonts w:ascii="Cambria Math" w:hAnsi="Cambria Math" w:cs="Cambria Math"/>
        </w:rPr>
        <w:t>‐</w:t>
      </w:r>
      <w:r w:rsidRPr="00162962">
        <w:t xml:space="preserve">Jones, A., </w:t>
      </w:r>
      <w:proofErr w:type="spellStart"/>
      <w:r w:rsidRPr="00162962">
        <w:t>Crandell</w:t>
      </w:r>
      <w:proofErr w:type="spellEnd"/>
      <w:r w:rsidRPr="00162962">
        <w:t xml:space="preserve">, C., </w:t>
      </w:r>
      <w:proofErr w:type="spellStart"/>
      <w:r w:rsidRPr="00162962">
        <w:t>Jaques</w:t>
      </w:r>
      <w:proofErr w:type="spellEnd"/>
      <w:r w:rsidRPr="00162962">
        <w:t xml:space="preserve">, J., Pickles, K., Lavelle, M., </w:t>
      </w:r>
      <w:proofErr w:type="spellStart"/>
      <w:r w:rsidRPr="00162962">
        <w:t>Pappa</w:t>
      </w:r>
      <w:proofErr w:type="spellEnd"/>
      <w:r w:rsidRPr="00162962">
        <w:t>, S. and Aylin, P. (2021) ‘Reflections, impact and recommendations of a co</w:t>
      </w:r>
      <w:r w:rsidRPr="00162962">
        <w:rPr>
          <w:rFonts w:ascii="Cambria Math" w:hAnsi="Cambria Math" w:cs="Cambria Math"/>
        </w:rPr>
        <w:t>‐</w:t>
      </w:r>
      <w:r w:rsidRPr="00162962">
        <w:t xml:space="preserve">produced qualitative study with young people who have experience of mental health difficulties’, </w:t>
      </w:r>
      <w:r w:rsidRPr="00162962">
        <w:rPr>
          <w:b/>
        </w:rPr>
        <w:t>Health Expectations</w:t>
      </w:r>
      <w:r w:rsidRPr="00162962">
        <w:t xml:space="preserve">, 24, pp.134-146. Available at: </w:t>
      </w:r>
      <w:hyperlink r:id="rId54" w:history="1">
        <w:r w:rsidRPr="00162962">
          <w:rPr>
            <w:color w:val="0000FF"/>
            <w:u w:val="single"/>
          </w:rPr>
          <w:t>https://doi.org/10.1111/hex.13088</w:t>
        </w:r>
      </w:hyperlink>
      <w:r w:rsidRPr="00162962">
        <w:t xml:space="preserve"> [last accessed July 2022].</w:t>
      </w:r>
    </w:p>
    <w:p w14:paraId="63CFD1C9" w14:textId="77777777" w:rsidR="00162962" w:rsidRPr="00162962" w:rsidRDefault="00162962" w:rsidP="00162962">
      <w:r w:rsidRPr="00162962">
        <w:t xml:space="preserve">Di </w:t>
      </w:r>
      <w:proofErr w:type="spellStart"/>
      <w:r w:rsidRPr="00162962">
        <w:t>Lorito</w:t>
      </w:r>
      <w:proofErr w:type="spellEnd"/>
      <w:r w:rsidRPr="00162962">
        <w:t xml:space="preserve">, C., </w:t>
      </w:r>
      <w:proofErr w:type="spellStart"/>
      <w:r w:rsidRPr="00162962">
        <w:t>Birt</w:t>
      </w:r>
      <w:proofErr w:type="spellEnd"/>
      <w:r w:rsidRPr="00162962">
        <w:t xml:space="preserve">, L., Poland, F., </w:t>
      </w:r>
      <w:proofErr w:type="spellStart"/>
      <w:r w:rsidRPr="00162962">
        <w:t>Csipke</w:t>
      </w:r>
      <w:proofErr w:type="spellEnd"/>
      <w:r w:rsidRPr="00162962">
        <w:t>, E., Gove, D., Diaz</w:t>
      </w:r>
      <w:r w:rsidRPr="00162962">
        <w:rPr>
          <w:rFonts w:ascii="Cambria Math" w:hAnsi="Cambria Math" w:cs="Cambria Math"/>
        </w:rPr>
        <w:t>‐</w:t>
      </w:r>
      <w:r w:rsidRPr="00162962">
        <w:t xml:space="preserve">Ponce, A. and </w:t>
      </w:r>
      <w:proofErr w:type="spellStart"/>
      <w:r w:rsidRPr="00162962">
        <w:t>Orrell</w:t>
      </w:r>
      <w:proofErr w:type="spellEnd"/>
      <w:r w:rsidRPr="00162962">
        <w:t xml:space="preserve">, M. (2017) ‘A synthesis of the evidence on peer research with potentially vulnerable adults: how this relates to dementia’, </w:t>
      </w:r>
      <w:r w:rsidRPr="00162962">
        <w:rPr>
          <w:b/>
        </w:rPr>
        <w:t>International Journal of Geriatric Psychiatry</w:t>
      </w:r>
      <w:r w:rsidRPr="00162962">
        <w:t xml:space="preserve">, 32(1), pp.58-67. Available at: </w:t>
      </w:r>
      <w:hyperlink r:id="rId55" w:history="1">
        <w:r w:rsidRPr="00162962">
          <w:rPr>
            <w:color w:val="0000FF"/>
            <w:u w:val="single"/>
          </w:rPr>
          <w:t>https://doi.org/10.1002/gps.4577</w:t>
        </w:r>
      </w:hyperlink>
      <w:r w:rsidRPr="00162962">
        <w:t xml:space="preserve"> [last accessed July 2022].</w:t>
      </w:r>
    </w:p>
    <w:p w14:paraId="36B008C7" w14:textId="77777777" w:rsidR="00162962" w:rsidRPr="00162962" w:rsidRDefault="00162962" w:rsidP="00162962">
      <w:r w:rsidRPr="00162962">
        <w:t xml:space="preserve">Di </w:t>
      </w:r>
      <w:proofErr w:type="spellStart"/>
      <w:r w:rsidRPr="00162962">
        <w:t>Lorito</w:t>
      </w:r>
      <w:proofErr w:type="spellEnd"/>
      <w:r w:rsidRPr="00162962">
        <w:t xml:space="preserve">, C., Bosco, A., </w:t>
      </w:r>
      <w:proofErr w:type="spellStart"/>
      <w:r w:rsidRPr="00162962">
        <w:t>Birt</w:t>
      </w:r>
      <w:proofErr w:type="spellEnd"/>
      <w:r w:rsidRPr="00162962">
        <w:t xml:space="preserve">, L. and </w:t>
      </w:r>
      <w:proofErr w:type="spellStart"/>
      <w:r w:rsidRPr="00162962">
        <w:t>Hassiotis</w:t>
      </w:r>
      <w:proofErr w:type="spellEnd"/>
      <w:r w:rsidRPr="00162962">
        <w:t>, A. (2018) ‘Co</w:t>
      </w:r>
      <w:r w:rsidRPr="00162962">
        <w:rPr>
          <w:rFonts w:ascii="Cambria Math" w:hAnsi="Cambria Math" w:cs="Cambria Math"/>
        </w:rPr>
        <w:t>‐</w:t>
      </w:r>
      <w:r w:rsidRPr="00162962">
        <w:t xml:space="preserve">research with adults with intellectual disability: a systematic review’, </w:t>
      </w:r>
      <w:r w:rsidRPr="00162962">
        <w:rPr>
          <w:b/>
        </w:rPr>
        <w:t>Journal of Applied Research in Intellectual Disabilities</w:t>
      </w:r>
      <w:r w:rsidRPr="00162962">
        <w:t xml:space="preserve">, 31(5), pp.669-686. Available at: </w:t>
      </w:r>
      <w:hyperlink r:id="rId56" w:history="1">
        <w:r w:rsidRPr="00162962">
          <w:rPr>
            <w:color w:val="0000FF"/>
            <w:u w:val="single"/>
          </w:rPr>
          <w:t>https://doi.org/10.1111/jar.12435</w:t>
        </w:r>
      </w:hyperlink>
      <w:r w:rsidRPr="00162962">
        <w:t xml:space="preserve"> [last accessed July 2022].</w:t>
      </w:r>
    </w:p>
    <w:p w14:paraId="1A4D7E55" w14:textId="77777777" w:rsidR="00162962" w:rsidRPr="00162962" w:rsidRDefault="00162962" w:rsidP="00162962">
      <w:r w:rsidRPr="00162962">
        <w:t xml:space="preserve">Disability Wales </w:t>
      </w:r>
      <w:proofErr w:type="spellStart"/>
      <w:r w:rsidRPr="00162962">
        <w:t>Anabled</w:t>
      </w:r>
      <w:proofErr w:type="spellEnd"/>
      <w:r w:rsidRPr="00162962">
        <w:t xml:space="preserve"> </w:t>
      </w:r>
      <w:proofErr w:type="spellStart"/>
      <w:r w:rsidRPr="00162962">
        <w:t>Cymru</w:t>
      </w:r>
      <w:proofErr w:type="spellEnd"/>
      <w:r w:rsidRPr="00162962">
        <w:t xml:space="preserve"> (2019) Working with peer researchers developing future strategies. Available at: </w:t>
      </w:r>
      <w:hyperlink r:id="rId57" w:history="1">
        <w:r w:rsidRPr="00162962">
          <w:rPr>
            <w:color w:val="0000FF"/>
            <w:u w:val="single"/>
          </w:rPr>
          <w:t>https://www.drilluk.org.uk/documents/2019/11/working-with-peer-researchers-developing-future-strategies.pdf/</w:t>
        </w:r>
      </w:hyperlink>
      <w:r w:rsidRPr="00162962">
        <w:t xml:space="preserve"> [last accessed July 2022].</w:t>
      </w:r>
    </w:p>
    <w:p w14:paraId="29F433A9" w14:textId="77777777" w:rsidR="00162962" w:rsidRPr="00162962" w:rsidRDefault="00162962" w:rsidP="00162962">
      <w:proofErr w:type="spellStart"/>
      <w:r w:rsidRPr="00162962">
        <w:t>Dimopoulos</w:t>
      </w:r>
      <w:proofErr w:type="spellEnd"/>
      <w:r w:rsidRPr="00162962">
        <w:t xml:space="preserve">-Bick, T., </w:t>
      </w:r>
      <w:proofErr w:type="spellStart"/>
      <w:r w:rsidRPr="00162962">
        <w:t>Dawda</w:t>
      </w:r>
      <w:proofErr w:type="spellEnd"/>
      <w:r w:rsidRPr="00162962">
        <w:t xml:space="preserve">, P., Maher, L., </w:t>
      </w:r>
      <w:proofErr w:type="spellStart"/>
      <w:r w:rsidRPr="00162962">
        <w:t>Verma</w:t>
      </w:r>
      <w:proofErr w:type="spellEnd"/>
      <w:r w:rsidRPr="00162962">
        <w:t xml:space="preserve">, R. and Palmer, V. (2018) ‘Experience-based co-design: tackling common challenges’, </w:t>
      </w:r>
      <w:r w:rsidRPr="00162962">
        <w:rPr>
          <w:b/>
        </w:rPr>
        <w:t>The Journal of Health Design</w:t>
      </w:r>
      <w:r w:rsidRPr="00162962">
        <w:t xml:space="preserve">, 3(1). Available at: </w:t>
      </w:r>
      <w:hyperlink r:id="rId58" w:history="1">
        <w:r w:rsidRPr="00162962">
          <w:rPr>
            <w:color w:val="0000FF"/>
            <w:u w:val="single"/>
          </w:rPr>
          <w:t>https://doi.org/10.21853/jhd.2018.46</w:t>
        </w:r>
      </w:hyperlink>
      <w:r w:rsidRPr="00162962">
        <w:t xml:space="preserve"> [last accessed July 2022].</w:t>
      </w:r>
    </w:p>
    <w:p w14:paraId="186E9764" w14:textId="77777777" w:rsidR="00162962" w:rsidRPr="00162962" w:rsidRDefault="00162962" w:rsidP="00162962">
      <w:proofErr w:type="spellStart"/>
      <w:r w:rsidRPr="00162962">
        <w:t>Donetto</w:t>
      </w:r>
      <w:proofErr w:type="spellEnd"/>
      <w:r w:rsidRPr="00162962">
        <w:t xml:space="preserve">, S., </w:t>
      </w:r>
      <w:proofErr w:type="spellStart"/>
      <w:r w:rsidRPr="00162962">
        <w:t>Pierri</w:t>
      </w:r>
      <w:proofErr w:type="spellEnd"/>
      <w:r w:rsidRPr="00162962">
        <w:t xml:space="preserve">, P., </w:t>
      </w:r>
      <w:proofErr w:type="spellStart"/>
      <w:r w:rsidRPr="00162962">
        <w:t>Tsianakas</w:t>
      </w:r>
      <w:proofErr w:type="spellEnd"/>
      <w:r w:rsidRPr="00162962">
        <w:t xml:space="preserve">, V. and Robert, G. (2015) ‘Experience-based co-design and healthcare improvement: realizing participatory design in the public sector’, </w:t>
      </w:r>
      <w:r w:rsidRPr="00162962">
        <w:rPr>
          <w:b/>
        </w:rPr>
        <w:t>The Design Journal</w:t>
      </w:r>
      <w:r w:rsidRPr="00162962">
        <w:t xml:space="preserve">, 18(2), pp.227-248. Available at: </w:t>
      </w:r>
      <w:hyperlink r:id="rId59" w:history="1">
        <w:r w:rsidRPr="00162962">
          <w:rPr>
            <w:color w:val="0000FF"/>
            <w:u w:val="single"/>
          </w:rPr>
          <w:t>https://doi.org/10.2752/175630615X14212498964312</w:t>
        </w:r>
      </w:hyperlink>
      <w:r w:rsidRPr="00162962">
        <w:t xml:space="preserve"> [last accessed July 2022].</w:t>
      </w:r>
    </w:p>
    <w:p w14:paraId="0CAF1C15" w14:textId="77777777" w:rsidR="00162962" w:rsidRPr="00162962" w:rsidRDefault="00162962" w:rsidP="00162962">
      <w:r w:rsidRPr="00162962">
        <w:t xml:space="preserve">DRILL Report (2018) ‘Getting On Keeping On: Finding the barriers faced by employers when employing and retaining disabled people’, Sheffield: DRILL. Available at: </w:t>
      </w:r>
      <w:hyperlink r:id="rId60" w:history="1">
        <w:r w:rsidRPr="00162962">
          <w:rPr>
            <w:color w:val="0000FF"/>
            <w:u w:val="single"/>
          </w:rPr>
          <w:t>https://www.drilluk.org.uk/wp-content/uploads/2020/07/Getting-on-Keeping-on.pdf</w:t>
        </w:r>
      </w:hyperlink>
      <w:r w:rsidRPr="00162962">
        <w:t xml:space="preserve"> [last accessed July 2022].</w:t>
      </w:r>
    </w:p>
    <w:p w14:paraId="34D502B5" w14:textId="77777777" w:rsidR="00162962" w:rsidRPr="00162962" w:rsidRDefault="00162962" w:rsidP="00162962">
      <w:proofErr w:type="spellStart"/>
      <w:r w:rsidRPr="00162962">
        <w:t>Durell</w:t>
      </w:r>
      <w:proofErr w:type="spellEnd"/>
      <w:r w:rsidRPr="00162962">
        <w:t xml:space="preserve">, S. (2016) ‘Research with and by people with learning disabilities’, </w:t>
      </w:r>
      <w:r w:rsidRPr="00162962">
        <w:rPr>
          <w:b/>
        </w:rPr>
        <w:t>Nursing Times</w:t>
      </w:r>
      <w:r w:rsidRPr="00162962">
        <w:t xml:space="preserve">, 112(6-7), pp.15-18. Available from: </w:t>
      </w:r>
      <w:hyperlink r:id="rId61" w:history="1">
        <w:r w:rsidRPr="00162962">
          <w:rPr>
            <w:color w:val="0000FF"/>
            <w:u w:val="single"/>
          </w:rPr>
          <w:t>https://www.nursingtimes.net/roles/learning-disability-nurses/research-with-and-by-people-with-learning-disabilities-08-02-2016/</w:t>
        </w:r>
      </w:hyperlink>
      <w:r w:rsidRPr="00162962">
        <w:t xml:space="preserve"> [last accessed July 2022].</w:t>
      </w:r>
    </w:p>
    <w:p w14:paraId="6AD5B29E" w14:textId="77777777" w:rsidR="00162962" w:rsidRPr="00162962" w:rsidRDefault="00162962" w:rsidP="00162962">
      <w:r w:rsidRPr="00162962">
        <w:t xml:space="preserve">Ellis, L. (2018) ‘Making decisions together? Exploring the decision-making process in an inclusive research project’, </w:t>
      </w:r>
      <w:r w:rsidRPr="00162962">
        <w:rPr>
          <w:b/>
        </w:rPr>
        <w:t>Disability &amp; Society</w:t>
      </w:r>
      <w:r w:rsidRPr="00162962">
        <w:t xml:space="preserve">, 33(3), pp.454-475. Available at: </w:t>
      </w:r>
      <w:hyperlink r:id="rId62" w:history="1">
        <w:r w:rsidRPr="00162962">
          <w:rPr>
            <w:color w:val="0000FF"/>
            <w:u w:val="single"/>
          </w:rPr>
          <w:t>https://doi.org/10.1080/09687599.2017.1392932</w:t>
        </w:r>
      </w:hyperlink>
      <w:r w:rsidRPr="00162962">
        <w:t xml:space="preserve"> [last accessed July 2022].</w:t>
      </w:r>
    </w:p>
    <w:p w14:paraId="23324193" w14:textId="77777777" w:rsidR="00162962" w:rsidRPr="00162962" w:rsidRDefault="00162962" w:rsidP="00162962">
      <w:proofErr w:type="spellStart"/>
      <w:r w:rsidRPr="00162962">
        <w:t>Embregts</w:t>
      </w:r>
      <w:proofErr w:type="spellEnd"/>
      <w:r w:rsidRPr="00162962">
        <w:t xml:space="preserve">, P.J., </w:t>
      </w:r>
      <w:proofErr w:type="spellStart"/>
      <w:r w:rsidRPr="00162962">
        <w:t>Taminiau</w:t>
      </w:r>
      <w:proofErr w:type="spellEnd"/>
      <w:r w:rsidRPr="00162962">
        <w:t xml:space="preserve">, E.F., </w:t>
      </w:r>
      <w:proofErr w:type="spellStart"/>
      <w:r w:rsidRPr="00162962">
        <w:t>Heerkens</w:t>
      </w:r>
      <w:proofErr w:type="spellEnd"/>
      <w:r w:rsidRPr="00162962">
        <w:t xml:space="preserve">, L., </w:t>
      </w:r>
      <w:proofErr w:type="spellStart"/>
      <w:r w:rsidRPr="00162962">
        <w:t>Schippers</w:t>
      </w:r>
      <w:proofErr w:type="spellEnd"/>
      <w:r w:rsidRPr="00162962">
        <w:t xml:space="preserve">, A.P. and Van Hove, G. (2018) ‘Collaboration in inclusive research: competencies considered important for people with and without intellectual disabilities’, </w:t>
      </w:r>
      <w:r w:rsidRPr="00162962">
        <w:rPr>
          <w:b/>
        </w:rPr>
        <w:t>Journal of Policy and Practice in Intellectual Disabilities</w:t>
      </w:r>
      <w:r w:rsidRPr="00162962">
        <w:t xml:space="preserve">, 15(3), pp.193-201. Available at: </w:t>
      </w:r>
      <w:hyperlink r:id="rId63" w:history="1">
        <w:r w:rsidRPr="00162962">
          <w:rPr>
            <w:color w:val="0000FF"/>
            <w:u w:val="single"/>
          </w:rPr>
          <w:t>https://doi.org/10.1111/jppi.12248</w:t>
        </w:r>
      </w:hyperlink>
      <w:r w:rsidRPr="00162962">
        <w:t xml:space="preserve"> [last accessed July 2022].</w:t>
      </w:r>
    </w:p>
    <w:p w14:paraId="5A0A66B6" w14:textId="77777777" w:rsidR="00162962" w:rsidRPr="00162962" w:rsidRDefault="00162962" w:rsidP="00162962">
      <w:r w:rsidRPr="00162962">
        <w:t xml:space="preserve">Evans, J. and </w:t>
      </w:r>
      <w:proofErr w:type="spellStart"/>
      <w:r w:rsidRPr="00162962">
        <w:t>Papoulias</w:t>
      </w:r>
      <w:proofErr w:type="spellEnd"/>
      <w:r w:rsidRPr="00162962">
        <w:t xml:space="preserve">, S.C, (2020) ‘Between funder requirements and ‘jobbing scientists’: the evolution of patient and public involvement in a mental health biomedical research centre-a qualitative study’, </w:t>
      </w:r>
      <w:r w:rsidRPr="00162962">
        <w:rPr>
          <w:b/>
        </w:rPr>
        <w:t>Research Involvement and Engagement</w:t>
      </w:r>
      <w:r w:rsidRPr="00162962">
        <w:t xml:space="preserve">, 6(1), pp.1-12. </w:t>
      </w:r>
      <w:hyperlink r:id="rId64" w:history="1">
        <w:r w:rsidRPr="00162962">
          <w:rPr>
            <w:color w:val="0000FF"/>
            <w:u w:val="single"/>
          </w:rPr>
          <w:t>https://doi.org/10.1186/s40900-020-00185-7</w:t>
        </w:r>
      </w:hyperlink>
      <w:r w:rsidRPr="00162962">
        <w:t xml:space="preserve"> [last accessed July 2022].</w:t>
      </w:r>
    </w:p>
    <w:p w14:paraId="5C134ACD" w14:textId="77777777" w:rsidR="00162962" w:rsidRPr="00162962" w:rsidRDefault="00162962" w:rsidP="00162962">
      <w:pPr>
        <w:rPr>
          <w:highlight w:val="yellow"/>
        </w:rPr>
      </w:pPr>
      <w:r w:rsidRPr="00162962">
        <w:t xml:space="preserve">Faulkner, A., </w:t>
      </w:r>
      <w:proofErr w:type="spellStart"/>
      <w:r w:rsidRPr="00162962">
        <w:t>Carr</w:t>
      </w:r>
      <w:proofErr w:type="spellEnd"/>
      <w:r w:rsidRPr="00162962">
        <w:t xml:space="preserve">, S., Gould, D., </w:t>
      </w:r>
      <w:proofErr w:type="spellStart"/>
      <w:r w:rsidRPr="00162962">
        <w:t>Khisa</w:t>
      </w:r>
      <w:proofErr w:type="spellEnd"/>
      <w:r w:rsidRPr="00162962">
        <w:t xml:space="preserve">, C., </w:t>
      </w:r>
      <w:proofErr w:type="spellStart"/>
      <w:r w:rsidRPr="00162962">
        <w:t>Hafford</w:t>
      </w:r>
      <w:r w:rsidRPr="00162962">
        <w:rPr>
          <w:rFonts w:ascii="Cambria Math" w:hAnsi="Cambria Math" w:cs="Cambria Math"/>
        </w:rPr>
        <w:t>‐</w:t>
      </w:r>
      <w:r w:rsidRPr="00162962">
        <w:t>Letchfield</w:t>
      </w:r>
      <w:proofErr w:type="spellEnd"/>
      <w:r w:rsidRPr="00162962">
        <w:t xml:space="preserve">, T., Cohen, R., </w:t>
      </w:r>
      <w:proofErr w:type="spellStart"/>
      <w:r w:rsidRPr="00162962">
        <w:t>Megele</w:t>
      </w:r>
      <w:proofErr w:type="spellEnd"/>
      <w:r w:rsidRPr="00162962">
        <w:t>, C. and Holley, J. (2019) ‘Dignity and respect’: an example of service user leadership and co</w:t>
      </w:r>
      <w:r w:rsidRPr="00162962">
        <w:rPr>
          <w:rFonts w:ascii="Cambria Math" w:hAnsi="Cambria Math" w:cs="Cambria Math"/>
        </w:rPr>
        <w:t>‐</w:t>
      </w:r>
      <w:r w:rsidRPr="00162962">
        <w:t xml:space="preserve">production in mental health research. </w:t>
      </w:r>
      <w:r w:rsidRPr="00162962">
        <w:rPr>
          <w:b/>
        </w:rPr>
        <w:t>Health Expectations</w:t>
      </w:r>
      <w:r w:rsidRPr="00162962">
        <w:t xml:space="preserve">, 00,10-10. Available at: </w:t>
      </w:r>
      <w:hyperlink r:id="rId65" w:history="1">
        <w:r w:rsidRPr="00162962">
          <w:rPr>
            <w:color w:val="0000FF"/>
            <w:u w:val="single"/>
          </w:rPr>
          <w:t>https://doi.org/10.1111/hex.12963</w:t>
        </w:r>
      </w:hyperlink>
      <w:r w:rsidRPr="00162962">
        <w:t xml:space="preserve"> [last accessed July 2022].</w:t>
      </w:r>
    </w:p>
    <w:p w14:paraId="6B298FE2" w14:textId="77777777" w:rsidR="00162962" w:rsidRPr="00162962" w:rsidRDefault="00162962" w:rsidP="00162962">
      <w:r w:rsidRPr="00162962">
        <w:lastRenderedPageBreak/>
        <w:t xml:space="preserve">Farmer, M. and Macleod, F. (2011) ‘Involving disabled people in social research. London: Office for Disability’, (2011). Available at: </w:t>
      </w:r>
      <w:hyperlink r:id="rId66" w:anchor=":~:text=Involving%20disabled%20people%20in%20government,issues%20faced%20by%20disabled%20people" w:history="1">
        <w:r w:rsidRPr="00162962">
          <w:rPr>
            <w:color w:val="0000FF"/>
            <w:u w:val="single"/>
          </w:rPr>
          <w:t>https://www.gov.uk/government/publications/involving-disabled-people-in-social-reseach#:~:text=Involving%20disabled%20people%20in%20government,issues%20faced%20by%20disabled%20people</w:t>
        </w:r>
      </w:hyperlink>
      <w:r w:rsidRPr="00162962">
        <w:t xml:space="preserve"> [last accessed July 2022].</w:t>
      </w:r>
    </w:p>
    <w:p w14:paraId="3481C325" w14:textId="77777777" w:rsidR="00162962" w:rsidRPr="00162962" w:rsidRDefault="00162962" w:rsidP="00162962">
      <w:proofErr w:type="spellStart"/>
      <w:r w:rsidRPr="00162962">
        <w:t>Fenge</w:t>
      </w:r>
      <w:proofErr w:type="spellEnd"/>
      <w:r w:rsidRPr="00162962">
        <w:t xml:space="preserve"> LA. (2010), ‘Striving towards inclusive research: an example of participatory action research with older lesbians and gay men’, </w:t>
      </w:r>
      <w:r w:rsidRPr="00162962">
        <w:rPr>
          <w:b/>
        </w:rPr>
        <w:t>British Journal of Social Work</w:t>
      </w:r>
      <w:r w:rsidRPr="00162962">
        <w:t xml:space="preserve">. 1;40(3):878-94. Available at: </w:t>
      </w:r>
      <w:hyperlink r:id="rId67" w:history="1">
        <w:r w:rsidRPr="00162962">
          <w:rPr>
            <w:color w:val="0000FF"/>
            <w:u w:val="single"/>
          </w:rPr>
          <w:t>https://doi.org/10.1093/bjsw/bcn144</w:t>
        </w:r>
      </w:hyperlink>
      <w:r w:rsidRPr="00162962">
        <w:t xml:space="preserve"> [last accessed July 2022].</w:t>
      </w:r>
    </w:p>
    <w:p w14:paraId="71282799" w14:textId="4016B11E" w:rsidR="00162962" w:rsidRPr="00162962" w:rsidRDefault="00162962" w:rsidP="00162962">
      <w:r w:rsidRPr="00162962">
        <w:t>Fitzgerald, C.,</w:t>
      </w:r>
      <w:r w:rsidR="00EF2329">
        <w:t xml:space="preserve"> and</w:t>
      </w:r>
      <w:r w:rsidRPr="00162962">
        <w:t xml:space="preserve"> Walsh, K. (2016) ‘Capturing marginalised voices in multi-stakeholder development processes: a participant-voice framework’. Project </w:t>
      </w:r>
      <w:proofErr w:type="spellStart"/>
      <w:r w:rsidRPr="00162962">
        <w:t>Lifecourse</w:t>
      </w:r>
      <w:proofErr w:type="spellEnd"/>
      <w:r w:rsidRPr="00162962">
        <w:t xml:space="preserve">, NUI Galway: Institute for </w:t>
      </w:r>
      <w:proofErr w:type="spellStart"/>
      <w:r w:rsidRPr="00162962">
        <w:t>Lifecourse</w:t>
      </w:r>
      <w:proofErr w:type="spellEnd"/>
      <w:r w:rsidRPr="00162962">
        <w:t xml:space="preserve"> and Society. ISBN: 978-1-908358-52-3. Available from: </w:t>
      </w:r>
      <w:hyperlink r:id="rId68" w:history="1">
        <w:r w:rsidRPr="00162962">
          <w:rPr>
            <w:color w:val="0000FF"/>
            <w:u w:val="single"/>
          </w:rPr>
          <w:t>http://www.nuigalway.ie/ilas/project-lifecourse/thethreecitiesproject/outputs/</w:t>
        </w:r>
      </w:hyperlink>
      <w:r w:rsidRPr="00162962">
        <w:t xml:space="preserve"> [last accessed July 2022].</w:t>
      </w:r>
    </w:p>
    <w:p w14:paraId="2C840B86" w14:textId="77777777" w:rsidR="00162962" w:rsidRPr="00162962" w:rsidRDefault="00162962" w:rsidP="00162962">
      <w:r w:rsidRPr="00162962">
        <w:t xml:space="preserve">Fletcher-Watson, S., Adams, J., Brook, K., </w:t>
      </w:r>
      <w:proofErr w:type="spellStart"/>
      <w:r w:rsidRPr="00162962">
        <w:t>Charman</w:t>
      </w:r>
      <w:proofErr w:type="spellEnd"/>
      <w:r w:rsidRPr="00162962">
        <w:t xml:space="preserve">, T., Crane, L., Cusack, J., </w:t>
      </w:r>
      <w:proofErr w:type="spellStart"/>
      <w:r w:rsidRPr="00162962">
        <w:t>Leekam</w:t>
      </w:r>
      <w:proofErr w:type="spellEnd"/>
      <w:r w:rsidRPr="00162962">
        <w:t xml:space="preserve">, S., Milton, D., Parr, J.R. and </w:t>
      </w:r>
      <w:proofErr w:type="spellStart"/>
      <w:r w:rsidRPr="00162962">
        <w:t>Pellicano</w:t>
      </w:r>
      <w:proofErr w:type="spellEnd"/>
      <w:r w:rsidRPr="00162962">
        <w:t xml:space="preserve">, E, (2019) ‘Making the future together: shaping autism research through meaningful participation’, </w:t>
      </w:r>
      <w:r w:rsidRPr="00162962">
        <w:rPr>
          <w:b/>
        </w:rPr>
        <w:t>Autism,</w:t>
      </w:r>
      <w:r w:rsidRPr="00162962">
        <w:t xml:space="preserve"> 23(4), pp.943-953. Available at: </w:t>
      </w:r>
      <w:hyperlink r:id="rId69" w:history="1">
        <w:r w:rsidRPr="00162962">
          <w:rPr>
            <w:color w:val="0000FF"/>
            <w:u w:val="single"/>
          </w:rPr>
          <w:t>https://doi.org/10.1177/1362361318786721</w:t>
        </w:r>
      </w:hyperlink>
      <w:r w:rsidRPr="00162962">
        <w:t xml:space="preserve"> </w:t>
      </w:r>
    </w:p>
    <w:p w14:paraId="60BADFBB" w14:textId="77777777" w:rsidR="00162962" w:rsidRPr="00162962" w:rsidRDefault="00162962" w:rsidP="00162962">
      <w:proofErr w:type="spellStart"/>
      <w:r w:rsidRPr="00162962">
        <w:t>Frankena</w:t>
      </w:r>
      <w:proofErr w:type="spellEnd"/>
      <w:r w:rsidRPr="00162962">
        <w:t xml:space="preserve">, T.K., </w:t>
      </w:r>
      <w:proofErr w:type="spellStart"/>
      <w:r w:rsidRPr="00162962">
        <w:t>Naaldenberg</w:t>
      </w:r>
      <w:proofErr w:type="spellEnd"/>
      <w:r w:rsidRPr="00162962">
        <w:t xml:space="preserve">, J., </w:t>
      </w:r>
      <w:proofErr w:type="spellStart"/>
      <w:r w:rsidRPr="00162962">
        <w:t>Cardol</w:t>
      </w:r>
      <w:proofErr w:type="spellEnd"/>
      <w:r w:rsidRPr="00162962">
        <w:t xml:space="preserve">, M., Linehan, C. and van </w:t>
      </w:r>
      <w:proofErr w:type="spellStart"/>
      <w:r w:rsidRPr="00162962">
        <w:t>Schrojenstein</w:t>
      </w:r>
      <w:proofErr w:type="spellEnd"/>
      <w:r w:rsidRPr="00162962">
        <w:t xml:space="preserve"> </w:t>
      </w:r>
      <w:proofErr w:type="spellStart"/>
      <w:r w:rsidRPr="00162962">
        <w:t>Lantman</w:t>
      </w:r>
      <w:proofErr w:type="spellEnd"/>
      <w:r w:rsidRPr="00162962">
        <w:t xml:space="preserve">-de </w:t>
      </w:r>
      <w:proofErr w:type="spellStart"/>
      <w:r w:rsidRPr="00162962">
        <w:t>Valk</w:t>
      </w:r>
      <w:proofErr w:type="spellEnd"/>
      <w:r w:rsidRPr="00162962">
        <w:t xml:space="preserve">, H. (2015) ‘Active involvement of people with intellectual disabilities in health research–a structured literature review’. </w:t>
      </w:r>
      <w:r w:rsidRPr="00162962">
        <w:rPr>
          <w:b/>
        </w:rPr>
        <w:t>Research in Developmental Disabilities,</w:t>
      </w:r>
      <w:r w:rsidRPr="00162962">
        <w:t xml:space="preserve"> 45, pp.271-283. Available at: </w:t>
      </w:r>
      <w:hyperlink r:id="rId70" w:history="1">
        <w:r w:rsidRPr="00162962">
          <w:rPr>
            <w:color w:val="0000FF"/>
            <w:u w:val="single"/>
          </w:rPr>
          <w:t>https://doi.org/10.1016/j.ridd.2015.08.004</w:t>
        </w:r>
      </w:hyperlink>
      <w:r w:rsidRPr="00162962">
        <w:t xml:space="preserve"> [[last accessed July 2022].</w:t>
      </w:r>
    </w:p>
    <w:p w14:paraId="7C25F0C8" w14:textId="0249C496" w:rsidR="00162962" w:rsidRPr="00162962" w:rsidRDefault="00162962" w:rsidP="00162962">
      <w:proofErr w:type="spellStart"/>
      <w:r w:rsidRPr="00162962">
        <w:t>Frankena</w:t>
      </w:r>
      <w:proofErr w:type="spellEnd"/>
      <w:r w:rsidRPr="00162962">
        <w:t xml:space="preserve">, T.K., </w:t>
      </w:r>
      <w:proofErr w:type="spellStart"/>
      <w:r w:rsidRPr="00162962">
        <w:t>Naaldenberg</w:t>
      </w:r>
      <w:proofErr w:type="spellEnd"/>
      <w:r w:rsidRPr="00162962">
        <w:t xml:space="preserve">, J., </w:t>
      </w:r>
      <w:proofErr w:type="spellStart"/>
      <w:r w:rsidRPr="00162962">
        <w:t>Cardol</w:t>
      </w:r>
      <w:proofErr w:type="spellEnd"/>
      <w:r w:rsidRPr="00162962">
        <w:t xml:space="preserve">, M., </w:t>
      </w:r>
      <w:proofErr w:type="spellStart"/>
      <w:r w:rsidRPr="00162962">
        <w:t>Garc</w:t>
      </w:r>
      <w:r w:rsidR="00E428A5">
        <w:t>í</w:t>
      </w:r>
      <w:r w:rsidRPr="00162962">
        <w:t>a</w:t>
      </w:r>
      <w:proofErr w:type="spellEnd"/>
      <w:r w:rsidRPr="00162962">
        <w:t xml:space="preserve"> </w:t>
      </w:r>
      <w:proofErr w:type="spellStart"/>
      <w:r w:rsidRPr="00162962">
        <w:t>Iriarte</w:t>
      </w:r>
      <w:proofErr w:type="spellEnd"/>
      <w:r w:rsidRPr="00162962">
        <w:t xml:space="preserve">, E., Buchner, T., Brooker, K., </w:t>
      </w:r>
      <w:proofErr w:type="spellStart"/>
      <w:r w:rsidRPr="00162962">
        <w:t>Embregts</w:t>
      </w:r>
      <w:proofErr w:type="spellEnd"/>
      <w:r w:rsidRPr="00162962">
        <w:t xml:space="preserve">, P., </w:t>
      </w:r>
      <w:proofErr w:type="spellStart"/>
      <w:r w:rsidRPr="00162962">
        <w:t>Joosa</w:t>
      </w:r>
      <w:proofErr w:type="spellEnd"/>
      <w:r w:rsidRPr="00162962">
        <w:t xml:space="preserve">, E., Crowther, F., Fudge </w:t>
      </w:r>
      <w:proofErr w:type="spellStart"/>
      <w:r w:rsidRPr="00162962">
        <w:t>Schormans</w:t>
      </w:r>
      <w:proofErr w:type="spellEnd"/>
      <w:r w:rsidRPr="00162962">
        <w:t xml:space="preserve">, A. and </w:t>
      </w:r>
      <w:proofErr w:type="spellStart"/>
      <w:r w:rsidRPr="00162962">
        <w:t>Schippers</w:t>
      </w:r>
      <w:proofErr w:type="spellEnd"/>
      <w:r w:rsidRPr="00162962">
        <w:t xml:space="preserve">, A. (2019a) ‘A consensus statement on how to conduct inclusive health research’, </w:t>
      </w:r>
      <w:r w:rsidRPr="00162962">
        <w:rPr>
          <w:b/>
        </w:rPr>
        <w:t>Journal of Intellectual Disability Research</w:t>
      </w:r>
      <w:r w:rsidRPr="00162962">
        <w:t xml:space="preserve">, 63(1), pp.1-11. Available at: </w:t>
      </w:r>
      <w:hyperlink r:id="rId71" w:history="1">
        <w:r w:rsidRPr="00162962">
          <w:rPr>
            <w:color w:val="0000FF"/>
            <w:u w:val="single"/>
          </w:rPr>
          <w:t>https://doi.org/10.1111/jir.12486</w:t>
        </w:r>
      </w:hyperlink>
      <w:r w:rsidRPr="00162962">
        <w:t xml:space="preserve"> [last accessed July 2022].</w:t>
      </w:r>
    </w:p>
    <w:p w14:paraId="56931F6B" w14:textId="77777777" w:rsidR="00162962" w:rsidRPr="00162962" w:rsidRDefault="00162962" w:rsidP="00162962">
      <w:proofErr w:type="spellStart"/>
      <w:r w:rsidRPr="00162962">
        <w:t>Frankena</w:t>
      </w:r>
      <w:proofErr w:type="spellEnd"/>
      <w:r w:rsidRPr="00162962">
        <w:t xml:space="preserve">, T.K., </w:t>
      </w:r>
      <w:proofErr w:type="spellStart"/>
      <w:r w:rsidRPr="00162962">
        <w:t>Naaldenberg</w:t>
      </w:r>
      <w:proofErr w:type="spellEnd"/>
      <w:r w:rsidRPr="00162962">
        <w:t xml:space="preserve">, J., Tobi, H., van der </w:t>
      </w:r>
      <w:proofErr w:type="spellStart"/>
      <w:r w:rsidRPr="00162962">
        <w:t>Cruijsen</w:t>
      </w:r>
      <w:proofErr w:type="spellEnd"/>
      <w:r w:rsidRPr="00162962">
        <w:t xml:space="preserve">, A., Jansen, H., van </w:t>
      </w:r>
      <w:proofErr w:type="spellStart"/>
      <w:r w:rsidRPr="00162962">
        <w:t>Schrojenstein</w:t>
      </w:r>
      <w:proofErr w:type="spellEnd"/>
      <w:r w:rsidRPr="00162962">
        <w:t xml:space="preserve"> </w:t>
      </w:r>
      <w:proofErr w:type="spellStart"/>
      <w:r w:rsidRPr="00162962">
        <w:t>Lantman</w:t>
      </w:r>
      <w:proofErr w:type="spellEnd"/>
      <w:r w:rsidRPr="00162962">
        <w:rPr>
          <w:rFonts w:ascii="Cambria Math" w:hAnsi="Cambria Math" w:cs="Cambria Math"/>
        </w:rPr>
        <w:t>‐</w:t>
      </w:r>
      <w:r w:rsidRPr="00162962">
        <w:t xml:space="preserve">de </w:t>
      </w:r>
      <w:proofErr w:type="spellStart"/>
      <w:r w:rsidRPr="00162962">
        <w:t>Valk</w:t>
      </w:r>
      <w:proofErr w:type="spellEnd"/>
      <w:r w:rsidRPr="00162962">
        <w:t xml:space="preserve">, H., </w:t>
      </w:r>
      <w:proofErr w:type="spellStart"/>
      <w:r w:rsidRPr="00162962">
        <w:t>Leusink</w:t>
      </w:r>
      <w:proofErr w:type="spellEnd"/>
      <w:r w:rsidRPr="00162962">
        <w:t xml:space="preserve">, G. and </w:t>
      </w:r>
      <w:proofErr w:type="spellStart"/>
      <w:r w:rsidRPr="00162962">
        <w:t>Cardol</w:t>
      </w:r>
      <w:proofErr w:type="spellEnd"/>
      <w:r w:rsidRPr="00162962">
        <w:t>, M. (2019b) ‘A membership categorization analysis of roles, activities and relationships in inclusive research conducted by co</w:t>
      </w:r>
      <w:r w:rsidRPr="00162962">
        <w:rPr>
          <w:rFonts w:ascii="Cambria Math" w:hAnsi="Cambria Math" w:cs="Cambria Math"/>
        </w:rPr>
        <w:t>‐</w:t>
      </w:r>
      <w:r w:rsidRPr="00162962">
        <w:t xml:space="preserve">researchers with intellectual disabilities’, </w:t>
      </w:r>
      <w:r w:rsidRPr="00162962">
        <w:rPr>
          <w:b/>
        </w:rPr>
        <w:t>Journal of Applied Research in Intellectual Disabilities</w:t>
      </w:r>
      <w:r w:rsidRPr="00162962">
        <w:t xml:space="preserve">, 32(3), pp.719-729. Available at: </w:t>
      </w:r>
      <w:hyperlink r:id="rId72" w:history="1">
        <w:r w:rsidRPr="00162962">
          <w:rPr>
            <w:color w:val="0000FF"/>
            <w:u w:val="single"/>
          </w:rPr>
          <w:t>https://doi.org/10.1111/jar.12567</w:t>
        </w:r>
      </w:hyperlink>
      <w:r w:rsidRPr="00162962">
        <w:t xml:space="preserve"> [last accessed July 2022].</w:t>
      </w:r>
    </w:p>
    <w:p w14:paraId="652921F6" w14:textId="77777777" w:rsidR="00162962" w:rsidRPr="00162962" w:rsidRDefault="00162962" w:rsidP="00162962">
      <w:proofErr w:type="spellStart"/>
      <w:r w:rsidRPr="00162962">
        <w:t>Frankena</w:t>
      </w:r>
      <w:proofErr w:type="spellEnd"/>
      <w:r w:rsidRPr="00162962">
        <w:t xml:space="preserve">, T.K., van </w:t>
      </w:r>
      <w:proofErr w:type="spellStart"/>
      <w:r w:rsidRPr="00162962">
        <w:t>Schrojenstein</w:t>
      </w:r>
      <w:proofErr w:type="spellEnd"/>
      <w:r w:rsidRPr="00162962">
        <w:t xml:space="preserve"> </w:t>
      </w:r>
      <w:proofErr w:type="spellStart"/>
      <w:r w:rsidRPr="00162962">
        <w:t>Lantman</w:t>
      </w:r>
      <w:proofErr w:type="spellEnd"/>
      <w:r w:rsidRPr="00162962">
        <w:t xml:space="preserve">–de </w:t>
      </w:r>
      <w:proofErr w:type="spellStart"/>
      <w:r w:rsidRPr="00162962">
        <w:t>Valk</w:t>
      </w:r>
      <w:proofErr w:type="spellEnd"/>
      <w:r w:rsidRPr="00162962">
        <w:t xml:space="preserve">, H., </w:t>
      </w:r>
      <w:proofErr w:type="spellStart"/>
      <w:r w:rsidRPr="00162962">
        <w:t>Cardol</w:t>
      </w:r>
      <w:proofErr w:type="spellEnd"/>
      <w:r w:rsidRPr="00162962">
        <w:t xml:space="preserve">, M., van der </w:t>
      </w:r>
      <w:proofErr w:type="spellStart"/>
      <w:r w:rsidRPr="00162962">
        <w:t>Cruijsen</w:t>
      </w:r>
      <w:proofErr w:type="spellEnd"/>
      <w:r w:rsidRPr="00162962">
        <w:t xml:space="preserve">, A., Jansen, H., </w:t>
      </w:r>
      <w:proofErr w:type="spellStart"/>
      <w:r w:rsidRPr="00162962">
        <w:t>Leusink</w:t>
      </w:r>
      <w:proofErr w:type="spellEnd"/>
      <w:r w:rsidRPr="00162962">
        <w:t xml:space="preserve">, G. and </w:t>
      </w:r>
      <w:proofErr w:type="spellStart"/>
      <w:r w:rsidRPr="00162962">
        <w:t>Naaldenberg</w:t>
      </w:r>
      <w:proofErr w:type="spellEnd"/>
      <w:r w:rsidRPr="00162962">
        <w:t xml:space="preserve">, J. (2019c) ‘Contributing to inclusive research policy and practice: a synthesis of four inclusive (Health) </w:t>
      </w:r>
      <w:r w:rsidRPr="00162962">
        <w:lastRenderedPageBreak/>
        <w:t xml:space="preserve">research projects’, </w:t>
      </w:r>
      <w:r w:rsidRPr="00162962">
        <w:rPr>
          <w:b/>
        </w:rPr>
        <w:t>Journal of Policy and Practice in Intellectual Disabilities</w:t>
      </w:r>
      <w:r w:rsidRPr="00162962">
        <w:t xml:space="preserve">, 16(4), pp.352-360. Available at: </w:t>
      </w:r>
      <w:hyperlink r:id="rId73" w:history="1">
        <w:r w:rsidRPr="00162962">
          <w:rPr>
            <w:color w:val="0000FF"/>
            <w:u w:val="single"/>
          </w:rPr>
          <w:t>https://doi.org/10.1111/jppi.12293</w:t>
        </w:r>
      </w:hyperlink>
      <w:r w:rsidRPr="00162962">
        <w:t xml:space="preserve"> [last accessed July 2022].</w:t>
      </w:r>
    </w:p>
    <w:p w14:paraId="7608CF41" w14:textId="77777777" w:rsidR="00162962" w:rsidRPr="00162962" w:rsidRDefault="00162962" w:rsidP="00162962">
      <w:pPr>
        <w:rPr>
          <w:color w:val="000000" w:themeColor="text1"/>
        </w:rPr>
      </w:pPr>
      <w:proofErr w:type="spellStart"/>
      <w:r w:rsidRPr="00162962">
        <w:t>Giebel</w:t>
      </w:r>
      <w:proofErr w:type="spellEnd"/>
      <w:r w:rsidRPr="00162962">
        <w:t xml:space="preserve">, C., Roe, B., Hodgson, A., Britt, D., Clarkson, P. and </w:t>
      </w:r>
      <w:proofErr w:type="spellStart"/>
      <w:r w:rsidRPr="00162962">
        <w:t>HoST</w:t>
      </w:r>
      <w:proofErr w:type="spellEnd"/>
      <w:r w:rsidRPr="00162962">
        <w:t xml:space="preserve">-D (Home Support in Dementia) Programme Management Group and Patient Public and Carer Involvement Groups (2019) ‘Effective public involvement in the </w:t>
      </w:r>
      <w:proofErr w:type="spellStart"/>
      <w:r w:rsidRPr="00162962">
        <w:t>HoST</w:t>
      </w:r>
      <w:proofErr w:type="spellEnd"/>
      <w:r w:rsidRPr="00162962">
        <w:t xml:space="preserve">-D Programme for dementia home care support: from proposal and design to methods of data collection (innovative practice)’, </w:t>
      </w:r>
      <w:r w:rsidRPr="00162962">
        <w:rPr>
          <w:b/>
        </w:rPr>
        <w:t>Dementia,</w:t>
      </w:r>
      <w:r w:rsidRPr="00162962">
        <w:t xml:space="preserve"> 18(7-8), pp.3173-3186. Available at: </w:t>
      </w:r>
      <w:hyperlink r:id="rId74" w:history="1">
        <w:r w:rsidRPr="00162962">
          <w:rPr>
            <w:color w:val="0000FF"/>
            <w:u w:val="single"/>
          </w:rPr>
          <w:t>https://doi.org/10.1177/1471301216687698</w:t>
        </w:r>
      </w:hyperlink>
      <w:r w:rsidRPr="00162962">
        <w:rPr>
          <w:color w:val="0000FF"/>
        </w:rPr>
        <w:t xml:space="preserve"> </w:t>
      </w:r>
      <w:r w:rsidRPr="00162962">
        <w:rPr>
          <w:color w:val="000000" w:themeColor="text1"/>
        </w:rPr>
        <w:t>[last accessed July 2022].</w:t>
      </w:r>
    </w:p>
    <w:p w14:paraId="4B03D83D" w14:textId="77777777" w:rsidR="00162962" w:rsidRPr="00162962" w:rsidRDefault="00162962" w:rsidP="00162962">
      <w:proofErr w:type="spellStart"/>
      <w:r w:rsidRPr="00162962">
        <w:t>Goeman</w:t>
      </w:r>
      <w:proofErr w:type="spellEnd"/>
      <w:r w:rsidRPr="00162962">
        <w:t xml:space="preserve">, D.P., </w:t>
      </w:r>
      <w:proofErr w:type="spellStart"/>
      <w:r w:rsidRPr="00162962">
        <w:t>Corlis</w:t>
      </w:r>
      <w:proofErr w:type="spellEnd"/>
      <w:r w:rsidRPr="00162962">
        <w:t xml:space="preserve">, M., </w:t>
      </w:r>
      <w:proofErr w:type="spellStart"/>
      <w:r w:rsidRPr="00162962">
        <w:t>Swaffer</w:t>
      </w:r>
      <w:proofErr w:type="spellEnd"/>
      <w:r w:rsidRPr="00162962">
        <w:t xml:space="preserve">, K., Jenner, V., Thompson, J.F., </w:t>
      </w:r>
      <w:proofErr w:type="spellStart"/>
      <w:r w:rsidRPr="00162962">
        <w:t>Renehan</w:t>
      </w:r>
      <w:proofErr w:type="spellEnd"/>
      <w:r w:rsidRPr="00162962">
        <w:t>, E. and Koch, S. (2019) ‘Partnering with people with dementia and their care partners, aged care service experts, policymakers and academics: a co</w:t>
      </w:r>
      <w:r w:rsidRPr="00162962">
        <w:rPr>
          <w:rFonts w:ascii="Cambria Math" w:hAnsi="Cambria Math" w:cs="Cambria Math"/>
        </w:rPr>
        <w:t>‐</w:t>
      </w:r>
      <w:r w:rsidRPr="00162962">
        <w:t xml:space="preserve">design process’. </w:t>
      </w:r>
      <w:r w:rsidRPr="00162962">
        <w:rPr>
          <w:b/>
        </w:rPr>
        <w:t>Australasian Journal on Ageing</w:t>
      </w:r>
      <w:r w:rsidRPr="00162962">
        <w:t xml:space="preserve">, 38, pp.53-58. Available at: </w:t>
      </w:r>
      <w:hyperlink r:id="rId75" w:history="1">
        <w:r w:rsidRPr="00162962">
          <w:rPr>
            <w:color w:val="0000FF"/>
            <w:u w:val="single"/>
          </w:rPr>
          <w:t>https://doi.org/10.1111/ajag.12635</w:t>
        </w:r>
      </w:hyperlink>
      <w:r w:rsidRPr="00162962">
        <w:t xml:space="preserve"> [last accessed July 2022].</w:t>
      </w:r>
    </w:p>
    <w:p w14:paraId="6D8B7E17" w14:textId="77777777" w:rsidR="00162962" w:rsidRPr="00162962" w:rsidRDefault="00162962" w:rsidP="00162962">
      <w:r w:rsidRPr="00162962">
        <w:t xml:space="preserve">Gómez, L.E., </w:t>
      </w:r>
      <w:proofErr w:type="spellStart"/>
      <w:r w:rsidRPr="00162962">
        <w:t>Monsalve</w:t>
      </w:r>
      <w:proofErr w:type="spellEnd"/>
      <w:r w:rsidRPr="00162962">
        <w:t xml:space="preserve">, A., </w:t>
      </w:r>
      <w:proofErr w:type="spellStart"/>
      <w:r w:rsidRPr="00162962">
        <w:t>Morán</w:t>
      </w:r>
      <w:proofErr w:type="spellEnd"/>
      <w:r w:rsidRPr="00162962">
        <w:t xml:space="preserve">, M.L., </w:t>
      </w:r>
      <w:proofErr w:type="spellStart"/>
      <w:r w:rsidRPr="00162962">
        <w:t>Alcedo</w:t>
      </w:r>
      <w:proofErr w:type="spellEnd"/>
      <w:r w:rsidRPr="00162962">
        <w:t xml:space="preserve">, M.Á., Lombardi, M. and </w:t>
      </w:r>
      <w:proofErr w:type="spellStart"/>
      <w:r w:rsidRPr="00162962">
        <w:t>Schalock</w:t>
      </w:r>
      <w:proofErr w:type="spellEnd"/>
      <w:r w:rsidRPr="00162962">
        <w:t xml:space="preserve">, R.L. (2020) ‘Measurable indicators of CRPD for people with intellectual and developmental disabilities within the quality of life framework’, </w:t>
      </w:r>
      <w:r w:rsidRPr="00162962">
        <w:rPr>
          <w:b/>
        </w:rPr>
        <w:t>International Journal of Environmental Research and Public Health</w:t>
      </w:r>
      <w:r w:rsidRPr="00162962">
        <w:t xml:space="preserve">, 17(14), p.5123. Available at: </w:t>
      </w:r>
      <w:hyperlink r:id="rId76" w:history="1">
        <w:r w:rsidRPr="00162962">
          <w:rPr>
            <w:color w:val="0000FF"/>
            <w:u w:val="single"/>
          </w:rPr>
          <w:t>https://doi.org/10.3390/ijerph17145123</w:t>
        </w:r>
      </w:hyperlink>
      <w:r w:rsidRPr="00162962">
        <w:t xml:space="preserve"> [last accessed July 2022].</w:t>
      </w:r>
    </w:p>
    <w:p w14:paraId="1B7121B5" w14:textId="77777777" w:rsidR="00162962" w:rsidRPr="00162962" w:rsidRDefault="00162962" w:rsidP="00162962">
      <w:proofErr w:type="spellStart"/>
      <w:r w:rsidRPr="00E428A5">
        <w:t>García</w:t>
      </w:r>
      <w:proofErr w:type="spellEnd"/>
      <w:r w:rsidRPr="00E428A5">
        <w:t xml:space="preserve"> </w:t>
      </w:r>
      <w:proofErr w:type="spellStart"/>
      <w:r w:rsidRPr="00E428A5">
        <w:t>Iriarte</w:t>
      </w:r>
      <w:proofErr w:type="spellEnd"/>
      <w:r w:rsidRPr="00E428A5">
        <w:t>, E., O'Brien, P. and Chadwick, D.</w:t>
      </w:r>
      <w:r w:rsidRPr="00162962">
        <w:t xml:space="preserve"> (2014). ‘Involving people with intellectual disabilities within research teams: lessons learned from an Irish experience’, </w:t>
      </w:r>
      <w:r w:rsidRPr="00162962">
        <w:rPr>
          <w:b/>
        </w:rPr>
        <w:t>Journal of Policy and Practice in Intellectual Disabilities</w:t>
      </w:r>
      <w:r w:rsidRPr="00162962">
        <w:t xml:space="preserve">, 11(2), pp.149-157. Available at: </w:t>
      </w:r>
      <w:hyperlink r:id="rId77" w:history="1">
        <w:r w:rsidRPr="00162962">
          <w:rPr>
            <w:color w:val="0000FF"/>
            <w:u w:val="single"/>
          </w:rPr>
          <w:t>https://doi.org/10.1111/jppi.12081</w:t>
        </w:r>
      </w:hyperlink>
      <w:r w:rsidRPr="00162962">
        <w:t xml:space="preserve"> [last accessed July 2022].</w:t>
      </w:r>
    </w:p>
    <w:p w14:paraId="5E26DF37" w14:textId="77777777" w:rsidR="00162962" w:rsidRPr="00162962" w:rsidRDefault="00162962" w:rsidP="00162962">
      <w:r w:rsidRPr="00483814">
        <w:t xml:space="preserve">Gould, R., Harris, S.P. and </w:t>
      </w:r>
      <w:proofErr w:type="spellStart"/>
      <w:r w:rsidRPr="00483814">
        <w:t>Fujiura</w:t>
      </w:r>
      <w:proofErr w:type="spellEnd"/>
      <w:r w:rsidRPr="00483814">
        <w:t>, G. (</w:t>
      </w:r>
      <w:r w:rsidRPr="00162962">
        <w:t xml:space="preserve">2017) ‘Systematic review and Knowledge Translation: A framework for synthesizing heterogeneous research evidence’, </w:t>
      </w:r>
      <w:r w:rsidRPr="00162962">
        <w:rPr>
          <w:b/>
        </w:rPr>
        <w:t>Work</w:t>
      </w:r>
      <w:r w:rsidRPr="00162962">
        <w:t xml:space="preserve">, 57(4), pp.485-499. Available from: </w:t>
      </w:r>
      <w:hyperlink r:id="rId78" w:history="1">
        <w:r w:rsidRPr="00162962">
          <w:rPr>
            <w:color w:val="0000FF"/>
            <w:u w:val="single"/>
          </w:rPr>
          <w:t>https://doin.org/10.3233/WOR-172577</w:t>
        </w:r>
      </w:hyperlink>
      <w:r w:rsidRPr="00162962">
        <w:t xml:space="preserve"> [last accessed July 2022].</w:t>
      </w:r>
    </w:p>
    <w:p w14:paraId="144E1F3E" w14:textId="77777777" w:rsidR="00162962" w:rsidRPr="00162962" w:rsidRDefault="00162962" w:rsidP="00162962">
      <w:r w:rsidRPr="00162962">
        <w:t xml:space="preserve">Gove, D., Diaz-Ponce, A., Georges, J., Moniz-Cook, E., Mountain, G., </w:t>
      </w:r>
      <w:proofErr w:type="spellStart"/>
      <w:r w:rsidRPr="00162962">
        <w:t>Chattat</w:t>
      </w:r>
      <w:proofErr w:type="spellEnd"/>
      <w:r w:rsidRPr="00162962">
        <w:t xml:space="preserve">, R., </w:t>
      </w:r>
      <w:proofErr w:type="spellStart"/>
      <w:r w:rsidRPr="00162962">
        <w:t>Øksnebjerg</w:t>
      </w:r>
      <w:proofErr w:type="spellEnd"/>
      <w:r w:rsidRPr="00162962">
        <w:t xml:space="preserve">, L. and European Working Group of People with Dementia (2018) ‘Alzheimer Europe's position on involving people with dementia in research through PPI (patient and public involvement)’, </w:t>
      </w:r>
      <w:r w:rsidRPr="00162962">
        <w:rPr>
          <w:b/>
        </w:rPr>
        <w:t>Aging &amp; Mental Health</w:t>
      </w:r>
      <w:r w:rsidRPr="00162962">
        <w:t xml:space="preserve">, 22(6), pp.723-729. Available from: </w:t>
      </w:r>
      <w:hyperlink r:id="rId79" w:history="1">
        <w:r w:rsidRPr="00162962">
          <w:rPr>
            <w:color w:val="0000FF"/>
            <w:u w:val="single"/>
          </w:rPr>
          <w:t>https://doi.org/10.1080/13607863.2017.1317334</w:t>
        </w:r>
      </w:hyperlink>
      <w:r w:rsidRPr="00162962">
        <w:t xml:space="preserve"> [last accessed July 2022]</w:t>
      </w:r>
    </w:p>
    <w:p w14:paraId="14115455" w14:textId="77777777" w:rsidR="00162962" w:rsidRPr="00162962" w:rsidRDefault="00162962" w:rsidP="00162962">
      <w:proofErr w:type="spellStart"/>
      <w:r w:rsidRPr="00162962">
        <w:t>Gratton</w:t>
      </w:r>
      <w:proofErr w:type="spellEnd"/>
      <w:r w:rsidRPr="00162962">
        <w:t xml:space="preserve">, N. (2020) ‘People with learning disabilities and access to mainstream arts and culture: a participatory action research approach’, </w:t>
      </w:r>
      <w:r w:rsidRPr="00162962">
        <w:rPr>
          <w:b/>
        </w:rPr>
        <w:t xml:space="preserve">British Journal of </w:t>
      </w:r>
      <w:r w:rsidRPr="00162962">
        <w:rPr>
          <w:b/>
        </w:rPr>
        <w:lastRenderedPageBreak/>
        <w:t>Learning Disabilities</w:t>
      </w:r>
      <w:r w:rsidRPr="00162962">
        <w:t xml:space="preserve">, 48(2), pp.106-114. Available at: </w:t>
      </w:r>
      <w:hyperlink r:id="rId80" w:history="1">
        <w:r w:rsidRPr="00162962">
          <w:rPr>
            <w:color w:val="0000FF"/>
            <w:u w:val="single"/>
          </w:rPr>
          <w:t>https://doi.org/10.1111/bld.12303</w:t>
        </w:r>
      </w:hyperlink>
      <w:r w:rsidRPr="00162962">
        <w:t xml:space="preserve"> [last accessed July 2022].</w:t>
      </w:r>
    </w:p>
    <w:p w14:paraId="77DD0D4D" w14:textId="77777777" w:rsidR="00162962" w:rsidRPr="00162962" w:rsidRDefault="00162962" w:rsidP="00162962">
      <w:r w:rsidRPr="00162962">
        <w:t xml:space="preserve">Green, S.A., Evans, L., Matthews, R., </w:t>
      </w:r>
      <w:proofErr w:type="spellStart"/>
      <w:r w:rsidRPr="00162962">
        <w:t>Jayacodi</w:t>
      </w:r>
      <w:proofErr w:type="spellEnd"/>
      <w:r w:rsidRPr="00162962">
        <w:t xml:space="preserve">, S., Trite, J., </w:t>
      </w:r>
      <w:proofErr w:type="spellStart"/>
      <w:r w:rsidRPr="00162962">
        <w:t>Manickam</w:t>
      </w:r>
      <w:proofErr w:type="spellEnd"/>
      <w:r w:rsidRPr="00162962">
        <w:t xml:space="preserve">, A., </w:t>
      </w:r>
      <w:proofErr w:type="spellStart"/>
      <w:r w:rsidRPr="00162962">
        <w:t>Evered</w:t>
      </w:r>
      <w:proofErr w:type="spellEnd"/>
      <w:r w:rsidRPr="00162962">
        <w:t xml:space="preserve">, R., Green, J., Williams, J., Beveridge, E. and Parker, C. (2016) ‘Service user engagement in quality improvement: applying the national involvement standards’, </w:t>
      </w:r>
      <w:r w:rsidRPr="00162962">
        <w:rPr>
          <w:b/>
        </w:rPr>
        <w:t>The Journal of Mental Health Training, Education and Practice</w:t>
      </w:r>
      <w:r w:rsidRPr="00162962">
        <w:t xml:space="preserve">. Available from: </w:t>
      </w:r>
      <w:hyperlink r:id="rId81" w:history="1">
        <w:r w:rsidRPr="00162962">
          <w:rPr>
            <w:color w:val="0000FF"/>
            <w:u w:val="single"/>
          </w:rPr>
          <w:t>https://doi.org/10.1108/JMHTEP-02-2016-0011</w:t>
        </w:r>
      </w:hyperlink>
      <w:r w:rsidRPr="00162962">
        <w:t xml:space="preserve"> [last accessed July 2022].</w:t>
      </w:r>
    </w:p>
    <w:p w14:paraId="76544DA9" w14:textId="77777777" w:rsidR="00162962" w:rsidRPr="00162962" w:rsidRDefault="00162962" w:rsidP="00162962">
      <w:proofErr w:type="spellStart"/>
      <w:r w:rsidRPr="00162962">
        <w:t>Hamidi</w:t>
      </w:r>
      <w:proofErr w:type="spellEnd"/>
      <w:r w:rsidRPr="00162962">
        <w:t xml:space="preserve">, F., </w:t>
      </w:r>
      <w:proofErr w:type="spellStart"/>
      <w:r w:rsidRPr="00162962">
        <w:t>Baljko</w:t>
      </w:r>
      <w:proofErr w:type="spellEnd"/>
      <w:r w:rsidRPr="00162962">
        <w:t xml:space="preserve">, M., </w:t>
      </w:r>
      <w:proofErr w:type="spellStart"/>
      <w:r w:rsidRPr="00162962">
        <w:t>Ecomomopoulos</w:t>
      </w:r>
      <w:proofErr w:type="spellEnd"/>
      <w:r w:rsidRPr="00162962">
        <w:t xml:space="preserve">, C., Livingston, N.J. and </w:t>
      </w:r>
      <w:proofErr w:type="spellStart"/>
      <w:r w:rsidRPr="00162962">
        <w:t>Spalteholz</w:t>
      </w:r>
      <w:proofErr w:type="spellEnd"/>
      <w:r w:rsidRPr="00162962">
        <w:t>, L.G. (2015) ‘Co-designing a speech interface for people with dysarthria’</w:t>
      </w:r>
      <w:r w:rsidRPr="00162962">
        <w:rPr>
          <w:b/>
        </w:rPr>
        <w:t>. Journal of Assistive Technologies</w:t>
      </w:r>
      <w:r w:rsidRPr="00162962">
        <w:t xml:space="preserve">. Available at: </w:t>
      </w:r>
      <w:hyperlink r:id="rId82" w:history="1">
        <w:r w:rsidRPr="00162962">
          <w:rPr>
            <w:color w:val="0000FF"/>
            <w:u w:val="single"/>
          </w:rPr>
          <w:t>https://doi.org/10.1108/JAT-10-2014-0026</w:t>
        </w:r>
      </w:hyperlink>
      <w:r w:rsidRPr="00162962">
        <w:t xml:space="preserve"> [last accessed July 2022].</w:t>
      </w:r>
    </w:p>
    <w:p w14:paraId="1B3454FE" w14:textId="77777777" w:rsidR="00162962" w:rsidRPr="00162962" w:rsidRDefault="00162962" w:rsidP="00162962">
      <w:r w:rsidRPr="00162962">
        <w:t xml:space="preserve">Hanley, B., </w:t>
      </w:r>
      <w:proofErr w:type="spellStart"/>
      <w:r w:rsidRPr="00162962">
        <w:t>Bradburn</w:t>
      </w:r>
      <w:proofErr w:type="spellEnd"/>
      <w:r w:rsidRPr="00162962">
        <w:t xml:space="preserve">, J., Barnes, M., Evans, C, </w:t>
      </w:r>
      <w:proofErr w:type="spellStart"/>
      <w:r w:rsidRPr="00162962">
        <w:t>Goodare</w:t>
      </w:r>
      <w:proofErr w:type="spellEnd"/>
      <w:r w:rsidRPr="00162962">
        <w:t xml:space="preserve">, H., </w:t>
      </w:r>
      <w:proofErr w:type="spellStart"/>
      <w:r w:rsidRPr="00162962">
        <w:t>Kelson</w:t>
      </w:r>
      <w:proofErr w:type="spellEnd"/>
      <w:r w:rsidRPr="00162962">
        <w:t xml:space="preserve">, M., Kent, Oliver, S., Thomas, S. and </w:t>
      </w:r>
      <w:proofErr w:type="spellStart"/>
      <w:r w:rsidRPr="00162962">
        <w:t>Wallcraft</w:t>
      </w:r>
      <w:proofErr w:type="spellEnd"/>
      <w:r w:rsidRPr="00162962">
        <w:t xml:space="preserve">, J. (2004) ‘Involving the public in NHS’, </w:t>
      </w:r>
      <w:r w:rsidRPr="00162962">
        <w:rPr>
          <w:b/>
        </w:rPr>
        <w:t>Public Health and Social Care Research: Briefing Notes for Researchers</w:t>
      </w:r>
      <w:r w:rsidRPr="00162962">
        <w:t xml:space="preserve">, Eastleigh. Available at: </w:t>
      </w:r>
      <w:hyperlink r:id="rId83" w:history="1">
        <w:r w:rsidRPr="00162962">
          <w:rPr>
            <w:color w:val="0000FF"/>
            <w:u w:val="single"/>
          </w:rPr>
          <w:t>https://www.cerrisweb.com/wp-content/uploads/Recherche-participative-Hanley.pdf</w:t>
        </w:r>
      </w:hyperlink>
      <w:r w:rsidRPr="00162962">
        <w:t xml:space="preserve"> [last accessed July 2022].</w:t>
      </w:r>
    </w:p>
    <w:p w14:paraId="41AD4CD8" w14:textId="49B5EA5B" w:rsidR="00162962" w:rsidRPr="00162962" w:rsidRDefault="00162962" w:rsidP="00162962">
      <w:r w:rsidRPr="00162962">
        <w:t xml:space="preserve">Hartley, S.D., Yousafzai, A.K., </w:t>
      </w:r>
      <w:proofErr w:type="spellStart"/>
      <w:r w:rsidRPr="00162962">
        <w:t>Kaahwa</w:t>
      </w:r>
      <w:proofErr w:type="spellEnd"/>
      <w:r w:rsidRPr="00162962">
        <w:t xml:space="preserve">, M.G., </w:t>
      </w:r>
      <w:proofErr w:type="spellStart"/>
      <w:r w:rsidRPr="00162962">
        <w:t>Finkenflügel</w:t>
      </w:r>
      <w:proofErr w:type="spellEnd"/>
      <w:r w:rsidRPr="00162962">
        <w:t xml:space="preserve">, H., Wade, A., </w:t>
      </w:r>
      <w:proofErr w:type="spellStart"/>
      <w:r w:rsidRPr="00162962">
        <w:t>Bazirake</w:t>
      </w:r>
      <w:proofErr w:type="spellEnd"/>
      <w:r w:rsidRPr="00162962">
        <w:t xml:space="preserve">, G., </w:t>
      </w:r>
      <w:proofErr w:type="spellStart"/>
      <w:r w:rsidRPr="00162962">
        <w:t>Drachler</w:t>
      </w:r>
      <w:proofErr w:type="spellEnd"/>
      <w:r w:rsidRPr="00162962">
        <w:t xml:space="preserve">, M.D.L., Seeley, J., </w:t>
      </w:r>
      <w:proofErr w:type="spellStart"/>
      <w:r w:rsidRPr="00162962">
        <w:t>Alavi</w:t>
      </w:r>
      <w:proofErr w:type="spellEnd"/>
      <w:r w:rsidRPr="00162962">
        <w:t xml:space="preserve">, Y., </w:t>
      </w:r>
      <w:proofErr w:type="spellStart"/>
      <w:r w:rsidRPr="00162962">
        <w:t>Mataze</w:t>
      </w:r>
      <w:proofErr w:type="spellEnd"/>
      <w:r w:rsidRPr="00162962">
        <w:t xml:space="preserve">, W. and </w:t>
      </w:r>
      <w:proofErr w:type="spellStart"/>
      <w:r w:rsidRPr="00162962">
        <w:t>Mucuriguzi</w:t>
      </w:r>
      <w:proofErr w:type="spellEnd"/>
      <w:r w:rsidRPr="00162962">
        <w:t xml:space="preserve">, E. (2017) ‘Community action research in disability (CARD): An inclusive research programme in Uganda’, </w:t>
      </w:r>
      <w:r w:rsidRPr="00162962">
        <w:rPr>
          <w:b/>
        </w:rPr>
        <w:t>Asia Pacific Disability Rehabilitation Journal</w:t>
      </w:r>
      <w:r w:rsidRPr="00162962">
        <w:t xml:space="preserve">, 28(1), pp.5-92. Available at: </w:t>
      </w:r>
      <w:hyperlink r:id="rId84" w:history="1">
        <w:r w:rsidRPr="00162962">
          <w:rPr>
            <w:color w:val="0000FF"/>
            <w:u w:val="single"/>
          </w:rPr>
          <w:t>https://doi.org/10.5463/DCID.v28i1.630</w:t>
        </w:r>
      </w:hyperlink>
      <w:r w:rsidRPr="00162962">
        <w:t xml:space="preserve"> [last accessed July 2022]. </w:t>
      </w:r>
    </w:p>
    <w:p w14:paraId="3069D9A1" w14:textId="62EC7C59" w:rsidR="00162962" w:rsidRPr="00162962" w:rsidRDefault="00162962" w:rsidP="00162962">
      <w:r w:rsidRPr="00162962">
        <w:t xml:space="preserve">Haya </w:t>
      </w:r>
      <w:proofErr w:type="spellStart"/>
      <w:r w:rsidRPr="00162962">
        <w:t>Salmón</w:t>
      </w:r>
      <w:proofErr w:type="spellEnd"/>
      <w:r w:rsidRPr="00162962">
        <w:t xml:space="preserve">, I. and Rojas </w:t>
      </w:r>
      <w:proofErr w:type="spellStart"/>
      <w:r w:rsidRPr="00162962">
        <w:t>Pernia</w:t>
      </w:r>
      <w:proofErr w:type="spellEnd"/>
      <w:r w:rsidRPr="00162962">
        <w:t xml:space="preserve">, S. (2021) ‘Building a research team and selecting a research topic within the process of an inclusive research project in Spain’, </w:t>
      </w:r>
      <w:r w:rsidRPr="00162962">
        <w:rPr>
          <w:b/>
        </w:rPr>
        <w:t>Journal of Applied Research in Intellectual Disabilities</w:t>
      </w:r>
      <w:r w:rsidRPr="00162962">
        <w:t xml:space="preserve">, 34(3), pp.742-751. Available at: </w:t>
      </w:r>
      <w:hyperlink r:id="rId85" w:history="1">
        <w:r w:rsidRPr="00162962">
          <w:rPr>
            <w:color w:val="0000FF"/>
            <w:u w:val="single"/>
          </w:rPr>
          <w:t>https://doi.org/10.1111/jar.12848</w:t>
        </w:r>
      </w:hyperlink>
      <w:r w:rsidRPr="00162962">
        <w:t xml:space="preserve"> [last accessed July 2022]. </w:t>
      </w:r>
    </w:p>
    <w:p w14:paraId="67CEC330" w14:textId="6C51C09C" w:rsidR="00162962" w:rsidRPr="00162962" w:rsidRDefault="00162962" w:rsidP="00162962">
      <w:r w:rsidRPr="00162962">
        <w:t xml:space="preserve">Heffron, J.L., </w:t>
      </w:r>
      <w:proofErr w:type="spellStart"/>
      <w:r w:rsidRPr="00162962">
        <w:t>Spassiani</w:t>
      </w:r>
      <w:proofErr w:type="spellEnd"/>
      <w:r w:rsidRPr="00162962">
        <w:t xml:space="preserve">, N.A., Angell, A.M. and </w:t>
      </w:r>
      <w:proofErr w:type="spellStart"/>
      <w:r w:rsidRPr="00162962">
        <w:t>Hammel</w:t>
      </w:r>
      <w:proofErr w:type="spellEnd"/>
      <w:r w:rsidRPr="00162962">
        <w:t xml:space="preserve">, J. (2018) ‘Using </w:t>
      </w:r>
      <w:proofErr w:type="spellStart"/>
      <w:r w:rsidRPr="00162962">
        <w:t>photovoice</w:t>
      </w:r>
      <w:proofErr w:type="spellEnd"/>
      <w:r w:rsidRPr="00162962">
        <w:t xml:space="preserve"> as a participatory method to identify and strategize community participation with people with intellectual and developmental disabilities’, </w:t>
      </w:r>
      <w:r w:rsidRPr="00162962">
        <w:rPr>
          <w:b/>
        </w:rPr>
        <w:t>Scandinavian Journal Of Occupational Therapy</w:t>
      </w:r>
      <w:r w:rsidRPr="00162962">
        <w:t xml:space="preserve">, 25(5), pp.382-395. Available at: </w:t>
      </w:r>
      <w:hyperlink r:id="rId86" w:history="1">
        <w:r w:rsidRPr="00162962">
          <w:rPr>
            <w:color w:val="0000FF"/>
            <w:u w:val="single"/>
          </w:rPr>
          <w:t>https://doi.org/10.1080/11038128.2018.1502350</w:t>
        </w:r>
      </w:hyperlink>
      <w:r w:rsidR="00EF2329">
        <w:t xml:space="preserve"> [last accessed July 2022]. </w:t>
      </w:r>
    </w:p>
    <w:p w14:paraId="0222F024" w14:textId="256B53A0" w:rsidR="00162962" w:rsidRPr="00162962" w:rsidRDefault="00162962" w:rsidP="00162962">
      <w:proofErr w:type="spellStart"/>
      <w:r w:rsidRPr="00115FCA">
        <w:t>Hellzen</w:t>
      </w:r>
      <w:proofErr w:type="spellEnd"/>
      <w:r w:rsidRPr="00115FCA">
        <w:t xml:space="preserve">, O., </w:t>
      </w:r>
      <w:proofErr w:type="spellStart"/>
      <w:r w:rsidRPr="00115FCA">
        <w:t>Haugenes</w:t>
      </w:r>
      <w:proofErr w:type="spellEnd"/>
      <w:r w:rsidRPr="00115FCA">
        <w:t xml:space="preserve">, M. and </w:t>
      </w:r>
      <w:proofErr w:type="spellStart"/>
      <w:r w:rsidRPr="00115FCA">
        <w:t>Østby</w:t>
      </w:r>
      <w:proofErr w:type="spellEnd"/>
      <w:r w:rsidRPr="00115FCA">
        <w:t>, M. (2018) ‘It’s my home and your work’: the views of a filmed vignette describing</w:t>
      </w:r>
      <w:r w:rsidRPr="00162962">
        <w:t xml:space="preserve"> a challenging everyday situation from the perspective of people with intellectual disabilities’, </w:t>
      </w:r>
      <w:r w:rsidRPr="00162962">
        <w:rPr>
          <w:b/>
        </w:rPr>
        <w:t xml:space="preserve">International Journal of </w:t>
      </w:r>
      <w:r w:rsidRPr="00162962">
        <w:rPr>
          <w:b/>
        </w:rPr>
        <w:lastRenderedPageBreak/>
        <w:t>Qualitative Studies on Health and Well-Being</w:t>
      </w:r>
      <w:r w:rsidRPr="00162962">
        <w:t xml:space="preserve">, 13(1), p.1468198. Available at: </w:t>
      </w:r>
      <w:hyperlink r:id="rId87" w:history="1">
        <w:r w:rsidRPr="00162962">
          <w:rPr>
            <w:color w:val="0000FF"/>
            <w:u w:val="single"/>
          </w:rPr>
          <w:t>https://doi.org/10.1080/17482631.2018.1468198</w:t>
        </w:r>
      </w:hyperlink>
      <w:r w:rsidRPr="00162962">
        <w:t xml:space="preserve"> [last accessed July 2022]. </w:t>
      </w:r>
    </w:p>
    <w:p w14:paraId="1163578B" w14:textId="2173ED2E" w:rsidR="00162962" w:rsidRPr="00162962" w:rsidRDefault="00162962" w:rsidP="00162962">
      <w:r w:rsidRPr="00154A3D">
        <w:t>Herron, D., Priest, H., &amp; Read, S</w:t>
      </w:r>
      <w:r w:rsidRPr="00162962">
        <w:t xml:space="preserve">. (2015) ‘Working alongside older people with a learning disability: informing and shaping research design’, </w:t>
      </w:r>
      <w:r w:rsidRPr="00162962">
        <w:rPr>
          <w:b/>
        </w:rPr>
        <w:t>British Journal of Learning Disabilities</w:t>
      </w:r>
      <w:r w:rsidRPr="00162962">
        <w:t xml:space="preserve">, 43, 261–269. </w:t>
      </w:r>
      <w:hyperlink r:id="rId88" w:history="1">
        <w:r w:rsidRPr="00162962">
          <w:rPr>
            <w:color w:val="0000FF"/>
            <w:u w:val="single"/>
          </w:rPr>
          <w:t>https://doi.org/10.1111/bld.12147</w:t>
        </w:r>
      </w:hyperlink>
      <w:r w:rsidRPr="00162962">
        <w:t xml:space="preserve"> [last accessed July 2022]. </w:t>
      </w:r>
    </w:p>
    <w:p w14:paraId="2B222766" w14:textId="775EBF32" w:rsidR="00162962" w:rsidRPr="00162962" w:rsidRDefault="00162962" w:rsidP="00162962">
      <w:proofErr w:type="spellStart"/>
      <w:r w:rsidRPr="00162962">
        <w:t>Hersch</w:t>
      </w:r>
      <w:proofErr w:type="spellEnd"/>
      <w:r w:rsidRPr="00162962">
        <w:t xml:space="preserve">, M., </w:t>
      </w:r>
      <w:proofErr w:type="spellStart"/>
      <w:r w:rsidRPr="00162962">
        <w:t>Elley</w:t>
      </w:r>
      <w:proofErr w:type="spellEnd"/>
      <w:r w:rsidRPr="00162962">
        <w:t xml:space="preserve">, S., Watson, C., </w:t>
      </w:r>
      <w:proofErr w:type="spellStart"/>
      <w:r w:rsidRPr="00162962">
        <w:t>Mery</w:t>
      </w:r>
      <w:proofErr w:type="spellEnd"/>
      <w:r w:rsidRPr="00162962">
        <w:t xml:space="preserve">, P., David, M.D. and Cowan, Z.B. (2020) ‘An </w:t>
      </w:r>
      <w:proofErr w:type="spellStart"/>
      <w:r w:rsidRPr="00162962">
        <w:t>Auternative</w:t>
      </w:r>
      <w:proofErr w:type="spellEnd"/>
      <w:r w:rsidRPr="00162962">
        <w:t xml:space="preserve"> Research Project: Strategies, Barriers, Good Practice and Recommendations–Results from Questionnaire’. Available at: </w:t>
      </w:r>
      <w:hyperlink r:id="rId89" w:history="1">
        <w:r w:rsidRPr="00162962">
          <w:rPr>
            <w:color w:val="0000FF"/>
            <w:u w:val="single"/>
          </w:rPr>
          <w:t>https://www.drilluk.org.uk/wp-content/uploads/2020/07/Barriers-faced-by-autistic-people.pdf</w:t>
        </w:r>
      </w:hyperlink>
      <w:r w:rsidRPr="00162962">
        <w:t xml:space="preserve"> [last accessed July 2022]. </w:t>
      </w:r>
    </w:p>
    <w:p w14:paraId="584E2B80" w14:textId="0E852BF9" w:rsidR="00162962" w:rsidRPr="00162962" w:rsidRDefault="00162962" w:rsidP="00162962">
      <w:r w:rsidRPr="00162962">
        <w:t xml:space="preserve">Holliman, R., Adams, A., Blackman, T., Collins, T., Davies, G., </w:t>
      </w:r>
      <w:proofErr w:type="spellStart"/>
      <w:r w:rsidRPr="00162962">
        <w:t>Dibb</w:t>
      </w:r>
      <w:proofErr w:type="spellEnd"/>
      <w:r w:rsidRPr="00162962">
        <w:t xml:space="preserve">, S., Grand, A., </w:t>
      </w:r>
      <w:proofErr w:type="spellStart"/>
      <w:r w:rsidRPr="00162962">
        <w:t>Holti</w:t>
      </w:r>
      <w:proofErr w:type="spellEnd"/>
      <w:r w:rsidRPr="00162962">
        <w:t xml:space="preserve">, R., </w:t>
      </w:r>
      <w:proofErr w:type="spellStart"/>
      <w:r w:rsidRPr="00162962">
        <w:t>Mckerlie</w:t>
      </w:r>
      <w:proofErr w:type="spellEnd"/>
      <w:r w:rsidRPr="00162962">
        <w:t xml:space="preserve">, F., </w:t>
      </w:r>
      <w:proofErr w:type="spellStart"/>
      <w:r w:rsidRPr="00162962">
        <w:t>Mahony</w:t>
      </w:r>
      <w:proofErr w:type="spellEnd"/>
      <w:r w:rsidRPr="00162962">
        <w:t xml:space="preserve">, N., and </w:t>
      </w:r>
      <w:proofErr w:type="spellStart"/>
      <w:r w:rsidRPr="00162962">
        <w:t>Wissenburg</w:t>
      </w:r>
      <w:proofErr w:type="spellEnd"/>
      <w:r w:rsidRPr="00162962">
        <w:t xml:space="preserve">, A. eds. (2015) An Open Research University. Milton Keynes: The Open University. Available at: </w:t>
      </w:r>
      <w:hyperlink r:id="rId90" w:history="1">
        <w:r w:rsidRPr="00162962">
          <w:rPr>
            <w:color w:val="0000FF"/>
            <w:u w:val="single"/>
          </w:rPr>
          <w:t>http://oro.open.ac.uk/44255/</w:t>
        </w:r>
      </w:hyperlink>
      <w:r w:rsidR="00EF2329">
        <w:t xml:space="preserve"> [last accessed July 2022]. </w:t>
      </w:r>
    </w:p>
    <w:p w14:paraId="49E7B739" w14:textId="18C6DB84" w:rsidR="00162962" w:rsidRPr="00162962" w:rsidRDefault="00162962" w:rsidP="00162962">
      <w:r w:rsidRPr="00154A3D">
        <w:t>Hollinrake, S., Spencer, S. and Dix, G.</w:t>
      </w:r>
      <w:r w:rsidRPr="00162962">
        <w:t xml:space="preserve"> (2019) ‘Disabled citizens as researchers–Challenges and benefits of collaboration for effective action and change’, </w:t>
      </w:r>
      <w:r w:rsidRPr="00162962">
        <w:rPr>
          <w:b/>
        </w:rPr>
        <w:t>European Journal of Social Work</w:t>
      </w:r>
      <w:r w:rsidRPr="00162962">
        <w:t xml:space="preserve">, 22(5), pp.749-762. Available at: </w:t>
      </w:r>
      <w:hyperlink r:id="rId91" w:history="1">
        <w:r w:rsidRPr="00162962">
          <w:rPr>
            <w:color w:val="0000FF"/>
            <w:u w:val="single"/>
          </w:rPr>
          <w:t>https://doi.org/10.1080/13691457.2018.1564736</w:t>
        </w:r>
      </w:hyperlink>
      <w:r w:rsidR="00EF2329">
        <w:t xml:space="preserve"> [last accessed July 2022].</w:t>
      </w:r>
      <w:r w:rsidRPr="00162962">
        <w:t xml:space="preserve"> </w:t>
      </w:r>
    </w:p>
    <w:p w14:paraId="596CEADC" w14:textId="68E83C46" w:rsidR="00162962" w:rsidRPr="00162962" w:rsidRDefault="00162962" w:rsidP="00162962">
      <w:r w:rsidRPr="00162962">
        <w:t xml:space="preserve">Howe, A. (2018) ‘Principles of patient and public involvement in primary care research, applied to mental health research. A keynote paper from the EGPRN Autumn Conference 2017 in Dublin’, </w:t>
      </w:r>
      <w:r w:rsidRPr="00162962">
        <w:rPr>
          <w:b/>
        </w:rPr>
        <w:t>European Journal of General Practice</w:t>
      </w:r>
      <w:r w:rsidRPr="00162962">
        <w:t xml:space="preserve">, 24(1), pp.167-170. Available at: </w:t>
      </w:r>
      <w:hyperlink r:id="rId92" w:history="1">
        <w:r w:rsidRPr="00162962">
          <w:rPr>
            <w:color w:val="0000FF"/>
            <w:u w:val="single"/>
          </w:rPr>
          <w:t>https://doi.org/10.1080/13814788.2018.1470620</w:t>
        </w:r>
      </w:hyperlink>
      <w:r w:rsidR="00EF2329">
        <w:t xml:space="preserve"> [last accessed July 2022]. </w:t>
      </w:r>
    </w:p>
    <w:p w14:paraId="427ADC01" w14:textId="68E7970E" w:rsidR="00162962" w:rsidRPr="00162962" w:rsidRDefault="00162962" w:rsidP="00162962">
      <w:r w:rsidRPr="00162962">
        <w:t xml:space="preserve">Mann, J. and Hung, L. (2019) ‘Co-research with people living with dementia for change’, </w:t>
      </w:r>
      <w:r w:rsidRPr="00162962">
        <w:rPr>
          <w:b/>
        </w:rPr>
        <w:t>Action Research</w:t>
      </w:r>
      <w:r w:rsidRPr="00162962">
        <w:t xml:space="preserve">, 17(4), pp.573-590. Available at: </w:t>
      </w:r>
      <w:hyperlink r:id="rId93" w:history="1">
        <w:r w:rsidRPr="00162962">
          <w:rPr>
            <w:color w:val="0000FF"/>
            <w:u w:val="single"/>
          </w:rPr>
          <w:t>https://doi.org/10.1177/1476750318787005</w:t>
        </w:r>
      </w:hyperlink>
      <w:r w:rsidRPr="00162962">
        <w:t xml:space="preserve"> [last accessed July </w:t>
      </w:r>
      <w:r w:rsidR="00EF2329">
        <w:t>2022].</w:t>
      </w:r>
    </w:p>
    <w:p w14:paraId="7E56E348" w14:textId="140D2ED8" w:rsidR="00162962" w:rsidRPr="00162962" w:rsidRDefault="00162962" w:rsidP="00162962">
      <w:pPr>
        <w:rPr>
          <w:color w:val="0000FF"/>
          <w:u w:val="single"/>
        </w:rPr>
      </w:pPr>
      <w:r w:rsidRPr="00162962">
        <w:t xml:space="preserve">Inclusion Ireland (2013) ‘Intellectual disability causes and prevention: your questions answered’, Dublin: Inclusion Ireland. Available at: </w:t>
      </w:r>
      <w:hyperlink r:id="rId94" w:history="1">
        <w:r w:rsidRPr="00162962">
          <w:rPr>
            <w:color w:val="0000FF"/>
            <w:u w:val="single"/>
          </w:rPr>
          <w:t>https://inclusionireland.ie/wp-content/uploads/2020/11/causesandpreventionbooklet.pdf</w:t>
        </w:r>
      </w:hyperlink>
      <w:r w:rsidRPr="00162962">
        <w:t xml:space="preserve"> </w:t>
      </w:r>
      <w:r w:rsidRPr="00162962">
        <w:rPr>
          <w:color w:val="000000" w:themeColor="text1"/>
        </w:rPr>
        <w:t>[last accessed July 2022].</w:t>
      </w:r>
      <w:r w:rsidRPr="00162962">
        <w:rPr>
          <w:color w:val="000000" w:themeColor="text1"/>
          <w:u w:val="single"/>
        </w:rPr>
        <w:t xml:space="preserve"> </w:t>
      </w:r>
    </w:p>
    <w:p w14:paraId="665A47F3" w14:textId="53A701C3" w:rsidR="00162962" w:rsidRPr="00162962" w:rsidRDefault="00162962" w:rsidP="00162962">
      <w:pPr>
        <w:rPr>
          <w:color w:val="000000" w:themeColor="text1"/>
        </w:rPr>
      </w:pPr>
      <w:r w:rsidRPr="00162962">
        <w:rPr>
          <w:color w:val="000000" w:themeColor="text1"/>
        </w:rPr>
        <w:t xml:space="preserve">Inclusion Scotland (2020) ‘Services for Who? The experiences of disabled people with other characteristics when accessing services’. Edinburgh: Inclusion Scotland. Available at: </w:t>
      </w:r>
      <w:hyperlink r:id="rId95" w:history="1">
        <w:r w:rsidRPr="00162962">
          <w:rPr>
            <w:color w:val="0000FF"/>
            <w:u w:val="single"/>
          </w:rPr>
          <w:t>https://www.drilluk.org.uk/wp-content/uploads/2020/06/Services-for-who-final-report-1.pdf</w:t>
        </w:r>
      </w:hyperlink>
      <w:r w:rsidRPr="00162962">
        <w:rPr>
          <w:color w:val="000000" w:themeColor="text1"/>
        </w:rPr>
        <w:t xml:space="preserve"> [last accessed July 2022]. </w:t>
      </w:r>
    </w:p>
    <w:p w14:paraId="30872CCA" w14:textId="08D9D7EE" w:rsidR="00162962" w:rsidRPr="00162962" w:rsidRDefault="00162962" w:rsidP="00162962">
      <w:r w:rsidRPr="00162962">
        <w:lastRenderedPageBreak/>
        <w:t xml:space="preserve">INVOLVE (2018). ‘Guidance on co-producing a research project’, Southampton: National Institute for Health </w:t>
      </w:r>
      <w:proofErr w:type="spellStart"/>
      <w:r w:rsidRPr="00162962">
        <w:t>Reserach</w:t>
      </w:r>
      <w:proofErr w:type="spellEnd"/>
      <w:r w:rsidRPr="00162962">
        <w:t xml:space="preserve">. Available at: </w:t>
      </w:r>
      <w:hyperlink r:id="rId96" w:history="1">
        <w:r w:rsidRPr="00162962">
          <w:rPr>
            <w:color w:val="0000FF"/>
            <w:u w:val="single"/>
          </w:rPr>
          <w:t>https://www.invo.org.uk/wp-content/uploads/2019/04/Copro_Guidance_Feb19.pdf</w:t>
        </w:r>
      </w:hyperlink>
      <w:r w:rsidRPr="00162962">
        <w:t xml:space="preserve"> [last accessed July 2022]. </w:t>
      </w:r>
    </w:p>
    <w:p w14:paraId="4CCE105B" w14:textId="042813CE" w:rsidR="00162962" w:rsidRPr="00162962" w:rsidRDefault="00162962" w:rsidP="00162962">
      <w:r w:rsidRPr="00162962">
        <w:t xml:space="preserve">Inclusive Research Network (2019) ‘Doctors and us: What is it like for people with learning disabilities to go to the doctor in Ireland’. Limerick: Inclusive Research Network. Available from: </w:t>
      </w:r>
      <w:hyperlink r:id="rId97" w:history="1">
        <w:r w:rsidRPr="00162962">
          <w:rPr>
            <w:color w:val="0000FF"/>
            <w:u w:val="single"/>
          </w:rPr>
          <w:t>http://www.fedvol.ie/_fileupload/Inclusive%20Research%20Network/IRN%20Doctors%20and%20Us%20Report%20Final.pdf</w:t>
        </w:r>
      </w:hyperlink>
      <w:r w:rsidRPr="00162962">
        <w:t xml:space="preserve"> [last accessed July 2022]. </w:t>
      </w:r>
    </w:p>
    <w:p w14:paraId="18565E22" w14:textId="283D7531" w:rsidR="00162962" w:rsidRPr="00162962" w:rsidRDefault="00162962" w:rsidP="00162962">
      <w:r w:rsidRPr="00162962">
        <w:t xml:space="preserve">James, H. and </w:t>
      </w:r>
      <w:proofErr w:type="spellStart"/>
      <w:r w:rsidRPr="00162962">
        <w:t>Buffel</w:t>
      </w:r>
      <w:proofErr w:type="spellEnd"/>
      <w:r w:rsidRPr="00162962">
        <w:t xml:space="preserve">, T. (2022) ‘Co-research with older people: a systematic literature review’, </w:t>
      </w:r>
      <w:r w:rsidRPr="00162962">
        <w:rPr>
          <w:b/>
        </w:rPr>
        <w:t>Ageing &amp; Society</w:t>
      </w:r>
      <w:r w:rsidRPr="00162962">
        <w:t xml:space="preserve">, pp.1-27. Available at: </w:t>
      </w:r>
      <w:hyperlink r:id="rId98" w:history="1">
        <w:r w:rsidRPr="00162962">
          <w:rPr>
            <w:color w:val="0000FF"/>
            <w:u w:val="single"/>
          </w:rPr>
          <w:t>https://doi.org/10.1017/S0144686X21002014</w:t>
        </w:r>
      </w:hyperlink>
      <w:r w:rsidRPr="00162962">
        <w:t xml:space="preserve"> [last accessed July 2022]. </w:t>
      </w:r>
    </w:p>
    <w:p w14:paraId="4466077B" w14:textId="3B7D826B" w:rsidR="00162962" w:rsidRPr="00162962" w:rsidRDefault="00162962" w:rsidP="00162962">
      <w:r w:rsidRPr="00162962">
        <w:t xml:space="preserve">Jennings, H., Slade, M., Bates, P., </w:t>
      </w:r>
      <w:proofErr w:type="spellStart"/>
      <w:r w:rsidRPr="00162962">
        <w:t>Munday</w:t>
      </w:r>
      <w:proofErr w:type="spellEnd"/>
      <w:r w:rsidRPr="00162962">
        <w:t xml:space="preserve">, E. and Toney, R. (2018) ‘Best practice framework for Patient and Public Involvement (PPI) in collaborative data analysis of qualitative mental health research: methodology development and refinement’, </w:t>
      </w:r>
      <w:r w:rsidRPr="00162962">
        <w:rPr>
          <w:b/>
        </w:rPr>
        <w:t>BMC Psychiatry</w:t>
      </w:r>
      <w:r w:rsidRPr="00162962">
        <w:t xml:space="preserve">, 18(1), pp.1-11. Available at: </w:t>
      </w:r>
      <w:hyperlink r:id="rId99" w:history="1">
        <w:r w:rsidRPr="00162962">
          <w:rPr>
            <w:color w:val="0000FF"/>
            <w:u w:val="single"/>
          </w:rPr>
          <w:t>https://doi.org/10.1186/s12888-018-1794-8</w:t>
        </w:r>
      </w:hyperlink>
      <w:r w:rsidRPr="00162962">
        <w:t xml:space="preserve"> [last accessed July 2022]. </w:t>
      </w:r>
    </w:p>
    <w:p w14:paraId="1939DE51" w14:textId="670E9CC7" w:rsidR="00162962" w:rsidRPr="00162962" w:rsidRDefault="00162962" w:rsidP="00162962">
      <w:r w:rsidRPr="00162962">
        <w:t xml:space="preserve">Jones, M. et al. (2018) ‘Imagining young disabled people’s transitions in a time of big societal changes’. Bristol: University of West England Bristol. Available at: </w:t>
      </w:r>
      <w:hyperlink r:id="rId100" w:history="1">
        <w:r w:rsidRPr="00162962">
          <w:rPr>
            <w:color w:val="0000FF"/>
            <w:u w:val="single"/>
          </w:rPr>
          <w:t>https://uwe-repository.worktribe.com/output/856715</w:t>
        </w:r>
      </w:hyperlink>
      <w:r w:rsidRPr="00162962">
        <w:t xml:space="preserve"> [last accessed July 2022]. </w:t>
      </w:r>
    </w:p>
    <w:p w14:paraId="5C127ABA" w14:textId="269E1742" w:rsidR="00162962" w:rsidRPr="00162962" w:rsidRDefault="00162962" w:rsidP="00162962">
      <w:r w:rsidRPr="00162962">
        <w:t xml:space="preserve">Joss, N., </w:t>
      </w:r>
      <w:proofErr w:type="spellStart"/>
      <w:r w:rsidRPr="00162962">
        <w:t>Cooklin</w:t>
      </w:r>
      <w:proofErr w:type="spellEnd"/>
      <w:r w:rsidRPr="00162962">
        <w:t xml:space="preserve">, A. and Oldenburg, B. (2016) ‘A scoping review of end user involvement in disability research’, </w:t>
      </w:r>
      <w:r w:rsidRPr="00162962">
        <w:rPr>
          <w:b/>
        </w:rPr>
        <w:t>Disability and Health Journal</w:t>
      </w:r>
      <w:r w:rsidRPr="00162962">
        <w:t xml:space="preserve">, 9(2), pp.189-196. Available at: </w:t>
      </w:r>
      <w:hyperlink r:id="rId101" w:history="1">
        <w:r w:rsidRPr="00162962">
          <w:rPr>
            <w:color w:val="0000FF"/>
            <w:u w:val="single"/>
          </w:rPr>
          <w:t>https://doi.org/10.1016/j.dhjo.2015.10.001</w:t>
        </w:r>
      </w:hyperlink>
      <w:r w:rsidRPr="00162962">
        <w:t xml:space="preserve"> [last accessed July 2022]. </w:t>
      </w:r>
    </w:p>
    <w:p w14:paraId="4BFB1F57" w14:textId="58C5A753" w:rsidR="00162962" w:rsidRPr="00162962" w:rsidRDefault="00162962" w:rsidP="00162962">
      <w:r w:rsidRPr="00162962">
        <w:t xml:space="preserve">King, C. and Gillard, S. (2019) ‘Bringing together coproduction and community participatory research approaches: Using first person reflective narrative to explore coproduction and community involvement in mental health research’, </w:t>
      </w:r>
      <w:r w:rsidRPr="00162962">
        <w:rPr>
          <w:b/>
        </w:rPr>
        <w:t>Health Expectations</w:t>
      </w:r>
      <w:r w:rsidRPr="00162962">
        <w:t xml:space="preserve">, 22(4), pp.701-708. Available from: </w:t>
      </w:r>
      <w:hyperlink r:id="rId102" w:history="1">
        <w:r w:rsidRPr="00162962">
          <w:rPr>
            <w:color w:val="0000FF"/>
            <w:u w:val="single"/>
          </w:rPr>
          <w:t>https://doi.org/10.1111/hex.12908</w:t>
        </w:r>
      </w:hyperlink>
      <w:r w:rsidRPr="00162962">
        <w:t xml:space="preserve"> [last accessed July 2022]. </w:t>
      </w:r>
    </w:p>
    <w:p w14:paraId="7BEE2A6A" w14:textId="5A59E9F3" w:rsidR="00162962" w:rsidRPr="00162962" w:rsidRDefault="00162962" w:rsidP="00162962">
      <w:r w:rsidRPr="00162962">
        <w:t xml:space="preserve">Kramer, J.M. and Schwartz, A.E. (2018) ‘Development of the </w:t>
      </w:r>
      <w:proofErr w:type="spellStart"/>
      <w:r w:rsidRPr="00162962">
        <w:t>Pediatric</w:t>
      </w:r>
      <w:proofErr w:type="spellEnd"/>
      <w:r w:rsidRPr="00162962">
        <w:t xml:space="preserve"> Disability Inventory-Patient Reported Outcome (PEDI-PRO) measurement conceptual framework and item candidates’, </w:t>
      </w:r>
      <w:r w:rsidRPr="00162962">
        <w:rPr>
          <w:b/>
        </w:rPr>
        <w:t>Scandinavian Journal of Occupational Therapy</w:t>
      </w:r>
      <w:r w:rsidRPr="00162962">
        <w:t xml:space="preserve">, 25(5), pp.335-346. Available at: </w:t>
      </w:r>
      <w:hyperlink r:id="rId103" w:history="1">
        <w:r w:rsidRPr="00162962">
          <w:rPr>
            <w:color w:val="0000FF"/>
            <w:u w:val="single"/>
          </w:rPr>
          <w:t>https://doi.org/10.1080/11038128.2018.1502344</w:t>
        </w:r>
      </w:hyperlink>
      <w:r w:rsidR="00EF2329">
        <w:t xml:space="preserve"> [last accessed July 2022].</w:t>
      </w:r>
      <w:r w:rsidRPr="00162962">
        <w:t xml:space="preserve"> </w:t>
      </w:r>
    </w:p>
    <w:p w14:paraId="7ADE0E3A" w14:textId="31B102C8" w:rsidR="00162962" w:rsidRPr="00162962" w:rsidRDefault="00162962" w:rsidP="00162962">
      <w:proofErr w:type="spellStart"/>
      <w:r w:rsidRPr="00C06A47">
        <w:t>MacSweeney</w:t>
      </w:r>
      <w:proofErr w:type="spellEnd"/>
      <w:r w:rsidRPr="00C06A47">
        <w:t>, N., Bowman, S. and Kelly, C</w:t>
      </w:r>
      <w:r w:rsidRPr="00162962">
        <w:t xml:space="preserve">. (2019) ‘More than just characters in a story: effective and meaningful involvement of young people in mental health </w:t>
      </w:r>
      <w:r w:rsidRPr="00162962">
        <w:lastRenderedPageBreak/>
        <w:t xml:space="preserve">research’, </w:t>
      </w:r>
      <w:r w:rsidRPr="00162962">
        <w:rPr>
          <w:b/>
        </w:rPr>
        <w:t>Journal of Public Mental Health</w:t>
      </w:r>
      <w:r w:rsidRPr="00162962">
        <w:t xml:space="preserve">. Available at: </w:t>
      </w:r>
      <w:hyperlink r:id="rId104" w:history="1">
        <w:r w:rsidRPr="00162962">
          <w:rPr>
            <w:color w:val="0000FF"/>
            <w:u w:val="single"/>
          </w:rPr>
          <w:t>https://doi.org/10.1108/JPMH-07-2018-0053</w:t>
        </w:r>
      </w:hyperlink>
      <w:r w:rsidRPr="00162962">
        <w:t xml:space="preserve"> [last accessed July 2022]. </w:t>
      </w:r>
    </w:p>
    <w:p w14:paraId="33D4D2AA" w14:textId="77777777" w:rsidR="00162962" w:rsidRPr="00162962" w:rsidRDefault="00162962" w:rsidP="00162962">
      <w:r w:rsidRPr="00F93218">
        <w:t>Mathews, G., Marshall, M. and Wilkinson,</w:t>
      </w:r>
      <w:r w:rsidRPr="00162962">
        <w:t xml:space="preserve"> H. (2020) ‘A public inconvenience: better toilets for inclusive travel’, </w:t>
      </w:r>
      <w:r w:rsidRPr="00162962">
        <w:rPr>
          <w:b/>
        </w:rPr>
        <w:t>Disability &amp; Society</w:t>
      </w:r>
      <w:r w:rsidRPr="00162962">
        <w:t xml:space="preserve">, pp.1-27. Available at: </w:t>
      </w:r>
      <w:hyperlink r:id="rId105" w:history="1">
        <w:r w:rsidRPr="00162962">
          <w:rPr>
            <w:color w:val="0000FF"/>
            <w:u w:val="single"/>
          </w:rPr>
          <w:t>https://doi.org/10.1080/09687599.2020.1867508</w:t>
        </w:r>
      </w:hyperlink>
      <w:r w:rsidRPr="00162962">
        <w:t xml:space="preserve"> </w:t>
      </w:r>
    </w:p>
    <w:p w14:paraId="06A28686" w14:textId="6EC46E26" w:rsidR="00162962" w:rsidRPr="00162962" w:rsidRDefault="00162962" w:rsidP="00162962">
      <w:r w:rsidRPr="00162962">
        <w:t xml:space="preserve">Mathias, K., Pillai, P., </w:t>
      </w:r>
      <w:proofErr w:type="spellStart"/>
      <w:r w:rsidRPr="00162962">
        <w:t>Gaitonde</w:t>
      </w:r>
      <w:proofErr w:type="spellEnd"/>
      <w:r w:rsidRPr="00162962">
        <w:t xml:space="preserve">, R., Shelly, K. and Jain, S. (2020) ‘Co-production of a pictorial recovery tool for people with psycho-social disability informed by a participatory action research approach—a qualitative study set in India’, </w:t>
      </w:r>
      <w:r w:rsidRPr="00162962">
        <w:rPr>
          <w:b/>
        </w:rPr>
        <w:t>Health Promotion International</w:t>
      </w:r>
      <w:r w:rsidRPr="00162962">
        <w:t xml:space="preserve">, 35(3), pp.486-499. Available at: </w:t>
      </w:r>
      <w:hyperlink r:id="rId106" w:history="1">
        <w:r w:rsidRPr="00162962">
          <w:rPr>
            <w:color w:val="0000FF"/>
            <w:u w:val="single"/>
          </w:rPr>
          <w:t>https://doi.org/10.1093/heapro/daz043</w:t>
        </w:r>
      </w:hyperlink>
      <w:r w:rsidRPr="00162962">
        <w:t xml:space="preserve"> [last accessed July 2022]. </w:t>
      </w:r>
    </w:p>
    <w:p w14:paraId="240F7017" w14:textId="1B7AB690" w:rsidR="00162962" w:rsidRPr="00162962" w:rsidRDefault="00162962" w:rsidP="00162962">
      <w:proofErr w:type="spellStart"/>
      <w:r w:rsidRPr="00162962">
        <w:t>Mawn</w:t>
      </w:r>
      <w:proofErr w:type="spellEnd"/>
      <w:r w:rsidRPr="00162962">
        <w:t xml:space="preserve">, L., Welsh, P., Stain, H.J. and </w:t>
      </w:r>
      <w:proofErr w:type="spellStart"/>
      <w:r w:rsidRPr="00162962">
        <w:t>Windebank</w:t>
      </w:r>
      <w:proofErr w:type="spellEnd"/>
      <w:r w:rsidRPr="00162962">
        <w:t xml:space="preserve">, P. (2015) ‘Youth Speak: increasing engagement of young people in mental health research’, </w:t>
      </w:r>
      <w:r w:rsidRPr="00162962">
        <w:rPr>
          <w:b/>
        </w:rPr>
        <w:t>Journal of Mental Health</w:t>
      </w:r>
      <w:r w:rsidRPr="00162962">
        <w:t xml:space="preserve">, 24(5), pp.271-275. Available at:  </w:t>
      </w:r>
      <w:hyperlink r:id="rId107" w:history="1">
        <w:r w:rsidRPr="00162962">
          <w:rPr>
            <w:color w:val="0000FF"/>
            <w:u w:val="single"/>
          </w:rPr>
          <w:t>https://doi.org/10.3109/09638237.2014.998810</w:t>
        </w:r>
      </w:hyperlink>
      <w:r w:rsidRPr="00162962">
        <w:t xml:space="preserve"> [last accessed July 2022]. </w:t>
      </w:r>
    </w:p>
    <w:p w14:paraId="7F4BD8AD" w14:textId="4DBA6A6F" w:rsidR="00162962" w:rsidRPr="00162962" w:rsidRDefault="00162962" w:rsidP="00162962">
      <w:r w:rsidRPr="00162962">
        <w:t xml:space="preserve">McCartan et al. (2019). ‘Empowering people through physical activity’. UK: Mental Health Foundation. Available at: </w:t>
      </w:r>
      <w:hyperlink r:id="rId108" w:anchor=":~:text=The%20mental%20health%20and%20psychological,of%20stress%20were%20also%20reported" w:history="1">
        <w:r w:rsidRPr="00162962">
          <w:rPr>
            <w:color w:val="0000FF"/>
            <w:u w:val="single"/>
          </w:rPr>
          <w:t>https://www.mentalhealth.org.uk/our-work/research/empowering-people-through-physical-activity#:~:text=The%20mental%20health%20and%20psychological,of%20stress%20were%20also%20reported</w:t>
        </w:r>
      </w:hyperlink>
      <w:r w:rsidRPr="00162962">
        <w:t xml:space="preserve">. [last accessed July 2022]. </w:t>
      </w:r>
    </w:p>
    <w:p w14:paraId="1BC45924" w14:textId="0392000A" w:rsidR="00162962" w:rsidRPr="00162962" w:rsidRDefault="00162962" w:rsidP="00162962">
      <w:proofErr w:type="spellStart"/>
      <w:r w:rsidRPr="00162962">
        <w:t>McCausland</w:t>
      </w:r>
      <w:proofErr w:type="spellEnd"/>
      <w:r w:rsidRPr="00162962">
        <w:t xml:space="preserve">, D., </w:t>
      </w:r>
      <w:proofErr w:type="spellStart"/>
      <w:r w:rsidRPr="00162962">
        <w:t>McCallion</w:t>
      </w:r>
      <w:proofErr w:type="spellEnd"/>
      <w:r w:rsidRPr="00162962">
        <w:t xml:space="preserve">, P., Brennan, D. and McCarron, M. (2018) ‘The exercise of human rights and citizenship by older adults with an intellectual disability in Ireland’, </w:t>
      </w:r>
      <w:r w:rsidRPr="00162962">
        <w:rPr>
          <w:b/>
        </w:rPr>
        <w:t>Journal of Intellectual Disability Research</w:t>
      </w:r>
      <w:r w:rsidRPr="00162962">
        <w:t xml:space="preserve">, 62(10), pp.875-887. Available at: </w:t>
      </w:r>
      <w:hyperlink r:id="rId109" w:history="1">
        <w:r w:rsidRPr="00162962">
          <w:rPr>
            <w:color w:val="0000FF"/>
            <w:u w:val="single"/>
          </w:rPr>
          <w:t>https://doi.org/10.1111/jir.12543</w:t>
        </w:r>
      </w:hyperlink>
      <w:r w:rsidRPr="00162962">
        <w:t xml:space="preserve"> [last accessed July 2022]. </w:t>
      </w:r>
    </w:p>
    <w:p w14:paraId="569C69F5" w14:textId="13183FB3" w:rsidR="00162962" w:rsidRPr="00162962" w:rsidRDefault="00162962" w:rsidP="00162962">
      <w:r w:rsidRPr="00162962">
        <w:t xml:space="preserve">McConnell, T., Sturm, T., Stevenson, M., </w:t>
      </w:r>
      <w:proofErr w:type="spellStart"/>
      <w:r w:rsidRPr="00162962">
        <w:t>McCorry</w:t>
      </w:r>
      <w:proofErr w:type="spellEnd"/>
      <w:r w:rsidRPr="00162962">
        <w:t xml:space="preserve">, N., Donnelly, M., Taylor, B.J. and Best, P. (2019) ‘Co-producing a shared understanding and definition of empowerment with people with dementia’, </w:t>
      </w:r>
      <w:r w:rsidRPr="00162962">
        <w:rPr>
          <w:b/>
        </w:rPr>
        <w:t>Research Involvement and Engagement</w:t>
      </w:r>
      <w:r w:rsidRPr="00162962">
        <w:t xml:space="preserve">, 5(1), pp.1-11. Available at: </w:t>
      </w:r>
      <w:hyperlink r:id="rId110" w:history="1">
        <w:r w:rsidRPr="00162962">
          <w:rPr>
            <w:color w:val="0000FF"/>
            <w:u w:val="single"/>
          </w:rPr>
          <w:t>https://doi.org/10.1186/s40900-019-0154-2</w:t>
        </w:r>
      </w:hyperlink>
      <w:r w:rsidRPr="00162962">
        <w:t xml:space="preserve"> [last accessed July 2022]. </w:t>
      </w:r>
    </w:p>
    <w:p w14:paraId="4999B877" w14:textId="672BF273" w:rsidR="00162962" w:rsidRPr="00162962" w:rsidRDefault="00162962" w:rsidP="00162962">
      <w:r w:rsidRPr="00162962">
        <w:t xml:space="preserve">McLaughlin, H. (2010) ‘Keeping service user involvement in research honest’, </w:t>
      </w:r>
      <w:r w:rsidRPr="00162962">
        <w:rPr>
          <w:b/>
        </w:rPr>
        <w:t>British Journal of Social Work</w:t>
      </w:r>
      <w:r w:rsidRPr="00162962">
        <w:t xml:space="preserve">, 40(5), pp.1591-1608. Available at: </w:t>
      </w:r>
      <w:hyperlink r:id="rId111" w:history="1">
        <w:r w:rsidRPr="00162962">
          <w:rPr>
            <w:color w:val="0000FF"/>
            <w:u w:val="single"/>
          </w:rPr>
          <w:t>https://doi.org/10.1093/bjsw/bcp064</w:t>
        </w:r>
      </w:hyperlink>
      <w:r w:rsidRPr="00162962">
        <w:t xml:space="preserve"> [last accessed July 2022]. </w:t>
      </w:r>
    </w:p>
    <w:p w14:paraId="29468C9E" w14:textId="22CBC07C" w:rsidR="00162962" w:rsidRPr="00162962" w:rsidRDefault="00162962" w:rsidP="00162962">
      <w:r w:rsidRPr="00162962">
        <w:t xml:space="preserve">McCurdie T, </w:t>
      </w:r>
      <w:proofErr w:type="spellStart"/>
      <w:r w:rsidRPr="00162962">
        <w:t>Taneva</w:t>
      </w:r>
      <w:proofErr w:type="spellEnd"/>
      <w:r w:rsidRPr="00162962">
        <w:t xml:space="preserve"> S, </w:t>
      </w:r>
      <w:proofErr w:type="spellStart"/>
      <w:r w:rsidRPr="00162962">
        <w:t>Casselman</w:t>
      </w:r>
      <w:proofErr w:type="spellEnd"/>
      <w:r w:rsidRPr="00162962">
        <w:t xml:space="preserve"> M, Yeung M, McDaniel C, </w:t>
      </w:r>
      <w:proofErr w:type="spellStart"/>
      <w:r w:rsidRPr="00162962">
        <w:t>Ho</w:t>
      </w:r>
      <w:proofErr w:type="spellEnd"/>
      <w:r w:rsidRPr="00162962">
        <w:t xml:space="preserve"> W, </w:t>
      </w:r>
      <w:proofErr w:type="spellStart"/>
      <w:r w:rsidRPr="00162962">
        <w:t>Cafazzo</w:t>
      </w:r>
      <w:proofErr w:type="spellEnd"/>
      <w:r w:rsidRPr="00162962">
        <w:t xml:space="preserve"> J. (2012) ‘</w:t>
      </w:r>
      <w:proofErr w:type="spellStart"/>
      <w:r w:rsidRPr="00162962">
        <w:t>mHealth</w:t>
      </w:r>
      <w:proofErr w:type="spellEnd"/>
      <w:r w:rsidRPr="00162962">
        <w:t xml:space="preserve"> consumer apps: the case for user-</w:t>
      </w:r>
      <w:proofErr w:type="spellStart"/>
      <w:r w:rsidRPr="00162962">
        <w:t>centered</w:t>
      </w:r>
      <w:proofErr w:type="spellEnd"/>
      <w:r w:rsidRPr="00162962">
        <w:t xml:space="preserve"> design’, </w:t>
      </w:r>
      <w:r w:rsidRPr="00162962">
        <w:rPr>
          <w:b/>
        </w:rPr>
        <w:t>Biomedical Instrumentation &amp; Technology</w:t>
      </w:r>
      <w:r w:rsidRPr="00162962">
        <w:t xml:space="preserve">, 46(2):49. Available at: </w:t>
      </w:r>
      <w:hyperlink r:id="rId112" w:history="1">
        <w:r w:rsidRPr="00162962">
          <w:rPr>
            <w:color w:val="0000FF"/>
            <w:u w:val="single"/>
          </w:rPr>
          <w:t>https://doi.org/10.2345/0899-8205-46.s2.49</w:t>
        </w:r>
      </w:hyperlink>
      <w:r w:rsidRPr="00162962">
        <w:t xml:space="preserve"> </w:t>
      </w:r>
      <w:r w:rsidR="00EF2329">
        <w:t xml:space="preserve"> [last accessed July 2022].</w:t>
      </w:r>
    </w:p>
    <w:p w14:paraId="128D45A5" w14:textId="0A9CDED3" w:rsidR="00162962" w:rsidRPr="00162962" w:rsidRDefault="00162962" w:rsidP="00162962">
      <w:r w:rsidRPr="009800FC">
        <w:lastRenderedPageBreak/>
        <w:t xml:space="preserve">Meza, R., </w:t>
      </w:r>
      <w:proofErr w:type="spellStart"/>
      <w:r w:rsidRPr="009800FC">
        <w:t>Drahota</w:t>
      </w:r>
      <w:proofErr w:type="spellEnd"/>
      <w:r w:rsidRPr="009800FC">
        <w:t xml:space="preserve">, A. and Spurgeon, E. (2016) ‘Community–academic partnership participation’, </w:t>
      </w:r>
      <w:r w:rsidRPr="009800FC">
        <w:rPr>
          <w:b/>
        </w:rPr>
        <w:t>Community Mental Health Journal</w:t>
      </w:r>
      <w:r w:rsidRPr="009800FC">
        <w:t xml:space="preserve">, 52(7), pp.793-798. Available at: </w:t>
      </w:r>
      <w:hyperlink r:id="rId113" w:history="1">
        <w:r w:rsidRPr="009800FC">
          <w:rPr>
            <w:color w:val="0000FF"/>
            <w:u w:val="single"/>
          </w:rPr>
          <w:t>https://doi.org/10.1007/s10597-015-9890-4</w:t>
        </w:r>
      </w:hyperlink>
      <w:r w:rsidR="00EF2329" w:rsidRPr="009800FC">
        <w:t xml:space="preserve"> [last accessed July 2022].</w:t>
      </w:r>
    </w:p>
    <w:p w14:paraId="50B57FEA" w14:textId="5A859929" w:rsidR="00162962" w:rsidRPr="00162962" w:rsidRDefault="00162962" w:rsidP="00162962">
      <w:r w:rsidRPr="00162962">
        <w:t xml:space="preserve">Miah, J., Dawes, P., Edwards, S., </w:t>
      </w:r>
      <w:proofErr w:type="spellStart"/>
      <w:r w:rsidRPr="00162962">
        <w:t>Leroi</w:t>
      </w:r>
      <w:proofErr w:type="spellEnd"/>
      <w:r w:rsidRPr="00162962">
        <w:t xml:space="preserve">, I., Starling, B. and Parsons, S. (2019) ‘Patient and public involvement in dementia research in the European Union: a scoping review.’ </w:t>
      </w:r>
      <w:r w:rsidRPr="00162962">
        <w:rPr>
          <w:b/>
        </w:rPr>
        <w:t>BMC Geriatrics</w:t>
      </w:r>
      <w:r w:rsidRPr="00162962">
        <w:t xml:space="preserve">, 19(1), pp.1-20. Available at:  </w:t>
      </w:r>
      <w:hyperlink r:id="rId114" w:history="1">
        <w:r w:rsidRPr="00162962">
          <w:rPr>
            <w:color w:val="0000FF"/>
            <w:u w:val="single"/>
          </w:rPr>
          <w:t>https://doi.org/10.1186/s12877-019-1217-9</w:t>
        </w:r>
      </w:hyperlink>
      <w:r w:rsidR="00EF2329">
        <w:t xml:space="preserve"> [last accessed July 2022]. </w:t>
      </w:r>
    </w:p>
    <w:p w14:paraId="5DF91DF4" w14:textId="1D755F95" w:rsidR="00162962" w:rsidRPr="00162962" w:rsidRDefault="00162962" w:rsidP="00162962">
      <w:r w:rsidRPr="003105F7">
        <w:t xml:space="preserve">Mooney, F., </w:t>
      </w:r>
      <w:proofErr w:type="spellStart"/>
      <w:r w:rsidRPr="003105F7">
        <w:t>Rafique</w:t>
      </w:r>
      <w:proofErr w:type="spellEnd"/>
      <w:r w:rsidRPr="003105F7">
        <w:t>, N. and Tilly,</w:t>
      </w:r>
      <w:r w:rsidRPr="00162962">
        <w:t xml:space="preserve"> L. (2019) ‘Getting involved in the community—What stops us? Findings from an inclusive research project’, </w:t>
      </w:r>
      <w:r w:rsidRPr="00162962">
        <w:rPr>
          <w:b/>
        </w:rPr>
        <w:t>British Journal of Learning Disabilities</w:t>
      </w:r>
      <w:r w:rsidRPr="00162962">
        <w:t xml:space="preserve">, 47(4), pp.241-246. Available at: </w:t>
      </w:r>
      <w:hyperlink r:id="rId115" w:history="1">
        <w:r w:rsidRPr="00162962">
          <w:rPr>
            <w:color w:val="0000FF"/>
            <w:u w:val="single"/>
          </w:rPr>
          <w:t>https://doi.org/10.1111/bld.12283</w:t>
        </w:r>
      </w:hyperlink>
      <w:r w:rsidRPr="00162962">
        <w:t xml:space="preserve"> [last accessed July 2022]. </w:t>
      </w:r>
    </w:p>
    <w:p w14:paraId="38FF13B3" w14:textId="750146C5" w:rsidR="00162962" w:rsidRPr="00162962" w:rsidRDefault="00162962" w:rsidP="00162962">
      <w:proofErr w:type="spellStart"/>
      <w:r w:rsidRPr="00162962">
        <w:t>Morbey</w:t>
      </w:r>
      <w:proofErr w:type="spellEnd"/>
      <w:r w:rsidRPr="00162962">
        <w:t xml:space="preserve">, H., Harding, A.J., Swarbrick, C., Ahmed, F., </w:t>
      </w:r>
      <w:proofErr w:type="spellStart"/>
      <w:r w:rsidRPr="00162962">
        <w:t>Elvish</w:t>
      </w:r>
      <w:proofErr w:type="spellEnd"/>
      <w:r w:rsidRPr="00162962">
        <w:t xml:space="preserve">, R., Keady, J., Williamson, P.R. and Reilly, S.T. (2019) ‘Involving people living with dementia in research: an accessible modified Delphi survey for core outcome set development’, </w:t>
      </w:r>
      <w:r w:rsidRPr="00162962">
        <w:rPr>
          <w:b/>
        </w:rPr>
        <w:t>Trials</w:t>
      </w:r>
      <w:r w:rsidRPr="00162962">
        <w:t xml:space="preserve">, 20(1), pp.1-10. Available at: </w:t>
      </w:r>
      <w:hyperlink r:id="rId116" w:history="1">
        <w:r w:rsidRPr="00162962">
          <w:rPr>
            <w:color w:val="0000FF"/>
            <w:u w:val="single"/>
          </w:rPr>
          <w:t>https://doi.org/10.1186/s13063-018-3069-6</w:t>
        </w:r>
      </w:hyperlink>
      <w:r w:rsidR="00EF2329">
        <w:t xml:space="preserve"> [last accessed July 2022].</w:t>
      </w:r>
    </w:p>
    <w:p w14:paraId="2CA38FBF" w14:textId="2450751E" w:rsidR="00162962" w:rsidRPr="00162962" w:rsidRDefault="00162962" w:rsidP="00162962">
      <w:proofErr w:type="spellStart"/>
      <w:r w:rsidRPr="00162962">
        <w:t>Moule</w:t>
      </w:r>
      <w:proofErr w:type="spellEnd"/>
      <w:r w:rsidRPr="00162962">
        <w:t xml:space="preserve"> P,</w:t>
      </w:r>
      <w:r w:rsidR="00EF2329">
        <w:t xml:space="preserve"> and</w:t>
      </w:r>
      <w:r w:rsidRPr="00162962">
        <w:t xml:space="preserve"> Davies R. (2016) ‘A devolved model for public involvement in the field of mental health research: case study learning’, </w:t>
      </w:r>
      <w:r w:rsidRPr="00162962">
        <w:rPr>
          <w:b/>
        </w:rPr>
        <w:t>Health Expectations</w:t>
      </w:r>
      <w:r w:rsidRPr="00162962">
        <w:t xml:space="preserve">. 19(6):1302-11. Available at: </w:t>
      </w:r>
      <w:hyperlink r:id="rId117" w:history="1">
        <w:r w:rsidRPr="00162962">
          <w:rPr>
            <w:color w:val="0000FF"/>
            <w:u w:val="single"/>
          </w:rPr>
          <w:t>https://doi.org/10.1111/hex.12426</w:t>
        </w:r>
      </w:hyperlink>
      <w:r w:rsidRPr="00162962">
        <w:t xml:space="preserve"> [last accessed July 2022]. </w:t>
      </w:r>
    </w:p>
    <w:p w14:paraId="19CE6470" w14:textId="6F387352" w:rsidR="00162962" w:rsidRPr="00162962" w:rsidRDefault="00162962" w:rsidP="00162962">
      <w:r w:rsidRPr="00162962">
        <w:t xml:space="preserve">Munro, E., R., </w:t>
      </w:r>
      <w:proofErr w:type="spellStart"/>
      <w:r w:rsidRPr="00162962">
        <w:t>Zonouzi</w:t>
      </w:r>
      <w:proofErr w:type="spellEnd"/>
      <w:r w:rsidRPr="00162962">
        <w:t xml:space="preserve">, M., R., Fountain, R., Harris, J. and Vale, D. (2018) </w:t>
      </w:r>
      <w:proofErr w:type="spellStart"/>
      <w:r w:rsidRPr="00162962">
        <w:t>‘Re</w:t>
      </w:r>
      <w:proofErr w:type="spellEnd"/>
      <w:r w:rsidRPr="00162962">
        <w:t xml:space="preserve">-imagining social care services in co-production with disabled parents’, Available at: </w:t>
      </w:r>
      <w:hyperlink r:id="rId118" w:history="1">
        <w:r w:rsidRPr="00162962">
          <w:rPr>
            <w:color w:val="0000FF"/>
            <w:u w:val="single"/>
          </w:rPr>
          <w:t>https://uobrep.openrepository.com/handle/10547/623168</w:t>
        </w:r>
      </w:hyperlink>
      <w:r w:rsidRPr="00162962">
        <w:t xml:space="preserve"> [last accessed July 2022]. </w:t>
      </w:r>
    </w:p>
    <w:p w14:paraId="1DEFCC32" w14:textId="3C53D631" w:rsidR="00162962" w:rsidRDefault="00162962" w:rsidP="00162962">
      <w:r w:rsidRPr="00162962">
        <w:t xml:space="preserve">National Development Team for Inclusion (2019) ‘The Right to a Relationship Addressing the barriers that people with learning disabilities face in developing and sustaining intimate and sexual relationships’, Bath: National Development for Inclusion. Available at: </w:t>
      </w:r>
      <w:hyperlink r:id="rId119" w:history="1">
        <w:r w:rsidRPr="00162962">
          <w:rPr>
            <w:color w:val="0000FF"/>
            <w:u w:val="single"/>
          </w:rPr>
          <w:t>https://www.ndti.org.uk/assets/files/The_Right_to_a_Relationship_final_July_2019.pdf</w:t>
        </w:r>
      </w:hyperlink>
      <w:r w:rsidRPr="00162962">
        <w:t xml:space="preserve"> [last accessed July 2022]. </w:t>
      </w:r>
    </w:p>
    <w:p w14:paraId="774CD88F" w14:textId="7BA444A0" w:rsidR="00DB0115" w:rsidRPr="00162962" w:rsidRDefault="00DB0115" w:rsidP="00162962">
      <w:r>
        <w:t xml:space="preserve">National Disability Authority (2002) ‘Guidelines for including people with disabilities in research’, Dublin: National Disability Authority. Available at: </w:t>
      </w:r>
      <w:hyperlink r:id="rId120" w:history="1">
        <w:r w:rsidRPr="003A1508">
          <w:rPr>
            <w:rStyle w:val="Hyperlink"/>
          </w:rPr>
          <w:t>https://nda.ie/nda-files/guidelines-for-including-people-with-disabilities-in-research.pdf</w:t>
        </w:r>
      </w:hyperlink>
      <w:r>
        <w:t xml:space="preserve"> </w:t>
      </w:r>
    </w:p>
    <w:p w14:paraId="137953C9" w14:textId="70FF169A" w:rsidR="00162962" w:rsidRPr="00162962" w:rsidRDefault="00162962" w:rsidP="00162962">
      <w:r w:rsidRPr="00162962">
        <w:t xml:space="preserve">National Disability Authority (2022a) ‘NDA Advice paper on Disability Language and Terminology’, Dublin: National Disability Authority. Available at: </w:t>
      </w:r>
      <w:hyperlink r:id="rId121" w:history="1">
        <w:r w:rsidR="009059F5">
          <w:rPr>
            <w:rStyle w:val="Hyperlink"/>
          </w:rPr>
          <w:t xml:space="preserve">NDA </w:t>
        </w:r>
        <w:r w:rsidR="009059F5">
          <w:rPr>
            <w:rStyle w:val="Hyperlink"/>
          </w:rPr>
          <w:lastRenderedPageBreak/>
          <w:t>Advice paper on Disability Language and Terminology | The National Disability Authority</w:t>
        </w:r>
      </w:hyperlink>
      <w:r w:rsidRPr="00162962">
        <w:t xml:space="preserve"> [last accessed July 2022]. </w:t>
      </w:r>
    </w:p>
    <w:p w14:paraId="309013A6" w14:textId="1950ABB4" w:rsidR="00162962" w:rsidRPr="00162962" w:rsidRDefault="00162962" w:rsidP="00162962">
      <w:r w:rsidRPr="00162962">
        <w:t>National Disability Authority (2022b) ‘</w:t>
      </w:r>
      <w:r w:rsidR="00FF1221" w:rsidRPr="00FF1221">
        <w:rPr>
          <w:bCs/>
          <w:szCs w:val="26"/>
        </w:rPr>
        <w:t xml:space="preserve">Participation Matters: </w:t>
      </w:r>
      <w:r w:rsidR="00705388">
        <w:rPr>
          <w:bCs/>
          <w:szCs w:val="26"/>
        </w:rPr>
        <w:t xml:space="preserve">Guidelines on Implementing </w:t>
      </w:r>
      <w:r w:rsidR="00FF1221" w:rsidRPr="00FF1221">
        <w:rPr>
          <w:bCs/>
          <w:szCs w:val="26"/>
        </w:rPr>
        <w:t>the obligation to meaningfully engage with disabled people in public decision making.</w:t>
      </w:r>
      <w:r w:rsidR="009059F5">
        <w:rPr>
          <w:bCs/>
          <w:szCs w:val="26"/>
        </w:rPr>
        <w:t>’</w:t>
      </w:r>
      <w:r w:rsidRPr="00162962">
        <w:t xml:space="preserve"> Dublin: National Disability Authority</w:t>
      </w:r>
      <w:r w:rsidR="00FF1221">
        <w:t>.</w:t>
      </w:r>
      <w:r w:rsidR="00705388">
        <w:t xml:space="preserve"> Available at: </w:t>
      </w:r>
      <w:hyperlink r:id="rId122" w:history="1">
        <w:r w:rsidR="00705388" w:rsidRPr="002F7C78">
          <w:rPr>
            <w:rStyle w:val="Hyperlink"/>
          </w:rPr>
          <w:t>https://www.nda.ie/publications/others/uncrpd/participation-matters-guidelines.html</w:t>
        </w:r>
      </w:hyperlink>
      <w:r w:rsidR="00705388">
        <w:t xml:space="preserve"> [last accessed October 2022]</w:t>
      </w:r>
      <w:r w:rsidR="00FF1221">
        <w:t>.</w:t>
      </w:r>
      <w:r w:rsidRPr="00162962">
        <w:t xml:space="preserve"> </w:t>
      </w:r>
    </w:p>
    <w:p w14:paraId="224E81AD" w14:textId="37BCBD36" w:rsidR="00162962" w:rsidRPr="00162962" w:rsidRDefault="00162962" w:rsidP="00162962">
      <w:proofErr w:type="spellStart"/>
      <w:r w:rsidRPr="00162962">
        <w:t>Nicolaidis</w:t>
      </w:r>
      <w:proofErr w:type="spellEnd"/>
      <w:r w:rsidRPr="00162962">
        <w:t xml:space="preserve">, C., </w:t>
      </w:r>
      <w:proofErr w:type="spellStart"/>
      <w:r w:rsidRPr="00162962">
        <w:t>Raymaker</w:t>
      </w:r>
      <w:proofErr w:type="spellEnd"/>
      <w:r w:rsidRPr="00162962">
        <w:t xml:space="preserve">, D., Katz, M., </w:t>
      </w:r>
      <w:proofErr w:type="spellStart"/>
      <w:r w:rsidRPr="00162962">
        <w:t>Oschwald</w:t>
      </w:r>
      <w:proofErr w:type="spellEnd"/>
      <w:r w:rsidRPr="00162962">
        <w:t xml:space="preserve">, M., </w:t>
      </w:r>
      <w:proofErr w:type="spellStart"/>
      <w:r w:rsidRPr="00162962">
        <w:t>Goe</w:t>
      </w:r>
      <w:proofErr w:type="spellEnd"/>
      <w:r w:rsidRPr="00162962">
        <w:t xml:space="preserve">, R., </w:t>
      </w:r>
      <w:proofErr w:type="spellStart"/>
      <w:r w:rsidRPr="00162962">
        <w:t>Leotti</w:t>
      </w:r>
      <w:proofErr w:type="spellEnd"/>
      <w:r w:rsidRPr="00162962">
        <w:t xml:space="preserve">, S., Grantham, L., </w:t>
      </w:r>
      <w:proofErr w:type="spellStart"/>
      <w:r w:rsidRPr="00162962">
        <w:t>Plourde</w:t>
      </w:r>
      <w:proofErr w:type="spellEnd"/>
      <w:r w:rsidRPr="00162962">
        <w:t xml:space="preserve">, E., Salomon, J., Hughes, R.B. and Powers, L.E. (2015) ‘Community-based participatory research to adapt health measures for use by people with developmental disabilities’. </w:t>
      </w:r>
      <w:r w:rsidRPr="00162962">
        <w:rPr>
          <w:b/>
        </w:rPr>
        <w:t>Progress in Community Health Partnerships: Research, Education, and Action</w:t>
      </w:r>
      <w:r w:rsidRPr="00162962">
        <w:t xml:space="preserve">, 9(2), pp.157-170. Available at: </w:t>
      </w:r>
      <w:hyperlink r:id="rId123" w:history="1">
        <w:r w:rsidRPr="00162962">
          <w:rPr>
            <w:color w:val="0000FF"/>
            <w:u w:val="single"/>
          </w:rPr>
          <w:t>https://doi.org/10.1353/cpr.2015.0037</w:t>
        </w:r>
      </w:hyperlink>
      <w:r w:rsidRPr="00162962">
        <w:t xml:space="preserve">  [last accessed July 2022].  </w:t>
      </w:r>
    </w:p>
    <w:p w14:paraId="38D1906E" w14:textId="75055B15" w:rsidR="00162962" w:rsidRPr="00162962" w:rsidRDefault="00162962" w:rsidP="00162962">
      <w:proofErr w:type="spellStart"/>
      <w:r w:rsidRPr="00162962">
        <w:t>Nicolaidis</w:t>
      </w:r>
      <w:proofErr w:type="spellEnd"/>
      <w:r w:rsidRPr="00162962">
        <w:t xml:space="preserve">, C., </w:t>
      </w:r>
      <w:proofErr w:type="spellStart"/>
      <w:r w:rsidRPr="00162962">
        <w:t>Raymaker</w:t>
      </w:r>
      <w:proofErr w:type="spellEnd"/>
      <w:r w:rsidRPr="00162962">
        <w:t xml:space="preserve">, D., </w:t>
      </w:r>
      <w:proofErr w:type="spellStart"/>
      <w:r w:rsidRPr="00162962">
        <w:t>Kapp</w:t>
      </w:r>
      <w:proofErr w:type="spellEnd"/>
      <w:r w:rsidRPr="00162962">
        <w:t xml:space="preserve">, S.K., </w:t>
      </w:r>
      <w:proofErr w:type="spellStart"/>
      <w:r w:rsidRPr="00162962">
        <w:t>Baggs</w:t>
      </w:r>
      <w:proofErr w:type="spellEnd"/>
      <w:r w:rsidRPr="00162962">
        <w:t xml:space="preserve">, A., Ashkenazy, E., McDonald, K., Weiner, M., </w:t>
      </w:r>
      <w:proofErr w:type="spellStart"/>
      <w:r w:rsidRPr="00162962">
        <w:t>Maslak</w:t>
      </w:r>
      <w:proofErr w:type="spellEnd"/>
      <w:r w:rsidRPr="00162962">
        <w:t xml:space="preserve">, J., Hunter, M. and Joyce, A. (2019) ‘The AASPIRE practice-based guidelines for the inclusion of autistic adults in research as co-researchers and study participants’, </w:t>
      </w:r>
      <w:r w:rsidRPr="00162962">
        <w:rPr>
          <w:b/>
        </w:rPr>
        <w:t>Autism</w:t>
      </w:r>
      <w:r w:rsidRPr="00162962">
        <w:t xml:space="preserve">, 23(8), pp.2007-2019. Available at: 10.1177/1362361319830523 [last accessed July 2022]. </w:t>
      </w:r>
    </w:p>
    <w:p w14:paraId="5A9EA9D8" w14:textId="6F7AE70E" w:rsidR="00162962" w:rsidRPr="00162962" w:rsidRDefault="00162962" w:rsidP="00162962">
      <w:proofErr w:type="spellStart"/>
      <w:r w:rsidRPr="00162962">
        <w:t>Nind</w:t>
      </w:r>
      <w:proofErr w:type="spellEnd"/>
      <w:r w:rsidRPr="00162962">
        <w:t xml:space="preserve">, M. and </w:t>
      </w:r>
      <w:proofErr w:type="spellStart"/>
      <w:r w:rsidRPr="00162962">
        <w:t>Vinha</w:t>
      </w:r>
      <w:proofErr w:type="spellEnd"/>
      <w:r w:rsidRPr="00162962">
        <w:t xml:space="preserve">, H. (2014) ‘Doing research inclusively: Bridges to multiple possibilities in inclusive research’. </w:t>
      </w:r>
      <w:r w:rsidRPr="00162962">
        <w:rPr>
          <w:b/>
        </w:rPr>
        <w:t>British Journal of Learning Disabilities</w:t>
      </w:r>
      <w:r w:rsidRPr="00162962">
        <w:t xml:space="preserve">, 42(2), pp.102-109. Available at: </w:t>
      </w:r>
      <w:hyperlink r:id="rId124" w:history="1">
        <w:r w:rsidRPr="00162962">
          <w:rPr>
            <w:color w:val="0000FF"/>
            <w:u w:val="single"/>
          </w:rPr>
          <w:t>https://doi.org/10.1111/bld.12013</w:t>
        </w:r>
      </w:hyperlink>
      <w:r w:rsidR="00EF2329">
        <w:t xml:space="preserve"> [last accessed July 2022]. </w:t>
      </w:r>
    </w:p>
    <w:p w14:paraId="13E6B42A" w14:textId="0CE78016" w:rsidR="00162962" w:rsidRPr="00162962" w:rsidRDefault="00162962" w:rsidP="00162962">
      <w:proofErr w:type="spellStart"/>
      <w:r w:rsidRPr="00162962">
        <w:t>Nind</w:t>
      </w:r>
      <w:proofErr w:type="spellEnd"/>
      <w:r w:rsidRPr="00162962">
        <w:t xml:space="preserve">, M. (2014) "Inclusive research defined." What is inclusive research? London: Bloomsbury Academic. 1–14. Bloomsbury Collections. Available at:  </w:t>
      </w:r>
      <w:hyperlink r:id="rId125" w:history="1">
        <w:r w:rsidRPr="00162962">
          <w:rPr>
            <w:color w:val="0000FF"/>
            <w:u w:val="single"/>
          </w:rPr>
          <w:t>http://dx.doi.org/10.5040/9781849668149.ch-001</w:t>
        </w:r>
      </w:hyperlink>
      <w:r w:rsidRPr="00162962">
        <w:t xml:space="preserve"> [last accessed July 2022]. </w:t>
      </w:r>
    </w:p>
    <w:p w14:paraId="149A69EE" w14:textId="02540FE8" w:rsidR="00162962" w:rsidRPr="00162962" w:rsidRDefault="00162962" w:rsidP="00162962">
      <w:proofErr w:type="spellStart"/>
      <w:r w:rsidRPr="00162962">
        <w:t>Nind</w:t>
      </w:r>
      <w:proofErr w:type="spellEnd"/>
      <w:r w:rsidRPr="00162962">
        <w:t xml:space="preserve">, M. (2017) ‘The practical wisdom of inclusive research’, </w:t>
      </w:r>
      <w:r w:rsidRPr="00162962">
        <w:rPr>
          <w:b/>
        </w:rPr>
        <w:t>Qualitative Research</w:t>
      </w:r>
      <w:r w:rsidRPr="00162962">
        <w:t xml:space="preserve">, 17(3), pp.278-288. Available at: </w:t>
      </w:r>
      <w:hyperlink r:id="rId126" w:history="1">
        <w:r w:rsidRPr="00162962">
          <w:rPr>
            <w:color w:val="0000FF"/>
            <w:u w:val="single"/>
          </w:rPr>
          <w:t>https://doi.org/10.1177/1468794117708123</w:t>
        </w:r>
      </w:hyperlink>
      <w:r w:rsidRPr="00162962">
        <w:t xml:space="preserve"> [last accessed July 2022]. </w:t>
      </w:r>
    </w:p>
    <w:p w14:paraId="02DE8B8F" w14:textId="70C0A3CA" w:rsidR="00162962" w:rsidRPr="00162962" w:rsidRDefault="00162962" w:rsidP="00162962">
      <w:r w:rsidRPr="00162962">
        <w:t xml:space="preserve">Ní </w:t>
      </w:r>
      <w:proofErr w:type="spellStart"/>
      <w:r w:rsidRPr="00162962">
        <w:t>Shé</w:t>
      </w:r>
      <w:proofErr w:type="spellEnd"/>
      <w:r w:rsidRPr="00162962">
        <w:t xml:space="preserve">, É., Morton, S., Lambert, V., Ní </w:t>
      </w:r>
      <w:proofErr w:type="spellStart"/>
      <w:r w:rsidRPr="00162962">
        <w:t>Cheallaigh</w:t>
      </w:r>
      <w:proofErr w:type="spellEnd"/>
      <w:r w:rsidRPr="00162962">
        <w:t xml:space="preserve">, C., </w:t>
      </w:r>
      <w:proofErr w:type="spellStart"/>
      <w:r w:rsidRPr="00162962">
        <w:t>Lacey</w:t>
      </w:r>
      <w:proofErr w:type="spellEnd"/>
      <w:r w:rsidRPr="00162962">
        <w:t xml:space="preserve">, V., Dunn, E., </w:t>
      </w:r>
      <w:proofErr w:type="spellStart"/>
      <w:r w:rsidRPr="00162962">
        <w:t>Loughnane</w:t>
      </w:r>
      <w:proofErr w:type="spellEnd"/>
      <w:r w:rsidRPr="00162962">
        <w:t xml:space="preserve">, C., O'Connor, J., McCann, A., </w:t>
      </w:r>
      <w:proofErr w:type="spellStart"/>
      <w:r w:rsidRPr="00162962">
        <w:t>Adshead</w:t>
      </w:r>
      <w:proofErr w:type="spellEnd"/>
      <w:r w:rsidRPr="00162962">
        <w:t xml:space="preserve">, M. and Kroll, T. (2019) ‘Clarifying the mechanisms and resources that enable the reciprocal involvement of seldom heard groups in health and social care research: a collaborative rapid realist review process’, </w:t>
      </w:r>
      <w:r w:rsidRPr="00162962">
        <w:rPr>
          <w:b/>
        </w:rPr>
        <w:t>Health Expectations</w:t>
      </w:r>
      <w:r w:rsidRPr="00162962">
        <w:t xml:space="preserve">, 22(3), pp.298-306. Available at: </w:t>
      </w:r>
      <w:hyperlink r:id="rId127" w:history="1">
        <w:r w:rsidRPr="00162962">
          <w:rPr>
            <w:color w:val="0000FF"/>
            <w:u w:val="single"/>
          </w:rPr>
          <w:t>https://doi.org/10.1111/hex.12865</w:t>
        </w:r>
      </w:hyperlink>
      <w:r w:rsidRPr="00162962">
        <w:t xml:space="preserve"> [last accessed July 2022]. </w:t>
      </w:r>
    </w:p>
    <w:p w14:paraId="2E9C93FD" w14:textId="7A117ACD" w:rsidR="00162962" w:rsidRPr="00162962" w:rsidRDefault="00162962" w:rsidP="00162962">
      <w:r w:rsidRPr="00162962">
        <w:t xml:space="preserve">Ní </w:t>
      </w:r>
      <w:proofErr w:type="spellStart"/>
      <w:r w:rsidRPr="00162962">
        <w:t>Shé</w:t>
      </w:r>
      <w:proofErr w:type="spellEnd"/>
      <w:r w:rsidRPr="00162962">
        <w:t xml:space="preserve">, É., Cassidy, J., Davies, C., De </w:t>
      </w:r>
      <w:proofErr w:type="spellStart"/>
      <w:r w:rsidRPr="00162962">
        <w:t>Brún</w:t>
      </w:r>
      <w:proofErr w:type="spellEnd"/>
      <w:r w:rsidRPr="00162962">
        <w:t xml:space="preserve">, A., Donnelly, S., </w:t>
      </w:r>
      <w:proofErr w:type="spellStart"/>
      <w:r w:rsidRPr="00162962">
        <w:t>Dorris</w:t>
      </w:r>
      <w:proofErr w:type="spellEnd"/>
      <w:r w:rsidRPr="00162962">
        <w:t xml:space="preserve">, E., Dunne, N., Egan, K., Foley, M., Galvin, M. and Harkin, M. (2020) ‘Minding the gap: identifying </w:t>
      </w:r>
      <w:r w:rsidRPr="00162962">
        <w:lastRenderedPageBreak/>
        <w:t xml:space="preserve">values to enable public and patient involvement at the pre-commencement stage of research projects’, </w:t>
      </w:r>
      <w:r w:rsidRPr="00162962">
        <w:rPr>
          <w:b/>
        </w:rPr>
        <w:t>Research Involvement and Engagement</w:t>
      </w:r>
      <w:r w:rsidRPr="00162962">
        <w:t xml:space="preserve">, 6(1), pp.1-10. </w:t>
      </w:r>
      <w:hyperlink r:id="rId128" w:history="1">
        <w:r w:rsidRPr="00162962">
          <w:rPr>
            <w:color w:val="0000FF"/>
            <w:u w:val="single"/>
          </w:rPr>
          <w:t>https://doi.org/10.1186/s40900-020-00220-7</w:t>
        </w:r>
      </w:hyperlink>
      <w:r w:rsidRPr="00162962">
        <w:t xml:space="preserve"> [last accessed July 2022]. </w:t>
      </w:r>
    </w:p>
    <w:p w14:paraId="47E61CBD" w14:textId="3172D80C" w:rsidR="00162962" w:rsidRPr="00162962" w:rsidRDefault="00162962" w:rsidP="00162962">
      <w:r w:rsidRPr="00DA262C">
        <w:t>Northway, R., Howarth, J. and Evans, L. (</w:t>
      </w:r>
      <w:r w:rsidRPr="00162962">
        <w:t xml:space="preserve">2015) ‘Participatory research, people with intellectual disabilities and ethical approval: making reasonable adjustments to enable participation’, </w:t>
      </w:r>
      <w:r w:rsidRPr="00162962">
        <w:rPr>
          <w:b/>
        </w:rPr>
        <w:t>Journal of Clinical Nursing</w:t>
      </w:r>
      <w:r w:rsidRPr="00162962">
        <w:t xml:space="preserve">, 24(3-4), pp.573-581. Available at: </w:t>
      </w:r>
      <w:hyperlink r:id="rId129" w:history="1">
        <w:r w:rsidRPr="00162962">
          <w:rPr>
            <w:color w:val="0000FF"/>
            <w:u w:val="single"/>
          </w:rPr>
          <w:t>https://doi.org/10.1111/jocn.12702</w:t>
        </w:r>
      </w:hyperlink>
      <w:r w:rsidRPr="00162962">
        <w:t xml:space="preserve"> [last accessed July 2022]. </w:t>
      </w:r>
    </w:p>
    <w:p w14:paraId="61E9689B" w14:textId="1CF3D0A9" w:rsidR="00162962" w:rsidRPr="00162962" w:rsidRDefault="00162962" w:rsidP="00162962">
      <w:r w:rsidRPr="00791F74">
        <w:t xml:space="preserve">O’Brien, J., </w:t>
      </w:r>
      <w:proofErr w:type="spellStart"/>
      <w:r w:rsidRPr="00791F74">
        <w:t>Fossey</w:t>
      </w:r>
      <w:proofErr w:type="spellEnd"/>
      <w:r w:rsidRPr="00791F74">
        <w:t>, E. and Palmer, V</w:t>
      </w:r>
      <w:r w:rsidRPr="00162962">
        <w:t>.J. (2021) ‘A scoping review of the use of co</w:t>
      </w:r>
      <w:r w:rsidRPr="00162962">
        <w:rPr>
          <w:rFonts w:ascii="Cambria Math" w:hAnsi="Cambria Math" w:cs="Cambria Math"/>
        </w:rPr>
        <w:t>‐</w:t>
      </w:r>
      <w:r w:rsidRPr="00162962">
        <w:t xml:space="preserve">design methods with culturally and linguistically diverse communities to improve or adapt mental health services’, </w:t>
      </w:r>
      <w:r w:rsidRPr="00162962">
        <w:rPr>
          <w:b/>
        </w:rPr>
        <w:t>Health &amp; Social Care in the Community</w:t>
      </w:r>
      <w:r w:rsidRPr="00162962">
        <w:t xml:space="preserve">, 29(1), pp.1-17. Available at: </w:t>
      </w:r>
      <w:hyperlink r:id="rId130" w:history="1">
        <w:r w:rsidRPr="00162962">
          <w:rPr>
            <w:color w:val="0000FF"/>
            <w:u w:val="single"/>
          </w:rPr>
          <w:t>https://doi.org/10.1111/hsc.13105</w:t>
        </w:r>
      </w:hyperlink>
      <w:r w:rsidRPr="00162962">
        <w:t xml:space="preserve"> [last accessed July 2022]. </w:t>
      </w:r>
    </w:p>
    <w:p w14:paraId="525EFC5E" w14:textId="4F6E887F" w:rsidR="00162962" w:rsidRPr="00162962" w:rsidRDefault="00162962" w:rsidP="00162962">
      <w:proofErr w:type="spellStart"/>
      <w:r w:rsidRPr="00162962">
        <w:t>O’Harta</w:t>
      </w:r>
      <w:proofErr w:type="spellEnd"/>
      <w:r w:rsidRPr="00162962">
        <w:t xml:space="preserve">, M.C., Cunningham, Á., </w:t>
      </w:r>
      <w:proofErr w:type="spellStart"/>
      <w:r w:rsidRPr="00162962">
        <w:t>Keighron</w:t>
      </w:r>
      <w:proofErr w:type="spellEnd"/>
      <w:r w:rsidRPr="00162962">
        <w:t xml:space="preserve">, C., Allen, G., Caulfield, A., Duffy, C., Long, M., Mallon, M., Mullins, M., </w:t>
      </w:r>
      <w:proofErr w:type="spellStart"/>
      <w:r w:rsidRPr="00162962">
        <w:t>Tonra</w:t>
      </w:r>
      <w:proofErr w:type="spellEnd"/>
      <w:r w:rsidRPr="00162962">
        <w:t xml:space="preserve">, G. and </w:t>
      </w:r>
      <w:proofErr w:type="spellStart"/>
      <w:r w:rsidRPr="00162962">
        <w:t>Simkin</w:t>
      </w:r>
      <w:proofErr w:type="spellEnd"/>
      <w:r w:rsidRPr="00162962">
        <w:t xml:space="preserve">, S. (2017) ‘Formation of a type 1 diabetes young adult patient and public involvement panel to develop a health behaviour change intervention: the D1 Now study’, </w:t>
      </w:r>
      <w:r w:rsidRPr="00162962">
        <w:rPr>
          <w:b/>
        </w:rPr>
        <w:t>Research Involvement and Engagement,</w:t>
      </w:r>
      <w:r w:rsidRPr="00162962">
        <w:t xml:space="preserve"> 3(1), pp.1-16. Available from: </w:t>
      </w:r>
      <w:hyperlink r:id="rId131" w:history="1">
        <w:r w:rsidRPr="00162962">
          <w:rPr>
            <w:color w:val="0000FF"/>
            <w:u w:val="single"/>
          </w:rPr>
          <w:t>https://doi.org/10.1186/s40900-017-0068-9</w:t>
        </w:r>
      </w:hyperlink>
      <w:r w:rsidRPr="00162962">
        <w:t xml:space="preserve"> [last accessed July 2022]. </w:t>
      </w:r>
    </w:p>
    <w:p w14:paraId="210477DE" w14:textId="4A728F02" w:rsidR="00162962" w:rsidRPr="00162962" w:rsidRDefault="00162962" w:rsidP="00162962">
      <w:r w:rsidRPr="00162962">
        <w:t xml:space="preserve">Oliver, M. (1992) ‘Changing the social relations of research production?’ </w:t>
      </w:r>
      <w:r w:rsidRPr="00162962">
        <w:rPr>
          <w:b/>
        </w:rPr>
        <w:t>Disability, Handicap &amp; Society</w:t>
      </w:r>
      <w:r w:rsidRPr="00162962">
        <w:t xml:space="preserve">, 7(2), pp.101-114. Available at: </w:t>
      </w:r>
      <w:hyperlink r:id="rId132" w:history="1">
        <w:r w:rsidRPr="00162962">
          <w:rPr>
            <w:color w:val="0000FF"/>
            <w:u w:val="single"/>
          </w:rPr>
          <w:t>https://doi.org/10.1080/02674649266780141</w:t>
        </w:r>
      </w:hyperlink>
      <w:r w:rsidRPr="00162962">
        <w:t xml:space="preserve"> [last accessed July 2022]. </w:t>
      </w:r>
    </w:p>
    <w:p w14:paraId="437751B2" w14:textId="1017A13E" w:rsidR="00162962" w:rsidRPr="00162962" w:rsidRDefault="00162962" w:rsidP="00162962">
      <w:r w:rsidRPr="00162962">
        <w:t xml:space="preserve">Oliver, K., O'Malley, M., Parkes, J., </w:t>
      </w:r>
      <w:proofErr w:type="spellStart"/>
      <w:r w:rsidRPr="00162962">
        <w:t>Stamou</w:t>
      </w:r>
      <w:proofErr w:type="spellEnd"/>
      <w:r w:rsidRPr="00162962">
        <w:t xml:space="preserve">, V., La Fontaine, J., </w:t>
      </w:r>
      <w:proofErr w:type="spellStart"/>
      <w:r w:rsidRPr="00162962">
        <w:t>Oyebode</w:t>
      </w:r>
      <w:proofErr w:type="spellEnd"/>
      <w:r w:rsidRPr="00162962">
        <w:t xml:space="preserve">, J. and Carter, J. (2020) ‘Living with young onset dementia and actively shaping dementia research–The Angela Project’, </w:t>
      </w:r>
      <w:r w:rsidRPr="00162962">
        <w:rPr>
          <w:b/>
        </w:rPr>
        <w:t>Dementi</w:t>
      </w:r>
      <w:r w:rsidRPr="00162962">
        <w:t xml:space="preserve">a, 19(1), pp.41-48. Available at: </w:t>
      </w:r>
      <w:hyperlink r:id="rId133" w:history="1">
        <w:r w:rsidRPr="00162962">
          <w:rPr>
            <w:color w:val="0000FF"/>
            <w:u w:val="single"/>
          </w:rPr>
          <w:t>https://doi.org/10.1177/1471301219876414</w:t>
        </w:r>
      </w:hyperlink>
      <w:r w:rsidRPr="00162962">
        <w:t xml:space="preserve"> [last accessed July 2022]. </w:t>
      </w:r>
    </w:p>
    <w:p w14:paraId="5385EF88" w14:textId="69963F98" w:rsidR="00162962" w:rsidRPr="00162962" w:rsidRDefault="00162962" w:rsidP="00162962">
      <w:r w:rsidRPr="00162962">
        <w:t xml:space="preserve">O'Shea, E., </w:t>
      </w:r>
      <w:proofErr w:type="spellStart"/>
      <w:r w:rsidRPr="00162962">
        <w:t>Ogbebor</w:t>
      </w:r>
      <w:proofErr w:type="spellEnd"/>
      <w:r w:rsidRPr="00162962">
        <w:t xml:space="preserve">, F., </w:t>
      </w:r>
      <w:proofErr w:type="spellStart"/>
      <w:r w:rsidRPr="00162962">
        <w:t>Queally</w:t>
      </w:r>
      <w:proofErr w:type="spellEnd"/>
      <w:r w:rsidRPr="00162962">
        <w:t xml:space="preserve">, M. and Murphy, E., (2019) ‘Knowledge of public patient involvement among health economists in Ireland: a baseline audit’, </w:t>
      </w:r>
      <w:r w:rsidRPr="00162962">
        <w:rPr>
          <w:b/>
        </w:rPr>
        <w:t>HRB Open Research</w:t>
      </w:r>
      <w:r w:rsidRPr="00162962">
        <w:t xml:space="preserve">, 2(4), p.4. Available at: </w:t>
      </w:r>
      <w:hyperlink r:id="rId134" w:history="1">
        <w:r w:rsidRPr="00162962">
          <w:rPr>
            <w:color w:val="0000FF"/>
            <w:u w:val="single"/>
          </w:rPr>
          <w:t>https://doi.org/10.12688/hrbopenres.12896.1</w:t>
        </w:r>
      </w:hyperlink>
      <w:r w:rsidRPr="00162962">
        <w:t xml:space="preserve"> [last accessed July 2022]. </w:t>
      </w:r>
    </w:p>
    <w:p w14:paraId="54431463" w14:textId="1DC32BDB" w:rsidR="00162962" w:rsidRPr="00162962" w:rsidRDefault="00162962" w:rsidP="00162962">
      <w:r w:rsidRPr="00162962">
        <w:t xml:space="preserve">Partners2 Writing Collective (2020) "Exploring patient and public involvement (PPI) and co-production approaches in mental health research: learning from the PARTNERS2 research programme." </w:t>
      </w:r>
      <w:r w:rsidRPr="00162962">
        <w:rPr>
          <w:b/>
        </w:rPr>
        <w:t>Research Involvement and Engagement</w:t>
      </w:r>
      <w:r w:rsidRPr="00162962">
        <w:t xml:space="preserve">. 6(56), pp.1-11. Available at: </w:t>
      </w:r>
      <w:hyperlink r:id="rId135" w:history="1">
        <w:r w:rsidRPr="00162962">
          <w:rPr>
            <w:color w:val="0000FF"/>
            <w:u w:val="single"/>
          </w:rPr>
          <w:t>https://doi.org/10.1186/s40900-020-00224-3</w:t>
        </w:r>
      </w:hyperlink>
      <w:r w:rsidR="00EF2329">
        <w:t xml:space="preserve"> [last accessed July 2022].</w:t>
      </w:r>
    </w:p>
    <w:p w14:paraId="2C720DF5" w14:textId="0B0670C2" w:rsidR="00162962" w:rsidRPr="00162962" w:rsidRDefault="00162962" w:rsidP="00162962">
      <w:proofErr w:type="spellStart"/>
      <w:r w:rsidRPr="00162962">
        <w:t>Parveen</w:t>
      </w:r>
      <w:proofErr w:type="spellEnd"/>
      <w:r w:rsidRPr="00162962">
        <w:t xml:space="preserve">, S., Barker, S., Kaur, R., Kerry, F., Mitchell, W., </w:t>
      </w:r>
      <w:proofErr w:type="spellStart"/>
      <w:r w:rsidRPr="00162962">
        <w:t>Happs</w:t>
      </w:r>
      <w:proofErr w:type="spellEnd"/>
      <w:r w:rsidRPr="00162962">
        <w:t xml:space="preserve">, A., Fry, G., Morrison, V., </w:t>
      </w:r>
      <w:proofErr w:type="spellStart"/>
      <w:r w:rsidRPr="00162962">
        <w:t>Fortinsky</w:t>
      </w:r>
      <w:proofErr w:type="spellEnd"/>
      <w:r w:rsidRPr="00162962">
        <w:t xml:space="preserve">, R. and </w:t>
      </w:r>
      <w:proofErr w:type="spellStart"/>
      <w:r w:rsidRPr="00162962">
        <w:t>Oyebode</w:t>
      </w:r>
      <w:proofErr w:type="spellEnd"/>
      <w:r w:rsidRPr="00162962">
        <w:t xml:space="preserve">, J.R. (2018) ‘Involving minority ethnic </w:t>
      </w:r>
      <w:r w:rsidRPr="00162962">
        <w:lastRenderedPageBreak/>
        <w:t xml:space="preserve">communities and diverse experts by experience in dementia research: the caregiving HOPE study’, </w:t>
      </w:r>
      <w:r w:rsidRPr="00162962">
        <w:rPr>
          <w:b/>
        </w:rPr>
        <w:t>Dementia</w:t>
      </w:r>
      <w:r w:rsidRPr="00162962">
        <w:t xml:space="preserve">, 17(8), pp.990-1000. Available at: </w:t>
      </w:r>
      <w:hyperlink r:id="rId136" w:history="1">
        <w:r w:rsidRPr="00162962">
          <w:rPr>
            <w:color w:val="0000FF"/>
            <w:u w:val="single"/>
          </w:rPr>
          <w:t>https://doi.org/10.1177/1471301218789558</w:t>
        </w:r>
      </w:hyperlink>
      <w:r w:rsidRPr="00162962">
        <w:t xml:space="preserve"> [last accessed July 2022]. </w:t>
      </w:r>
    </w:p>
    <w:p w14:paraId="2E8E2A60" w14:textId="57A83E6A" w:rsidR="00162962" w:rsidRPr="00162962" w:rsidRDefault="00162962" w:rsidP="00162962">
      <w:r w:rsidRPr="00162962">
        <w:t xml:space="preserve">Paul, C. and Holt, J. (2017) ‘Involving the public in mental health and learning disability research: Can we, should we, do we?’ </w:t>
      </w:r>
      <w:r w:rsidRPr="00162962">
        <w:rPr>
          <w:b/>
        </w:rPr>
        <w:t>Journal of Psychiatric and Mental Health Nursing</w:t>
      </w:r>
      <w:r w:rsidRPr="00162962">
        <w:t xml:space="preserve">, 24(8), pp.570-579. Available at: </w:t>
      </w:r>
      <w:hyperlink r:id="rId137" w:history="1">
        <w:r w:rsidRPr="00162962">
          <w:rPr>
            <w:color w:val="0000FF"/>
            <w:u w:val="single"/>
          </w:rPr>
          <w:t>https://doi.org/10.1111/jpm.12404</w:t>
        </w:r>
      </w:hyperlink>
      <w:r w:rsidRPr="00162962">
        <w:t xml:space="preserve"> [last accessed July 2022]. </w:t>
      </w:r>
    </w:p>
    <w:p w14:paraId="1EFC6B76" w14:textId="60968766" w:rsidR="00162962" w:rsidRPr="00162962" w:rsidRDefault="00162962" w:rsidP="00162962">
      <w:proofErr w:type="spellStart"/>
      <w:r w:rsidRPr="00162962">
        <w:t>Pellicano</w:t>
      </w:r>
      <w:proofErr w:type="spellEnd"/>
      <w:r w:rsidRPr="00162962">
        <w:t xml:space="preserve">, E. and </w:t>
      </w:r>
      <w:proofErr w:type="spellStart"/>
      <w:r w:rsidRPr="00162962">
        <w:t>Stears</w:t>
      </w:r>
      <w:proofErr w:type="spellEnd"/>
      <w:r w:rsidRPr="00162962">
        <w:t xml:space="preserve">, M., (2019) ‘Commentary on </w:t>
      </w:r>
      <w:proofErr w:type="spellStart"/>
      <w:r w:rsidRPr="00162962">
        <w:t>Weksler-Derri</w:t>
      </w:r>
      <w:proofErr w:type="spellEnd"/>
      <w:r w:rsidRPr="00162962">
        <w:t xml:space="preserve"> et al.’s “Ethical Challenges in Participatory Research with Autistic Adults in Israel”. </w:t>
      </w:r>
      <w:r w:rsidRPr="00162962">
        <w:rPr>
          <w:b/>
        </w:rPr>
        <w:t>Journal of Empirical Research on Human Research Ethics</w:t>
      </w:r>
      <w:r w:rsidRPr="00162962">
        <w:t xml:space="preserve">, 14(5), pp.452-454. Available at: </w:t>
      </w:r>
      <w:hyperlink r:id="rId138" w:history="1">
        <w:r w:rsidRPr="00162962">
          <w:rPr>
            <w:color w:val="0000FF"/>
            <w:u w:val="single"/>
          </w:rPr>
          <w:t>https://doi.org/10.1177/1556264619858524a</w:t>
        </w:r>
      </w:hyperlink>
      <w:r w:rsidRPr="00162962">
        <w:t xml:space="preserve"> [last accessed July 2022]. </w:t>
      </w:r>
    </w:p>
    <w:p w14:paraId="54B34563" w14:textId="3B1EA961" w:rsidR="00162962" w:rsidRPr="00162962" w:rsidRDefault="00162962" w:rsidP="00162962">
      <w:r w:rsidRPr="00162962">
        <w:t xml:space="preserve">Powers, L.E. (2017) ‘Contributing meaning to research in developmental disabilities: Integrating participatory action and methodological rigor’, </w:t>
      </w:r>
      <w:r w:rsidRPr="00162962">
        <w:rPr>
          <w:b/>
        </w:rPr>
        <w:t>Research and Practice for Persons with Severe Disabilities</w:t>
      </w:r>
      <w:r w:rsidRPr="00162962">
        <w:t xml:space="preserve">, 42(1), pp.42-52. Available at: </w:t>
      </w:r>
      <w:hyperlink r:id="rId139" w:history="1">
        <w:r w:rsidRPr="00162962">
          <w:rPr>
            <w:color w:val="0000FF"/>
            <w:u w:val="single"/>
          </w:rPr>
          <w:t>https://doi.org/10.1177/1540796916686564</w:t>
        </w:r>
      </w:hyperlink>
      <w:r w:rsidR="00C008DF">
        <w:t xml:space="preserve"> [last accessed July 2022].</w:t>
      </w:r>
      <w:r w:rsidRPr="00162962">
        <w:t xml:space="preserve"> </w:t>
      </w:r>
    </w:p>
    <w:p w14:paraId="7C79D7A7" w14:textId="410BF614" w:rsidR="00162962" w:rsidRPr="00162962" w:rsidRDefault="00162962" w:rsidP="00162962">
      <w:proofErr w:type="spellStart"/>
      <w:r w:rsidRPr="00162962">
        <w:t>Peuravaara</w:t>
      </w:r>
      <w:proofErr w:type="spellEnd"/>
      <w:r w:rsidRPr="00162962">
        <w:t xml:space="preserve">, K. (2015) ‘Reflections on collaborative research: to what extent and on whose terms?’ </w:t>
      </w:r>
      <w:r w:rsidRPr="00162962">
        <w:rPr>
          <w:b/>
        </w:rPr>
        <w:t>Scandinavian Journal of Disability Research</w:t>
      </w:r>
      <w:r w:rsidRPr="00162962">
        <w:t xml:space="preserve">, 17(3), pp.272-283. Available at: </w:t>
      </w:r>
      <w:hyperlink r:id="rId140" w:history="1">
        <w:r w:rsidRPr="00162962">
          <w:rPr>
            <w:color w:val="0000FF"/>
            <w:u w:val="single"/>
          </w:rPr>
          <w:t>https://doi.org/10.1080/15017419.2013.859178</w:t>
        </w:r>
      </w:hyperlink>
      <w:r w:rsidRPr="00162962">
        <w:t xml:space="preserve"> [last accessed July 2022]. </w:t>
      </w:r>
    </w:p>
    <w:p w14:paraId="69532910" w14:textId="2CD8D6CC" w:rsidR="00162962" w:rsidRPr="00162962" w:rsidRDefault="00162962" w:rsidP="00162962">
      <w:proofErr w:type="spellStart"/>
      <w:r w:rsidRPr="00162962">
        <w:t>Puyalto</w:t>
      </w:r>
      <w:proofErr w:type="spellEnd"/>
      <w:r w:rsidRPr="00162962">
        <w:t xml:space="preserve">, C., </w:t>
      </w:r>
      <w:proofErr w:type="spellStart"/>
      <w:r w:rsidRPr="00162962">
        <w:t>Pallisera</w:t>
      </w:r>
      <w:proofErr w:type="spellEnd"/>
      <w:r w:rsidRPr="00162962">
        <w:t xml:space="preserve">, M., </w:t>
      </w:r>
      <w:proofErr w:type="spellStart"/>
      <w:r w:rsidRPr="00162962">
        <w:t>Fullana</w:t>
      </w:r>
      <w:proofErr w:type="spellEnd"/>
      <w:r w:rsidRPr="00162962">
        <w:t xml:space="preserve">, J. and </w:t>
      </w:r>
      <w:proofErr w:type="spellStart"/>
      <w:r w:rsidRPr="00162962">
        <w:t>Vilà</w:t>
      </w:r>
      <w:proofErr w:type="spellEnd"/>
      <w:r w:rsidRPr="00162962">
        <w:t>, M. (2016) ‘Doing research together: a study on the views of advisors with intellectual disabilities and non</w:t>
      </w:r>
      <w:r w:rsidRPr="00162962">
        <w:rPr>
          <w:rFonts w:ascii="Cambria Math" w:hAnsi="Cambria Math" w:cs="Cambria Math"/>
        </w:rPr>
        <w:t>‐</w:t>
      </w:r>
      <w:r w:rsidRPr="00162962">
        <w:t xml:space="preserve">disabled researchers collaborating in research’, </w:t>
      </w:r>
      <w:r w:rsidRPr="00162962">
        <w:rPr>
          <w:b/>
        </w:rPr>
        <w:t>Journal of Applied Research in Intellectual Disabilities</w:t>
      </w:r>
      <w:r w:rsidRPr="00162962">
        <w:t xml:space="preserve">, 29(2), pp.146-159. Available at: </w:t>
      </w:r>
      <w:hyperlink r:id="rId141" w:history="1">
        <w:r w:rsidRPr="00162962">
          <w:rPr>
            <w:color w:val="0000FF"/>
            <w:u w:val="single"/>
          </w:rPr>
          <w:t>https://doi.org/10.1111/jar.12165</w:t>
        </w:r>
      </w:hyperlink>
      <w:r w:rsidRPr="00162962">
        <w:t xml:space="preserve"> [last accessed July 2022]. </w:t>
      </w:r>
    </w:p>
    <w:p w14:paraId="365B2D58" w14:textId="785C749F" w:rsidR="00162962" w:rsidRPr="0096271D" w:rsidRDefault="00162962" w:rsidP="00162962">
      <w:r w:rsidRPr="0096271D">
        <w:t xml:space="preserve">Riches, T.N., O'Brien, P.M. and CDS Inclusive Research Network (2017) ‘Togetherness, teamwork and challenges: reflections on building an inclusive research network’. </w:t>
      </w:r>
      <w:r w:rsidRPr="0096271D">
        <w:rPr>
          <w:b/>
        </w:rPr>
        <w:t>British Journal of Learning Disabilities</w:t>
      </w:r>
      <w:r w:rsidRPr="0096271D">
        <w:t xml:space="preserve">, 45(4), pp.274-281. Available from: </w:t>
      </w:r>
      <w:hyperlink r:id="rId142" w:history="1">
        <w:r w:rsidRPr="0096271D">
          <w:rPr>
            <w:color w:val="0000FF"/>
            <w:u w:val="single"/>
          </w:rPr>
          <w:t>https://doi.org/10.1111/bld.12199</w:t>
        </w:r>
      </w:hyperlink>
      <w:r w:rsidR="00C008DF" w:rsidRPr="0096271D">
        <w:t xml:space="preserve"> [last accessed July 2022]</w:t>
      </w:r>
      <w:r w:rsidRPr="0096271D">
        <w:t xml:space="preserve"> </w:t>
      </w:r>
    </w:p>
    <w:p w14:paraId="62E75D56" w14:textId="4E88514B" w:rsidR="00162962" w:rsidRPr="00162962" w:rsidRDefault="00C008DF" w:rsidP="00162962">
      <w:r w:rsidRPr="0096271D">
        <w:t>Riches, T.N., O'Brien</w:t>
      </w:r>
      <w:r w:rsidR="00162962" w:rsidRPr="0096271D">
        <w:t xml:space="preserve"> P.M. and CDS Inclusive Research Network (2020) ‘Can we publish inclusive research</w:t>
      </w:r>
      <w:r w:rsidR="00162962" w:rsidRPr="00162962">
        <w:t xml:space="preserve"> inclusively? Researchers with intellectual disabilities interview authors of inclusive studies’, </w:t>
      </w:r>
      <w:r w:rsidR="00162962" w:rsidRPr="00162962">
        <w:rPr>
          <w:b/>
        </w:rPr>
        <w:t>British Journal of Learning Disabilities</w:t>
      </w:r>
      <w:r w:rsidR="00162962" w:rsidRPr="00162962">
        <w:t xml:space="preserve">, 48(4), pp.272-280. Available at: </w:t>
      </w:r>
      <w:hyperlink r:id="rId143" w:history="1">
        <w:r w:rsidR="00162962" w:rsidRPr="00162962">
          <w:rPr>
            <w:color w:val="0000FF"/>
            <w:u w:val="single"/>
          </w:rPr>
          <w:t>https://doi.org/10.1111/bld.12324</w:t>
        </w:r>
      </w:hyperlink>
      <w:r>
        <w:t xml:space="preserve"> [last accessed July 2022].</w:t>
      </w:r>
    </w:p>
    <w:p w14:paraId="60F49A4F" w14:textId="753D0826" w:rsidR="00162962" w:rsidRPr="00162962" w:rsidRDefault="00162962" w:rsidP="00162962">
      <w:r w:rsidRPr="00162962">
        <w:t xml:space="preserve">Roberts, C., Rochford-Brennan, H., </w:t>
      </w:r>
      <w:proofErr w:type="spellStart"/>
      <w:r w:rsidRPr="00162962">
        <w:t>Goodrick</w:t>
      </w:r>
      <w:proofErr w:type="spellEnd"/>
      <w:r w:rsidRPr="00162962">
        <w:t xml:space="preserve">, J., Gove, D., Diaz-Ponce, A. and Georges, J. (2020) ‘Our reflections of patient and public involvement in research </w:t>
      </w:r>
      <w:r w:rsidRPr="00162962">
        <w:lastRenderedPageBreak/>
        <w:t xml:space="preserve">as members of the European Working Group of People with Dementia’, </w:t>
      </w:r>
      <w:r w:rsidRPr="00162962">
        <w:rPr>
          <w:b/>
        </w:rPr>
        <w:t>Dementia</w:t>
      </w:r>
      <w:r w:rsidRPr="00162962">
        <w:t xml:space="preserve">, 19(1), pp.10-17. Available at: </w:t>
      </w:r>
      <w:hyperlink r:id="rId144" w:history="1">
        <w:r w:rsidRPr="00162962">
          <w:rPr>
            <w:color w:val="0000FF"/>
            <w:u w:val="single"/>
          </w:rPr>
          <w:t>https://doi.org/10.1177/1471301219876402</w:t>
        </w:r>
      </w:hyperlink>
      <w:r w:rsidRPr="00162962">
        <w:t xml:space="preserve"> [last accessed July 2022]. </w:t>
      </w:r>
    </w:p>
    <w:p w14:paraId="22D0C263" w14:textId="446457E2" w:rsidR="00162962" w:rsidRPr="00162962" w:rsidRDefault="00162962" w:rsidP="00162962">
      <w:r w:rsidRPr="00162962">
        <w:t xml:space="preserve">Roche, P., </w:t>
      </w:r>
      <w:proofErr w:type="spellStart"/>
      <w:r w:rsidRPr="00162962">
        <w:t>Shimmin</w:t>
      </w:r>
      <w:proofErr w:type="spellEnd"/>
      <w:r w:rsidRPr="00162962">
        <w:t xml:space="preserve">, C., Hickes, S., Khan, M., </w:t>
      </w:r>
      <w:proofErr w:type="spellStart"/>
      <w:r w:rsidRPr="00162962">
        <w:t>Sherzoi</w:t>
      </w:r>
      <w:proofErr w:type="spellEnd"/>
      <w:r w:rsidRPr="00162962">
        <w:t xml:space="preserve">, O., </w:t>
      </w:r>
      <w:proofErr w:type="spellStart"/>
      <w:r w:rsidRPr="00162962">
        <w:t>Wicklund</w:t>
      </w:r>
      <w:proofErr w:type="spellEnd"/>
      <w:r w:rsidRPr="00162962">
        <w:t xml:space="preserve">, E., Lavoie, J.G., </w:t>
      </w:r>
      <w:proofErr w:type="spellStart"/>
      <w:r w:rsidRPr="00162962">
        <w:t>Hardie</w:t>
      </w:r>
      <w:proofErr w:type="spellEnd"/>
      <w:r w:rsidRPr="00162962">
        <w:t xml:space="preserve">, S., </w:t>
      </w:r>
      <w:proofErr w:type="spellStart"/>
      <w:r w:rsidRPr="00162962">
        <w:t>Wittmeier</w:t>
      </w:r>
      <w:proofErr w:type="spellEnd"/>
      <w:r w:rsidRPr="00162962">
        <w:t xml:space="preserve">, K.D.M. and Sibley, K.M. (2020) ‘Valuing All Voices: refining a trauma-informed, intersectional and critical reflexive framework for patient engagement in health research using a qualitative descriptive approach’, </w:t>
      </w:r>
      <w:r w:rsidRPr="00162962">
        <w:rPr>
          <w:b/>
        </w:rPr>
        <w:t>Research Involvement and Engagement</w:t>
      </w:r>
      <w:r w:rsidRPr="00162962">
        <w:t xml:space="preserve">, 6(1), pp.1-13. Available at: </w:t>
      </w:r>
      <w:hyperlink r:id="rId145" w:history="1">
        <w:r w:rsidRPr="00162962">
          <w:rPr>
            <w:color w:val="0000FF"/>
            <w:u w:val="single"/>
          </w:rPr>
          <w:t>https://doi.org/10.1186/s40900-020-00217-2</w:t>
        </w:r>
      </w:hyperlink>
      <w:r w:rsidRPr="00162962">
        <w:t xml:space="preserve"> [last accessed July 2022]. </w:t>
      </w:r>
    </w:p>
    <w:p w14:paraId="3DBE02D7" w14:textId="502C19E3" w:rsidR="00162962" w:rsidRPr="00162962" w:rsidRDefault="00162962" w:rsidP="00162962">
      <w:r w:rsidRPr="00162962">
        <w:t>Rojas</w:t>
      </w:r>
      <w:r w:rsidRPr="00162962">
        <w:rPr>
          <w:rFonts w:ascii="Cambria Math" w:hAnsi="Cambria Math" w:cs="Cambria Math"/>
        </w:rPr>
        <w:t xml:space="preserve"> </w:t>
      </w:r>
      <w:proofErr w:type="spellStart"/>
      <w:r w:rsidRPr="00162962">
        <w:t>Pernia</w:t>
      </w:r>
      <w:proofErr w:type="spellEnd"/>
      <w:r w:rsidRPr="00162962">
        <w:t>, S., Haya</w:t>
      </w:r>
      <w:r w:rsidRPr="00162962">
        <w:rPr>
          <w:rFonts w:ascii="Cambria Math" w:hAnsi="Cambria Math" w:cs="Cambria Math"/>
        </w:rPr>
        <w:t>‐</w:t>
      </w:r>
      <w:proofErr w:type="spellStart"/>
      <w:r w:rsidRPr="00162962">
        <w:t>Salm</w:t>
      </w:r>
      <w:r w:rsidRPr="00162962">
        <w:rPr>
          <w:rFonts w:cs="Gill Sans MT"/>
        </w:rPr>
        <w:t>ó</w:t>
      </w:r>
      <w:r w:rsidRPr="00162962">
        <w:t>n</w:t>
      </w:r>
      <w:proofErr w:type="spellEnd"/>
      <w:r w:rsidRPr="00162962">
        <w:t xml:space="preserve">, I., </w:t>
      </w:r>
      <w:proofErr w:type="spellStart"/>
      <w:r w:rsidRPr="00162962">
        <w:t>Lastra</w:t>
      </w:r>
      <w:r w:rsidRPr="00162962">
        <w:rPr>
          <w:rFonts w:ascii="Cambria Math" w:hAnsi="Cambria Math" w:cs="Cambria Math"/>
        </w:rPr>
        <w:t>‐</w:t>
      </w:r>
      <w:r w:rsidRPr="00162962">
        <w:t>Cagigas</w:t>
      </w:r>
      <w:proofErr w:type="spellEnd"/>
      <w:r w:rsidRPr="00162962">
        <w:t xml:space="preserve">, S. and </w:t>
      </w:r>
      <w:proofErr w:type="spellStart"/>
      <w:r w:rsidRPr="00162962">
        <w:rPr>
          <w:rFonts w:cs="Gill Sans MT"/>
        </w:rPr>
        <w:t>Á</w:t>
      </w:r>
      <w:r w:rsidRPr="00162962">
        <w:t>lvarez</w:t>
      </w:r>
      <w:r w:rsidRPr="00162962">
        <w:rPr>
          <w:rFonts w:ascii="Cambria Math" w:hAnsi="Cambria Math" w:cs="Cambria Math"/>
        </w:rPr>
        <w:t>‐</w:t>
      </w:r>
      <w:r w:rsidRPr="00162962">
        <w:t>S</w:t>
      </w:r>
      <w:r w:rsidRPr="00162962">
        <w:rPr>
          <w:rFonts w:cs="Gill Sans MT"/>
        </w:rPr>
        <w:t>á</w:t>
      </w:r>
      <w:r w:rsidRPr="00162962">
        <w:t>enz</w:t>
      </w:r>
      <w:proofErr w:type="spellEnd"/>
      <w:r w:rsidRPr="00162962">
        <w:t xml:space="preserve"> de Santa </w:t>
      </w:r>
      <w:proofErr w:type="spellStart"/>
      <w:r w:rsidRPr="00162962">
        <w:t>Mar</w:t>
      </w:r>
      <w:r w:rsidRPr="00162962">
        <w:rPr>
          <w:rFonts w:cs="Gill Sans MT"/>
        </w:rPr>
        <w:t>í</w:t>
      </w:r>
      <w:r w:rsidRPr="00162962">
        <w:t>a</w:t>
      </w:r>
      <w:proofErr w:type="spellEnd"/>
      <w:r w:rsidRPr="00162962">
        <w:t xml:space="preserve">, L. (2020) ‘The importance of social relationships and loneliness: an inclusive research project in Spain’, </w:t>
      </w:r>
      <w:r w:rsidRPr="00162962">
        <w:rPr>
          <w:b/>
        </w:rPr>
        <w:t>British Journal of Learning Disabilities</w:t>
      </w:r>
      <w:r w:rsidRPr="00162962">
        <w:t xml:space="preserve">, 48(4), pp.291-300. Available at: </w:t>
      </w:r>
      <w:hyperlink r:id="rId146" w:history="1">
        <w:r w:rsidRPr="00162962">
          <w:rPr>
            <w:color w:val="0000FF"/>
            <w:u w:val="single"/>
          </w:rPr>
          <w:t>https://doi.org/10.1111/bld.12342</w:t>
        </w:r>
      </w:hyperlink>
      <w:r w:rsidRPr="00162962">
        <w:t xml:space="preserve"> [last accessed July 2022]. </w:t>
      </w:r>
    </w:p>
    <w:p w14:paraId="3D7FD8C2" w14:textId="4F32AED8" w:rsidR="00162962" w:rsidRPr="00162962" w:rsidRDefault="00162962" w:rsidP="00162962">
      <w:r w:rsidRPr="00E428A5">
        <w:t xml:space="preserve">Salmon, N., </w:t>
      </w:r>
      <w:proofErr w:type="spellStart"/>
      <w:r w:rsidRPr="00E428A5">
        <w:t>García</w:t>
      </w:r>
      <w:proofErr w:type="spellEnd"/>
      <w:r w:rsidRPr="00E428A5">
        <w:t xml:space="preserve"> </w:t>
      </w:r>
      <w:proofErr w:type="spellStart"/>
      <w:r w:rsidRPr="00E428A5">
        <w:t>Iriarte</w:t>
      </w:r>
      <w:proofErr w:type="spellEnd"/>
      <w:r w:rsidRPr="00E428A5">
        <w:t>, E. and Burns</w:t>
      </w:r>
      <w:r w:rsidRPr="00162962">
        <w:t xml:space="preserve">, E.Q. (2017) ‘Research Active Programme: A pilot inclusive research curriculum in higher education’, </w:t>
      </w:r>
      <w:r w:rsidRPr="00162962">
        <w:rPr>
          <w:b/>
        </w:rPr>
        <w:t>International Journal of Research &amp; Method in Education</w:t>
      </w:r>
      <w:r w:rsidRPr="00162962">
        <w:t xml:space="preserve">, 40(2), pp.181-200. Available at: </w:t>
      </w:r>
      <w:hyperlink r:id="rId147" w:history="1">
        <w:r w:rsidRPr="00162962">
          <w:rPr>
            <w:color w:val="0000FF"/>
            <w:u w:val="single"/>
          </w:rPr>
          <w:t>https://doi.org/10.1080/1743727X.2015.1099154</w:t>
        </w:r>
      </w:hyperlink>
      <w:r w:rsidRPr="00162962">
        <w:t xml:space="preserve"> [last accessed July 2022]. </w:t>
      </w:r>
    </w:p>
    <w:p w14:paraId="6CAB5E78" w14:textId="2FD95425" w:rsidR="00162962" w:rsidRPr="00162962" w:rsidRDefault="00162962" w:rsidP="00162962">
      <w:r w:rsidRPr="00CE0CD4">
        <w:t xml:space="preserve">Salmon, N., Barry, A. and Hutchins, E. (2018) ‘Inclusive research: an Irish perspective’, </w:t>
      </w:r>
      <w:r w:rsidRPr="00CE0CD4">
        <w:rPr>
          <w:b/>
        </w:rPr>
        <w:t>British Journal of Learning Disabilities</w:t>
      </w:r>
      <w:r w:rsidRPr="00CE0CD4">
        <w:t xml:space="preserve">, 46(4), pp.268-277. Available at: </w:t>
      </w:r>
      <w:hyperlink r:id="rId148" w:history="1">
        <w:r w:rsidRPr="00CE0CD4">
          <w:rPr>
            <w:color w:val="0000FF"/>
            <w:u w:val="single"/>
          </w:rPr>
          <w:t>https://doi.org/10.1111/bld.12247</w:t>
        </w:r>
      </w:hyperlink>
      <w:r w:rsidRPr="00CE0CD4">
        <w:t xml:space="preserve"> [last accessed July 2022].</w:t>
      </w:r>
      <w:r w:rsidRPr="00162962">
        <w:t xml:space="preserve"> </w:t>
      </w:r>
    </w:p>
    <w:p w14:paraId="05541330" w14:textId="01BCFA9E" w:rsidR="00162962" w:rsidRPr="00162962" w:rsidRDefault="00162962" w:rsidP="00162962">
      <w:proofErr w:type="spellStart"/>
      <w:r w:rsidRPr="00162962">
        <w:t>Sangill</w:t>
      </w:r>
      <w:proofErr w:type="spellEnd"/>
      <w:r w:rsidRPr="00162962">
        <w:t xml:space="preserve">, C., </w:t>
      </w:r>
      <w:proofErr w:type="spellStart"/>
      <w:r w:rsidRPr="00162962">
        <w:t>Buus</w:t>
      </w:r>
      <w:proofErr w:type="spellEnd"/>
      <w:r w:rsidRPr="00162962">
        <w:t xml:space="preserve">, N., </w:t>
      </w:r>
      <w:proofErr w:type="spellStart"/>
      <w:r w:rsidRPr="00162962">
        <w:t>Hybholt</w:t>
      </w:r>
      <w:proofErr w:type="spellEnd"/>
      <w:r w:rsidRPr="00162962">
        <w:t xml:space="preserve">, L. and </w:t>
      </w:r>
      <w:proofErr w:type="spellStart"/>
      <w:r w:rsidRPr="00162962">
        <w:t>Berring</w:t>
      </w:r>
      <w:proofErr w:type="spellEnd"/>
      <w:r w:rsidRPr="00162962">
        <w:t xml:space="preserve">, L.L. (2019) ‘Service user's actual involvement in mental health research practices: a scoping review’, </w:t>
      </w:r>
      <w:r w:rsidRPr="00162962">
        <w:rPr>
          <w:b/>
        </w:rPr>
        <w:t>International Journal of Mental Health Nursing</w:t>
      </w:r>
      <w:r w:rsidRPr="00162962">
        <w:t xml:space="preserve">, 28(4), pp.798-815. Available at: </w:t>
      </w:r>
      <w:hyperlink r:id="rId149" w:history="1">
        <w:r w:rsidRPr="00162962">
          <w:rPr>
            <w:color w:val="0000FF"/>
            <w:u w:val="single"/>
          </w:rPr>
          <w:t>https://doi.org/10.1111/inm.12594</w:t>
        </w:r>
      </w:hyperlink>
      <w:r w:rsidRPr="00162962">
        <w:t xml:space="preserve"> [last accessed July 2022]. </w:t>
      </w:r>
    </w:p>
    <w:p w14:paraId="78EDE3F5" w14:textId="77777777" w:rsidR="003975C4" w:rsidRDefault="00162962" w:rsidP="00162962">
      <w:proofErr w:type="spellStart"/>
      <w:r w:rsidRPr="00162962">
        <w:t>Scheffelaar</w:t>
      </w:r>
      <w:proofErr w:type="spellEnd"/>
      <w:r w:rsidRPr="00162962">
        <w:t xml:space="preserve">, A., </w:t>
      </w:r>
      <w:proofErr w:type="spellStart"/>
      <w:r w:rsidRPr="00162962">
        <w:t>Bos</w:t>
      </w:r>
      <w:proofErr w:type="spellEnd"/>
      <w:r w:rsidRPr="00162962">
        <w:t xml:space="preserve">, N., </w:t>
      </w:r>
      <w:proofErr w:type="spellStart"/>
      <w:r w:rsidRPr="00162962">
        <w:t>Triemstra</w:t>
      </w:r>
      <w:proofErr w:type="spellEnd"/>
      <w:r w:rsidRPr="00162962">
        <w:t xml:space="preserve">, M., de Jong, M., </w:t>
      </w:r>
      <w:proofErr w:type="spellStart"/>
      <w:r w:rsidRPr="00162962">
        <w:t>Luijkx</w:t>
      </w:r>
      <w:proofErr w:type="spellEnd"/>
      <w:r w:rsidRPr="00162962">
        <w:t xml:space="preserve">, K. and van </w:t>
      </w:r>
      <w:proofErr w:type="spellStart"/>
      <w:r w:rsidRPr="00162962">
        <w:t>Dulmen</w:t>
      </w:r>
      <w:proofErr w:type="spellEnd"/>
      <w:r w:rsidRPr="00162962">
        <w:t xml:space="preserve">, S. (2020) ‘Qualitative instruments involving clients as co-researchers to assess and improve the quality of care relationships in long-term care: an evaluation of instruments to enhance client participation in quality research’, </w:t>
      </w:r>
      <w:r w:rsidRPr="00162962">
        <w:rPr>
          <w:b/>
        </w:rPr>
        <w:t>BMJ Open</w:t>
      </w:r>
      <w:r w:rsidRPr="00162962">
        <w:t xml:space="preserve">, 10(2), p.e033034. Available at: </w:t>
      </w:r>
      <w:hyperlink r:id="rId150" w:history="1">
        <w:r w:rsidRPr="00162962">
          <w:rPr>
            <w:color w:val="0000FF"/>
            <w:u w:val="single"/>
          </w:rPr>
          <w:t>http://dx.doi.org/10.1136/bmjopen-2019-033034</w:t>
        </w:r>
      </w:hyperlink>
      <w:r w:rsidRPr="00162962">
        <w:t xml:space="preserve"> [last accessed July 2022].</w:t>
      </w:r>
    </w:p>
    <w:p w14:paraId="08BE9005" w14:textId="1BD94D5D" w:rsidR="003975C4" w:rsidRPr="00162962" w:rsidRDefault="003975C4" w:rsidP="003975C4">
      <w:r w:rsidRPr="00162962">
        <w:t xml:space="preserve">Schwartz, A.E. and Durkin, B. (2020) “Team is everything”: Reflections on trust, logistics and methodological choices in collaborative interviewing’, </w:t>
      </w:r>
      <w:r w:rsidRPr="00162962">
        <w:rPr>
          <w:b/>
        </w:rPr>
        <w:t>British Journal of Learning Disabilities</w:t>
      </w:r>
      <w:r w:rsidRPr="00162962">
        <w:t xml:space="preserve">, 48(2), pp.115-123. Available at: </w:t>
      </w:r>
      <w:hyperlink r:id="rId151" w:history="1">
        <w:r w:rsidRPr="00162962">
          <w:rPr>
            <w:color w:val="0000FF"/>
            <w:u w:val="single"/>
          </w:rPr>
          <w:t>https://doi.org/10.1111/bld.12305</w:t>
        </w:r>
      </w:hyperlink>
      <w:r w:rsidRPr="00162962">
        <w:t xml:space="preserve"> [last accessed July 2022]. </w:t>
      </w:r>
    </w:p>
    <w:p w14:paraId="0570DA01" w14:textId="2797C13E" w:rsidR="00162962" w:rsidRPr="00162962" w:rsidRDefault="003975C4" w:rsidP="00162962">
      <w:r w:rsidRPr="00162962">
        <w:lastRenderedPageBreak/>
        <w:t xml:space="preserve">Schwartz, A.E., Kramer, J.M., Cohn, E.S. and McDonald, K.E. (2020) “That felt like real engagement”: Fostering and maintaining inclusive research collaborations with individuals with intellectual disability’, </w:t>
      </w:r>
      <w:r w:rsidRPr="00162962">
        <w:rPr>
          <w:b/>
        </w:rPr>
        <w:t>Qualitative Health Research</w:t>
      </w:r>
      <w:r w:rsidRPr="00162962">
        <w:t xml:space="preserve">, 30(2), pp.236-249. Available at: </w:t>
      </w:r>
      <w:hyperlink r:id="rId152" w:history="1">
        <w:r w:rsidRPr="00162962">
          <w:rPr>
            <w:color w:val="0000FF"/>
            <w:u w:val="single"/>
          </w:rPr>
          <w:t>https://doi.org/10.1177/1049732319869620</w:t>
        </w:r>
      </w:hyperlink>
      <w:r w:rsidRPr="00162962">
        <w:t xml:space="preserve"> [last accessed July 2022]. </w:t>
      </w:r>
    </w:p>
    <w:p w14:paraId="5568095E" w14:textId="023D6374" w:rsidR="00162962" w:rsidRPr="00162962" w:rsidRDefault="00162962" w:rsidP="00162962">
      <w:r w:rsidRPr="00162962">
        <w:t xml:space="preserve">Seale J, </w:t>
      </w:r>
      <w:proofErr w:type="spellStart"/>
      <w:r w:rsidRPr="00162962">
        <w:t>Nind</w:t>
      </w:r>
      <w:proofErr w:type="spellEnd"/>
      <w:r w:rsidRPr="00162962">
        <w:t xml:space="preserve"> M, Tilley L, Chapman R. (2015) ‘Negotiating a third space for participatory research with people with learning disabilities: an examination of boundaries and spatial practices’, </w:t>
      </w:r>
      <w:r w:rsidRPr="00162962">
        <w:rPr>
          <w:b/>
        </w:rPr>
        <w:t>Innovation: The European Journal of Social Science Research</w:t>
      </w:r>
      <w:r w:rsidRPr="00162962">
        <w:t xml:space="preserve">. 2015 Oct 2;28(4):483-97. </w:t>
      </w:r>
      <w:hyperlink r:id="rId153" w:history="1">
        <w:r w:rsidRPr="00162962">
          <w:rPr>
            <w:color w:val="0000FF"/>
            <w:u w:val="single"/>
          </w:rPr>
          <w:t>https://doi.org/10.1080/13511610.2015.1081558</w:t>
        </w:r>
      </w:hyperlink>
      <w:r w:rsidRPr="00162962">
        <w:t xml:space="preserve"> [last accessed July 2022]. </w:t>
      </w:r>
    </w:p>
    <w:p w14:paraId="133C2D0C" w14:textId="45FE7A3F" w:rsidR="00162962" w:rsidRPr="00162962" w:rsidRDefault="00162962" w:rsidP="00162962">
      <w:r w:rsidRPr="00162962">
        <w:t xml:space="preserve">Smith-Merry, J. (2017) ‘Research to action guide on inclusive research. </w:t>
      </w:r>
      <w:r w:rsidRPr="00162962">
        <w:rPr>
          <w:b/>
        </w:rPr>
        <w:t>Centre for Applied Disability Research.</w:t>
      </w:r>
      <w:r w:rsidRPr="00162962">
        <w:t xml:space="preserve"> Available at </w:t>
      </w:r>
      <w:hyperlink r:id="rId154" w:history="1">
        <w:r w:rsidRPr="00162962">
          <w:rPr>
            <w:color w:val="0000FF"/>
            <w:u w:val="single"/>
          </w:rPr>
          <w:t>www.cadr.org.au</w:t>
        </w:r>
      </w:hyperlink>
      <w:r w:rsidRPr="00162962">
        <w:rPr>
          <w:color w:val="000000" w:themeColor="text1"/>
        </w:rPr>
        <w:t xml:space="preserve"> [last accessed July 2022].</w:t>
      </w:r>
      <w:r w:rsidRPr="00162962">
        <w:rPr>
          <w:color w:val="000000" w:themeColor="text1"/>
          <w:u w:val="single"/>
        </w:rPr>
        <w:t xml:space="preserve"> </w:t>
      </w:r>
    </w:p>
    <w:p w14:paraId="0698ED4B" w14:textId="77777777" w:rsidR="00162962" w:rsidRPr="00162962" w:rsidRDefault="00162962" w:rsidP="00162962">
      <w:r w:rsidRPr="00162962">
        <w:t>Smith-Merry, J. (</w:t>
      </w:r>
      <w:proofErr w:type="spellStart"/>
      <w:r w:rsidRPr="00162962">
        <w:t>n.d.</w:t>
      </w:r>
      <w:proofErr w:type="spellEnd"/>
      <w:r w:rsidRPr="00162962">
        <w:t xml:space="preserve">) ‘Research to action on inclusive research: disability worker good practice guide’. Sydney: Centre for Applied Disability Research. </w:t>
      </w:r>
      <w:r w:rsidRPr="00CE0CD4">
        <w:t>No URL available.</w:t>
      </w:r>
    </w:p>
    <w:p w14:paraId="33D4181C" w14:textId="7241DB74" w:rsidR="00162962" w:rsidRPr="00162962" w:rsidRDefault="00162962" w:rsidP="00162962">
      <w:r w:rsidRPr="00162962">
        <w:t xml:space="preserve">Spencer González, H., Vega </w:t>
      </w:r>
      <w:proofErr w:type="spellStart"/>
      <w:r w:rsidRPr="00162962">
        <w:t>Córdova</w:t>
      </w:r>
      <w:proofErr w:type="spellEnd"/>
      <w:r w:rsidRPr="00162962">
        <w:t xml:space="preserve">, V., </w:t>
      </w:r>
      <w:proofErr w:type="spellStart"/>
      <w:r w:rsidRPr="00162962">
        <w:t>Exss</w:t>
      </w:r>
      <w:proofErr w:type="spellEnd"/>
      <w:r w:rsidRPr="00162962">
        <w:t xml:space="preserve"> Cid, K., </w:t>
      </w:r>
      <w:proofErr w:type="spellStart"/>
      <w:r w:rsidRPr="00162962">
        <w:t>Jarpa</w:t>
      </w:r>
      <w:proofErr w:type="spellEnd"/>
      <w:r w:rsidRPr="00162962">
        <w:t xml:space="preserve"> </w:t>
      </w:r>
      <w:proofErr w:type="spellStart"/>
      <w:r w:rsidRPr="00162962">
        <w:t>Azagra</w:t>
      </w:r>
      <w:proofErr w:type="spellEnd"/>
      <w:r w:rsidRPr="00162962">
        <w:t xml:space="preserve">, M. and </w:t>
      </w:r>
      <w:proofErr w:type="spellStart"/>
      <w:r w:rsidRPr="00162962">
        <w:t>Álvarez-Aguado</w:t>
      </w:r>
      <w:proofErr w:type="spellEnd"/>
      <w:r w:rsidRPr="00162962">
        <w:t xml:space="preserve">, I. (2020) Including intellectual disability in participatory design processes: methodological adaptations and supports. In Proceedings of the 16th Participatory Design Conference 2020-Participation (s) Otherwise-Volume 1 (pp. 55-63). Available at: </w:t>
      </w:r>
      <w:hyperlink r:id="rId155" w:history="1">
        <w:r w:rsidRPr="00162962">
          <w:rPr>
            <w:color w:val="0000FF"/>
            <w:u w:val="single"/>
          </w:rPr>
          <w:t>https://doi.org/10.1145/3385010.3385023</w:t>
        </w:r>
      </w:hyperlink>
      <w:r w:rsidRPr="00162962">
        <w:t xml:space="preserve">  [last accessed July 2022]. </w:t>
      </w:r>
    </w:p>
    <w:p w14:paraId="60E18CF1" w14:textId="4CCEBF59" w:rsidR="005F6DF5" w:rsidRDefault="00162962" w:rsidP="00162962">
      <w:r w:rsidRPr="00162962">
        <w:t>Stack, E.E. and McDonald, K. (2018) ‘We are “both in charge, the academics and self</w:t>
      </w:r>
      <w:r w:rsidRPr="00162962">
        <w:rPr>
          <w:rFonts w:ascii="Cambria Math" w:hAnsi="Cambria Math" w:cs="Cambria Math"/>
        </w:rPr>
        <w:t>‐</w:t>
      </w:r>
      <w:r w:rsidRPr="00162962">
        <w:t>advocates</w:t>
      </w:r>
      <w:r w:rsidRPr="00162962">
        <w:rPr>
          <w:rFonts w:cs="Gill Sans MT"/>
        </w:rPr>
        <w:t>”</w:t>
      </w:r>
      <w:r w:rsidRPr="00162962">
        <w:t>: empowerment in community</w:t>
      </w:r>
      <w:r w:rsidRPr="00162962">
        <w:rPr>
          <w:rFonts w:ascii="Cambria Math" w:hAnsi="Cambria Math" w:cs="Cambria Math"/>
        </w:rPr>
        <w:t>‐</w:t>
      </w:r>
      <w:r w:rsidRPr="00162962">
        <w:t xml:space="preserve">based participatory research’, </w:t>
      </w:r>
      <w:r w:rsidRPr="00162962">
        <w:rPr>
          <w:b/>
        </w:rPr>
        <w:t>Journal of Policy and Practice in Intellectual Disabilities</w:t>
      </w:r>
      <w:r w:rsidRPr="00162962">
        <w:t xml:space="preserve">, 15(1), pp.80-89. Available at: </w:t>
      </w:r>
      <w:hyperlink r:id="rId156" w:history="1">
        <w:r w:rsidRPr="00162962">
          <w:rPr>
            <w:color w:val="0000FF"/>
            <w:u w:val="single"/>
          </w:rPr>
          <w:t>https://doi.org/10.1111/jppi.12236</w:t>
        </w:r>
      </w:hyperlink>
      <w:r w:rsidRPr="00162962">
        <w:t xml:space="preserve"> [last acc</w:t>
      </w:r>
      <w:r w:rsidR="00D434F7">
        <w:t xml:space="preserve">essed July 2022]. </w:t>
      </w:r>
    </w:p>
    <w:p w14:paraId="6AADB70C" w14:textId="77AA908C" w:rsidR="00162962" w:rsidRPr="00162962" w:rsidRDefault="005F6DF5" w:rsidP="00162962">
      <w:proofErr w:type="spellStart"/>
      <w:r w:rsidRPr="005F6DF5">
        <w:t>Staniszewska</w:t>
      </w:r>
      <w:proofErr w:type="spellEnd"/>
      <w:r w:rsidRPr="005F6DF5">
        <w:t xml:space="preserve">, S., Brett, J., </w:t>
      </w:r>
      <w:proofErr w:type="spellStart"/>
      <w:r w:rsidRPr="005F6DF5">
        <w:t>Simera</w:t>
      </w:r>
      <w:proofErr w:type="spellEnd"/>
      <w:r w:rsidRPr="005F6DF5">
        <w:t xml:space="preserve">, I., Seers, K., </w:t>
      </w:r>
      <w:proofErr w:type="spellStart"/>
      <w:r w:rsidRPr="005F6DF5">
        <w:t>Mockford</w:t>
      </w:r>
      <w:proofErr w:type="spellEnd"/>
      <w:r w:rsidRPr="005F6DF5">
        <w:t xml:space="preserve">, C., </w:t>
      </w:r>
      <w:proofErr w:type="spellStart"/>
      <w:r w:rsidRPr="005F6DF5">
        <w:t>Goodlad</w:t>
      </w:r>
      <w:proofErr w:type="spellEnd"/>
      <w:r w:rsidRPr="005F6DF5">
        <w:t>, S., Altman, D.G., Moher, D., Barber, R.</w:t>
      </w:r>
      <w:r>
        <w:t xml:space="preserve">, </w:t>
      </w:r>
      <w:proofErr w:type="spellStart"/>
      <w:r>
        <w:t>Denegri</w:t>
      </w:r>
      <w:proofErr w:type="spellEnd"/>
      <w:r>
        <w:t xml:space="preserve">, S. and </w:t>
      </w:r>
      <w:proofErr w:type="spellStart"/>
      <w:r>
        <w:t>Entwistle</w:t>
      </w:r>
      <w:proofErr w:type="spellEnd"/>
      <w:r>
        <w:t>, A.</w:t>
      </w:r>
      <w:r w:rsidRPr="005F6DF5">
        <w:t xml:space="preserve"> </w:t>
      </w:r>
      <w:r>
        <w:t>(</w:t>
      </w:r>
      <w:r w:rsidRPr="005F6DF5">
        <w:t>2017</w:t>
      </w:r>
      <w:r>
        <w:t>)</w:t>
      </w:r>
      <w:r w:rsidRPr="005F6DF5">
        <w:t xml:space="preserve"> </w:t>
      </w:r>
      <w:r>
        <w:t>‘</w:t>
      </w:r>
      <w:r w:rsidRPr="005F6DF5">
        <w:t>GRIPP2 reporting checklists: tools to improve reporting of patient and</w:t>
      </w:r>
      <w:r>
        <w:t xml:space="preserve"> public involvement in research’,</w:t>
      </w:r>
      <w:r w:rsidRPr="005F6DF5">
        <w:t xml:space="preserve"> </w:t>
      </w:r>
      <w:r w:rsidRPr="005F6DF5">
        <w:rPr>
          <w:b/>
        </w:rPr>
        <w:t>BMJ</w:t>
      </w:r>
      <w:r>
        <w:t xml:space="preserve">, 358: J3453 Available at: </w:t>
      </w:r>
      <w:hyperlink r:id="rId157" w:history="1">
        <w:r w:rsidRPr="00E707CB">
          <w:rPr>
            <w:rStyle w:val="Hyperlink"/>
          </w:rPr>
          <w:t>https://doi.org/10.1136/bmj.j3453</w:t>
        </w:r>
      </w:hyperlink>
      <w:r>
        <w:t xml:space="preserve"> </w:t>
      </w:r>
      <w:r w:rsidR="00D434F7">
        <w:t xml:space="preserve">[last accessed July 2022]. </w:t>
      </w:r>
    </w:p>
    <w:p w14:paraId="25542F23" w14:textId="4901FBEF" w:rsidR="00162962" w:rsidRPr="00162962" w:rsidRDefault="00162962" w:rsidP="00162962">
      <w:r w:rsidRPr="00162962">
        <w:t xml:space="preserve">Stanley, Z., </w:t>
      </w:r>
      <w:proofErr w:type="spellStart"/>
      <w:r w:rsidRPr="00162962">
        <w:t>Lauretani</w:t>
      </w:r>
      <w:proofErr w:type="spellEnd"/>
      <w:r w:rsidRPr="00162962">
        <w:t xml:space="preserve">, P., </w:t>
      </w:r>
      <w:proofErr w:type="spellStart"/>
      <w:r w:rsidRPr="00162962">
        <w:t>Conforti</w:t>
      </w:r>
      <w:proofErr w:type="spellEnd"/>
      <w:r w:rsidRPr="00162962">
        <w:t xml:space="preserve">, D., Cowen, J., DuBois, D. and Renwick, R. (2019) ‘Working to make research inclusive: perspectives on being members of the Voices of Youths Project’, </w:t>
      </w:r>
      <w:r w:rsidRPr="00162962">
        <w:rPr>
          <w:b/>
        </w:rPr>
        <w:t>Disability &amp; Society</w:t>
      </w:r>
      <w:r w:rsidRPr="00162962">
        <w:t xml:space="preserve">, 34(9-10), pp.1660-1667. Available at: </w:t>
      </w:r>
      <w:hyperlink r:id="rId158" w:history="1">
        <w:r w:rsidRPr="00162962">
          <w:rPr>
            <w:color w:val="0000FF"/>
            <w:u w:val="single"/>
          </w:rPr>
          <w:t>https://doi.org/10.1080/09687599.2019.1619232</w:t>
        </w:r>
      </w:hyperlink>
      <w:r w:rsidRPr="00162962">
        <w:t>.</w:t>
      </w:r>
      <w:r w:rsidR="00D434F7">
        <w:t xml:space="preserve"> [last accessed July 2022]. </w:t>
      </w:r>
    </w:p>
    <w:p w14:paraId="29A11B25" w14:textId="6802EFF0" w:rsidR="00162962" w:rsidRPr="00162962" w:rsidRDefault="00162962" w:rsidP="00162962">
      <w:r w:rsidRPr="00162962">
        <w:lastRenderedPageBreak/>
        <w:t xml:space="preserve">Stevenson, M. and Taylor, B. J. (2019) ‘Involving individuals with dementia as co-researchers in analysis of findings from a qualitative study’, </w:t>
      </w:r>
      <w:r w:rsidRPr="00162962">
        <w:rPr>
          <w:b/>
        </w:rPr>
        <w:t>Dementia: The International Journal of Social Research and Practice.</w:t>
      </w:r>
      <w:r w:rsidRPr="00162962">
        <w:t xml:space="preserve"> Advance online publication. </w:t>
      </w:r>
      <w:hyperlink r:id="rId159" w:history="1">
        <w:r w:rsidRPr="00162962">
          <w:rPr>
            <w:color w:val="0000FF"/>
            <w:u w:val="single"/>
          </w:rPr>
          <w:t>https://doi.org/10.1177/1471301217690904</w:t>
        </w:r>
      </w:hyperlink>
      <w:r w:rsidR="00D434F7">
        <w:t xml:space="preserve"> [last accessed July 2022]. </w:t>
      </w:r>
    </w:p>
    <w:p w14:paraId="249B3495" w14:textId="16F23BE2" w:rsidR="00162962" w:rsidRPr="00162962" w:rsidRDefault="00162962" w:rsidP="00162962">
      <w:r w:rsidRPr="00162962">
        <w:t xml:space="preserve">St. John, B., </w:t>
      </w:r>
      <w:proofErr w:type="spellStart"/>
      <w:r w:rsidRPr="00162962">
        <w:t>Mihaila</w:t>
      </w:r>
      <w:proofErr w:type="spellEnd"/>
      <w:r w:rsidRPr="00162962">
        <w:t xml:space="preserve">, I., </w:t>
      </w:r>
      <w:proofErr w:type="spellStart"/>
      <w:r w:rsidRPr="00162962">
        <w:t>Dorrance</w:t>
      </w:r>
      <w:proofErr w:type="spellEnd"/>
      <w:r w:rsidRPr="00162962">
        <w:t xml:space="preserve">, K., </w:t>
      </w:r>
      <w:proofErr w:type="spellStart"/>
      <w:r w:rsidRPr="00162962">
        <w:t>DaWalt</w:t>
      </w:r>
      <w:proofErr w:type="spellEnd"/>
      <w:r w:rsidRPr="00162962">
        <w:t xml:space="preserve">, L.S. and </w:t>
      </w:r>
      <w:proofErr w:type="spellStart"/>
      <w:r w:rsidRPr="00162962">
        <w:t>Ausderau</w:t>
      </w:r>
      <w:proofErr w:type="spellEnd"/>
      <w:r w:rsidRPr="00162962">
        <w:t xml:space="preserve">, K.K. (2018) ‘Reflections from co-researchers with intellectual disability: benefits to inclusion in a research study team’, </w:t>
      </w:r>
      <w:r w:rsidRPr="00162962">
        <w:rPr>
          <w:b/>
        </w:rPr>
        <w:t>Intellectual and Developmental Disabilities</w:t>
      </w:r>
      <w:r w:rsidRPr="00162962">
        <w:t xml:space="preserve">, 56(4), pp.251-262. Available from: </w:t>
      </w:r>
      <w:hyperlink r:id="rId160" w:history="1">
        <w:r w:rsidRPr="00162962">
          <w:rPr>
            <w:color w:val="0000FF"/>
            <w:u w:val="single"/>
          </w:rPr>
          <w:t>https://doi.org/10.1352/1934-9556-56.5.251</w:t>
        </w:r>
      </w:hyperlink>
      <w:r w:rsidR="00D434F7">
        <w:t xml:space="preserve"> [last accessed July 2022]. </w:t>
      </w:r>
    </w:p>
    <w:p w14:paraId="713CFF4F" w14:textId="05ABF7BE" w:rsidR="00162962" w:rsidRPr="00162962" w:rsidRDefault="00162962" w:rsidP="00162962">
      <w:proofErr w:type="spellStart"/>
      <w:r w:rsidRPr="00162962">
        <w:t>Strnadová</w:t>
      </w:r>
      <w:proofErr w:type="spellEnd"/>
      <w:r w:rsidRPr="00162962">
        <w:t xml:space="preserve">, I., </w:t>
      </w:r>
      <w:proofErr w:type="spellStart"/>
      <w:r w:rsidRPr="00162962">
        <w:t>Walmsley</w:t>
      </w:r>
      <w:proofErr w:type="spellEnd"/>
      <w:r w:rsidRPr="00162962">
        <w:t xml:space="preserve">, J., Johnson, K. and Cumming, T.M. (2016) ‘Diverse faces of inclusive research: reflecting on three research studies’, </w:t>
      </w:r>
      <w:r w:rsidRPr="00162962">
        <w:rPr>
          <w:b/>
        </w:rPr>
        <w:t>Scandinavian Journal of Disability Research</w:t>
      </w:r>
      <w:r w:rsidRPr="00162962">
        <w:t xml:space="preserve">, 18(1), pp.52-64. Available at: </w:t>
      </w:r>
      <w:hyperlink r:id="rId161" w:history="1">
        <w:r w:rsidRPr="00162962">
          <w:rPr>
            <w:color w:val="0000FF"/>
            <w:u w:val="single"/>
          </w:rPr>
          <w:t>https://doi.org/10.1080/15017419.2014.964766</w:t>
        </w:r>
      </w:hyperlink>
      <w:r w:rsidR="00D434F7">
        <w:t xml:space="preserve"> [last accessed July 2022]. </w:t>
      </w:r>
    </w:p>
    <w:p w14:paraId="4C1B68F8" w14:textId="172A1F30" w:rsidR="00162962" w:rsidRPr="00162962" w:rsidRDefault="00162962" w:rsidP="00162962">
      <w:proofErr w:type="spellStart"/>
      <w:r w:rsidRPr="00162962">
        <w:t>Suijkerbuijk</w:t>
      </w:r>
      <w:proofErr w:type="spellEnd"/>
      <w:r w:rsidRPr="00162962">
        <w:t xml:space="preserve">, S., Nap, H.H., </w:t>
      </w:r>
      <w:proofErr w:type="spellStart"/>
      <w:r w:rsidRPr="00162962">
        <w:t>Cornelisse</w:t>
      </w:r>
      <w:proofErr w:type="spellEnd"/>
      <w:r w:rsidRPr="00162962">
        <w:t xml:space="preserve">, L., </w:t>
      </w:r>
      <w:proofErr w:type="spellStart"/>
      <w:r w:rsidRPr="00162962">
        <w:t>IJsselsteijn</w:t>
      </w:r>
      <w:proofErr w:type="spellEnd"/>
      <w:r w:rsidRPr="00162962">
        <w:t xml:space="preserve">, W.A., De </w:t>
      </w:r>
      <w:proofErr w:type="spellStart"/>
      <w:r w:rsidRPr="00162962">
        <w:t>Kort</w:t>
      </w:r>
      <w:proofErr w:type="spellEnd"/>
      <w:r w:rsidRPr="00162962">
        <w:t xml:space="preserve">, Y.A. and </w:t>
      </w:r>
      <w:proofErr w:type="spellStart"/>
      <w:r w:rsidRPr="00162962">
        <w:t>Minkman</w:t>
      </w:r>
      <w:proofErr w:type="spellEnd"/>
      <w:r w:rsidRPr="00162962">
        <w:t xml:space="preserve">, M. (2019) ‘Active involvement of people with dementia: a systematic review of studies developing supportive technologies’, </w:t>
      </w:r>
      <w:r w:rsidRPr="00162962">
        <w:rPr>
          <w:b/>
        </w:rPr>
        <w:t>Journal of Alzheimer's Disease</w:t>
      </w:r>
      <w:r w:rsidRPr="00162962">
        <w:t xml:space="preserve">, 69(4), pp.1041-1065. Available at: </w:t>
      </w:r>
      <w:hyperlink r:id="rId162" w:history="1">
        <w:r w:rsidRPr="00162962">
          <w:rPr>
            <w:color w:val="0000FF"/>
            <w:u w:val="single"/>
          </w:rPr>
          <w:t>https://doi.org/10.3233/JAD-190050</w:t>
        </w:r>
      </w:hyperlink>
      <w:r w:rsidR="00D434F7">
        <w:t xml:space="preserve"> [last accessed July 2022]. </w:t>
      </w:r>
    </w:p>
    <w:p w14:paraId="5296C1E4" w14:textId="4612F76E" w:rsidR="00162962" w:rsidRPr="00162962" w:rsidRDefault="00162962" w:rsidP="00162962">
      <w:r w:rsidRPr="00162962">
        <w:t xml:space="preserve">Swarbrick, C.M., Doors, O., Scottish Dementia Working Group, EDUCATE, Davis, K. and Keady, J. (2019) ‘Visioning change: co-producing a model of involvement and engagement in research (innovative practice)’, </w:t>
      </w:r>
      <w:r w:rsidRPr="00162962">
        <w:rPr>
          <w:b/>
        </w:rPr>
        <w:t>Dementia</w:t>
      </w:r>
      <w:r w:rsidRPr="00162962">
        <w:t xml:space="preserve">, 18(7-8), pp.3165-3172. Available at: </w:t>
      </w:r>
      <w:hyperlink r:id="rId163" w:history="1">
        <w:r w:rsidRPr="00162962">
          <w:rPr>
            <w:color w:val="0000FF"/>
            <w:u w:val="single"/>
          </w:rPr>
          <w:t>https://doi.org/10.1177/1471301216674559</w:t>
        </w:r>
      </w:hyperlink>
      <w:r w:rsidR="00D434F7">
        <w:t xml:space="preserve"> [last accessed July 2022]. </w:t>
      </w:r>
    </w:p>
    <w:p w14:paraId="527CF42C" w14:textId="5EB3A28C" w:rsidR="00162962" w:rsidRPr="00162962" w:rsidRDefault="00162962" w:rsidP="00162962">
      <w:proofErr w:type="spellStart"/>
      <w:r w:rsidRPr="003D0FAE">
        <w:t>Tilki</w:t>
      </w:r>
      <w:proofErr w:type="spellEnd"/>
      <w:r w:rsidRPr="003D0FAE">
        <w:t xml:space="preserve">, M., </w:t>
      </w:r>
      <w:proofErr w:type="spellStart"/>
      <w:r w:rsidRPr="003D0FAE">
        <w:t>Palfreman</w:t>
      </w:r>
      <w:proofErr w:type="spellEnd"/>
      <w:r w:rsidRPr="003D0FAE">
        <w:t>, D. and Chowdhury, M.</w:t>
      </w:r>
      <w:r w:rsidRPr="00162962">
        <w:t xml:space="preserve"> (2019) ‘Barriers to independent living faced by disabled Asian women’, DRILL, UK. Available at: </w:t>
      </w:r>
      <w:hyperlink r:id="rId164" w:history="1">
        <w:r w:rsidRPr="00162962">
          <w:rPr>
            <w:color w:val="0000FF"/>
            <w:u w:val="single"/>
          </w:rPr>
          <w:t>https://www.drilluk.org.uk/wp-content/uploads/2020/12/Humare-Avaaz-summary.pdf</w:t>
        </w:r>
      </w:hyperlink>
      <w:r w:rsidRPr="00162962">
        <w:t xml:space="preserve"> [last accessed July 2022]. </w:t>
      </w:r>
    </w:p>
    <w:p w14:paraId="1EB01A3F" w14:textId="1619B42D" w:rsidR="00162962" w:rsidRPr="00162962" w:rsidRDefault="00162962" w:rsidP="00162962">
      <w:r w:rsidRPr="00162962">
        <w:t>Tilly, L. and Mone</w:t>
      </w:r>
      <w:r w:rsidR="00D434F7">
        <w:t xml:space="preserve">y, Friends and Making Ends Meet </w:t>
      </w:r>
      <w:r w:rsidRPr="00162962">
        <w:t xml:space="preserve">Research Group, (2015) ‘Being researchers for the first time: reflections on the development of an inclusive research group’, </w:t>
      </w:r>
      <w:r w:rsidRPr="00162962">
        <w:rPr>
          <w:b/>
        </w:rPr>
        <w:t>British Journal of Learning Disabilities</w:t>
      </w:r>
      <w:r w:rsidRPr="00162962">
        <w:t xml:space="preserve">, 43(2), pp.121-127. Available at: </w:t>
      </w:r>
      <w:hyperlink r:id="rId165" w:history="1">
        <w:r w:rsidRPr="00162962">
          <w:rPr>
            <w:color w:val="0000FF"/>
            <w:u w:val="single"/>
          </w:rPr>
          <w:t>https://doi.org/10.1111/bld.12132</w:t>
        </w:r>
      </w:hyperlink>
      <w:r w:rsidR="00D434F7">
        <w:t xml:space="preserve"> [last accessed July 2022]. </w:t>
      </w:r>
    </w:p>
    <w:p w14:paraId="64EBA9B1" w14:textId="30355BD4" w:rsidR="00162962" w:rsidRPr="00162962" w:rsidRDefault="00162962" w:rsidP="00162962">
      <w:proofErr w:type="spellStart"/>
      <w:r w:rsidRPr="007F7ABD">
        <w:t>Troya</w:t>
      </w:r>
      <w:proofErr w:type="spellEnd"/>
      <w:r w:rsidRPr="007F7ABD">
        <w:t>, M.I., Bartlam, B. and Chew-Graham,</w:t>
      </w:r>
      <w:r w:rsidRPr="00162962">
        <w:t xml:space="preserve"> C.A., </w:t>
      </w:r>
      <w:r w:rsidR="007F7ABD">
        <w:t>(</w:t>
      </w:r>
      <w:r w:rsidRPr="00162962">
        <w:t>2018</w:t>
      </w:r>
      <w:r w:rsidR="007F7ABD">
        <w:t>)</w:t>
      </w:r>
      <w:r w:rsidRPr="00162962">
        <w:t xml:space="preserve"> ‘Involving the public in health research in Latin America: making the case for mental health’, </w:t>
      </w:r>
      <w:proofErr w:type="spellStart"/>
      <w:r w:rsidRPr="00162962">
        <w:rPr>
          <w:b/>
        </w:rPr>
        <w:t>Revista</w:t>
      </w:r>
      <w:proofErr w:type="spellEnd"/>
      <w:r w:rsidRPr="00162962">
        <w:rPr>
          <w:b/>
        </w:rPr>
        <w:t xml:space="preserve"> </w:t>
      </w:r>
      <w:proofErr w:type="spellStart"/>
      <w:r w:rsidRPr="00162962">
        <w:rPr>
          <w:b/>
        </w:rPr>
        <w:t>Panamericana</w:t>
      </w:r>
      <w:proofErr w:type="spellEnd"/>
      <w:r w:rsidRPr="00162962">
        <w:rPr>
          <w:b/>
        </w:rPr>
        <w:t xml:space="preserve"> de </w:t>
      </w:r>
      <w:proofErr w:type="spellStart"/>
      <w:r w:rsidRPr="00162962">
        <w:rPr>
          <w:b/>
        </w:rPr>
        <w:t>Salud</w:t>
      </w:r>
      <w:proofErr w:type="spellEnd"/>
      <w:r w:rsidRPr="00162962">
        <w:rPr>
          <w:b/>
        </w:rPr>
        <w:t xml:space="preserve"> </w:t>
      </w:r>
      <w:proofErr w:type="spellStart"/>
      <w:r w:rsidRPr="00162962">
        <w:rPr>
          <w:b/>
        </w:rPr>
        <w:t>Pública</w:t>
      </w:r>
      <w:proofErr w:type="spellEnd"/>
      <w:r w:rsidRPr="00162962">
        <w:t xml:space="preserve">, 42, p.e45. Available at: </w:t>
      </w:r>
      <w:hyperlink r:id="rId166" w:history="1">
        <w:r w:rsidRPr="00162962">
          <w:rPr>
            <w:color w:val="0000FF"/>
            <w:u w:val="single"/>
          </w:rPr>
          <w:t>https://doi.org/10.26633/rpsp.2018.45</w:t>
        </w:r>
      </w:hyperlink>
      <w:r w:rsidRPr="00162962">
        <w:t xml:space="preserve"> [last accessed July 2022]. </w:t>
      </w:r>
    </w:p>
    <w:p w14:paraId="3FD9DE17" w14:textId="1164ECD3" w:rsidR="00162962" w:rsidRPr="00162962" w:rsidRDefault="00162962" w:rsidP="00162962">
      <w:proofErr w:type="spellStart"/>
      <w:r w:rsidRPr="00162962">
        <w:lastRenderedPageBreak/>
        <w:t>Troya</w:t>
      </w:r>
      <w:proofErr w:type="spellEnd"/>
      <w:r w:rsidRPr="00162962">
        <w:t>, M.I., Chew</w:t>
      </w:r>
      <w:r w:rsidRPr="00162962">
        <w:rPr>
          <w:rFonts w:ascii="Cambria Math" w:hAnsi="Cambria Math" w:cs="Cambria Math"/>
        </w:rPr>
        <w:t>‐</w:t>
      </w:r>
      <w:r w:rsidRPr="00162962">
        <w:t xml:space="preserve">Graham, C.A., </w:t>
      </w:r>
      <w:proofErr w:type="spellStart"/>
      <w:r w:rsidRPr="00162962">
        <w:t>Babatunde</w:t>
      </w:r>
      <w:proofErr w:type="spellEnd"/>
      <w:r w:rsidRPr="00162962">
        <w:t xml:space="preserve">, O., Bartlam, B., </w:t>
      </w:r>
      <w:proofErr w:type="spellStart"/>
      <w:r w:rsidRPr="00162962">
        <w:t>Higginbottom</w:t>
      </w:r>
      <w:proofErr w:type="spellEnd"/>
      <w:r w:rsidRPr="00162962">
        <w:t xml:space="preserve">, A. and </w:t>
      </w:r>
      <w:proofErr w:type="spellStart"/>
      <w:r w:rsidRPr="00162962">
        <w:t>Dikomitis</w:t>
      </w:r>
      <w:proofErr w:type="spellEnd"/>
      <w:r w:rsidRPr="00162962">
        <w:t>, L. (2019) ‘Patient and public involvement and engagement in a doctoral research project exploring self</w:t>
      </w:r>
      <w:r w:rsidRPr="00162962">
        <w:rPr>
          <w:rFonts w:ascii="Cambria Math" w:hAnsi="Cambria Math" w:cs="Cambria Math"/>
        </w:rPr>
        <w:t>‐</w:t>
      </w:r>
      <w:r w:rsidRPr="00162962">
        <w:t xml:space="preserve">harm in older adults’, </w:t>
      </w:r>
      <w:r w:rsidRPr="00162962">
        <w:rPr>
          <w:b/>
        </w:rPr>
        <w:t>Health Expectations,</w:t>
      </w:r>
      <w:r w:rsidRPr="00162962">
        <w:t xml:space="preserve"> 22(4), pp.617-631. Available at: </w:t>
      </w:r>
      <w:hyperlink r:id="rId167" w:history="1">
        <w:r w:rsidRPr="00162962">
          <w:rPr>
            <w:color w:val="0000FF"/>
            <w:u w:val="single"/>
          </w:rPr>
          <w:t>https://doi.org/10.1111/hex.12917</w:t>
        </w:r>
      </w:hyperlink>
      <w:r w:rsidRPr="00162962">
        <w:t xml:space="preserve"> [last accessed July 2022]. </w:t>
      </w:r>
    </w:p>
    <w:p w14:paraId="2429FCB0" w14:textId="2F7A36DD" w:rsidR="00162962" w:rsidRDefault="00162962" w:rsidP="00162962">
      <w:proofErr w:type="spellStart"/>
      <w:r w:rsidRPr="00162962">
        <w:t>Tuffrey</w:t>
      </w:r>
      <w:r w:rsidRPr="00162962">
        <w:rPr>
          <w:rFonts w:ascii="Cambria Math" w:hAnsi="Cambria Math" w:cs="Cambria Math"/>
        </w:rPr>
        <w:t>‐</w:t>
      </w:r>
      <w:r w:rsidRPr="00162962">
        <w:t>Wijne</w:t>
      </w:r>
      <w:proofErr w:type="spellEnd"/>
      <w:r w:rsidRPr="00162962">
        <w:t>, I., Lam, C.K.K., Marsden, D., Conway, B., Harris, C., Jeffrey, D., Jordan, L., Keagan</w:t>
      </w:r>
      <w:r w:rsidRPr="00162962">
        <w:rPr>
          <w:rFonts w:ascii="Cambria Math" w:hAnsi="Cambria Math" w:cs="Cambria Math"/>
        </w:rPr>
        <w:t>‐</w:t>
      </w:r>
      <w:r w:rsidRPr="00162962">
        <w:t xml:space="preserve">Bull, R., McDermott, M., Newton, D. and </w:t>
      </w:r>
      <w:proofErr w:type="spellStart"/>
      <w:r w:rsidRPr="00162962">
        <w:t>Stapelberg</w:t>
      </w:r>
      <w:proofErr w:type="spellEnd"/>
      <w:r w:rsidRPr="00162962">
        <w:t xml:space="preserve">, D. (2020) ‘Developing a training course to teach research skills to people with learning disabilities: </w:t>
      </w:r>
      <w:r w:rsidRPr="00162962">
        <w:rPr>
          <w:rFonts w:cs="Gill Sans MT"/>
        </w:rPr>
        <w:t>“</w:t>
      </w:r>
      <w:r w:rsidRPr="00162962">
        <w:t>It gives us a voice. We CAN be researchers!</w:t>
      </w:r>
      <w:r w:rsidRPr="00162962">
        <w:rPr>
          <w:rFonts w:cs="Gill Sans MT"/>
        </w:rPr>
        <w:t>”</w:t>
      </w:r>
      <w:r w:rsidRPr="00162962">
        <w:t xml:space="preserve">, </w:t>
      </w:r>
      <w:r w:rsidRPr="00162962">
        <w:rPr>
          <w:b/>
        </w:rPr>
        <w:t>British Journal of Learning Disabilities</w:t>
      </w:r>
      <w:r w:rsidRPr="00162962">
        <w:t xml:space="preserve">, 48(4), pp.301-314. Available at: </w:t>
      </w:r>
      <w:hyperlink r:id="rId168" w:history="1">
        <w:r w:rsidRPr="00162962">
          <w:rPr>
            <w:color w:val="0000FF"/>
            <w:u w:val="single"/>
          </w:rPr>
          <w:t>https://doi.org/10.1111/bld.12331</w:t>
        </w:r>
      </w:hyperlink>
      <w:r w:rsidRPr="00162962">
        <w:t xml:space="preserve"> [last accessed July 2022]. </w:t>
      </w:r>
    </w:p>
    <w:p w14:paraId="79CFA7BA" w14:textId="18FB9E5F" w:rsidR="00162962" w:rsidRDefault="00162962" w:rsidP="00162962">
      <w:r w:rsidRPr="00162962">
        <w:t xml:space="preserve">van </w:t>
      </w:r>
      <w:proofErr w:type="spellStart"/>
      <w:r w:rsidRPr="00162962">
        <w:t>Schelven</w:t>
      </w:r>
      <w:proofErr w:type="spellEnd"/>
      <w:r w:rsidRPr="00162962">
        <w:t xml:space="preserve">, F., </w:t>
      </w:r>
      <w:proofErr w:type="spellStart"/>
      <w:r w:rsidRPr="00162962">
        <w:t>Boeije</w:t>
      </w:r>
      <w:proofErr w:type="spellEnd"/>
      <w:r w:rsidRPr="00162962">
        <w:t xml:space="preserve">, H., </w:t>
      </w:r>
      <w:proofErr w:type="spellStart"/>
      <w:r w:rsidRPr="00162962">
        <w:t>Mariën</w:t>
      </w:r>
      <w:proofErr w:type="spellEnd"/>
      <w:r w:rsidRPr="00162962">
        <w:t xml:space="preserve">, V. and </w:t>
      </w:r>
      <w:proofErr w:type="spellStart"/>
      <w:r w:rsidRPr="00162962">
        <w:t>Rademakers</w:t>
      </w:r>
      <w:proofErr w:type="spellEnd"/>
      <w:r w:rsidRPr="00162962">
        <w:t>, J. (2020</w:t>
      </w:r>
      <w:r w:rsidR="008C3DDA">
        <w:t>a</w:t>
      </w:r>
      <w:r w:rsidRPr="00162962">
        <w:t xml:space="preserve">) ‘Patient and public involvement of young people with a chronic condition in projects in health and social care: a scoping review’, </w:t>
      </w:r>
      <w:r w:rsidRPr="00162962">
        <w:rPr>
          <w:b/>
        </w:rPr>
        <w:t>Health Expectations</w:t>
      </w:r>
      <w:r w:rsidRPr="00162962">
        <w:t xml:space="preserve">, 23(4), pp.789-801. Available at: </w:t>
      </w:r>
      <w:hyperlink r:id="rId169" w:history="1">
        <w:r w:rsidRPr="00162962">
          <w:rPr>
            <w:color w:val="0000FF"/>
            <w:u w:val="single"/>
          </w:rPr>
          <w:t>https://doi.org/10.1111/hex.13069</w:t>
        </w:r>
      </w:hyperlink>
      <w:r w:rsidRPr="00162962">
        <w:t xml:space="preserve"> [last accessed July 2022]. </w:t>
      </w:r>
    </w:p>
    <w:p w14:paraId="735EFE0B" w14:textId="0F581B43" w:rsidR="0067446D" w:rsidRPr="00162962" w:rsidRDefault="0067446D" w:rsidP="00162962">
      <w:r w:rsidRPr="0067446D">
        <w:t xml:space="preserve">van </w:t>
      </w:r>
      <w:proofErr w:type="spellStart"/>
      <w:r w:rsidRPr="0067446D">
        <w:t>Schelven</w:t>
      </w:r>
      <w:proofErr w:type="spellEnd"/>
      <w:r w:rsidRPr="0067446D">
        <w:t xml:space="preserve">, F., van der </w:t>
      </w:r>
      <w:proofErr w:type="spellStart"/>
      <w:r w:rsidRPr="0067446D">
        <w:t>Meulen</w:t>
      </w:r>
      <w:proofErr w:type="spellEnd"/>
      <w:r w:rsidRPr="0067446D">
        <w:t xml:space="preserve">, E., </w:t>
      </w:r>
      <w:proofErr w:type="spellStart"/>
      <w:r w:rsidRPr="0067446D">
        <w:t>Kroeze</w:t>
      </w:r>
      <w:proofErr w:type="spellEnd"/>
      <w:r w:rsidRPr="0067446D">
        <w:t xml:space="preserve">, </w:t>
      </w:r>
      <w:r>
        <w:t xml:space="preserve">N., </w:t>
      </w:r>
      <w:proofErr w:type="spellStart"/>
      <w:r>
        <w:t>Ketelaar</w:t>
      </w:r>
      <w:proofErr w:type="spellEnd"/>
      <w:r>
        <w:t xml:space="preserve">, M. and </w:t>
      </w:r>
      <w:proofErr w:type="spellStart"/>
      <w:r>
        <w:t>Boeije</w:t>
      </w:r>
      <w:proofErr w:type="spellEnd"/>
      <w:r>
        <w:t>, H.</w:t>
      </w:r>
      <w:r w:rsidRPr="0067446D">
        <w:t xml:space="preserve"> </w:t>
      </w:r>
      <w:r>
        <w:t>(</w:t>
      </w:r>
      <w:r w:rsidRPr="0067446D">
        <w:t>2020</w:t>
      </w:r>
      <w:r w:rsidR="008C3DDA">
        <w:t>b</w:t>
      </w:r>
      <w:r>
        <w:t>)</w:t>
      </w:r>
      <w:r w:rsidRPr="0067446D">
        <w:t xml:space="preserve"> </w:t>
      </w:r>
      <w:r>
        <w:t>‘</w:t>
      </w:r>
      <w:r w:rsidRPr="0067446D">
        <w:t>Patient and public involvement of young people with a chronic condition: lessons learned and practical tips from</w:t>
      </w:r>
      <w:r>
        <w:t xml:space="preserve"> a large participatory program’, </w:t>
      </w:r>
      <w:r w:rsidRPr="0067446D">
        <w:rPr>
          <w:b/>
        </w:rPr>
        <w:t>Res</w:t>
      </w:r>
      <w:r>
        <w:rPr>
          <w:b/>
        </w:rPr>
        <w:t>earch Involvement and E</w:t>
      </w:r>
      <w:r w:rsidRPr="0067446D">
        <w:rPr>
          <w:b/>
        </w:rPr>
        <w:t>ngagement</w:t>
      </w:r>
      <w:r w:rsidRPr="0067446D">
        <w:t>, 6(1), pp.1-13.</w:t>
      </w:r>
      <w:r>
        <w:t xml:space="preserve"> Available at: </w:t>
      </w:r>
      <w:hyperlink r:id="rId170" w:history="1">
        <w:r w:rsidRPr="001B6A3E">
          <w:rPr>
            <w:rStyle w:val="Hyperlink"/>
          </w:rPr>
          <w:t>https://doi.org/10.1186/s40900-020-00234-1</w:t>
        </w:r>
      </w:hyperlink>
      <w:r>
        <w:t xml:space="preserve"> [last accessed July 2022]</w:t>
      </w:r>
    </w:p>
    <w:p w14:paraId="2E6288D3" w14:textId="79E8C81E" w:rsidR="00162962" w:rsidRPr="00162962" w:rsidRDefault="00162962" w:rsidP="00162962">
      <w:proofErr w:type="spellStart"/>
      <w:r w:rsidRPr="007F7ABD">
        <w:t>Varkonyi</w:t>
      </w:r>
      <w:proofErr w:type="spellEnd"/>
      <w:r w:rsidRPr="007F7ABD">
        <w:t>-Sep, J., Cross</w:t>
      </w:r>
      <w:r w:rsidRPr="00162962">
        <w:t xml:space="preserve">, A. and Howarth, P. (2017) ‘Setting up and initiating patient public involvement (PPI) as a collaborative process benefits research in its early stages’, </w:t>
      </w:r>
      <w:r w:rsidRPr="00162962">
        <w:rPr>
          <w:b/>
        </w:rPr>
        <w:t>British Psychological Society</w:t>
      </w:r>
      <w:r w:rsidRPr="00162962">
        <w:t xml:space="preserve">. Available at: </w:t>
      </w:r>
      <w:hyperlink r:id="rId171" w:history="1">
        <w:r w:rsidRPr="00162962">
          <w:rPr>
            <w:color w:val="0000FF"/>
            <w:u w:val="single"/>
          </w:rPr>
          <w:t>http://hdl.handle.net/10545/621893</w:t>
        </w:r>
      </w:hyperlink>
      <w:r w:rsidRPr="00162962">
        <w:t xml:space="preserve"> [last accessed July 2022]. </w:t>
      </w:r>
    </w:p>
    <w:p w14:paraId="1527E30B" w14:textId="003321D7" w:rsidR="00162962" w:rsidRPr="00162962" w:rsidRDefault="00162962" w:rsidP="00162962">
      <w:r w:rsidRPr="00162962">
        <w:t xml:space="preserve">Vazquez, L.M., </w:t>
      </w:r>
      <w:proofErr w:type="spellStart"/>
      <w:r w:rsidRPr="00162962">
        <w:t>Khanlou</w:t>
      </w:r>
      <w:proofErr w:type="spellEnd"/>
      <w:r w:rsidRPr="00162962">
        <w:t xml:space="preserve">, N., Davidson, D. and </w:t>
      </w:r>
      <w:proofErr w:type="spellStart"/>
      <w:r w:rsidRPr="00162962">
        <w:t>Aidarus</w:t>
      </w:r>
      <w:proofErr w:type="spellEnd"/>
      <w:r w:rsidRPr="00162962">
        <w:t xml:space="preserve">, F. (2019) ‘Strategies to promote the inclusion of young adults with developmental disabilities in community-based health studies’, </w:t>
      </w:r>
      <w:r w:rsidRPr="00162962">
        <w:rPr>
          <w:b/>
        </w:rPr>
        <w:t>Qualitative Health Research</w:t>
      </w:r>
      <w:r w:rsidRPr="00162962">
        <w:t xml:space="preserve">, 29(7), pp.958-971. Available at: </w:t>
      </w:r>
      <w:hyperlink r:id="rId172" w:history="1">
        <w:r w:rsidRPr="00162962">
          <w:rPr>
            <w:color w:val="0000FF"/>
            <w:u w:val="single"/>
          </w:rPr>
          <w:t>https://doi.org/10.1177/1049732318808249</w:t>
        </w:r>
      </w:hyperlink>
      <w:r w:rsidRPr="00162962">
        <w:t xml:space="preserve"> [last accessed July 2022]. </w:t>
      </w:r>
    </w:p>
    <w:p w14:paraId="363DCF0D" w14:textId="3F9F6FE4" w:rsidR="00162962" w:rsidRPr="00162962" w:rsidRDefault="00162962" w:rsidP="00162962">
      <w:r w:rsidRPr="00162962">
        <w:t xml:space="preserve">Vaughan C, </w:t>
      </w:r>
      <w:proofErr w:type="spellStart"/>
      <w:r w:rsidRPr="00162962">
        <w:t>Khaw</w:t>
      </w:r>
      <w:proofErr w:type="spellEnd"/>
      <w:r w:rsidRPr="00162962">
        <w:t xml:space="preserve"> S, </w:t>
      </w:r>
      <w:proofErr w:type="spellStart"/>
      <w:r w:rsidRPr="00162962">
        <w:t>Katsikis</w:t>
      </w:r>
      <w:proofErr w:type="spellEnd"/>
      <w:r w:rsidRPr="00162962">
        <w:t xml:space="preserve"> G, Wheeler J, </w:t>
      </w:r>
      <w:proofErr w:type="spellStart"/>
      <w:r w:rsidRPr="00162962">
        <w:t>Ozge</w:t>
      </w:r>
      <w:proofErr w:type="spellEnd"/>
      <w:r w:rsidRPr="00162962">
        <w:t xml:space="preserve"> J, </w:t>
      </w:r>
      <w:proofErr w:type="spellStart"/>
      <w:r w:rsidRPr="00162962">
        <w:t>Kasidis</w:t>
      </w:r>
      <w:proofErr w:type="spellEnd"/>
      <w:r w:rsidRPr="00162962">
        <w:t xml:space="preserve"> V, </w:t>
      </w:r>
      <w:proofErr w:type="spellStart"/>
      <w:r w:rsidRPr="00162962">
        <w:t>Moosad</w:t>
      </w:r>
      <w:proofErr w:type="spellEnd"/>
      <w:r w:rsidRPr="00162962">
        <w:t xml:space="preserve"> L. (2019) ‘It is like being put through a blender’: inclusive research in practice in an Australian university’, </w:t>
      </w:r>
      <w:r w:rsidRPr="00162962">
        <w:rPr>
          <w:b/>
        </w:rPr>
        <w:t>Disability &amp; Society</w:t>
      </w:r>
      <w:r w:rsidRPr="00162962">
        <w:t xml:space="preserve">, 14(34), pp.1224-40. Available at: </w:t>
      </w:r>
      <w:hyperlink r:id="rId173" w:history="1">
        <w:r w:rsidRPr="00162962">
          <w:rPr>
            <w:color w:val="0000FF"/>
            <w:u w:val="single"/>
          </w:rPr>
          <w:t>https://doi.org/10.1080/09687599.2019.1603103</w:t>
        </w:r>
      </w:hyperlink>
      <w:r w:rsidRPr="00162962">
        <w:t xml:space="preserve"> [last accessed July 2022]. </w:t>
      </w:r>
    </w:p>
    <w:p w14:paraId="7C3CE615" w14:textId="446F087E" w:rsidR="00162962" w:rsidRPr="00162962" w:rsidRDefault="00162962" w:rsidP="00162962">
      <w:r w:rsidRPr="00162962">
        <w:t xml:space="preserve">Vaughn, L.M. and Jacquez, F. (2020) ‘Participatory research methods–Choice points in the research process’, </w:t>
      </w:r>
      <w:r w:rsidRPr="00162962">
        <w:rPr>
          <w:b/>
        </w:rPr>
        <w:t>Journal of Participatory Research Methods,</w:t>
      </w:r>
      <w:r w:rsidRPr="00162962">
        <w:t xml:space="preserve"> 1(1), p.13244. Available from: </w:t>
      </w:r>
      <w:hyperlink r:id="rId174" w:history="1">
        <w:r w:rsidRPr="00162962">
          <w:rPr>
            <w:color w:val="0000FF"/>
            <w:u w:val="single"/>
          </w:rPr>
          <w:t>https://doi.org/10.35844/001c.13244</w:t>
        </w:r>
      </w:hyperlink>
      <w:r w:rsidRPr="00162962">
        <w:t xml:space="preserve"> [last accessed July 2022]. </w:t>
      </w:r>
    </w:p>
    <w:p w14:paraId="4753B4F4" w14:textId="625EC263" w:rsidR="00162962" w:rsidRPr="00162962" w:rsidRDefault="00162962" w:rsidP="00162962">
      <w:r w:rsidRPr="00162962">
        <w:lastRenderedPageBreak/>
        <w:t>Vega</w:t>
      </w:r>
      <w:r w:rsidRPr="00162962">
        <w:rPr>
          <w:rFonts w:ascii="Cambria Math" w:hAnsi="Cambria Math" w:cs="Cambria Math"/>
        </w:rPr>
        <w:t>‐</w:t>
      </w:r>
      <w:proofErr w:type="spellStart"/>
      <w:r w:rsidRPr="00162962">
        <w:t>C</w:t>
      </w:r>
      <w:r w:rsidRPr="00162962">
        <w:rPr>
          <w:rFonts w:cs="Gill Sans MT"/>
        </w:rPr>
        <w:t>ó</w:t>
      </w:r>
      <w:r w:rsidRPr="00162962">
        <w:t>rdova</w:t>
      </w:r>
      <w:proofErr w:type="spellEnd"/>
      <w:r w:rsidRPr="00162962">
        <w:t xml:space="preserve">, V., </w:t>
      </w:r>
      <w:proofErr w:type="spellStart"/>
      <w:r w:rsidRPr="00162962">
        <w:rPr>
          <w:rFonts w:cs="Gill Sans MT"/>
        </w:rPr>
        <w:t>Á</w:t>
      </w:r>
      <w:r w:rsidRPr="00162962">
        <w:t>lvarez</w:t>
      </w:r>
      <w:r w:rsidRPr="00162962">
        <w:rPr>
          <w:rFonts w:ascii="Cambria Math" w:hAnsi="Cambria Math" w:cs="Cambria Math"/>
        </w:rPr>
        <w:t>‐</w:t>
      </w:r>
      <w:r w:rsidRPr="00162962">
        <w:t>Aguado</w:t>
      </w:r>
      <w:proofErr w:type="spellEnd"/>
      <w:r w:rsidRPr="00162962">
        <w:t xml:space="preserve">, I., </w:t>
      </w:r>
      <w:proofErr w:type="spellStart"/>
      <w:r w:rsidRPr="00162962">
        <w:t>Jenaro</w:t>
      </w:r>
      <w:proofErr w:type="spellEnd"/>
      <w:r w:rsidRPr="00162962">
        <w:t>, C., Spencer</w:t>
      </w:r>
      <w:r w:rsidRPr="00162962">
        <w:rPr>
          <w:rFonts w:ascii="Cambria Math" w:hAnsi="Cambria Math" w:cs="Cambria Math"/>
        </w:rPr>
        <w:t>‐</w:t>
      </w:r>
      <w:r w:rsidRPr="00162962">
        <w:t>Gonz</w:t>
      </w:r>
      <w:r w:rsidRPr="00162962">
        <w:rPr>
          <w:rFonts w:cs="Gill Sans MT"/>
        </w:rPr>
        <w:t>á</w:t>
      </w:r>
      <w:r w:rsidRPr="00162962">
        <w:t>lez, H. and Diaz Araya, M. (2020) ‘</w:t>
      </w:r>
      <w:proofErr w:type="spellStart"/>
      <w:r w:rsidRPr="00162962">
        <w:t>Analyzing</w:t>
      </w:r>
      <w:proofErr w:type="spellEnd"/>
      <w:r w:rsidRPr="00162962">
        <w:t xml:space="preserve"> Roles, Barriers, and Supports of Co</w:t>
      </w:r>
      <w:r w:rsidRPr="00162962">
        <w:rPr>
          <w:rFonts w:ascii="Cambria Math" w:hAnsi="Cambria Math" w:cs="Cambria Math"/>
        </w:rPr>
        <w:t>‐</w:t>
      </w:r>
      <w:r w:rsidRPr="00162962">
        <w:t xml:space="preserve">researchers in Inclusive Research’, </w:t>
      </w:r>
      <w:r w:rsidRPr="00162962">
        <w:rPr>
          <w:b/>
        </w:rPr>
        <w:t>Journal of Policy and Practice in Intellectual Disabilities</w:t>
      </w:r>
      <w:r w:rsidRPr="00162962">
        <w:t xml:space="preserve">, 17(4), pp.318-331. Available at: </w:t>
      </w:r>
      <w:hyperlink r:id="rId175" w:history="1">
        <w:r w:rsidRPr="00162962">
          <w:rPr>
            <w:color w:val="0000FF"/>
            <w:u w:val="single"/>
          </w:rPr>
          <w:t>https://doi.org/10.1111/jppi.12354</w:t>
        </w:r>
      </w:hyperlink>
      <w:r w:rsidRPr="00162962">
        <w:t xml:space="preserve"> [last accessed July 2022]. </w:t>
      </w:r>
    </w:p>
    <w:p w14:paraId="7151E242" w14:textId="1CE01442" w:rsidR="00162962" w:rsidRPr="00162962" w:rsidRDefault="00162962" w:rsidP="00162962">
      <w:proofErr w:type="spellStart"/>
      <w:r w:rsidRPr="00162962">
        <w:t>Vlot</w:t>
      </w:r>
      <w:proofErr w:type="spellEnd"/>
      <w:r w:rsidRPr="00162962">
        <w:t xml:space="preserve">-van </w:t>
      </w:r>
      <w:proofErr w:type="spellStart"/>
      <w:r w:rsidRPr="00162962">
        <w:t>Anrooij</w:t>
      </w:r>
      <w:proofErr w:type="spellEnd"/>
      <w:r w:rsidRPr="00162962">
        <w:t xml:space="preserve">, K., </w:t>
      </w:r>
      <w:proofErr w:type="spellStart"/>
      <w:r w:rsidRPr="00162962">
        <w:t>Hilgenkamp</w:t>
      </w:r>
      <w:proofErr w:type="spellEnd"/>
      <w:r w:rsidRPr="00162962">
        <w:t xml:space="preserve">, T.I., </w:t>
      </w:r>
      <w:proofErr w:type="spellStart"/>
      <w:r w:rsidRPr="00162962">
        <w:t>Leusink</w:t>
      </w:r>
      <w:proofErr w:type="spellEnd"/>
      <w:r w:rsidRPr="00162962">
        <w:t xml:space="preserve">, G.L., van der </w:t>
      </w:r>
      <w:proofErr w:type="spellStart"/>
      <w:r w:rsidRPr="00162962">
        <w:t>Cruijsen</w:t>
      </w:r>
      <w:proofErr w:type="spellEnd"/>
      <w:r w:rsidRPr="00162962">
        <w:t xml:space="preserve">, A., Jansen, H., </w:t>
      </w:r>
      <w:proofErr w:type="spellStart"/>
      <w:r w:rsidRPr="00162962">
        <w:t>Naaldenberg</w:t>
      </w:r>
      <w:proofErr w:type="spellEnd"/>
      <w:r w:rsidRPr="00162962">
        <w:t xml:space="preserve">, J. and van der </w:t>
      </w:r>
      <w:proofErr w:type="spellStart"/>
      <w:r w:rsidRPr="00162962">
        <w:t>Velden</w:t>
      </w:r>
      <w:proofErr w:type="spellEnd"/>
      <w:r w:rsidRPr="00162962">
        <w:t xml:space="preserve">, K. (2020) ‘Improving environmental capacities for health promotion in support settings for people with intellectual disabilities: inclusive design of the DIHASID tool’, </w:t>
      </w:r>
      <w:r w:rsidRPr="00162962">
        <w:rPr>
          <w:b/>
        </w:rPr>
        <w:t>International Journal of Environmental Research and Public Health</w:t>
      </w:r>
      <w:r w:rsidRPr="00162962">
        <w:t xml:space="preserve">, 17(3), p.794. Available at: </w:t>
      </w:r>
      <w:hyperlink r:id="rId176" w:history="1">
        <w:r w:rsidRPr="00162962">
          <w:rPr>
            <w:color w:val="0000FF"/>
            <w:u w:val="single"/>
          </w:rPr>
          <w:t>https://doi.org/10.3390/ijerph17030794</w:t>
        </w:r>
      </w:hyperlink>
      <w:r w:rsidRPr="00162962">
        <w:t xml:space="preserve"> [last accessed July 2022]. </w:t>
      </w:r>
    </w:p>
    <w:p w14:paraId="6D61F436" w14:textId="2E94F476" w:rsidR="00162962" w:rsidRPr="00162962" w:rsidRDefault="00162962" w:rsidP="00162962">
      <w:proofErr w:type="spellStart"/>
      <w:r w:rsidRPr="00162962">
        <w:t>Wadman</w:t>
      </w:r>
      <w:proofErr w:type="spellEnd"/>
      <w:r w:rsidRPr="00162962">
        <w:t xml:space="preserve">, R., Williams, A.J., Brown, K. and Nielsen, E. (2019) ‘Supported and valued? A survey of early career researchers’ experiences and perceptions of youth and adult involvement in mental health, self-harm and suicide research’, </w:t>
      </w:r>
      <w:r w:rsidRPr="00162962">
        <w:rPr>
          <w:b/>
        </w:rPr>
        <w:t>Research Involvement and Engagement</w:t>
      </w:r>
      <w:r w:rsidRPr="00162962">
        <w:t xml:space="preserve">, 5(1), pp.1-12. Available from: </w:t>
      </w:r>
      <w:hyperlink r:id="rId177" w:history="1">
        <w:r w:rsidRPr="00162962">
          <w:rPr>
            <w:color w:val="0000FF"/>
            <w:u w:val="single"/>
          </w:rPr>
          <w:t>https://doi.org/10.1186/s40900-019-0149-z</w:t>
        </w:r>
      </w:hyperlink>
      <w:r w:rsidRPr="00162962">
        <w:t xml:space="preserve"> [last accessed July 2022]. </w:t>
      </w:r>
    </w:p>
    <w:p w14:paraId="61E2ADBB" w14:textId="4E6ADE61" w:rsidR="00162962" w:rsidRPr="00162962" w:rsidRDefault="00162962" w:rsidP="00162962">
      <w:r w:rsidRPr="00A307BF">
        <w:t xml:space="preserve">Waite, J., Poland, F. and </w:t>
      </w:r>
      <w:proofErr w:type="spellStart"/>
      <w:r w:rsidRPr="00A307BF">
        <w:t>Charlesworth</w:t>
      </w:r>
      <w:proofErr w:type="spellEnd"/>
      <w:r w:rsidRPr="00A307BF">
        <w:t>, G. (2019) ‘Facilitators and barriers to co</w:t>
      </w:r>
      <w:r w:rsidRPr="00A307BF">
        <w:rPr>
          <w:rFonts w:ascii="Cambria Math" w:hAnsi="Cambria Math" w:cs="Cambria Math"/>
        </w:rPr>
        <w:t>‐</w:t>
      </w:r>
      <w:r w:rsidRPr="00A307BF">
        <w:t>research by people with dementia and academic</w:t>
      </w:r>
      <w:r w:rsidRPr="00162962">
        <w:t xml:space="preserve"> researchers: findings from a qualitative study’, </w:t>
      </w:r>
      <w:r w:rsidRPr="00162962">
        <w:rPr>
          <w:b/>
        </w:rPr>
        <w:t>Health Expectations</w:t>
      </w:r>
      <w:r w:rsidRPr="00162962">
        <w:t xml:space="preserve">, 22(4), pp.761-771. Available at: </w:t>
      </w:r>
      <w:hyperlink r:id="rId178" w:history="1">
        <w:r w:rsidRPr="00162962">
          <w:rPr>
            <w:color w:val="0000FF"/>
            <w:u w:val="single"/>
          </w:rPr>
          <w:t>https://doi.org/10.1111/hex.12891</w:t>
        </w:r>
      </w:hyperlink>
      <w:r w:rsidRPr="00162962">
        <w:t xml:space="preserve"> [last accessed July 2022]. </w:t>
      </w:r>
    </w:p>
    <w:p w14:paraId="557F2B2F" w14:textId="77777777" w:rsidR="00162962" w:rsidRPr="00162962" w:rsidRDefault="00162962" w:rsidP="00162962">
      <w:proofErr w:type="spellStart"/>
      <w:r w:rsidRPr="00162962">
        <w:t>Walmsley</w:t>
      </w:r>
      <w:proofErr w:type="spellEnd"/>
      <w:r w:rsidRPr="00162962">
        <w:t xml:space="preserve">, J. and Johnson, K. (2003) ‘Inclusive research with people with learning disabilities: Past, present and futures’, London: Jessica Kingsley Publishers. </w:t>
      </w:r>
    </w:p>
    <w:p w14:paraId="0AA87A7A" w14:textId="14706E98" w:rsidR="00162962" w:rsidRPr="00162962" w:rsidRDefault="00162962" w:rsidP="00162962">
      <w:proofErr w:type="spellStart"/>
      <w:r w:rsidRPr="00A307BF">
        <w:t>Walmsley</w:t>
      </w:r>
      <w:proofErr w:type="spellEnd"/>
      <w:r w:rsidRPr="00A307BF">
        <w:t xml:space="preserve">, J., </w:t>
      </w:r>
      <w:proofErr w:type="spellStart"/>
      <w:r w:rsidRPr="00A307BF">
        <w:t>Strnadová</w:t>
      </w:r>
      <w:proofErr w:type="spellEnd"/>
      <w:r w:rsidRPr="00A307BF">
        <w:t>, I. and Johnson</w:t>
      </w:r>
      <w:r w:rsidRPr="00162962">
        <w:t xml:space="preserve">, K. (2018) ‘The added value of inclusive research’, </w:t>
      </w:r>
      <w:r w:rsidRPr="00162962">
        <w:rPr>
          <w:b/>
        </w:rPr>
        <w:t>Journal of Applied Research in Intellectual Disabilities</w:t>
      </w:r>
      <w:r w:rsidRPr="00162962">
        <w:t xml:space="preserve">, 31(5), pp.751-759. Available at: </w:t>
      </w:r>
      <w:hyperlink r:id="rId179" w:history="1">
        <w:r w:rsidRPr="00162962">
          <w:rPr>
            <w:color w:val="0000FF"/>
            <w:u w:val="single"/>
          </w:rPr>
          <w:t>https://doi.org/10.1111/jar.12431</w:t>
        </w:r>
      </w:hyperlink>
      <w:r w:rsidRPr="00162962">
        <w:t xml:space="preserve"> [last accessed July 2022]. </w:t>
      </w:r>
    </w:p>
    <w:p w14:paraId="7C6F49F9" w14:textId="626188B4" w:rsidR="00162962" w:rsidRPr="00162962" w:rsidRDefault="00162962" w:rsidP="00162962">
      <w:r w:rsidRPr="00162962">
        <w:t xml:space="preserve">Walsh DM, Hynes L, O'Hara MC, Mc </w:t>
      </w:r>
      <w:proofErr w:type="spellStart"/>
      <w:r w:rsidRPr="00162962">
        <w:t>Sharry</w:t>
      </w:r>
      <w:proofErr w:type="spellEnd"/>
      <w:r w:rsidRPr="00162962">
        <w:t xml:space="preserve"> J, </w:t>
      </w:r>
      <w:proofErr w:type="spellStart"/>
      <w:r w:rsidRPr="00162962">
        <w:t>Dinneen</w:t>
      </w:r>
      <w:proofErr w:type="spellEnd"/>
      <w:r w:rsidRPr="00162962">
        <w:t xml:space="preserve"> SF, Byrne M. (2018) ‘Embedding a user-centred approach in the development of complex behaviour change intervention to improve outcomes for young adults living with type 1 diabetes: The D1 Now Study’, </w:t>
      </w:r>
      <w:r w:rsidRPr="00162962">
        <w:rPr>
          <w:b/>
        </w:rPr>
        <w:t>HRB Open Research</w:t>
      </w:r>
      <w:r w:rsidRPr="00162962">
        <w:t xml:space="preserve">, 1(8). Available at:   </w:t>
      </w:r>
      <w:hyperlink r:id="rId180" w:history="1">
        <w:r w:rsidRPr="00162962">
          <w:rPr>
            <w:color w:val="0000FF"/>
            <w:u w:val="single"/>
          </w:rPr>
          <w:t>https://doi.org/10.12688/hrbopenres.12803.2</w:t>
        </w:r>
      </w:hyperlink>
      <w:r w:rsidRPr="00162962">
        <w:t xml:space="preserve"> [last accessed July 2022]. </w:t>
      </w:r>
    </w:p>
    <w:p w14:paraId="5475C360" w14:textId="42E8E4C7" w:rsidR="00162962" w:rsidRPr="00162962" w:rsidRDefault="00162962" w:rsidP="00162962">
      <w:proofErr w:type="spellStart"/>
      <w:r w:rsidRPr="00473AB4">
        <w:t>Weksler-Derri</w:t>
      </w:r>
      <w:proofErr w:type="spellEnd"/>
      <w:r w:rsidRPr="00473AB4">
        <w:t xml:space="preserve">, D., </w:t>
      </w:r>
      <w:proofErr w:type="spellStart"/>
      <w:r w:rsidRPr="00473AB4">
        <w:t>Shwed</w:t>
      </w:r>
      <w:proofErr w:type="spellEnd"/>
      <w:r w:rsidRPr="00473AB4">
        <w:t xml:space="preserve">, U. and </w:t>
      </w:r>
      <w:proofErr w:type="spellStart"/>
      <w:r w:rsidRPr="00473AB4">
        <w:t>Davidovitch</w:t>
      </w:r>
      <w:proofErr w:type="spellEnd"/>
      <w:r w:rsidRPr="00473AB4">
        <w:t>, N. (2019</w:t>
      </w:r>
      <w:r w:rsidRPr="00162962">
        <w:t xml:space="preserve">) ‘Ethical challenges in participatory research with autistic adults in Israel’, </w:t>
      </w:r>
      <w:r w:rsidRPr="00162962">
        <w:rPr>
          <w:b/>
        </w:rPr>
        <w:t>Journal of Empirical Research on Human Research Ethics</w:t>
      </w:r>
      <w:r w:rsidRPr="00162962">
        <w:t xml:space="preserve">, 14(5), pp.447-451. Available at: </w:t>
      </w:r>
      <w:hyperlink r:id="rId181" w:history="1">
        <w:r w:rsidRPr="00162962">
          <w:rPr>
            <w:color w:val="0000FF"/>
            <w:u w:val="single"/>
          </w:rPr>
          <w:t>https://doi.org/10.1177/1556264619858524</w:t>
        </w:r>
      </w:hyperlink>
      <w:r w:rsidR="00D434F7">
        <w:t xml:space="preserve"> [last accessed July 2022]. </w:t>
      </w:r>
    </w:p>
    <w:p w14:paraId="44D525B2" w14:textId="39E3C846" w:rsidR="00162962" w:rsidRPr="00162962" w:rsidRDefault="00162962" w:rsidP="00162962">
      <w:proofErr w:type="spellStart"/>
      <w:r w:rsidRPr="00162962">
        <w:lastRenderedPageBreak/>
        <w:t>Welikala</w:t>
      </w:r>
      <w:proofErr w:type="spellEnd"/>
      <w:r w:rsidRPr="00162962">
        <w:t xml:space="preserve"> T,</w:t>
      </w:r>
      <w:r w:rsidR="00D434F7">
        <w:t xml:space="preserve"> and </w:t>
      </w:r>
      <w:r w:rsidRPr="00162962">
        <w:t xml:space="preserve">Atkin C. (2014) ‘Student co-inquirers: The challenges and benefits of inclusive research’, </w:t>
      </w:r>
      <w:r w:rsidRPr="00162962">
        <w:rPr>
          <w:b/>
        </w:rPr>
        <w:t>International Journal of Research &amp; Method in Education</w:t>
      </w:r>
      <w:r w:rsidRPr="00162962">
        <w:t xml:space="preserve">. 2014 Oct 2;37(4):390-406. Available at: </w:t>
      </w:r>
      <w:hyperlink r:id="rId182" w:history="1">
        <w:r w:rsidRPr="00162962">
          <w:rPr>
            <w:color w:val="0000FF"/>
            <w:u w:val="single"/>
          </w:rPr>
          <w:t>https://doi.org/10.1080/1743727X.2014.909402</w:t>
        </w:r>
      </w:hyperlink>
      <w:r w:rsidR="00D434F7">
        <w:t xml:space="preserve"> [last accessed July 2022]. </w:t>
      </w:r>
    </w:p>
    <w:p w14:paraId="4014061D" w14:textId="5C84B197" w:rsidR="00162962" w:rsidRPr="00162962" w:rsidRDefault="00162962" w:rsidP="00162962">
      <w:r w:rsidRPr="00162962">
        <w:t>Werner-</w:t>
      </w:r>
      <w:proofErr w:type="spellStart"/>
      <w:r w:rsidRPr="00162962">
        <w:t>Seidler</w:t>
      </w:r>
      <w:proofErr w:type="spellEnd"/>
      <w:r w:rsidRPr="00162962">
        <w:t xml:space="preserve">, A. and Shaw, F. (2019) ‘The social and emotional impact of involving individuals with mental illness in the research process’, </w:t>
      </w:r>
      <w:r w:rsidRPr="00162962">
        <w:rPr>
          <w:b/>
        </w:rPr>
        <w:t>Qualitative Health Research,</w:t>
      </w:r>
      <w:r w:rsidRPr="00162962">
        <w:t xml:space="preserve"> 29(11), pp.1634-1640. Available at: </w:t>
      </w:r>
      <w:hyperlink r:id="rId183" w:history="1">
        <w:r w:rsidRPr="00162962">
          <w:rPr>
            <w:color w:val="0000FF"/>
            <w:u w:val="single"/>
          </w:rPr>
          <w:t>https://doi.org/10.1177/1049732319837232</w:t>
        </w:r>
      </w:hyperlink>
      <w:r w:rsidR="00D434F7">
        <w:t xml:space="preserve"> [last accessed July 2022]. </w:t>
      </w:r>
    </w:p>
    <w:p w14:paraId="5B3B6851" w14:textId="78AD487D" w:rsidR="00162962" w:rsidRPr="00162962" w:rsidRDefault="00162962" w:rsidP="00162962">
      <w:r w:rsidRPr="00233B05">
        <w:t>Williams, V., Ponting, L. and Ford, K. (2015) ‘A platform for change</w:t>
      </w:r>
      <w:r w:rsidRPr="00162962">
        <w:t xml:space="preserve">? Inclusive research about ‘choice and control’, </w:t>
      </w:r>
      <w:r w:rsidRPr="00162962">
        <w:rPr>
          <w:b/>
        </w:rPr>
        <w:t>British Journal of Learning Disabilities</w:t>
      </w:r>
      <w:r w:rsidRPr="00162962">
        <w:t xml:space="preserve">, 43(2), pp.106-113. Available at: </w:t>
      </w:r>
      <w:hyperlink r:id="rId184" w:history="1">
        <w:r w:rsidRPr="00162962">
          <w:rPr>
            <w:color w:val="0000FF"/>
            <w:u w:val="single"/>
          </w:rPr>
          <w:t>https://doi.org/10.1111/bld.12123</w:t>
        </w:r>
      </w:hyperlink>
      <w:r w:rsidRPr="00162962">
        <w:t xml:space="preserve"> [last accessed July 2022]. </w:t>
      </w:r>
    </w:p>
    <w:p w14:paraId="111DC6D7" w14:textId="5FFE5F87" w:rsidR="00162962" w:rsidRPr="00162962" w:rsidRDefault="00162962" w:rsidP="00162962">
      <w:r w:rsidRPr="00162962">
        <w:t xml:space="preserve">Williams, V., Webb, J., Read, S., James, R. and Davis, H. (2020) ‘Future lived experience: inclusive research with people living with dementia’, </w:t>
      </w:r>
      <w:r w:rsidRPr="00162962">
        <w:rPr>
          <w:b/>
        </w:rPr>
        <w:t>Qualitative Research</w:t>
      </w:r>
      <w:r w:rsidRPr="00162962">
        <w:t xml:space="preserve">, 20(5), pp.721-740. Available at: </w:t>
      </w:r>
      <w:hyperlink r:id="rId185" w:history="1">
        <w:r w:rsidRPr="00162962">
          <w:rPr>
            <w:color w:val="0000FF"/>
            <w:u w:val="single"/>
          </w:rPr>
          <w:t>https://doi.org/10.1177/1468794119893608</w:t>
        </w:r>
      </w:hyperlink>
      <w:r w:rsidR="00D434F7">
        <w:t xml:space="preserve"> [last accessed July 2022].</w:t>
      </w:r>
    </w:p>
    <w:p w14:paraId="3E61F0A9" w14:textId="3033D1F7" w:rsidR="00162962" w:rsidRPr="00162962" w:rsidRDefault="00162962" w:rsidP="00162962">
      <w:proofErr w:type="spellStart"/>
      <w:r w:rsidRPr="00162962">
        <w:t>Woelders</w:t>
      </w:r>
      <w:proofErr w:type="spellEnd"/>
      <w:r w:rsidRPr="00162962">
        <w:t xml:space="preserve">, S., </w:t>
      </w:r>
      <w:proofErr w:type="spellStart"/>
      <w:r w:rsidRPr="00162962">
        <w:t>Abma</w:t>
      </w:r>
      <w:proofErr w:type="spellEnd"/>
      <w:r w:rsidRPr="00162962">
        <w:t xml:space="preserve">, T., </w:t>
      </w:r>
      <w:proofErr w:type="spellStart"/>
      <w:r w:rsidRPr="00162962">
        <w:t>Visser</w:t>
      </w:r>
      <w:proofErr w:type="spellEnd"/>
      <w:r w:rsidRPr="00162962">
        <w:t xml:space="preserve">, T. and </w:t>
      </w:r>
      <w:proofErr w:type="spellStart"/>
      <w:r w:rsidRPr="00162962">
        <w:t>Schipper</w:t>
      </w:r>
      <w:proofErr w:type="spellEnd"/>
      <w:r w:rsidRPr="00162962">
        <w:t xml:space="preserve">, K. (2015) ‘The power of difference in inclusive research’, </w:t>
      </w:r>
      <w:r w:rsidRPr="00162962">
        <w:rPr>
          <w:b/>
        </w:rPr>
        <w:t>Disability &amp; Society</w:t>
      </w:r>
      <w:r w:rsidRPr="00162962">
        <w:t xml:space="preserve">, 30(4), pp.528-542. Available at: </w:t>
      </w:r>
      <w:hyperlink r:id="rId186" w:history="1">
        <w:r w:rsidRPr="00162962">
          <w:rPr>
            <w:color w:val="0000FF"/>
            <w:u w:val="single"/>
          </w:rPr>
          <w:t>https://doi.org/10.1080/09687599.2015.1031880</w:t>
        </w:r>
      </w:hyperlink>
      <w:r w:rsidR="00D434F7">
        <w:t xml:space="preserve"> [last accessed July 2022]. </w:t>
      </w:r>
    </w:p>
    <w:p w14:paraId="4E5A52F8" w14:textId="6984B17B" w:rsidR="00162962" w:rsidRPr="00162962" w:rsidRDefault="00162962" w:rsidP="00162962">
      <w:r w:rsidRPr="00162962">
        <w:t xml:space="preserve">Wolsey, J.L.A., Dunn, K.M., </w:t>
      </w:r>
      <w:proofErr w:type="spellStart"/>
      <w:r w:rsidRPr="00162962">
        <w:t>Gentzke</w:t>
      </w:r>
      <w:proofErr w:type="spellEnd"/>
      <w:r w:rsidRPr="00162962">
        <w:t xml:space="preserve">, S.W., </w:t>
      </w:r>
      <w:proofErr w:type="spellStart"/>
      <w:r w:rsidRPr="00162962">
        <w:t>Joharchi</w:t>
      </w:r>
      <w:proofErr w:type="spellEnd"/>
      <w:r w:rsidRPr="00162962">
        <w:t xml:space="preserve">, H.A., Clark, M.D. and CSEDL Team (2017) ‘Deaf/hearing research partnerships’, </w:t>
      </w:r>
      <w:r w:rsidRPr="00162962">
        <w:rPr>
          <w:b/>
        </w:rPr>
        <w:t>American Annals of the Deaf</w:t>
      </w:r>
      <w:r w:rsidRPr="00162962">
        <w:t xml:space="preserve">, 161(5), pp.571-582. Available at: </w:t>
      </w:r>
      <w:hyperlink r:id="rId187" w:history="1">
        <w:r w:rsidRPr="00162962">
          <w:rPr>
            <w:color w:val="0000FF"/>
            <w:u w:val="single"/>
          </w:rPr>
          <w:t>https://doi.org/10.1353/aad.2017.0007</w:t>
        </w:r>
      </w:hyperlink>
      <w:r w:rsidR="00D434F7">
        <w:t xml:space="preserve"> [last accessed July 2022]. </w:t>
      </w:r>
    </w:p>
    <w:p w14:paraId="7A2DCA2F" w14:textId="2C6FBE36" w:rsidR="00162962" w:rsidRPr="00162962" w:rsidRDefault="00162962" w:rsidP="00162962">
      <w:r w:rsidRPr="00EF794C">
        <w:t>Young, A., Ferguson-Coleman, E. and Keady, J. (2018) ‘Authentic</w:t>
      </w:r>
      <w:r w:rsidRPr="00162962">
        <w:t xml:space="preserve"> public and patient involvement with Deaf sign language users: it is not just about language access’, </w:t>
      </w:r>
      <w:r w:rsidRPr="00162962">
        <w:rPr>
          <w:b/>
        </w:rPr>
        <w:t>Dementia</w:t>
      </w:r>
      <w:r w:rsidRPr="00162962">
        <w:t xml:space="preserve">, 17(8), pp.1001-1010. Available at: </w:t>
      </w:r>
      <w:hyperlink r:id="rId188" w:history="1">
        <w:r w:rsidRPr="00162962">
          <w:rPr>
            <w:color w:val="0000FF"/>
            <w:u w:val="single"/>
          </w:rPr>
          <w:t>https://doi.org/10.1177/1471301218789567</w:t>
        </w:r>
      </w:hyperlink>
      <w:r w:rsidRPr="00162962">
        <w:t xml:space="preserve"> [last accessed July 2022]. </w:t>
      </w:r>
    </w:p>
    <w:p w14:paraId="4D0A4F21" w14:textId="6B1AAA62" w:rsidR="00162962" w:rsidRPr="00162962" w:rsidRDefault="00162962" w:rsidP="00162962">
      <w:proofErr w:type="spellStart"/>
      <w:r w:rsidRPr="00162962">
        <w:t>Zarb</w:t>
      </w:r>
      <w:proofErr w:type="spellEnd"/>
      <w:r w:rsidRPr="00162962">
        <w:t xml:space="preserve">, G. (1992) ‘On the road to Damascus: First steps towards changing the relations of disability research production’, </w:t>
      </w:r>
      <w:r w:rsidRPr="00162962">
        <w:rPr>
          <w:b/>
        </w:rPr>
        <w:t>Disability, Handicap &amp; Society</w:t>
      </w:r>
      <w:r w:rsidRPr="00162962">
        <w:t xml:space="preserve">, 7(2), pp.125-138. Available at: </w:t>
      </w:r>
      <w:hyperlink r:id="rId189" w:history="1">
        <w:r w:rsidRPr="00162962">
          <w:rPr>
            <w:color w:val="0000FF"/>
            <w:u w:val="single"/>
          </w:rPr>
          <w:t>https://doi.org/10.1080/02674649266780161</w:t>
        </w:r>
      </w:hyperlink>
      <w:r w:rsidRPr="00162962">
        <w:t xml:space="preserve"> [last accessed July 2022]. </w:t>
      </w:r>
    </w:p>
    <w:p w14:paraId="090F0ECF" w14:textId="77777777" w:rsidR="00162962" w:rsidRDefault="00162962" w:rsidP="000B78B0">
      <w:pPr>
        <w:sectPr w:rsidR="00162962" w:rsidSect="00542592">
          <w:footerReference w:type="default" r:id="rId190"/>
          <w:pgSz w:w="12240" w:h="15840"/>
          <w:pgMar w:top="1440" w:right="1800" w:bottom="1440" w:left="1800" w:header="708" w:footer="708" w:gutter="0"/>
          <w:cols w:space="708"/>
          <w:docGrid w:linePitch="360"/>
        </w:sectPr>
      </w:pPr>
    </w:p>
    <w:p w14:paraId="0C68CF46" w14:textId="3D6D7FD8" w:rsidR="006240C9" w:rsidRDefault="0077769C" w:rsidP="00F24B09">
      <w:pPr>
        <w:pStyle w:val="Heading1"/>
      </w:pPr>
      <w:bookmarkStart w:id="86" w:name="_Toc104925141"/>
      <w:bookmarkStart w:id="87" w:name="_Toc116916232"/>
      <w:r>
        <w:lastRenderedPageBreak/>
        <w:t>A</w:t>
      </w:r>
      <w:r w:rsidR="00D80C5C">
        <w:t>ppendi</w:t>
      </w:r>
      <w:bookmarkEnd w:id="86"/>
      <w:r w:rsidR="00AA632B">
        <w:t>x A</w:t>
      </w:r>
      <w:r w:rsidR="002B1278">
        <w:t xml:space="preserve"> – Search terms used in literature review</w:t>
      </w:r>
      <w:bookmarkEnd w:id="87"/>
    </w:p>
    <w:p w14:paraId="5A627A8F" w14:textId="256034E8" w:rsidR="0077769C" w:rsidRPr="0077769C" w:rsidRDefault="0077769C" w:rsidP="0077769C">
      <w:pPr>
        <w:rPr>
          <w:b/>
        </w:rPr>
      </w:pPr>
      <w:r w:rsidRPr="0077769C">
        <w:rPr>
          <w:b/>
        </w:rPr>
        <w:t>Terms</w:t>
      </w:r>
      <w:r>
        <w:rPr>
          <w:b/>
        </w:rPr>
        <w:t xml:space="preserve"> 1</w:t>
      </w:r>
    </w:p>
    <w:p w14:paraId="0F04AACD" w14:textId="56F1B74F" w:rsidR="0077769C" w:rsidRDefault="0077769C" w:rsidP="0077769C">
      <w:r>
        <w:t>“co-research” or “</w:t>
      </w:r>
      <w:proofErr w:type="spellStart"/>
      <w:r>
        <w:t>coresearch</w:t>
      </w:r>
      <w:proofErr w:type="spellEnd"/>
      <w:r>
        <w:t>” or “co research” or “inclusive research” or “collaborative research” or “engaged research” or “peer research” or “peer-research” or “participatory” or “user research” or “user-involvement” or “user involvement” or “involving users” or “involvement of users” or “community of practice” or “communities of practice” or “emancipatory disability research” or “action research” or “participatory evaluation” or “collaborative inquiry” or “public patient involvement” or “public and patient involvement” or “patient public involvement” or “patient and public involvement” or “steering committee*” or “advisory committee*” or “consultation*” or “integrated knowledge translation” or “public patient engagement” or “public and patient engagement” or “patient public engagement’ or “patient and public engagement”</w:t>
      </w:r>
    </w:p>
    <w:p w14:paraId="41192EB3" w14:textId="77777777" w:rsidR="0077769C" w:rsidRDefault="0077769C" w:rsidP="0077769C">
      <w:r>
        <w:t>AND</w:t>
      </w:r>
    </w:p>
    <w:p w14:paraId="7E2153A7" w14:textId="6BE481F4" w:rsidR="0077769C" w:rsidRDefault="0077769C" w:rsidP="0077769C">
      <w:r>
        <w:t>“</w:t>
      </w:r>
      <w:proofErr w:type="spellStart"/>
      <w:r>
        <w:t>disab</w:t>
      </w:r>
      <w:proofErr w:type="spellEnd"/>
      <w:r>
        <w:t>*” or “impair*” or “mental*” or “deaf” or “blind” or “</w:t>
      </w:r>
      <w:proofErr w:type="spellStart"/>
      <w:r>
        <w:t>autis</w:t>
      </w:r>
      <w:proofErr w:type="spellEnd"/>
      <w:r>
        <w:t>*” or “learning difficult” or “ill*” or “dementia”</w:t>
      </w:r>
    </w:p>
    <w:p w14:paraId="2BD51B73" w14:textId="3C2FB660" w:rsidR="0077769C" w:rsidRPr="0077769C" w:rsidRDefault="0077769C" w:rsidP="0077769C">
      <w:pPr>
        <w:rPr>
          <w:b/>
        </w:rPr>
      </w:pPr>
      <w:r w:rsidRPr="0077769C">
        <w:rPr>
          <w:b/>
        </w:rPr>
        <w:t>Terms</w:t>
      </w:r>
      <w:r>
        <w:rPr>
          <w:b/>
        </w:rPr>
        <w:t xml:space="preserve"> 2</w:t>
      </w:r>
    </w:p>
    <w:p w14:paraId="298AE0A6" w14:textId="0EC21082" w:rsidR="0077769C" w:rsidRDefault="0077769C" w:rsidP="0077769C">
      <w:r>
        <w:t xml:space="preserve">“design-based research” or “design based research” or “co-design” or “co design” or “inclusive design” or “user-led design” or “user led design” </w:t>
      </w:r>
    </w:p>
    <w:p w14:paraId="4FD8F9ED" w14:textId="77777777" w:rsidR="0077769C" w:rsidRDefault="0077769C" w:rsidP="0077769C">
      <w:r>
        <w:t>AND</w:t>
      </w:r>
    </w:p>
    <w:p w14:paraId="55FF34B3" w14:textId="4F53DA9F" w:rsidR="00AA632B" w:rsidRDefault="0077769C" w:rsidP="00CE0CD4">
      <w:r>
        <w:t>“</w:t>
      </w:r>
      <w:proofErr w:type="spellStart"/>
      <w:r>
        <w:t>disab</w:t>
      </w:r>
      <w:proofErr w:type="spellEnd"/>
      <w:r>
        <w:t>*” or “impair*” or “mental*” or “deaf” or “blind” or “</w:t>
      </w:r>
      <w:proofErr w:type="spellStart"/>
      <w:r>
        <w:t>autis</w:t>
      </w:r>
      <w:proofErr w:type="spellEnd"/>
      <w:r>
        <w:t>*” or “learning difficult” or “ill*” or</w:t>
      </w:r>
      <w:r w:rsidR="00061459">
        <w:t xml:space="preserve"> “dementia” or</w:t>
      </w:r>
      <w:r>
        <w:t xml:space="preserve"> “universal design”</w:t>
      </w:r>
      <w:r w:rsidR="00AA632B">
        <w:br w:type="page"/>
      </w:r>
    </w:p>
    <w:p w14:paraId="38BC398F" w14:textId="1C63EA1F" w:rsidR="00AA632B" w:rsidRDefault="00AA632B" w:rsidP="00AA632B">
      <w:pPr>
        <w:pStyle w:val="Heading1"/>
      </w:pPr>
      <w:bookmarkStart w:id="88" w:name="_Toc116916233"/>
      <w:r>
        <w:lastRenderedPageBreak/>
        <w:t xml:space="preserve">Appendix B </w:t>
      </w:r>
      <w:r w:rsidR="00953654">
        <w:t xml:space="preserve">- </w:t>
      </w:r>
      <w:r w:rsidR="00953654" w:rsidRPr="00AF7165">
        <w:t xml:space="preserve">Campus </w:t>
      </w:r>
      <w:r w:rsidR="00953654">
        <w:t>E</w:t>
      </w:r>
      <w:r w:rsidR="00953654" w:rsidRPr="00AF7165">
        <w:t>ngage recommendations for funders</w:t>
      </w:r>
      <w:bookmarkEnd w:id="88"/>
    </w:p>
    <w:p w14:paraId="5863E6F5" w14:textId="77777777" w:rsidR="00136F19" w:rsidRDefault="00136F19" w:rsidP="00136F19">
      <w:r>
        <w:t>Align funding calls to societal needs articulated by public or professional service and product users, policy makers, civil and civic society organisations (CSOs) and researchers;</w:t>
      </w:r>
    </w:p>
    <w:p w14:paraId="0BA028BD" w14:textId="77777777" w:rsidR="00136F19" w:rsidRDefault="00136F19" w:rsidP="00136F19">
      <w:pPr>
        <w:pStyle w:val="ListBullet"/>
      </w:pPr>
      <w:r>
        <w:t>Allow longer project timelines for engaged research projects;</w:t>
      </w:r>
    </w:p>
    <w:p w14:paraId="1A478512" w14:textId="77777777" w:rsidR="00136F19" w:rsidRDefault="00136F19" w:rsidP="00136F19">
      <w:pPr>
        <w:pStyle w:val="ListBullet"/>
      </w:pPr>
      <w:r>
        <w:t>Include funding for pre-proposal design and consultation and post-project impact assessment;</w:t>
      </w:r>
    </w:p>
    <w:p w14:paraId="44C8D609" w14:textId="77777777" w:rsidR="00136F19" w:rsidRDefault="00136F19" w:rsidP="00136F19">
      <w:pPr>
        <w:pStyle w:val="ListBullet"/>
      </w:pPr>
      <w:r>
        <w:t>Earmark funding for existing programme or service evaluation research;</w:t>
      </w:r>
    </w:p>
    <w:p w14:paraId="67C7F095" w14:textId="77777777" w:rsidR="00136F19" w:rsidRDefault="00136F19" w:rsidP="00136F19">
      <w:pPr>
        <w:pStyle w:val="ListBullet"/>
      </w:pPr>
      <w:r>
        <w:t>Offer societal innovation vouchers for engaged research;</w:t>
      </w:r>
    </w:p>
    <w:p w14:paraId="7C6571BF" w14:textId="77777777" w:rsidR="00136F19" w:rsidRDefault="00136F19" w:rsidP="00136F19">
      <w:pPr>
        <w:pStyle w:val="ListBullet"/>
      </w:pPr>
      <w:r>
        <w:t>Fund project management for larger-scale engaged research projects;</w:t>
      </w:r>
    </w:p>
    <w:p w14:paraId="5AC9A29F" w14:textId="77777777" w:rsidR="00136F19" w:rsidRDefault="00136F19" w:rsidP="00136F19">
      <w:pPr>
        <w:pStyle w:val="ListBullet"/>
      </w:pPr>
      <w:r>
        <w:t>Fund support staff to sustain engagement between HEIs and CSO partners between and during funded research projects;</w:t>
      </w:r>
    </w:p>
    <w:p w14:paraId="04709FE2" w14:textId="78512FF8" w:rsidR="00136F19" w:rsidRPr="009C3BD7" w:rsidRDefault="00136F19" w:rsidP="00136F19">
      <w:pPr>
        <w:pStyle w:val="ListBullet"/>
      </w:pPr>
      <w:r>
        <w:t>Fund national inter-institutional collaborations to provide leverage for smaller-scale projects to develop into impactful larger-scale projects that address issues of public concern across Ireland</w:t>
      </w:r>
      <w:r w:rsidR="00953654">
        <w:rPr>
          <w:rStyle w:val="FootnoteReference"/>
        </w:rPr>
        <w:footnoteReference w:id="690"/>
      </w:r>
      <w:r>
        <w:t>.</w:t>
      </w:r>
    </w:p>
    <w:p w14:paraId="091CEFF3" w14:textId="18B78782" w:rsidR="00AF7165" w:rsidRDefault="00AF7165" w:rsidP="00B332B8">
      <w:pPr>
        <w:autoSpaceDE w:val="0"/>
        <w:autoSpaceDN w:val="0"/>
        <w:adjustRightInd w:val="0"/>
        <w:spacing w:after="0"/>
      </w:pPr>
    </w:p>
    <w:p w14:paraId="1B96AC7F" w14:textId="77777777" w:rsidR="00AF7165" w:rsidRDefault="00AF7165">
      <w:pPr>
        <w:spacing w:after="0"/>
      </w:pPr>
      <w:r>
        <w:br w:type="page"/>
      </w:r>
    </w:p>
    <w:p w14:paraId="27FB7FEF" w14:textId="5F732BBC" w:rsidR="00A474EA" w:rsidRPr="002B1278" w:rsidRDefault="00A474EA" w:rsidP="00A474EA">
      <w:pPr>
        <w:pStyle w:val="Heading1"/>
      </w:pPr>
      <w:bookmarkStart w:id="89" w:name="_Toc116916234"/>
      <w:r>
        <w:lastRenderedPageBreak/>
        <w:t xml:space="preserve">Appendix </w:t>
      </w:r>
      <w:r w:rsidR="00B064DC">
        <w:t>C</w:t>
      </w:r>
      <w:r w:rsidR="002B1278">
        <w:t xml:space="preserve"> – Methods used by Munro </w:t>
      </w:r>
      <w:r w:rsidR="002B1278">
        <w:rPr>
          <w:i/>
        </w:rPr>
        <w:t xml:space="preserve">et al. </w:t>
      </w:r>
      <w:r w:rsidR="002B1278">
        <w:t>(2018)</w:t>
      </w:r>
      <w:bookmarkEnd w:id="89"/>
    </w:p>
    <w:p w14:paraId="40C27788" w14:textId="2AB79495" w:rsidR="00B332B8" w:rsidRDefault="00B332B8" w:rsidP="00B332B8">
      <w:pPr>
        <w:autoSpaceDE w:val="0"/>
        <w:autoSpaceDN w:val="0"/>
        <w:adjustRightInd w:val="0"/>
        <w:spacing w:after="0"/>
        <w:rPr>
          <w:rFonts w:cs="ArialMT"/>
          <w:szCs w:val="26"/>
        </w:rPr>
      </w:pPr>
      <w:r>
        <w:t xml:space="preserve">Munro </w:t>
      </w:r>
      <w:r w:rsidRPr="00185C11">
        <w:rPr>
          <w:i/>
        </w:rPr>
        <w:t xml:space="preserve">et al. </w:t>
      </w:r>
      <w:r>
        <w:t>(2018)</w:t>
      </w:r>
      <w:r w:rsidR="007652E6" w:rsidRPr="007652E6">
        <w:t xml:space="preserve"> used a diverse and creative set of methods to collect data</w:t>
      </w:r>
      <w:r w:rsidR="007652E6">
        <w:t xml:space="preserve"> in their</w:t>
      </w:r>
      <w:r>
        <w:t xml:space="preserve"> co-production study on reimagining children and adult’s social care, the co-researchers with disabilities were also the participants. </w:t>
      </w:r>
      <w:r w:rsidRPr="00C316E8">
        <w:t>These methods included focus groups, discussions, storyboarding, use of personas and visuals su</w:t>
      </w:r>
      <w:r w:rsidR="004B7F53">
        <w:t xml:space="preserve">ch as fishbone analysis. See </w:t>
      </w:r>
      <w:r w:rsidR="007652E6">
        <w:t xml:space="preserve">Table D1.1 </w:t>
      </w:r>
      <w:r w:rsidRPr="00C316E8">
        <w:t>for more detail on the methods they used.</w:t>
      </w:r>
      <w:r>
        <w:rPr>
          <w:rFonts w:cs="ArialMT"/>
          <w:szCs w:val="26"/>
        </w:rPr>
        <w:t xml:space="preserve"> </w:t>
      </w:r>
    </w:p>
    <w:p w14:paraId="66661967" w14:textId="6F6B6F3A" w:rsidR="00665868" w:rsidRDefault="00665868" w:rsidP="002B1278">
      <w:pPr>
        <w:pStyle w:val="TableTitle"/>
        <w:spacing w:before="120"/>
      </w:pPr>
      <w:r>
        <w:t xml:space="preserve">Table D1.1 </w:t>
      </w:r>
      <w:r w:rsidR="001D3169">
        <w:t>Summary of methods employed by</w:t>
      </w:r>
      <w:r>
        <w:t xml:space="preserve"> Munro </w:t>
      </w:r>
      <w:r w:rsidRPr="002B1278">
        <w:rPr>
          <w:i/>
        </w:rPr>
        <w:t>et al.</w:t>
      </w:r>
      <w:r>
        <w:t xml:space="preserve"> (2018)</w:t>
      </w:r>
      <w:r w:rsidR="00E411F8">
        <w:t xml:space="preserve"> p. 8-14</w:t>
      </w:r>
    </w:p>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552"/>
        <w:gridCol w:w="1701"/>
        <w:gridCol w:w="1842"/>
        <w:gridCol w:w="3529"/>
      </w:tblGrid>
      <w:tr w:rsidR="00341B5D" w:rsidRPr="00D33B6A" w14:paraId="141187B3" w14:textId="77777777" w:rsidTr="00665868">
        <w:trPr>
          <w:tblHeader/>
        </w:trPr>
        <w:tc>
          <w:tcPr>
            <w:tcW w:w="1552" w:type="dxa"/>
            <w:shd w:val="clear" w:color="auto" w:fill="auto"/>
          </w:tcPr>
          <w:p w14:paraId="4A8C3E29" w14:textId="77777777" w:rsidR="00341B5D" w:rsidRPr="00D33B6A" w:rsidRDefault="00341B5D" w:rsidP="00341B5D">
            <w:pPr>
              <w:pStyle w:val="TableHead"/>
            </w:pPr>
            <w:r w:rsidRPr="00D33B6A">
              <w:t>5-D phase Overview</w:t>
            </w:r>
          </w:p>
        </w:tc>
        <w:tc>
          <w:tcPr>
            <w:tcW w:w="1701" w:type="dxa"/>
            <w:shd w:val="clear" w:color="auto" w:fill="auto"/>
          </w:tcPr>
          <w:p w14:paraId="01398809" w14:textId="77777777" w:rsidR="00341B5D" w:rsidRPr="00D33B6A" w:rsidRDefault="00341B5D" w:rsidP="00341B5D">
            <w:pPr>
              <w:pStyle w:val="TableHead"/>
            </w:pPr>
            <w:r w:rsidRPr="00D33B6A">
              <w:t>Method or activity</w:t>
            </w:r>
          </w:p>
        </w:tc>
        <w:tc>
          <w:tcPr>
            <w:tcW w:w="1842" w:type="dxa"/>
            <w:shd w:val="clear" w:color="auto" w:fill="auto"/>
          </w:tcPr>
          <w:p w14:paraId="17246C48" w14:textId="77777777" w:rsidR="00341B5D" w:rsidRPr="00D33B6A" w:rsidRDefault="00341B5D" w:rsidP="00341B5D">
            <w:pPr>
              <w:pStyle w:val="TableHead"/>
            </w:pPr>
            <w:r w:rsidRPr="00D33B6A">
              <w:t>Purpose</w:t>
            </w:r>
          </w:p>
        </w:tc>
        <w:tc>
          <w:tcPr>
            <w:tcW w:w="3529" w:type="dxa"/>
            <w:shd w:val="clear" w:color="auto" w:fill="auto"/>
          </w:tcPr>
          <w:p w14:paraId="6B5AC3AC" w14:textId="77777777" w:rsidR="00341B5D" w:rsidRPr="00D33B6A" w:rsidRDefault="00341B5D" w:rsidP="00341B5D">
            <w:pPr>
              <w:pStyle w:val="TableHead"/>
            </w:pPr>
            <w:r w:rsidRPr="00D33B6A">
              <w:t>Overview</w:t>
            </w:r>
          </w:p>
        </w:tc>
      </w:tr>
      <w:tr w:rsidR="00341B5D" w:rsidRPr="00D33B6A" w14:paraId="37BF7C8C" w14:textId="77777777" w:rsidTr="00665868">
        <w:tc>
          <w:tcPr>
            <w:tcW w:w="1552" w:type="dxa"/>
            <w:shd w:val="clear" w:color="auto" w:fill="auto"/>
          </w:tcPr>
          <w:p w14:paraId="2C9BE2F6" w14:textId="0B2CA9F2" w:rsidR="00341B5D" w:rsidRPr="00D33B6A" w:rsidRDefault="00DF1A0A" w:rsidP="002B1278">
            <w:pPr>
              <w:pStyle w:val="TableCellLeft"/>
            </w:pPr>
            <w:r w:rsidRPr="00DF1A0A">
              <w:rPr>
                <w:b/>
              </w:rPr>
              <w:t>Discovery</w:t>
            </w:r>
            <w:r w:rsidR="002B1278">
              <w:rPr>
                <w:b/>
              </w:rPr>
              <w:t xml:space="preserve"> </w:t>
            </w:r>
            <w:r w:rsidRPr="00DF1A0A">
              <w:rPr>
                <w:b/>
              </w:rPr>
              <w:t>(stories about</w:t>
            </w:r>
            <w:r w:rsidR="002B1278">
              <w:rPr>
                <w:b/>
              </w:rPr>
              <w:t xml:space="preserve"> </w:t>
            </w:r>
            <w:r w:rsidRPr="00DF1A0A">
              <w:rPr>
                <w:b/>
              </w:rPr>
              <w:t>‘what is’)</w:t>
            </w:r>
          </w:p>
        </w:tc>
        <w:tc>
          <w:tcPr>
            <w:tcW w:w="1701" w:type="dxa"/>
            <w:shd w:val="clear" w:color="auto" w:fill="auto"/>
          </w:tcPr>
          <w:p w14:paraId="735EBABA" w14:textId="152126CA" w:rsidR="00341B5D" w:rsidRPr="00D33B6A" w:rsidRDefault="00341B5D" w:rsidP="00341B5D">
            <w:pPr>
              <w:pStyle w:val="TableCellLeft"/>
            </w:pPr>
            <w:r w:rsidRPr="00341B5D">
              <w:t>Creating personas</w:t>
            </w:r>
          </w:p>
        </w:tc>
        <w:tc>
          <w:tcPr>
            <w:tcW w:w="1842" w:type="dxa"/>
            <w:shd w:val="clear" w:color="auto" w:fill="auto"/>
          </w:tcPr>
          <w:p w14:paraId="142E56BA" w14:textId="3A07A23A" w:rsidR="00341B5D" w:rsidRPr="00D33B6A" w:rsidRDefault="00341B5D" w:rsidP="002B1278">
            <w:pPr>
              <w:pStyle w:val="TableCellLeft"/>
            </w:pPr>
            <w:r>
              <w:t>To present</w:t>
            </w:r>
            <w:r w:rsidR="002B1278">
              <w:t xml:space="preserve"> </w:t>
            </w:r>
            <w:r w:rsidR="00DF1A0A">
              <w:t>s</w:t>
            </w:r>
            <w:r>
              <w:t>ignificant</w:t>
            </w:r>
            <w:r w:rsidR="00DF1A0A">
              <w:t xml:space="preserve"> </w:t>
            </w:r>
            <w:r>
              <w:t>people in</w:t>
            </w:r>
            <w:r w:rsidR="002B1278">
              <w:t xml:space="preserve"> </w:t>
            </w:r>
            <w:r>
              <w:t>parents’</w:t>
            </w:r>
            <w:r w:rsidR="002B1278">
              <w:t xml:space="preserve"> </w:t>
            </w:r>
            <w:r>
              <w:t>stories of</w:t>
            </w:r>
            <w:r w:rsidR="002B1278">
              <w:t xml:space="preserve"> </w:t>
            </w:r>
            <w:r>
              <w:t>engagement</w:t>
            </w:r>
            <w:r w:rsidR="002B1278">
              <w:t xml:space="preserve"> </w:t>
            </w:r>
            <w:r>
              <w:t>with children’s</w:t>
            </w:r>
            <w:r w:rsidR="002B1278">
              <w:t xml:space="preserve"> </w:t>
            </w:r>
            <w:r>
              <w:t>and adult</w:t>
            </w:r>
            <w:r w:rsidR="002B1278">
              <w:t xml:space="preserve"> </w:t>
            </w:r>
            <w:r>
              <w:t>services</w:t>
            </w:r>
          </w:p>
        </w:tc>
        <w:tc>
          <w:tcPr>
            <w:tcW w:w="3529" w:type="dxa"/>
            <w:shd w:val="clear" w:color="auto" w:fill="auto"/>
          </w:tcPr>
          <w:p w14:paraId="50C1D970" w14:textId="69266266" w:rsidR="00341B5D" w:rsidRPr="00D33B6A" w:rsidRDefault="00341B5D" w:rsidP="002B1278">
            <w:pPr>
              <w:pStyle w:val="TableCellLeft"/>
            </w:pPr>
            <w:r>
              <w:t>Disabled parents created persona for each person in</w:t>
            </w:r>
            <w:r w:rsidR="002B1278">
              <w:t xml:space="preserve"> </w:t>
            </w:r>
            <w:r>
              <w:t>their account. Personas are used as a method in</w:t>
            </w:r>
            <w:r w:rsidR="002B1278">
              <w:t xml:space="preserve"> </w:t>
            </w:r>
            <w:r>
              <w:t>design thinking and give a person to connect with to</w:t>
            </w:r>
            <w:r w:rsidR="002B1278">
              <w:t xml:space="preserve"> </w:t>
            </w:r>
            <w:r>
              <w:t>bring a story to life (Cooper, 1999).</w:t>
            </w:r>
          </w:p>
        </w:tc>
      </w:tr>
      <w:tr w:rsidR="00341B5D" w:rsidRPr="00D33B6A" w14:paraId="0CEA43B8" w14:textId="77777777" w:rsidTr="00665868">
        <w:tc>
          <w:tcPr>
            <w:tcW w:w="1552" w:type="dxa"/>
            <w:shd w:val="clear" w:color="auto" w:fill="auto"/>
          </w:tcPr>
          <w:p w14:paraId="4819DF0D" w14:textId="77777777" w:rsidR="00341B5D" w:rsidRPr="00D33B6A" w:rsidRDefault="00341B5D" w:rsidP="00341B5D">
            <w:pPr>
              <w:pStyle w:val="TableCellLeft"/>
            </w:pPr>
          </w:p>
        </w:tc>
        <w:tc>
          <w:tcPr>
            <w:tcW w:w="1701" w:type="dxa"/>
            <w:shd w:val="clear" w:color="auto" w:fill="auto"/>
          </w:tcPr>
          <w:p w14:paraId="238EC78C" w14:textId="5C84A2D6" w:rsidR="00341B5D" w:rsidRPr="00D33B6A" w:rsidRDefault="00341B5D" w:rsidP="00341B5D">
            <w:pPr>
              <w:pStyle w:val="TableCellLeft"/>
            </w:pPr>
            <w:r w:rsidRPr="00341B5D">
              <w:t>Storyboarding</w:t>
            </w:r>
          </w:p>
        </w:tc>
        <w:tc>
          <w:tcPr>
            <w:tcW w:w="1842" w:type="dxa"/>
            <w:shd w:val="clear" w:color="auto" w:fill="auto"/>
          </w:tcPr>
          <w:p w14:paraId="378A06D3" w14:textId="1214B361" w:rsidR="00341B5D" w:rsidRPr="00D33B6A" w:rsidRDefault="00341B5D" w:rsidP="002B1278">
            <w:pPr>
              <w:pStyle w:val="TableCellLeft"/>
            </w:pPr>
            <w:r>
              <w:t>To assist</w:t>
            </w:r>
            <w:r w:rsidR="002B1278">
              <w:t xml:space="preserve"> </w:t>
            </w:r>
            <w:r>
              <w:t>the parents</w:t>
            </w:r>
            <w:r w:rsidR="002B1278">
              <w:t xml:space="preserve"> </w:t>
            </w:r>
            <w:r>
              <w:t>to share</w:t>
            </w:r>
            <w:r w:rsidR="002B1278">
              <w:t xml:space="preserve"> </w:t>
            </w:r>
            <w:r>
              <w:t>their journey</w:t>
            </w:r>
            <w:r w:rsidR="002B1278">
              <w:t xml:space="preserve"> </w:t>
            </w:r>
            <w:r>
              <w:t>(of</w:t>
            </w:r>
            <w:r w:rsidR="002B1278">
              <w:t xml:space="preserve"> </w:t>
            </w:r>
            <w:r>
              <w:t>involvement</w:t>
            </w:r>
            <w:r w:rsidR="002B1278">
              <w:t xml:space="preserve"> </w:t>
            </w:r>
            <w:r>
              <w:t>with</w:t>
            </w:r>
            <w:r w:rsidR="00DF1A0A">
              <w:t xml:space="preserve"> </w:t>
            </w:r>
            <w:r>
              <w:t>children’s</w:t>
            </w:r>
            <w:r w:rsidR="002B1278">
              <w:t xml:space="preserve"> </w:t>
            </w:r>
            <w:r>
              <w:t>and adult</w:t>
            </w:r>
            <w:r w:rsidR="002B1278">
              <w:t xml:space="preserve"> </w:t>
            </w:r>
            <w:r>
              <w:t>services).</w:t>
            </w:r>
          </w:p>
        </w:tc>
        <w:tc>
          <w:tcPr>
            <w:tcW w:w="3529" w:type="dxa"/>
            <w:shd w:val="clear" w:color="auto" w:fill="auto"/>
          </w:tcPr>
          <w:p w14:paraId="453492A3" w14:textId="15237592" w:rsidR="00341B5D" w:rsidRPr="00D33B6A" w:rsidRDefault="00341B5D" w:rsidP="002B1278">
            <w:pPr>
              <w:pStyle w:val="TableCellLeft"/>
            </w:pPr>
            <w:r>
              <w:t>A process by which participants write their story</w:t>
            </w:r>
            <w:r w:rsidR="002B1278">
              <w:t xml:space="preserve"> </w:t>
            </w:r>
            <w:r>
              <w:t>against a timeline and present the people in their</w:t>
            </w:r>
            <w:r w:rsidR="002B1278">
              <w:t xml:space="preserve"> </w:t>
            </w:r>
            <w:r>
              <w:t>stories, including reflections on their feelings and</w:t>
            </w:r>
            <w:r w:rsidR="002B1278">
              <w:t xml:space="preserve"> </w:t>
            </w:r>
            <w:r>
              <w:t>thoughts. Further details about the disabled</w:t>
            </w:r>
            <w:r w:rsidR="002B1278">
              <w:t xml:space="preserve"> </w:t>
            </w:r>
            <w:r>
              <w:t>parents’ experiences were elicited using gentle</w:t>
            </w:r>
            <w:r w:rsidR="002B1278">
              <w:t xml:space="preserve"> </w:t>
            </w:r>
            <w:r>
              <w:t>questioning, prompting and probing (Bowling, 2002;</w:t>
            </w:r>
            <w:r w:rsidR="002B1278">
              <w:t xml:space="preserve"> </w:t>
            </w:r>
            <w:proofErr w:type="spellStart"/>
            <w:r>
              <w:t>Gray</w:t>
            </w:r>
            <w:proofErr w:type="spellEnd"/>
            <w:r>
              <w:t xml:space="preserve"> 2004).</w:t>
            </w:r>
          </w:p>
        </w:tc>
      </w:tr>
      <w:tr w:rsidR="00341B5D" w:rsidRPr="00D33B6A" w14:paraId="3438C19F" w14:textId="77777777" w:rsidTr="00665868">
        <w:tc>
          <w:tcPr>
            <w:tcW w:w="1552" w:type="dxa"/>
            <w:shd w:val="clear" w:color="auto" w:fill="auto"/>
          </w:tcPr>
          <w:p w14:paraId="1234AEC8" w14:textId="77777777" w:rsidR="00341B5D" w:rsidRPr="00D33B6A" w:rsidRDefault="00341B5D" w:rsidP="00341B5D">
            <w:pPr>
              <w:pStyle w:val="TableCellLeft"/>
            </w:pPr>
          </w:p>
        </w:tc>
        <w:tc>
          <w:tcPr>
            <w:tcW w:w="1701" w:type="dxa"/>
            <w:shd w:val="clear" w:color="auto" w:fill="auto"/>
          </w:tcPr>
          <w:p w14:paraId="0A21E655" w14:textId="78BF4EB4" w:rsidR="00341B5D" w:rsidRPr="00D33B6A" w:rsidRDefault="00341B5D" w:rsidP="00341B5D">
            <w:pPr>
              <w:pStyle w:val="TableCellLeft"/>
            </w:pPr>
            <w:r w:rsidRPr="00341B5D">
              <w:t>Empathy mapping</w:t>
            </w:r>
          </w:p>
        </w:tc>
        <w:tc>
          <w:tcPr>
            <w:tcW w:w="1842" w:type="dxa"/>
            <w:shd w:val="clear" w:color="auto" w:fill="auto"/>
          </w:tcPr>
          <w:p w14:paraId="518DFCC8" w14:textId="3815EBB2" w:rsidR="00341B5D" w:rsidRPr="00D33B6A" w:rsidRDefault="00341B5D" w:rsidP="002B1278">
            <w:pPr>
              <w:pStyle w:val="TableCellLeft"/>
            </w:pPr>
            <w:r>
              <w:t>Develop an</w:t>
            </w:r>
            <w:r w:rsidR="002B1278">
              <w:t xml:space="preserve"> </w:t>
            </w:r>
            <w:r>
              <w:t>understanding</w:t>
            </w:r>
            <w:r w:rsidR="002B1278">
              <w:t xml:space="preserve"> </w:t>
            </w:r>
            <w:r>
              <w:t>of people in</w:t>
            </w:r>
            <w:r w:rsidR="002B1278">
              <w:t xml:space="preserve"> </w:t>
            </w:r>
            <w:r>
              <w:t>the disabled</w:t>
            </w:r>
            <w:r w:rsidR="002B1278">
              <w:t xml:space="preserve"> </w:t>
            </w:r>
            <w:r>
              <w:t>parents’</w:t>
            </w:r>
            <w:r w:rsidR="002B1278">
              <w:t xml:space="preserve"> </w:t>
            </w:r>
            <w:r>
              <w:t>stories and to</w:t>
            </w:r>
            <w:r w:rsidR="002B1278">
              <w:t xml:space="preserve"> </w:t>
            </w:r>
            <w:r>
              <w:t>illuminate</w:t>
            </w:r>
            <w:r w:rsidR="002B1278">
              <w:t xml:space="preserve"> w</w:t>
            </w:r>
            <w:r>
              <w:t>hat parents</w:t>
            </w:r>
            <w:r w:rsidR="002B1278">
              <w:t xml:space="preserve"> </w:t>
            </w:r>
            <w:r>
              <w:t>thought about</w:t>
            </w:r>
            <w:r w:rsidR="002B1278">
              <w:t xml:space="preserve"> </w:t>
            </w:r>
            <w:r w:rsidR="002B1278">
              <w:lastRenderedPageBreak/>
              <w:t>t</w:t>
            </w:r>
            <w:r>
              <w:t>heir</w:t>
            </w:r>
            <w:r w:rsidR="002B1278">
              <w:t xml:space="preserve"> </w:t>
            </w:r>
            <w:r>
              <w:t>involvement</w:t>
            </w:r>
            <w:r w:rsidR="002B1278">
              <w:t xml:space="preserve"> </w:t>
            </w:r>
            <w:r>
              <w:t>at key points</w:t>
            </w:r>
            <w:r w:rsidR="002B1278">
              <w:t xml:space="preserve"> </w:t>
            </w:r>
            <w:r>
              <w:t>during their</w:t>
            </w:r>
            <w:r w:rsidR="002B1278">
              <w:t xml:space="preserve"> </w:t>
            </w:r>
            <w:r>
              <w:t>engagement</w:t>
            </w:r>
            <w:r w:rsidR="002B1278">
              <w:t xml:space="preserve"> </w:t>
            </w:r>
            <w:r>
              <w:t>with children’s</w:t>
            </w:r>
            <w:r w:rsidR="002B1278">
              <w:t xml:space="preserve"> </w:t>
            </w:r>
            <w:r>
              <w:t>and adult</w:t>
            </w:r>
            <w:r w:rsidR="002B1278">
              <w:t xml:space="preserve"> </w:t>
            </w:r>
            <w:r>
              <w:t>services</w:t>
            </w:r>
          </w:p>
        </w:tc>
        <w:tc>
          <w:tcPr>
            <w:tcW w:w="3529" w:type="dxa"/>
            <w:shd w:val="clear" w:color="auto" w:fill="auto"/>
          </w:tcPr>
          <w:p w14:paraId="4F275D72" w14:textId="4743AA9B" w:rsidR="00341B5D" w:rsidRPr="00D33B6A" w:rsidRDefault="00341B5D" w:rsidP="002B1278">
            <w:pPr>
              <w:pStyle w:val="TableCellLeft"/>
            </w:pPr>
            <w:r>
              <w:lastRenderedPageBreak/>
              <w:t>Empathy mapping is a technique to help people</w:t>
            </w:r>
            <w:r w:rsidR="002B1278">
              <w:t xml:space="preserve"> </w:t>
            </w:r>
            <w:r>
              <w:t>develop deep shared understanding and empathy for</w:t>
            </w:r>
            <w:r w:rsidR="002B1278">
              <w:t xml:space="preserve"> </w:t>
            </w:r>
            <w:r>
              <w:t>other people and allowed the rest of the group to</w:t>
            </w:r>
            <w:r w:rsidR="002B1278">
              <w:t xml:space="preserve"> </w:t>
            </w:r>
            <w:r>
              <w:t>connect with the stories that were being told (</w:t>
            </w:r>
            <w:proofErr w:type="spellStart"/>
            <w:r>
              <w:t>Gray</w:t>
            </w:r>
            <w:proofErr w:type="spellEnd"/>
            <w:r>
              <w:t>,</w:t>
            </w:r>
            <w:r w:rsidR="002B1278">
              <w:t xml:space="preserve"> </w:t>
            </w:r>
            <w:r>
              <w:t>2017).</w:t>
            </w:r>
          </w:p>
        </w:tc>
      </w:tr>
      <w:tr w:rsidR="00341B5D" w:rsidRPr="00D33B6A" w14:paraId="7672D7A7" w14:textId="77777777" w:rsidTr="00665868">
        <w:tc>
          <w:tcPr>
            <w:tcW w:w="1552" w:type="dxa"/>
            <w:shd w:val="clear" w:color="auto" w:fill="auto"/>
          </w:tcPr>
          <w:p w14:paraId="0068B720" w14:textId="77777777" w:rsidR="00341B5D" w:rsidRPr="00D33B6A" w:rsidRDefault="00341B5D" w:rsidP="00341B5D">
            <w:pPr>
              <w:pStyle w:val="TableCellLeft"/>
            </w:pPr>
          </w:p>
        </w:tc>
        <w:tc>
          <w:tcPr>
            <w:tcW w:w="1701" w:type="dxa"/>
            <w:shd w:val="clear" w:color="auto" w:fill="auto"/>
          </w:tcPr>
          <w:p w14:paraId="4C45E93E" w14:textId="0CCEBB53" w:rsidR="00341B5D" w:rsidRPr="00D33B6A" w:rsidRDefault="00341B5D" w:rsidP="00C42759">
            <w:pPr>
              <w:pStyle w:val="TableCellLeft"/>
            </w:pPr>
            <w:r>
              <w:t>Assessment of</w:t>
            </w:r>
            <w:r w:rsidR="00C42759">
              <w:t xml:space="preserve"> </w:t>
            </w:r>
            <w:r>
              <w:t>need mapping</w:t>
            </w:r>
          </w:p>
        </w:tc>
        <w:tc>
          <w:tcPr>
            <w:tcW w:w="1842" w:type="dxa"/>
            <w:shd w:val="clear" w:color="auto" w:fill="auto"/>
          </w:tcPr>
          <w:p w14:paraId="3111C638" w14:textId="4C1852AE" w:rsidR="00341B5D" w:rsidRPr="00D33B6A" w:rsidRDefault="00341B5D" w:rsidP="00C42759">
            <w:pPr>
              <w:pStyle w:val="TableCellLeft"/>
            </w:pPr>
            <w:r>
              <w:t>Obtain</w:t>
            </w:r>
            <w:r w:rsidR="00C42759">
              <w:t xml:space="preserve"> </w:t>
            </w:r>
            <w:r>
              <w:t>parental</w:t>
            </w:r>
            <w:r w:rsidR="00C42759">
              <w:t xml:space="preserve"> </w:t>
            </w:r>
            <w:r>
              <w:t>reflections on</w:t>
            </w:r>
            <w:r w:rsidR="00C42759">
              <w:t xml:space="preserve"> </w:t>
            </w:r>
            <w:r>
              <w:t>what they</w:t>
            </w:r>
            <w:r w:rsidR="00C42759">
              <w:t xml:space="preserve"> </w:t>
            </w:r>
            <w:r>
              <w:t>thought social</w:t>
            </w:r>
            <w:r w:rsidR="00C42759">
              <w:t xml:space="preserve"> </w:t>
            </w:r>
            <w:r>
              <w:t>workers</w:t>
            </w:r>
            <w:r w:rsidR="00C42759">
              <w:t xml:space="preserve"> </w:t>
            </w:r>
            <w:r>
              <w:t>focused on</w:t>
            </w:r>
            <w:r w:rsidR="00C42759">
              <w:t xml:space="preserve"> </w:t>
            </w:r>
            <w:r>
              <w:t xml:space="preserve">during the assessment </w:t>
            </w:r>
          </w:p>
        </w:tc>
        <w:tc>
          <w:tcPr>
            <w:tcW w:w="3529" w:type="dxa"/>
            <w:shd w:val="clear" w:color="auto" w:fill="auto"/>
          </w:tcPr>
          <w:p w14:paraId="11EE1A47" w14:textId="4046FCEB" w:rsidR="00341B5D" w:rsidRPr="00D33B6A" w:rsidRDefault="00DF1A0A" w:rsidP="00C42759">
            <w:pPr>
              <w:pStyle w:val="TableCellLeft"/>
            </w:pPr>
            <w:r>
              <w:t>Parents were provided with a copy of the</w:t>
            </w:r>
            <w:r w:rsidR="00C42759">
              <w:t xml:space="preserve"> </w:t>
            </w:r>
            <w:r>
              <w:t>Assessment Triangle (a pictorial representation of the</w:t>
            </w:r>
            <w:r w:rsidR="00C42759">
              <w:t xml:space="preserve"> </w:t>
            </w:r>
            <w:r>
              <w:t>Framework for the Assessment of Children in Need</w:t>
            </w:r>
            <w:r w:rsidR="00C42759">
              <w:t xml:space="preserve"> </w:t>
            </w:r>
            <w:r>
              <w:t>and their Families so they could identify which</w:t>
            </w:r>
            <w:r w:rsidR="00C42759">
              <w:t xml:space="preserve"> </w:t>
            </w:r>
            <w:r>
              <w:t>dimensions of a child’s development needs,</w:t>
            </w:r>
            <w:r w:rsidR="00C42759">
              <w:t xml:space="preserve"> </w:t>
            </w:r>
            <w:r>
              <w:t>parenting capacity and family and environmental</w:t>
            </w:r>
            <w:r w:rsidR="00C42759">
              <w:t xml:space="preserve"> </w:t>
            </w:r>
            <w:r>
              <w:t>factors they thought social workers had taken into</w:t>
            </w:r>
            <w:r w:rsidR="00C42759">
              <w:t xml:space="preserve"> </w:t>
            </w:r>
            <w:r>
              <w:t>consideration as part of the assessment (Department of Health, Department for Department for Education</w:t>
            </w:r>
            <w:r w:rsidR="00C42759">
              <w:t xml:space="preserve"> </w:t>
            </w:r>
            <w:r>
              <w:t>and Employment and Home Office, 2000).</w:t>
            </w:r>
          </w:p>
        </w:tc>
      </w:tr>
      <w:tr w:rsidR="00341B5D" w:rsidRPr="00D33B6A" w14:paraId="769FC466" w14:textId="77777777" w:rsidTr="00665868">
        <w:tc>
          <w:tcPr>
            <w:tcW w:w="1552" w:type="dxa"/>
            <w:shd w:val="clear" w:color="auto" w:fill="auto"/>
          </w:tcPr>
          <w:p w14:paraId="2EC814E9" w14:textId="77777777" w:rsidR="00341B5D" w:rsidRPr="00D33B6A" w:rsidRDefault="00341B5D" w:rsidP="00341B5D">
            <w:pPr>
              <w:pStyle w:val="TableCellLeft"/>
            </w:pPr>
          </w:p>
        </w:tc>
        <w:tc>
          <w:tcPr>
            <w:tcW w:w="1701" w:type="dxa"/>
            <w:shd w:val="clear" w:color="auto" w:fill="auto"/>
          </w:tcPr>
          <w:p w14:paraId="4CD6F035" w14:textId="5D3CC6AB" w:rsidR="00341B5D" w:rsidRPr="00D33B6A" w:rsidRDefault="00DF1A0A" w:rsidP="00C42759">
            <w:pPr>
              <w:pStyle w:val="TableCellLeft"/>
            </w:pPr>
            <w:r>
              <w:t>Service delivery</w:t>
            </w:r>
            <w:r w:rsidR="00C42759">
              <w:t xml:space="preserve"> </w:t>
            </w:r>
            <w:r>
              <w:t>mapping</w:t>
            </w:r>
          </w:p>
        </w:tc>
        <w:tc>
          <w:tcPr>
            <w:tcW w:w="1842" w:type="dxa"/>
            <w:shd w:val="clear" w:color="auto" w:fill="auto"/>
          </w:tcPr>
          <w:p w14:paraId="6CC9F89E" w14:textId="6F4C247E" w:rsidR="00341B5D" w:rsidRPr="00D33B6A" w:rsidRDefault="00DF1A0A" w:rsidP="00C42759">
            <w:pPr>
              <w:pStyle w:val="TableCellLeft"/>
            </w:pPr>
            <w:r>
              <w:t>Obtain</w:t>
            </w:r>
            <w:r w:rsidR="00C42759">
              <w:t xml:space="preserve"> </w:t>
            </w:r>
            <w:r>
              <w:t>parental</w:t>
            </w:r>
            <w:r w:rsidR="00C42759">
              <w:t xml:space="preserve"> </w:t>
            </w:r>
            <w:r>
              <w:t>reflections on</w:t>
            </w:r>
            <w:r w:rsidR="00C42759">
              <w:t xml:space="preserve"> </w:t>
            </w:r>
            <w:r>
              <w:t>which</w:t>
            </w:r>
            <w:r w:rsidR="00C42759">
              <w:t xml:space="preserve"> </w:t>
            </w:r>
            <w:r>
              <w:t>services were</w:t>
            </w:r>
            <w:r w:rsidR="00C42759">
              <w:t xml:space="preserve"> </w:t>
            </w:r>
            <w:r>
              <w:t>put in place</w:t>
            </w:r>
            <w:r w:rsidR="00C42759">
              <w:t xml:space="preserve"> </w:t>
            </w:r>
            <w:r>
              <w:t>and what was</w:t>
            </w:r>
            <w:r w:rsidR="00C42759">
              <w:t xml:space="preserve"> </w:t>
            </w:r>
            <w:r>
              <w:t>missing from</w:t>
            </w:r>
            <w:r w:rsidR="00C42759">
              <w:t xml:space="preserve"> </w:t>
            </w:r>
            <w:r>
              <w:t>the parents’</w:t>
            </w:r>
            <w:r w:rsidR="00C42759">
              <w:t xml:space="preserve"> </w:t>
            </w:r>
            <w:r>
              <w:t>perspectives</w:t>
            </w:r>
          </w:p>
        </w:tc>
        <w:tc>
          <w:tcPr>
            <w:tcW w:w="3529" w:type="dxa"/>
            <w:shd w:val="clear" w:color="auto" w:fill="auto"/>
          </w:tcPr>
          <w:p w14:paraId="1B53BDA9" w14:textId="08C83923" w:rsidR="00341B5D" w:rsidRPr="00D33B6A" w:rsidRDefault="00DF1A0A" w:rsidP="00C42759">
            <w:pPr>
              <w:pStyle w:val="TableCellLeft"/>
            </w:pPr>
            <w:r>
              <w:t>Researchers explored with parents which services</w:t>
            </w:r>
            <w:r w:rsidR="00C42759">
              <w:t xml:space="preserve"> </w:t>
            </w:r>
            <w:r>
              <w:t xml:space="preserve">children’s and adult social </w:t>
            </w:r>
            <w:r w:rsidR="00C42759">
              <w:t>s</w:t>
            </w:r>
            <w:r>
              <w:t>ervices had put in place</w:t>
            </w:r>
            <w:r w:rsidR="00C42759">
              <w:t xml:space="preserve"> </w:t>
            </w:r>
            <w:r>
              <w:t>and whether they wanted these and felt they were</w:t>
            </w:r>
            <w:r w:rsidR="00C42759">
              <w:t xml:space="preserve"> </w:t>
            </w:r>
            <w:r>
              <w:t>needed. Parents were also asked whether there</w:t>
            </w:r>
            <w:r w:rsidR="00C42759">
              <w:t xml:space="preserve"> </w:t>
            </w:r>
            <w:r>
              <w:t>were additional services that they wanted but that</w:t>
            </w:r>
            <w:r w:rsidR="00C42759">
              <w:t xml:space="preserve"> </w:t>
            </w:r>
            <w:r>
              <w:t>were not offered. In order to make this visually</w:t>
            </w:r>
            <w:r w:rsidR="00C42759">
              <w:t xml:space="preserve"> </w:t>
            </w:r>
            <w:r>
              <w:t xml:space="preserve">interesting we invited parents to populate </w:t>
            </w:r>
            <w:r>
              <w:lastRenderedPageBreak/>
              <w:t>the</w:t>
            </w:r>
            <w:r w:rsidR="00C42759">
              <w:t xml:space="preserve"> </w:t>
            </w:r>
            <w:r>
              <w:t>template in a green, amber and red.</w:t>
            </w:r>
          </w:p>
        </w:tc>
      </w:tr>
      <w:tr w:rsidR="00341B5D" w:rsidRPr="00D33B6A" w14:paraId="1A64E690" w14:textId="77777777" w:rsidTr="00665868">
        <w:tc>
          <w:tcPr>
            <w:tcW w:w="1552" w:type="dxa"/>
            <w:shd w:val="clear" w:color="auto" w:fill="auto"/>
          </w:tcPr>
          <w:p w14:paraId="6A3E6C3F" w14:textId="77777777" w:rsidR="00341B5D" w:rsidRPr="00D33B6A" w:rsidRDefault="00341B5D" w:rsidP="00341B5D">
            <w:pPr>
              <w:pStyle w:val="TableCellLeft"/>
            </w:pPr>
          </w:p>
        </w:tc>
        <w:tc>
          <w:tcPr>
            <w:tcW w:w="1701" w:type="dxa"/>
            <w:shd w:val="clear" w:color="auto" w:fill="auto"/>
          </w:tcPr>
          <w:p w14:paraId="77CB9C01" w14:textId="26ABB333" w:rsidR="00341B5D" w:rsidRPr="00D33B6A" w:rsidRDefault="00DF1A0A" w:rsidP="00C42759">
            <w:pPr>
              <w:pStyle w:val="TableCellLeft"/>
            </w:pPr>
            <w:r>
              <w:t>Concept reframing</w:t>
            </w:r>
            <w:r w:rsidR="00C42759">
              <w:t xml:space="preserve"> </w:t>
            </w:r>
            <w:r>
              <w:t>mapping</w:t>
            </w:r>
          </w:p>
        </w:tc>
        <w:tc>
          <w:tcPr>
            <w:tcW w:w="1842" w:type="dxa"/>
            <w:shd w:val="clear" w:color="auto" w:fill="auto"/>
          </w:tcPr>
          <w:p w14:paraId="79E853CA" w14:textId="3566D3D1" w:rsidR="00DF1A0A" w:rsidRDefault="00DF1A0A" w:rsidP="00DF1A0A">
            <w:pPr>
              <w:pStyle w:val="TableCellLeft"/>
            </w:pPr>
            <w:r>
              <w:t>Obtain</w:t>
            </w:r>
            <w:r w:rsidR="00C42759">
              <w:t xml:space="preserve"> </w:t>
            </w:r>
            <w:r>
              <w:t>parental</w:t>
            </w:r>
            <w:r w:rsidR="00C42759">
              <w:t xml:space="preserve"> </w:t>
            </w:r>
            <w:r>
              <w:t>reflections on</w:t>
            </w:r>
            <w:r w:rsidR="00C42759">
              <w:t xml:space="preserve"> </w:t>
            </w:r>
            <w:r>
              <w:t>the principles</w:t>
            </w:r>
            <w:r w:rsidR="00C42759">
              <w:t xml:space="preserve"> </w:t>
            </w:r>
            <w:r>
              <w:t>underpinning</w:t>
            </w:r>
            <w:r w:rsidR="00C42759">
              <w:t xml:space="preserve"> </w:t>
            </w:r>
            <w:r>
              <w:t>the Care Act</w:t>
            </w:r>
            <w:r w:rsidR="00C42759">
              <w:t xml:space="preserve"> </w:t>
            </w:r>
            <w:r>
              <w:t>2014 and</w:t>
            </w:r>
            <w:r w:rsidR="00C42759">
              <w:t xml:space="preserve"> </w:t>
            </w:r>
            <w:r>
              <w:t>Children Act</w:t>
            </w:r>
          </w:p>
          <w:p w14:paraId="592CBA83" w14:textId="60E36FA8" w:rsidR="00341B5D" w:rsidRPr="00D33B6A" w:rsidRDefault="00DF1A0A" w:rsidP="00DF1A0A">
            <w:pPr>
              <w:pStyle w:val="TableCellLeft"/>
            </w:pPr>
            <w:r>
              <w:t>1989.</w:t>
            </w:r>
          </w:p>
        </w:tc>
        <w:tc>
          <w:tcPr>
            <w:tcW w:w="3529" w:type="dxa"/>
            <w:shd w:val="clear" w:color="auto" w:fill="auto"/>
          </w:tcPr>
          <w:p w14:paraId="23FC2003" w14:textId="0CCAF3A9" w:rsidR="00341B5D" w:rsidRPr="00D33B6A" w:rsidRDefault="00DF1A0A" w:rsidP="00C42759">
            <w:pPr>
              <w:pStyle w:val="TableCellLeft"/>
            </w:pPr>
            <w:r>
              <w:t>Principles within Care Act 2014 and the Children Act</w:t>
            </w:r>
            <w:r w:rsidR="00C42759">
              <w:t xml:space="preserve"> </w:t>
            </w:r>
            <w:r>
              <w:t>1989 were placed onto a target map. Parents and</w:t>
            </w:r>
            <w:r w:rsidR="00C42759">
              <w:t xml:space="preserve"> </w:t>
            </w:r>
            <w:r>
              <w:t>professionals were given red and green sticky dots.</w:t>
            </w:r>
            <w:r w:rsidR="00C42759">
              <w:t xml:space="preserve"> </w:t>
            </w:r>
            <w:r>
              <w:t>They were each invited to place their sticky dots on</w:t>
            </w:r>
            <w:r w:rsidR="00C42759">
              <w:t xml:space="preserve"> </w:t>
            </w:r>
            <w:r>
              <w:t>the target map. The green dots represented</w:t>
            </w:r>
            <w:r w:rsidR="00C42759">
              <w:t xml:space="preserve"> </w:t>
            </w:r>
            <w:r>
              <w:t>principles that the group were happy with and did not</w:t>
            </w:r>
            <w:r w:rsidR="00C42759">
              <w:t xml:space="preserve"> </w:t>
            </w:r>
            <w:r>
              <w:t>wish to change. The red dots represented concepts</w:t>
            </w:r>
            <w:r w:rsidR="00C42759">
              <w:t xml:space="preserve"> </w:t>
            </w:r>
            <w:r>
              <w:t>that were perceived to be problematic in respect of</w:t>
            </w:r>
            <w:r w:rsidR="00C42759">
              <w:t xml:space="preserve"> </w:t>
            </w:r>
            <w:r>
              <w:t>supporting disabled parents and their children.</w:t>
            </w:r>
          </w:p>
        </w:tc>
      </w:tr>
      <w:tr w:rsidR="00341B5D" w:rsidRPr="00D33B6A" w14:paraId="5899DE4B" w14:textId="77777777" w:rsidTr="00665868">
        <w:tc>
          <w:tcPr>
            <w:tcW w:w="1552" w:type="dxa"/>
            <w:shd w:val="clear" w:color="auto" w:fill="auto"/>
          </w:tcPr>
          <w:p w14:paraId="2BEDE321" w14:textId="65D67F18" w:rsidR="00341B5D" w:rsidRPr="00D33B6A" w:rsidRDefault="00DF1A0A" w:rsidP="003407B4">
            <w:pPr>
              <w:pStyle w:val="TableCellLeft"/>
            </w:pPr>
            <w:r w:rsidRPr="00DF1A0A">
              <w:rPr>
                <w:b/>
              </w:rPr>
              <w:t>Dream</w:t>
            </w:r>
            <w:r w:rsidR="003407B4">
              <w:rPr>
                <w:b/>
              </w:rPr>
              <w:t xml:space="preserve"> </w:t>
            </w:r>
            <w:r w:rsidRPr="00DF1A0A">
              <w:rPr>
                <w:b/>
              </w:rPr>
              <w:t>(imagining the</w:t>
            </w:r>
            <w:r w:rsidR="003407B4">
              <w:rPr>
                <w:b/>
              </w:rPr>
              <w:t xml:space="preserve"> </w:t>
            </w:r>
            <w:r w:rsidRPr="00DF1A0A">
              <w:rPr>
                <w:b/>
              </w:rPr>
              <w:t>best of what</w:t>
            </w:r>
            <w:r w:rsidR="003407B4">
              <w:rPr>
                <w:b/>
              </w:rPr>
              <w:t xml:space="preserve"> </w:t>
            </w:r>
            <w:r w:rsidRPr="00DF1A0A">
              <w:rPr>
                <w:b/>
              </w:rPr>
              <w:t>could be)</w:t>
            </w:r>
          </w:p>
        </w:tc>
        <w:tc>
          <w:tcPr>
            <w:tcW w:w="1701" w:type="dxa"/>
            <w:shd w:val="clear" w:color="auto" w:fill="auto"/>
          </w:tcPr>
          <w:p w14:paraId="602F2108" w14:textId="00905810" w:rsidR="00341B5D" w:rsidRPr="00D33B6A" w:rsidRDefault="00DF1A0A" w:rsidP="004453DE">
            <w:pPr>
              <w:pStyle w:val="TableCellLeft"/>
            </w:pPr>
            <w:r>
              <w:t>Creating new</w:t>
            </w:r>
            <w:r w:rsidR="004453DE">
              <w:t xml:space="preserve"> </w:t>
            </w:r>
            <w:r>
              <w:t>personas</w:t>
            </w:r>
          </w:p>
        </w:tc>
        <w:tc>
          <w:tcPr>
            <w:tcW w:w="1842" w:type="dxa"/>
            <w:shd w:val="clear" w:color="auto" w:fill="auto"/>
          </w:tcPr>
          <w:p w14:paraId="0B132B04" w14:textId="25EC7504" w:rsidR="00341B5D" w:rsidRPr="00D33B6A" w:rsidRDefault="00DF1A0A" w:rsidP="004453DE">
            <w:pPr>
              <w:pStyle w:val="TableCellLeft"/>
            </w:pPr>
            <w:r>
              <w:t>Develop</w:t>
            </w:r>
            <w:r w:rsidR="004453DE">
              <w:t xml:space="preserve"> </w:t>
            </w:r>
            <w:r>
              <w:t>personas that</w:t>
            </w:r>
            <w:r w:rsidR="004453DE">
              <w:t xml:space="preserve"> </w:t>
            </w:r>
            <w:r>
              <w:t>reflect the</w:t>
            </w:r>
            <w:r w:rsidR="004453DE">
              <w:t xml:space="preserve"> </w:t>
            </w:r>
            <w:r>
              <w:t>characteristics</w:t>
            </w:r>
            <w:r w:rsidR="004453DE">
              <w:t xml:space="preserve"> </w:t>
            </w:r>
            <w:r>
              <w:t>that parents</w:t>
            </w:r>
            <w:r w:rsidR="004453DE">
              <w:t xml:space="preserve"> </w:t>
            </w:r>
            <w:r>
              <w:t>would like</w:t>
            </w:r>
            <w:r w:rsidR="004453DE">
              <w:t xml:space="preserve"> </w:t>
            </w:r>
            <w:r>
              <w:t>professionals</w:t>
            </w:r>
            <w:r w:rsidR="004453DE">
              <w:t xml:space="preserve"> </w:t>
            </w:r>
            <w:r>
              <w:t>to</w:t>
            </w:r>
            <w:r w:rsidR="004453DE">
              <w:t xml:space="preserve"> </w:t>
            </w:r>
            <w:r>
              <w:t>demonstrate</w:t>
            </w:r>
            <w:r w:rsidR="004453DE">
              <w:t xml:space="preserve"> </w:t>
            </w:r>
            <w:r>
              <w:t>in the future.</w:t>
            </w:r>
          </w:p>
        </w:tc>
        <w:tc>
          <w:tcPr>
            <w:tcW w:w="3529" w:type="dxa"/>
            <w:shd w:val="clear" w:color="auto" w:fill="auto"/>
          </w:tcPr>
          <w:p w14:paraId="7965FCA2" w14:textId="19FDD45F" w:rsidR="00341B5D" w:rsidRPr="00D33B6A" w:rsidRDefault="00DF1A0A" w:rsidP="004453DE">
            <w:pPr>
              <w:pStyle w:val="TableCellLeft"/>
            </w:pPr>
            <w:r>
              <w:t>Parents decided from the discovery phase which</w:t>
            </w:r>
            <w:r w:rsidR="004453DE">
              <w:t xml:space="preserve"> </w:t>
            </w:r>
            <w:r>
              <w:t>personas they wished to take into dream. They</w:t>
            </w:r>
            <w:r w:rsidR="004453DE">
              <w:t xml:space="preserve"> </w:t>
            </w:r>
            <w:r>
              <w:t>subsequently developed a serie</w:t>
            </w:r>
            <w:r w:rsidR="004453DE">
              <w:t>s</w:t>
            </w:r>
            <w:r>
              <w:t xml:space="preserve"> of new personas to</w:t>
            </w:r>
            <w:r w:rsidR="004453DE">
              <w:t xml:space="preserve"> </w:t>
            </w:r>
            <w:r>
              <w:t>replace personas they did not wish to carry forward</w:t>
            </w:r>
            <w:r w:rsidR="004453DE">
              <w:t xml:space="preserve"> </w:t>
            </w:r>
            <w:r>
              <w:t>from the discovery phase.</w:t>
            </w:r>
          </w:p>
        </w:tc>
      </w:tr>
      <w:tr w:rsidR="00341B5D" w:rsidRPr="00D33B6A" w14:paraId="4ED2AC4D" w14:textId="77777777" w:rsidTr="00665868">
        <w:tc>
          <w:tcPr>
            <w:tcW w:w="1552" w:type="dxa"/>
            <w:shd w:val="clear" w:color="auto" w:fill="auto"/>
          </w:tcPr>
          <w:p w14:paraId="21F1BE70" w14:textId="77777777" w:rsidR="00341B5D" w:rsidRPr="00D33B6A" w:rsidRDefault="00341B5D" w:rsidP="00341B5D">
            <w:pPr>
              <w:pStyle w:val="TableCellLeft"/>
            </w:pPr>
          </w:p>
        </w:tc>
        <w:tc>
          <w:tcPr>
            <w:tcW w:w="1701" w:type="dxa"/>
            <w:shd w:val="clear" w:color="auto" w:fill="auto"/>
          </w:tcPr>
          <w:p w14:paraId="52238456" w14:textId="24544BFD" w:rsidR="00341B5D" w:rsidRPr="00D33B6A" w:rsidRDefault="00DF1A0A" w:rsidP="00341B5D">
            <w:pPr>
              <w:pStyle w:val="TableCellLeft"/>
            </w:pPr>
            <w:r w:rsidRPr="00DF1A0A">
              <w:t>Empathy mapping</w:t>
            </w:r>
          </w:p>
        </w:tc>
        <w:tc>
          <w:tcPr>
            <w:tcW w:w="1842" w:type="dxa"/>
            <w:shd w:val="clear" w:color="auto" w:fill="auto"/>
          </w:tcPr>
          <w:p w14:paraId="3798B32E" w14:textId="7262C075" w:rsidR="00341B5D" w:rsidRPr="00D33B6A" w:rsidRDefault="00DF1A0A" w:rsidP="004453DE">
            <w:pPr>
              <w:pStyle w:val="TableCellLeft"/>
            </w:pPr>
            <w:r>
              <w:t>Develop an</w:t>
            </w:r>
            <w:r w:rsidR="004453DE">
              <w:t xml:space="preserve"> </w:t>
            </w:r>
            <w:r>
              <w:t>understanding</w:t>
            </w:r>
            <w:r w:rsidR="004453DE">
              <w:t xml:space="preserve"> </w:t>
            </w:r>
            <w:r>
              <w:t>of the new</w:t>
            </w:r>
            <w:r w:rsidR="004453DE">
              <w:t xml:space="preserve"> </w:t>
            </w:r>
            <w:r>
              <w:t>personas</w:t>
            </w:r>
          </w:p>
        </w:tc>
        <w:tc>
          <w:tcPr>
            <w:tcW w:w="3529" w:type="dxa"/>
            <w:shd w:val="clear" w:color="auto" w:fill="auto"/>
          </w:tcPr>
          <w:p w14:paraId="781EC0AD" w14:textId="546064BF" w:rsidR="00341B5D" w:rsidRPr="00D33B6A" w:rsidRDefault="00DF1A0A" w:rsidP="004453DE">
            <w:pPr>
              <w:pStyle w:val="TableCellLeft"/>
            </w:pPr>
            <w:r>
              <w:t>Parents decided from the discovery phase which</w:t>
            </w:r>
            <w:r w:rsidR="004453DE">
              <w:t xml:space="preserve"> </w:t>
            </w:r>
            <w:r>
              <w:t>empathy maps they wished to take into dream. They</w:t>
            </w:r>
            <w:r w:rsidR="004453DE">
              <w:t xml:space="preserve"> </w:t>
            </w:r>
            <w:r>
              <w:t>subsequently developed a series of new empathy</w:t>
            </w:r>
            <w:r w:rsidR="004453DE">
              <w:t xml:space="preserve"> </w:t>
            </w:r>
            <w:r>
              <w:t>maps to replace personas they did not wish to carry</w:t>
            </w:r>
            <w:r w:rsidR="004453DE">
              <w:t xml:space="preserve"> </w:t>
            </w:r>
            <w:r>
              <w:t>forward from the discovery phase.</w:t>
            </w:r>
          </w:p>
        </w:tc>
      </w:tr>
      <w:tr w:rsidR="00341B5D" w:rsidRPr="00D33B6A" w14:paraId="2F6668A5" w14:textId="77777777" w:rsidTr="00665868">
        <w:tc>
          <w:tcPr>
            <w:tcW w:w="1552" w:type="dxa"/>
            <w:shd w:val="clear" w:color="auto" w:fill="auto"/>
          </w:tcPr>
          <w:p w14:paraId="0328DEC4" w14:textId="77777777" w:rsidR="00341B5D" w:rsidRPr="00D33B6A" w:rsidRDefault="00341B5D" w:rsidP="00341B5D">
            <w:pPr>
              <w:pStyle w:val="TableCellLeft"/>
            </w:pPr>
          </w:p>
        </w:tc>
        <w:tc>
          <w:tcPr>
            <w:tcW w:w="1701" w:type="dxa"/>
            <w:shd w:val="clear" w:color="auto" w:fill="auto"/>
          </w:tcPr>
          <w:p w14:paraId="51F6C20B" w14:textId="022069BD" w:rsidR="00341B5D" w:rsidRPr="00D33B6A" w:rsidRDefault="00DF1A0A" w:rsidP="00341B5D">
            <w:pPr>
              <w:pStyle w:val="TableCellLeft"/>
            </w:pPr>
            <w:r w:rsidRPr="00DF1A0A">
              <w:t>Fishbone Diagram</w:t>
            </w:r>
          </w:p>
        </w:tc>
        <w:tc>
          <w:tcPr>
            <w:tcW w:w="1842" w:type="dxa"/>
            <w:shd w:val="clear" w:color="auto" w:fill="auto"/>
          </w:tcPr>
          <w:p w14:paraId="027F0CB9" w14:textId="287F08BA" w:rsidR="00341B5D" w:rsidRPr="00D33B6A" w:rsidRDefault="00DF1A0A" w:rsidP="004453DE">
            <w:pPr>
              <w:pStyle w:val="TableCellLeft"/>
            </w:pPr>
            <w:r>
              <w:t>Developing a</w:t>
            </w:r>
            <w:r w:rsidR="004453DE">
              <w:t xml:space="preserve"> g</w:t>
            </w:r>
            <w:r>
              <w:t>oal to be</w:t>
            </w:r>
            <w:r w:rsidR="004453DE">
              <w:t xml:space="preserve"> </w:t>
            </w:r>
            <w:r>
              <w:t>achieved</w:t>
            </w:r>
          </w:p>
        </w:tc>
        <w:tc>
          <w:tcPr>
            <w:tcW w:w="3529" w:type="dxa"/>
            <w:shd w:val="clear" w:color="auto" w:fill="auto"/>
          </w:tcPr>
          <w:p w14:paraId="5F17CED3" w14:textId="60F808A2" w:rsidR="00341B5D" w:rsidRPr="00D33B6A" w:rsidRDefault="00DF1A0A" w:rsidP="004453DE">
            <w:pPr>
              <w:pStyle w:val="TableCellLeft"/>
            </w:pPr>
            <w:r>
              <w:t>Usually, fishbone analysis or ‘Ishikawa diagrams’</w:t>
            </w:r>
            <w:r w:rsidR="004453DE">
              <w:t xml:space="preserve"> </w:t>
            </w:r>
            <w:r>
              <w:t>(1968) are used to find the roo</w:t>
            </w:r>
            <w:r w:rsidR="004453DE">
              <w:t>t</w:t>
            </w:r>
            <w:r>
              <w:t xml:space="preserve"> cause of problems. In</w:t>
            </w:r>
            <w:r w:rsidR="004453DE">
              <w:t xml:space="preserve"> </w:t>
            </w:r>
            <w:r>
              <w:t>Appreciative Inquiry, it can be used to do the</w:t>
            </w:r>
            <w:r w:rsidR="004453DE">
              <w:t xml:space="preserve"> </w:t>
            </w:r>
            <w:r>
              <w:t xml:space="preserve">opposite – an inclusive process to find the route </w:t>
            </w:r>
            <w:proofErr w:type="spellStart"/>
            <w:r>
              <w:t>tothe</w:t>
            </w:r>
            <w:proofErr w:type="spellEnd"/>
            <w:r>
              <w:t xml:space="preserve"> Dream. In the ‘head’ of the diagram, disabled</w:t>
            </w:r>
            <w:r w:rsidR="004453DE">
              <w:t xml:space="preserve"> </w:t>
            </w:r>
            <w:r>
              <w:t>parents and professionals write the part of the Dream</w:t>
            </w:r>
            <w:r w:rsidR="004453DE">
              <w:t xml:space="preserve"> </w:t>
            </w:r>
            <w:r>
              <w:t>that they want to bring into reality. In the boxes at the</w:t>
            </w:r>
            <w:r w:rsidR="004453DE">
              <w:t xml:space="preserve"> </w:t>
            </w:r>
            <w:r>
              <w:t>end of each spine of the fishbone they write an area</w:t>
            </w:r>
            <w:r w:rsidR="004453DE">
              <w:t xml:space="preserve"> </w:t>
            </w:r>
            <w:r>
              <w:t>for which action needs to be taken to make the</w:t>
            </w:r>
            <w:r w:rsidR="004453DE">
              <w:t xml:space="preserve"> </w:t>
            </w:r>
            <w:r>
              <w:t>Dream happen. Along each spine of the fishbone,</w:t>
            </w:r>
            <w:r w:rsidR="004453DE">
              <w:t xml:space="preserve"> </w:t>
            </w:r>
            <w:r>
              <w:t>parents and professionals placed post-it notes with</w:t>
            </w:r>
            <w:r w:rsidR="004453DE">
              <w:t xml:space="preserve"> </w:t>
            </w:r>
            <w:r>
              <w:t>the actions that have to be taken, or the things that</w:t>
            </w:r>
            <w:r w:rsidR="004453DE">
              <w:t xml:space="preserve"> </w:t>
            </w:r>
            <w:r>
              <w:t>have to be in place, to make that area support the</w:t>
            </w:r>
            <w:r w:rsidR="004453DE">
              <w:t xml:space="preserve"> </w:t>
            </w:r>
            <w:r>
              <w:t>dream goal.</w:t>
            </w:r>
          </w:p>
        </w:tc>
      </w:tr>
      <w:tr w:rsidR="00341B5D" w:rsidRPr="00D33B6A" w14:paraId="5EA6A448" w14:textId="77777777" w:rsidTr="00665868">
        <w:tc>
          <w:tcPr>
            <w:tcW w:w="1552" w:type="dxa"/>
            <w:shd w:val="clear" w:color="auto" w:fill="auto"/>
          </w:tcPr>
          <w:p w14:paraId="06C95351" w14:textId="4EB6A1C1" w:rsidR="00341B5D" w:rsidRPr="00D33B6A" w:rsidRDefault="00DF1A0A" w:rsidP="004453DE">
            <w:pPr>
              <w:pStyle w:val="TableCellLeft"/>
            </w:pPr>
            <w:r w:rsidRPr="00DF1A0A">
              <w:rPr>
                <w:b/>
              </w:rPr>
              <w:t>Design</w:t>
            </w:r>
            <w:r w:rsidR="004453DE">
              <w:rPr>
                <w:b/>
              </w:rPr>
              <w:t xml:space="preserve"> </w:t>
            </w:r>
            <w:r w:rsidRPr="00DF1A0A">
              <w:rPr>
                <w:b/>
              </w:rPr>
              <w:t>(statements of</w:t>
            </w:r>
            <w:r w:rsidR="004453DE">
              <w:rPr>
                <w:b/>
              </w:rPr>
              <w:t xml:space="preserve"> </w:t>
            </w:r>
            <w:r w:rsidRPr="00DF1A0A">
              <w:rPr>
                <w:b/>
              </w:rPr>
              <w:t>intention)</w:t>
            </w:r>
          </w:p>
        </w:tc>
        <w:tc>
          <w:tcPr>
            <w:tcW w:w="1701" w:type="dxa"/>
            <w:shd w:val="clear" w:color="auto" w:fill="auto"/>
          </w:tcPr>
          <w:p w14:paraId="748E07F0" w14:textId="5FB2230E" w:rsidR="00341B5D" w:rsidRPr="00D33B6A" w:rsidRDefault="00DF1A0A" w:rsidP="00341B5D">
            <w:pPr>
              <w:pStyle w:val="TableCellLeft"/>
            </w:pPr>
            <w:r w:rsidRPr="00DF1A0A">
              <w:t>Focus groups</w:t>
            </w:r>
          </w:p>
        </w:tc>
        <w:tc>
          <w:tcPr>
            <w:tcW w:w="1842" w:type="dxa"/>
            <w:shd w:val="clear" w:color="auto" w:fill="auto"/>
          </w:tcPr>
          <w:p w14:paraId="07D38744" w14:textId="77777777" w:rsidR="00341B5D" w:rsidRPr="00D33B6A" w:rsidRDefault="00341B5D" w:rsidP="00341B5D">
            <w:pPr>
              <w:pStyle w:val="TableCellLeft"/>
            </w:pPr>
          </w:p>
        </w:tc>
        <w:tc>
          <w:tcPr>
            <w:tcW w:w="3529" w:type="dxa"/>
            <w:shd w:val="clear" w:color="auto" w:fill="auto"/>
          </w:tcPr>
          <w:p w14:paraId="58F8DF98" w14:textId="054F8C08" w:rsidR="00341B5D" w:rsidRPr="00D33B6A" w:rsidRDefault="00DF1A0A" w:rsidP="004453DE">
            <w:pPr>
              <w:pStyle w:val="TableCellLeft"/>
            </w:pPr>
            <w:r>
              <w:t>A series of focus groups were conducted around the</w:t>
            </w:r>
            <w:r w:rsidR="004453DE">
              <w:t xml:space="preserve"> </w:t>
            </w:r>
            <w:r>
              <w:t>following themes: help seeking, the assessment, the</w:t>
            </w:r>
            <w:r w:rsidR="004453DE">
              <w:t xml:space="preserve"> </w:t>
            </w:r>
            <w:r>
              <w:t>service, service closure/continuation and outcomes</w:t>
            </w:r>
            <w:r w:rsidR="004453DE">
              <w:t xml:space="preserve"> </w:t>
            </w:r>
            <w:r>
              <w:t>and the principles of assessment</w:t>
            </w:r>
          </w:p>
        </w:tc>
      </w:tr>
      <w:tr w:rsidR="00341B5D" w:rsidRPr="00D33B6A" w14:paraId="0881A39D" w14:textId="77777777" w:rsidTr="00665868">
        <w:tc>
          <w:tcPr>
            <w:tcW w:w="1552" w:type="dxa"/>
            <w:shd w:val="clear" w:color="auto" w:fill="auto"/>
          </w:tcPr>
          <w:p w14:paraId="39F944BC" w14:textId="77777777" w:rsidR="00341B5D" w:rsidRPr="00D33B6A" w:rsidRDefault="00341B5D" w:rsidP="00341B5D">
            <w:pPr>
              <w:pStyle w:val="TableCellLeft"/>
            </w:pPr>
          </w:p>
        </w:tc>
        <w:tc>
          <w:tcPr>
            <w:tcW w:w="1701" w:type="dxa"/>
            <w:shd w:val="clear" w:color="auto" w:fill="auto"/>
          </w:tcPr>
          <w:p w14:paraId="2ACEAD53" w14:textId="33207038" w:rsidR="00341B5D" w:rsidRPr="00D33B6A" w:rsidRDefault="00DF1A0A" w:rsidP="004453DE">
            <w:pPr>
              <w:pStyle w:val="TableCellLeft"/>
            </w:pPr>
            <w:r>
              <w:t>Snap shot big</w:t>
            </w:r>
            <w:r w:rsidR="004453DE">
              <w:t xml:space="preserve"> </w:t>
            </w:r>
            <w:r>
              <w:t>picture</w:t>
            </w:r>
          </w:p>
        </w:tc>
        <w:tc>
          <w:tcPr>
            <w:tcW w:w="1842" w:type="dxa"/>
            <w:shd w:val="clear" w:color="auto" w:fill="auto"/>
          </w:tcPr>
          <w:p w14:paraId="55DC1880" w14:textId="6D653C10" w:rsidR="00341B5D" w:rsidRPr="00D33B6A" w:rsidRDefault="00DF1A0A" w:rsidP="004453DE">
            <w:pPr>
              <w:pStyle w:val="TableCellLeft"/>
            </w:pPr>
            <w:r>
              <w:t>Designing new</w:t>
            </w:r>
            <w:r w:rsidR="004453DE">
              <w:t xml:space="preserve"> </w:t>
            </w:r>
            <w:r>
              <w:t>principles to</w:t>
            </w:r>
            <w:r w:rsidR="004453DE">
              <w:t xml:space="preserve"> </w:t>
            </w:r>
            <w:r>
              <w:t>support best</w:t>
            </w:r>
            <w:r w:rsidR="004453DE">
              <w:t xml:space="preserve"> </w:t>
            </w:r>
            <w:r>
              <w:t>practice in</w:t>
            </w:r>
            <w:r w:rsidR="004453DE">
              <w:t xml:space="preserve"> </w:t>
            </w:r>
            <w:r>
              <w:t>working with</w:t>
            </w:r>
            <w:r w:rsidR="004453DE">
              <w:t xml:space="preserve"> </w:t>
            </w:r>
            <w:r>
              <w:t>disabled</w:t>
            </w:r>
            <w:r w:rsidR="004453DE">
              <w:t xml:space="preserve"> </w:t>
            </w:r>
            <w:r>
              <w:t>parents and</w:t>
            </w:r>
            <w:r w:rsidR="004453DE">
              <w:t xml:space="preserve"> </w:t>
            </w:r>
            <w:r>
              <w:t>their children</w:t>
            </w:r>
          </w:p>
        </w:tc>
        <w:tc>
          <w:tcPr>
            <w:tcW w:w="3529" w:type="dxa"/>
            <w:shd w:val="clear" w:color="auto" w:fill="auto"/>
          </w:tcPr>
          <w:p w14:paraId="77A4CE0C" w14:textId="72763B48" w:rsidR="00341B5D" w:rsidRPr="00D33B6A" w:rsidRDefault="00DF1A0A" w:rsidP="004453DE">
            <w:pPr>
              <w:pStyle w:val="TableCellLeft"/>
            </w:pPr>
            <w:proofErr w:type="spellStart"/>
            <w:r>
              <w:t>Browolski</w:t>
            </w:r>
            <w:proofErr w:type="spellEnd"/>
            <w:r>
              <w:t xml:space="preserve"> (2018) created the snap shot big picture</w:t>
            </w:r>
            <w:r w:rsidR="004453DE">
              <w:t xml:space="preserve"> </w:t>
            </w:r>
            <w:r>
              <w:t>method. The snapshot of the big picture is designed to</w:t>
            </w:r>
            <w:r w:rsidR="004453DE">
              <w:t xml:space="preserve"> </w:t>
            </w:r>
            <w:r>
              <w:t>clarify what individuals and teams are experiencing</w:t>
            </w:r>
            <w:r w:rsidR="004453DE">
              <w:t xml:space="preserve"> </w:t>
            </w:r>
            <w:r>
              <w:t>right now and to help them envision the desired future</w:t>
            </w:r>
            <w:r w:rsidR="004453DE">
              <w:t xml:space="preserve"> </w:t>
            </w:r>
            <w:r>
              <w:t xml:space="preserve">and create an action plan to get there. The snap </w:t>
            </w:r>
            <w:r>
              <w:lastRenderedPageBreak/>
              <w:t>shot</w:t>
            </w:r>
            <w:r w:rsidR="004453DE">
              <w:t xml:space="preserve"> </w:t>
            </w:r>
            <w:r>
              <w:t>big picture tool was used after the concept reframing</w:t>
            </w:r>
            <w:r w:rsidR="004453DE">
              <w:t xml:space="preserve"> </w:t>
            </w:r>
            <w:r>
              <w:t>mapping. The snap shot big picture enabled the group</w:t>
            </w:r>
            <w:r w:rsidR="004453DE">
              <w:t xml:space="preserve"> </w:t>
            </w:r>
            <w:r>
              <w:t>to think about the principles they wanted professionals</w:t>
            </w:r>
            <w:r w:rsidR="004453DE">
              <w:t xml:space="preserve"> </w:t>
            </w:r>
            <w:r>
              <w:t>to practice.</w:t>
            </w:r>
            <w:r w:rsidR="004453DE">
              <w:t xml:space="preserve"> </w:t>
            </w:r>
            <w:r>
              <w:t>Parents and professionals worked together to</w:t>
            </w:r>
            <w:r w:rsidR="004453DE">
              <w:t xml:space="preserve"> </w:t>
            </w:r>
            <w:r>
              <w:t>reimagine the principles they had highlighted as</w:t>
            </w:r>
            <w:r w:rsidR="004453DE">
              <w:t xml:space="preserve"> </w:t>
            </w:r>
            <w:r>
              <w:t>requiring reframing through the concept reframing</w:t>
            </w:r>
            <w:r w:rsidR="00EF09C0">
              <w:t xml:space="preserve"> mapping</w:t>
            </w:r>
          </w:p>
        </w:tc>
      </w:tr>
      <w:tr w:rsidR="00341B5D" w:rsidRPr="00D33B6A" w14:paraId="7AD9B45F" w14:textId="77777777" w:rsidTr="00665868">
        <w:tc>
          <w:tcPr>
            <w:tcW w:w="1552" w:type="dxa"/>
            <w:shd w:val="clear" w:color="auto" w:fill="auto"/>
          </w:tcPr>
          <w:p w14:paraId="706E7E3F" w14:textId="77777777" w:rsidR="00341B5D" w:rsidRPr="00D33B6A" w:rsidRDefault="00341B5D" w:rsidP="00341B5D">
            <w:pPr>
              <w:pStyle w:val="TableCellLeft"/>
            </w:pPr>
          </w:p>
        </w:tc>
        <w:tc>
          <w:tcPr>
            <w:tcW w:w="1701" w:type="dxa"/>
            <w:shd w:val="clear" w:color="auto" w:fill="auto"/>
          </w:tcPr>
          <w:p w14:paraId="59EE2A46" w14:textId="16F00E75" w:rsidR="00341B5D" w:rsidRPr="00D33B6A" w:rsidRDefault="00EF09C0" w:rsidP="00341B5D">
            <w:pPr>
              <w:pStyle w:val="TableCellLeft"/>
            </w:pPr>
            <w:r w:rsidRPr="00EF09C0">
              <w:t>Fishbone diagram</w:t>
            </w:r>
          </w:p>
        </w:tc>
        <w:tc>
          <w:tcPr>
            <w:tcW w:w="1842" w:type="dxa"/>
            <w:shd w:val="clear" w:color="auto" w:fill="auto"/>
          </w:tcPr>
          <w:p w14:paraId="20D8B525" w14:textId="14F4F08C" w:rsidR="00341B5D" w:rsidRPr="00D33B6A" w:rsidRDefault="00EF09C0" w:rsidP="004453DE">
            <w:pPr>
              <w:pStyle w:val="TableCellLeft"/>
            </w:pPr>
            <w:r>
              <w:t>Developing a</w:t>
            </w:r>
            <w:r w:rsidR="004453DE">
              <w:t xml:space="preserve"> </w:t>
            </w:r>
            <w:r>
              <w:t>goal to be</w:t>
            </w:r>
            <w:r w:rsidR="004453DE">
              <w:t xml:space="preserve"> </w:t>
            </w:r>
            <w:r>
              <w:t>achieved</w:t>
            </w:r>
          </w:p>
        </w:tc>
        <w:tc>
          <w:tcPr>
            <w:tcW w:w="3529" w:type="dxa"/>
            <w:shd w:val="clear" w:color="auto" w:fill="auto"/>
          </w:tcPr>
          <w:p w14:paraId="34AA0DA1" w14:textId="1E64D9D7" w:rsidR="00341B5D" w:rsidRPr="00D33B6A" w:rsidRDefault="00EF09C0" w:rsidP="004453DE">
            <w:pPr>
              <w:pStyle w:val="TableCellLeft"/>
            </w:pPr>
            <w:r>
              <w:t>Parents and professionals used the Fishbone diagram</w:t>
            </w:r>
            <w:r w:rsidR="004453DE">
              <w:t xml:space="preserve"> </w:t>
            </w:r>
            <w:r>
              <w:t>to map out the characteristics and strengths of the</w:t>
            </w:r>
            <w:r w:rsidR="004453DE">
              <w:t xml:space="preserve"> </w:t>
            </w:r>
            <w:r>
              <w:t>new personas they had created in the dream phase</w:t>
            </w:r>
          </w:p>
        </w:tc>
      </w:tr>
    </w:tbl>
    <w:p w14:paraId="19E93E09" w14:textId="701703AA" w:rsidR="00B926B1" w:rsidRDefault="00B332B8">
      <w:pPr>
        <w:spacing w:after="0"/>
      </w:pPr>
      <w:r>
        <w:br w:type="page"/>
      </w:r>
    </w:p>
    <w:p w14:paraId="4B8BF29F" w14:textId="322A7936" w:rsidR="00B926B1" w:rsidRDefault="0088022D" w:rsidP="0088022D">
      <w:pPr>
        <w:pStyle w:val="Heading1"/>
      </w:pPr>
      <w:bookmarkStart w:id="90" w:name="_Toc116916235"/>
      <w:r>
        <w:lastRenderedPageBreak/>
        <w:t xml:space="preserve">Appendix </w:t>
      </w:r>
      <w:r w:rsidR="00B064DC">
        <w:t>D</w:t>
      </w:r>
      <w:r w:rsidR="00920D6C">
        <w:t xml:space="preserve"> - Short and long form </w:t>
      </w:r>
      <w:r w:rsidR="00920D6C" w:rsidRPr="006A62C3">
        <w:t xml:space="preserve">Guidance for Reporting Involvement of </w:t>
      </w:r>
      <w:r w:rsidR="00920D6C">
        <w:t>Patients and the Public 2 (GRIPP 2) reporting checklist tool</w:t>
      </w:r>
      <w:bookmarkEnd w:id="90"/>
    </w:p>
    <w:p w14:paraId="49210DD8" w14:textId="433329D8" w:rsidR="00977FB8" w:rsidRDefault="00977FB8" w:rsidP="00977FB8">
      <w:pPr>
        <w:pStyle w:val="TableTitle"/>
      </w:pPr>
      <w:r>
        <w:t>Table G1.1 GRIPP 2 long form</w:t>
      </w:r>
      <w:r w:rsidR="00920D6C">
        <w:rPr>
          <w:rStyle w:val="FootnoteReference"/>
        </w:rPr>
        <w:footnoteReference w:id="691"/>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148"/>
        <w:gridCol w:w="6482"/>
      </w:tblGrid>
      <w:tr w:rsidR="009B05B5" w:rsidRPr="009B05B5" w14:paraId="30CEC31C" w14:textId="77777777" w:rsidTr="009B05B5">
        <w:trPr>
          <w:tblHeader/>
        </w:trPr>
        <w:tc>
          <w:tcPr>
            <w:tcW w:w="1696" w:type="dxa"/>
            <w:shd w:val="clear" w:color="auto" w:fill="auto"/>
          </w:tcPr>
          <w:p w14:paraId="2CDA8BB6" w14:textId="2D3DB1CF" w:rsidR="009B05B5" w:rsidRPr="009B05B5" w:rsidRDefault="009B05B5" w:rsidP="009B05B5">
            <w:pPr>
              <w:pStyle w:val="TableHead"/>
            </w:pPr>
            <w:r>
              <w:t>Section and topic</w:t>
            </w:r>
          </w:p>
        </w:tc>
        <w:tc>
          <w:tcPr>
            <w:tcW w:w="6934" w:type="dxa"/>
            <w:shd w:val="clear" w:color="auto" w:fill="auto"/>
          </w:tcPr>
          <w:p w14:paraId="572E931E" w14:textId="7DCA728D" w:rsidR="009B05B5" w:rsidRPr="009B05B5" w:rsidRDefault="009B05B5" w:rsidP="009B05B5">
            <w:pPr>
              <w:pStyle w:val="TableHead"/>
            </w:pPr>
            <w:r>
              <w:t>Item</w:t>
            </w:r>
          </w:p>
        </w:tc>
      </w:tr>
      <w:tr w:rsidR="009B05B5" w:rsidRPr="009B05B5" w14:paraId="4933BB6A" w14:textId="77777777" w:rsidTr="009B05B5">
        <w:tc>
          <w:tcPr>
            <w:tcW w:w="1696" w:type="dxa"/>
            <w:shd w:val="clear" w:color="auto" w:fill="auto"/>
          </w:tcPr>
          <w:p w14:paraId="071FE184" w14:textId="3B07E7E5" w:rsidR="009B05B5" w:rsidRPr="002B3ED7" w:rsidRDefault="009B05B5" w:rsidP="009B05B5">
            <w:pPr>
              <w:pStyle w:val="TableCellLeft"/>
              <w:rPr>
                <w:b/>
              </w:rPr>
            </w:pPr>
            <w:r w:rsidRPr="002B3ED7">
              <w:rPr>
                <w:b/>
              </w:rPr>
              <w:t>Section 1: Abstract of paper</w:t>
            </w:r>
          </w:p>
        </w:tc>
        <w:tc>
          <w:tcPr>
            <w:tcW w:w="6934" w:type="dxa"/>
            <w:shd w:val="clear" w:color="auto" w:fill="auto"/>
          </w:tcPr>
          <w:p w14:paraId="6D1B3E59" w14:textId="77777777" w:rsidR="009B05B5" w:rsidRPr="009B05B5" w:rsidRDefault="009B05B5" w:rsidP="009B05B5">
            <w:pPr>
              <w:pStyle w:val="TableCellLeft"/>
            </w:pPr>
          </w:p>
        </w:tc>
      </w:tr>
      <w:tr w:rsidR="009B05B5" w:rsidRPr="009B05B5" w14:paraId="35EA828B" w14:textId="77777777" w:rsidTr="009B05B5">
        <w:tc>
          <w:tcPr>
            <w:tcW w:w="1696" w:type="dxa"/>
            <w:shd w:val="clear" w:color="auto" w:fill="auto"/>
          </w:tcPr>
          <w:p w14:paraId="60A9BEAD" w14:textId="4E336680" w:rsidR="009B05B5" w:rsidRPr="009B05B5" w:rsidRDefault="009B05B5" w:rsidP="009B05B5">
            <w:pPr>
              <w:pStyle w:val="TableCellLeft"/>
            </w:pPr>
            <w:r w:rsidRPr="00CB5DD3">
              <w:t xml:space="preserve">1a: Aim </w:t>
            </w:r>
          </w:p>
        </w:tc>
        <w:tc>
          <w:tcPr>
            <w:tcW w:w="6934" w:type="dxa"/>
            <w:shd w:val="clear" w:color="auto" w:fill="auto"/>
          </w:tcPr>
          <w:p w14:paraId="6B04E5A3" w14:textId="3C5FCE99" w:rsidR="009B05B5" w:rsidRPr="009B05B5" w:rsidRDefault="009B05B5" w:rsidP="009B05B5">
            <w:pPr>
              <w:pStyle w:val="TableCellLeft"/>
            </w:pPr>
            <w:r w:rsidRPr="00CB5DD3">
              <w:t>Report the aim of the study</w:t>
            </w:r>
          </w:p>
        </w:tc>
      </w:tr>
      <w:tr w:rsidR="009B05B5" w:rsidRPr="009B05B5" w14:paraId="6918CA27" w14:textId="77777777" w:rsidTr="009B05B5">
        <w:tc>
          <w:tcPr>
            <w:tcW w:w="1696" w:type="dxa"/>
            <w:shd w:val="clear" w:color="auto" w:fill="auto"/>
          </w:tcPr>
          <w:p w14:paraId="009EF0BB" w14:textId="5B36BA5B" w:rsidR="009B05B5" w:rsidRPr="009B05B5" w:rsidRDefault="009B05B5" w:rsidP="009B05B5">
            <w:pPr>
              <w:pStyle w:val="TableCellLeft"/>
            </w:pPr>
            <w:r w:rsidRPr="00AB63B8">
              <w:t xml:space="preserve">1b: Methods </w:t>
            </w:r>
          </w:p>
        </w:tc>
        <w:tc>
          <w:tcPr>
            <w:tcW w:w="6934" w:type="dxa"/>
            <w:shd w:val="clear" w:color="auto" w:fill="auto"/>
          </w:tcPr>
          <w:p w14:paraId="6C85EE6D" w14:textId="7FD04F2D" w:rsidR="009B05B5" w:rsidRPr="009B05B5" w:rsidRDefault="009B05B5" w:rsidP="009B05B5">
            <w:pPr>
              <w:pStyle w:val="TableCellLeft"/>
            </w:pPr>
            <w:r w:rsidRPr="00AB63B8">
              <w:t>Describe the methods used by which patients and the public were involved</w:t>
            </w:r>
          </w:p>
        </w:tc>
      </w:tr>
      <w:tr w:rsidR="009B05B5" w:rsidRPr="009B05B5" w14:paraId="54EB9758" w14:textId="77777777" w:rsidTr="009B05B5">
        <w:tc>
          <w:tcPr>
            <w:tcW w:w="1696" w:type="dxa"/>
            <w:shd w:val="clear" w:color="auto" w:fill="auto"/>
          </w:tcPr>
          <w:p w14:paraId="7710179A" w14:textId="506FAD54" w:rsidR="009B05B5" w:rsidRPr="009B05B5" w:rsidRDefault="009B05B5" w:rsidP="009B05B5">
            <w:pPr>
              <w:pStyle w:val="TableCellLeft"/>
            </w:pPr>
            <w:r w:rsidRPr="009B05B5">
              <w:t xml:space="preserve">1c: Results </w:t>
            </w:r>
          </w:p>
        </w:tc>
        <w:tc>
          <w:tcPr>
            <w:tcW w:w="6934" w:type="dxa"/>
            <w:shd w:val="clear" w:color="auto" w:fill="auto"/>
          </w:tcPr>
          <w:p w14:paraId="3F665C31" w14:textId="06B7830B" w:rsidR="009B05B5" w:rsidRPr="009B05B5" w:rsidRDefault="009B05B5" w:rsidP="009B05B5">
            <w:pPr>
              <w:pStyle w:val="TableCellLeft"/>
            </w:pPr>
            <w:r w:rsidRPr="009B05B5">
              <w:t>Report the impacts and outcomes of PPI in the study</w:t>
            </w:r>
          </w:p>
        </w:tc>
      </w:tr>
      <w:tr w:rsidR="009B05B5" w:rsidRPr="009B05B5" w14:paraId="1B111ED9" w14:textId="77777777" w:rsidTr="009B05B5">
        <w:tc>
          <w:tcPr>
            <w:tcW w:w="1696" w:type="dxa"/>
            <w:shd w:val="clear" w:color="auto" w:fill="auto"/>
          </w:tcPr>
          <w:p w14:paraId="6D19F91C" w14:textId="6B2C283A" w:rsidR="009B05B5" w:rsidRPr="009B05B5" w:rsidRDefault="009B05B5" w:rsidP="009B05B5">
            <w:pPr>
              <w:pStyle w:val="TableCellLeft"/>
            </w:pPr>
            <w:r w:rsidRPr="009B05B5">
              <w:t>1d:</w:t>
            </w:r>
            <w:r w:rsidR="002B3ED7">
              <w:t xml:space="preserve"> </w:t>
            </w:r>
            <w:r w:rsidRPr="009B05B5">
              <w:t xml:space="preserve">Conclusions </w:t>
            </w:r>
          </w:p>
        </w:tc>
        <w:tc>
          <w:tcPr>
            <w:tcW w:w="6934" w:type="dxa"/>
            <w:shd w:val="clear" w:color="auto" w:fill="auto"/>
          </w:tcPr>
          <w:p w14:paraId="1876A7D4" w14:textId="740A147F" w:rsidR="009B05B5" w:rsidRPr="009B05B5" w:rsidRDefault="009B05B5" w:rsidP="009B05B5">
            <w:pPr>
              <w:pStyle w:val="TableCellLeft"/>
            </w:pPr>
            <w:r w:rsidRPr="009B05B5">
              <w:t>Summarise the main conclusions of the study</w:t>
            </w:r>
          </w:p>
        </w:tc>
      </w:tr>
      <w:tr w:rsidR="009B05B5" w:rsidRPr="009B05B5" w14:paraId="1D9BF091" w14:textId="77777777" w:rsidTr="009B05B5">
        <w:tc>
          <w:tcPr>
            <w:tcW w:w="1696" w:type="dxa"/>
            <w:shd w:val="clear" w:color="auto" w:fill="auto"/>
          </w:tcPr>
          <w:p w14:paraId="7AD93276" w14:textId="41B4F4FD" w:rsidR="009B05B5" w:rsidRPr="009B05B5" w:rsidRDefault="002B3ED7" w:rsidP="002B3ED7">
            <w:pPr>
              <w:pStyle w:val="TableCellLeft"/>
            </w:pPr>
            <w:r w:rsidRPr="002B3ED7">
              <w:t xml:space="preserve">1e: Keywords </w:t>
            </w:r>
          </w:p>
        </w:tc>
        <w:tc>
          <w:tcPr>
            <w:tcW w:w="6934" w:type="dxa"/>
            <w:shd w:val="clear" w:color="auto" w:fill="auto"/>
          </w:tcPr>
          <w:p w14:paraId="7971CB94" w14:textId="2413F2FC" w:rsidR="009B05B5" w:rsidRPr="009B05B5" w:rsidRDefault="002B3ED7" w:rsidP="009B05B5">
            <w:pPr>
              <w:pStyle w:val="TableCellLeft"/>
            </w:pPr>
            <w:r w:rsidRPr="002B3ED7">
              <w:t>Include PPI, “patient and public involvement,” or alternative terms as keywords</w:t>
            </w:r>
          </w:p>
        </w:tc>
      </w:tr>
      <w:tr w:rsidR="009B05B5" w:rsidRPr="009B05B5" w14:paraId="38581012" w14:textId="77777777" w:rsidTr="009B05B5">
        <w:tc>
          <w:tcPr>
            <w:tcW w:w="1696" w:type="dxa"/>
            <w:shd w:val="clear" w:color="auto" w:fill="auto"/>
          </w:tcPr>
          <w:p w14:paraId="0268B1A3" w14:textId="39BDF063" w:rsidR="009B05B5" w:rsidRPr="002B3ED7" w:rsidRDefault="002B3ED7" w:rsidP="009B05B5">
            <w:pPr>
              <w:pStyle w:val="TableCellLeft"/>
              <w:rPr>
                <w:b/>
              </w:rPr>
            </w:pPr>
            <w:r w:rsidRPr="002B3ED7">
              <w:rPr>
                <w:b/>
              </w:rPr>
              <w:t>Section 2: Background to paper</w:t>
            </w:r>
          </w:p>
        </w:tc>
        <w:tc>
          <w:tcPr>
            <w:tcW w:w="6934" w:type="dxa"/>
            <w:shd w:val="clear" w:color="auto" w:fill="auto"/>
          </w:tcPr>
          <w:p w14:paraId="05736E38" w14:textId="77777777" w:rsidR="009B05B5" w:rsidRPr="009B05B5" w:rsidRDefault="009B05B5" w:rsidP="009B05B5">
            <w:pPr>
              <w:pStyle w:val="TableCellLeft"/>
            </w:pPr>
          </w:p>
        </w:tc>
      </w:tr>
      <w:tr w:rsidR="009B05B5" w:rsidRPr="009B05B5" w14:paraId="0A601209" w14:textId="77777777" w:rsidTr="009B05B5">
        <w:tc>
          <w:tcPr>
            <w:tcW w:w="1696" w:type="dxa"/>
            <w:shd w:val="clear" w:color="auto" w:fill="auto"/>
          </w:tcPr>
          <w:p w14:paraId="256D5614" w14:textId="6CD2A5A1" w:rsidR="009B05B5" w:rsidRPr="009B05B5" w:rsidRDefault="002B3ED7" w:rsidP="002B3ED7">
            <w:pPr>
              <w:pStyle w:val="TableCellLeft"/>
            </w:pPr>
            <w:r w:rsidRPr="002B3ED7">
              <w:t xml:space="preserve">2a: Definition </w:t>
            </w:r>
          </w:p>
        </w:tc>
        <w:tc>
          <w:tcPr>
            <w:tcW w:w="6934" w:type="dxa"/>
            <w:shd w:val="clear" w:color="auto" w:fill="auto"/>
          </w:tcPr>
          <w:p w14:paraId="6E8BF5C2" w14:textId="1A7E9180" w:rsidR="009B05B5" w:rsidRPr="009B05B5" w:rsidRDefault="002B3ED7" w:rsidP="009B05B5">
            <w:pPr>
              <w:pStyle w:val="TableCellLeft"/>
            </w:pPr>
            <w:r w:rsidRPr="002B3ED7">
              <w:t>Report the definition of PPI used in the study and how it links to comparable studies</w:t>
            </w:r>
          </w:p>
        </w:tc>
      </w:tr>
      <w:tr w:rsidR="009B05B5" w:rsidRPr="009B05B5" w14:paraId="1F8F136E" w14:textId="77777777" w:rsidTr="009B05B5">
        <w:tc>
          <w:tcPr>
            <w:tcW w:w="1696" w:type="dxa"/>
            <w:shd w:val="clear" w:color="auto" w:fill="auto"/>
          </w:tcPr>
          <w:p w14:paraId="22A08ECE" w14:textId="3B232198" w:rsidR="009B05B5" w:rsidRPr="009B05B5" w:rsidRDefault="002B3ED7" w:rsidP="009B05B5">
            <w:pPr>
              <w:pStyle w:val="TableCellLeft"/>
            </w:pPr>
            <w:r w:rsidRPr="002B3ED7">
              <w:t>2b: Theoretical underpinnings</w:t>
            </w:r>
          </w:p>
        </w:tc>
        <w:tc>
          <w:tcPr>
            <w:tcW w:w="6934" w:type="dxa"/>
            <w:shd w:val="clear" w:color="auto" w:fill="auto"/>
          </w:tcPr>
          <w:p w14:paraId="04933CC5" w14:textId="7F787D1C" w:rsidR="009B05B5" w:rsidRPr="009B05B5" w:rsidRDefault="002B3ED7" w:rsidP="009B05B5">
            <w:pPr>
              <w:pStyle w:val="TableCellLeft"/>
            </w:pPr>
            <w:r w:rsidRPr="002B3ED7">
              <w:t>Report the theoretical rationale and any theoretical influences relating to PPI in the study</w:t>
            </w:r>
          </w:p>
        </w:tc>
      </w:tr>
      <w:tr w:rsidR="009B05B5" w:rsidRPr="009B05B5" w14:paraId="553613BF" w14:textId="77777777" w:rsidTr="009B05B5">
        <w:tc>
          <w:tcPr>
            <w:tcW w:w="1696" w:type="dxa"/>
            <w:shd w:val="clear" w:color="auto" w:fill="auto"/>
          </w:tcPr>
          <w:p w14:paraId="4EE92FD6" w14:textId="3E9BA403" w:rsidR="009B05B5" w:rsidRPr="009B05B5" w:rsidRDefault="002B3ED7" w:rsidP="002B3ED7">
            <w:pPr>
              <w:pStyle w:val="TableCellLeft"/>
            </w:pPr>
            <w:r w:rsidRPr="002B3ED7">
              <w:t xml:space="preserve">2c: Concepts and theory development </w:t>
            </w:r>
          </w:p>
        </w:tc>
        <w:tc>
          <w:tcPr>
            <w:tcW w:w="6934" w:type="dxa"/>
            <w:shd w:val="clear" w:color="auto" w:fill="auto"/>
          </w:tcPr>
          <w:p w14:paraId="62DD0C84" w14:textId="7A40B028" w:rsidR="009B05B5" w:rsidRPr="009B05B5" w:rsidRDefault="002B3ED7" w:rsidP="009B05B5">
            <w:pPr>
              <w:pStyle w:val="TableCellLeft"/>
            </w:pPr>
            <w:r w:rsidRPr="002B3ED7">
              <w:t>Report any conceptual models or influences used in the study</w:t>
            </w:r>
          </w:p>
        </w:tc>
      </w:tr>
      <w:tr w:rsidR="009B05B5" w:rsidRPr="009B05B5" w14:paraId="272A93FA" w14:textId="77777777" w:rsidTr="009B05B5">
        <w:tc>
          <w:tcPr>
            <w:tcW w:w="1696" w:type="dxa"/>
            <w:shd w:val="clear" w:color="auto" w:fill="auto"/>
          </w:tcPr>
          <w:p w14:paraId="16A06087" w14:textId="5D30880E" w:rsidR="009B05B5" w:rsidRPr="002B3ED7" w:rsidRDefault="002B3ED7" w:rsidP="009B05B5">
            <w:pPr>
              <w:pStyle w:val="TableCellLeft"/>
              <w:rPr>
                <w:b/>
              </w:rPr>
            </w:pPr>
            <w:r w:rsidRPr="002B3ED7">
              <w:rPr>
                <w:b/>
              </w:rPr>
              <w:t>Section 3: Aims of paper</w:t>
            </w:r>
          </w:p>
        </w:tc>
        <w:tc>
          <w:tcPr>
            <w:tcW w:w="6934" w:type="dxa"/>
            <w:shd w:val="clear" w:color="auto" w:fill="auto"/>
          </w:tcPr>
          <w:p w14:paraId="21A3E23A" w14:textId="77777777" w:rsidR="009B05B5" w:rsidRPr="009B05B5" w:rsidRDefault="009B05B5" w:rsidP="009B05B5">
            <w:pPr>
              <w:pStyle w:val="TableCellLeft"/>
            </w:pPr>
          </w:p>
        </w:tc>
      </w:tr>
      <w:tr w:rsidR="009B05B5" w:rsidRPr="009B05B5" w14:paraId="5984AE53" w14:textId="77777777" w:rsidTr="009B05B5">
        <w:tc>
          <w:tcPr>
            <w:tcW w:w="1696" w:type="dxa"/>
            <w:shd w:val="clear" w:color="auto" w:fill="auto"/>
          </w:tcPr>
          <w:p w14:paraId="277BAD8C" w14:textId="3B816A34" w:rsidR="009B05B5" w:rsidRPr="009B05B5" w:rsidRDefault="002B3ED7" w:rsidP="002B3ED7">
            <w:pPr>
              <w:pStyle w:val="TableCellLeft"/>
            </w:pPr>
            <w:r w:rsidRPr="002B3ED7">
              <w:t xml:space="preserve">3: Aim </w:t>
            </w:r>
          </w:p>
        </w:tc>
        <w:tc>
          <w:tcPr>
            <w:tcW w:w="6934" w:type="dxa"/>
            <w:shd w:val="clear" w:color="auto" w:fill="auto"/>
          </w:tcPr>
          <w:p w14:paraId="4EBD9186" w14:textId="50A39DC7" w:rsidR="009B05B5" w:rsidRPr="009B05B5" w:rsidRDefault="002B3ED7" w:rsidP="009B05B5">
            <w:pPr>
              <w:pStyle w:val="TableCellLeft"/>
            </w:pPr>
            <w:r w:rsidRPr="002B3ED7">
              <w:t>Report the aim of the study</w:t>
            </w:r>
          </w:p>
        </w:tc>
      </w:tr>
      <w:tr w:rsidR="009B05B5" w:rsidRPr="009B05B5" w14:paraId="55B5D017" w14:textId="77777777" w:rsidTr="009B05B5">
        <w:tc>
          <w:tcPr>
            <w:tcW w:w="1696" w:type="dxa"/>
            <w:shd w:val="clear" w:color="auto" w:fill="auto"/>
          </w:tcPr>
          <w:p w14:paraId="52208E87" w14:textId="452424D3" w:rsidR="009B05B5" w:rsidRPr="002B3ED7" w:rsidRDefault="002B3ED7" w:rsidP="009B05B5">
            <w:pPr>
              <w:pStyle w:val="TableCellLeft"/>
              <w:rPr>
                <w:b/>
              </w:rPr>
            </w:pPr>
            <w:r w:rsidRPr="002B3ED7">
              <w:rPr>
                <w:b/>
              </w:rPr>
              <w:t>Section 4: Methods of paper</w:t>
            </w:r>
          </w:p>
        </w:tc>
        <w:tc>
          <w:tcPr>
            <w:tcW w:w="6934" w:type="dxa"/>
            <w:shd w:val="clear" w:color="auto" w:fill="auto"/>
          </w:tcPr>
          <w:p w14:paraId="4608ABDB" w14:textId="77777777" w:rsidR="009B05B5" w:rsidRPr="009B05B5" w:rsidRDefault="009B05B5" w:rsidP="009B05B5">
            <w:pPr>
              <w:pStyle w:val="TableCellLeft"/>
            </w:pPr>
          </w:p>
        </w:tc>
      </w:tr>
      <w:tr w:rsidR="009B05B5" w:rsidRPr="009B05B5" w14:paraId="1D93AF01" w14:textId="77777777" w:rsidTr="009B05B5">
        <w:tc>
          <w:tcPr>
            <w:tcW w:w="1696" w:type="dxa"/>
            <w:shd w:val="clear" w:color="auto" w:fill="auto"/>
          </w:tcPr>
          <w:p w14:paraId="3AFCF2E6" w14:textId="5A0E1584" w:rsidR="009B05B5" w:rsidRPr="009B05B5" w:rsidRDefault="002B3ED7" w:rsidP="002B3ED7">
            <w:pPr>
              <w:pStyle w:val="TableCellLeft"/>
            </w:pPr>
            <w:r w:rsidRPr="002B3ED7">
              <w:t xml:space="preserve">4a: Design </w:t>
            </w:r>
          </w:p>
        </w:tc>
        <w:tc>
          <w:tcPr>
            <w:tcW w:w="6934" w:type="dxa"/>
            <w:shd w:val="clear" w:color="auto" w:fill="auto"/>
          </w:tcPr>
          <w:p w14:paraId="14FF34A7" w14:textId="3329A503" w:rsidR="009B05B5" w:rsidRPr="009B05B5" w:rsidRDefault="002B3ED7" w:rsidP="009B05B5">
            <w:pPr>
              <w:pStyle w:val="TableCellLeft"/>
            </w:pPr>
            <w:r w:rsidRPr="002B3ED7">
              <w:t>Provide a clear description of methods by which patients and the public were involved</w:t>
            </w:r>
          </w:p>
        </w:tc>
      </w:tr>
      <w:tr w:rsidR="009B05B5" w:rsidRPr="009B05B5" w14:paraId="382DB7F2" w14:textId="77777777" w:rsidTr="009B05B5">
        <w:tc>
          <w:tcPr>
            <w:tcW w:w="1696" w:type="dxa"/>
            <w:shd w:val="clear" w:color="auto" w:fill="auto"/>
          </w:tcPr>
          <w:p w14:paraId="45AD8604" w14:textId="11AA879D" w:rsidR="009B05B5" w:rsidRPr="009B05B5" w:rsidRDefault="002B3ED7" w:rsidP="009B05B5">
            <w:pPr>
              <w:pStyle w:val="TableCellLeft"/>
            </w:pPr>
            <w:r w:rsidRPr="002B3ED7">
              <w:t>4b: People involved</w:t>
            </w:r>
          </w:p>
        </w:tc>
        <w:tc>
          <w:tcPr>
            <w:tcW w:w="6934" w:type="dxa"/>
            <w:shd w:val="clear" w:color="auto" w:fill="auto"/>
          </w:tcPr>
          <w:p w14:paraId="2CFB1A53" w14:textId="36DD2C53" w:rsidR="009B05B5" w:rsidRPr="009B05B5" w:rsidRDefault="002B3ED7" w:rsidP="009B05B5">
            <w:pPr>
              <w:pStyle w:val="TableCellLeft"/>
            </w:pPr>
            <w:r w:rsidRPr="002B3ED7">
              <w:t>Provide a description of patients, carers, and the public involved with the PPI activity in the study</w:t>
            </w:r>
          </w:p>
        </w:tc>
      </w:tr>
      <w:tr w:rsidR="009B05B5" w:rsidRPr="009B05B5" w14:paraId="52316C9C" w14:textId="77777777" w:rsidTr="009B05B5">
        <w:tc>
          <w:tcPr>
            <w:tcW w:w="1696" w:type="dxa"/>
            <w:shd w:val="clear" w:color="auto" w:fill="auto"/>
          </w:tcPr>
          <w:p w14:paraId="4CF697EE" w14:textId="0CD6C033" w:rsidR="009B05B5" w:rsidRPr="009B05B5" w:rsidRDefault="002B3ED7" w:rsidP="002B3ED7">
            <w:pPr>
              <w:pStyle w:val="TableCellLeft"/>
            </w:pPr>
            <w:r w:rsidRPr="002B3ED7">
              <w:lastRenderedPageBreak/>
              <w:t xml:space="preserve">4c: Stages of involvement </w:t>
            </w:r>
          </w:p>
        </w:tc>
        <w:tc>
          <w:tcPr>
            <w:tcW w:w="6934" w:type="dxa"/>
            <w:shd w:val="clear" w:color="auto" w:fill="auto"/>
          </w:tcPr>
          <w:p w14:paraId="2B2F5736" w14:textId="2F40AACF" w:rsidR="009B05B5" w:rsidRPr="009B05B5" w:rsidRDefault="002B3ED7" w:rsidP="009B05B5">
            <w:pPr>
              <w:pStyle w:val="TableCellLeft"/>
            </w:pPr>
            <w:r w:rsidRPr="002B3ED7">
              <w:t>Report on how PPI is used at different stages of the study</w:t>
            </w:r>
          </w:p>
        </w:tc>
      </w:tr>
      <w:tr w:rsidR="009B05B5" w:rsidRPr="009B05B5" w14:paraId="6D9E3BB5" w14:textId="77777777" w:rsidTr="009B05B5">
        <w:tc>
          <w:tcPr>
            <w:tcW w:w="1696" w:type="dxa"/>
            <w:shd w:val="clear" w:color="auto" w:fill="auto"/>
          </w:tcPr>
          <w:p w14:paraId="4D208D24" w14:textId="11C798AD" w:rsidR="009B05B5" w:rsidRPr="009B05B5" w:rsidRDefault="002B3ED7" w:rsidP="002B3ED7">
            <w:pPr>
              <w:pStyle w:val="TableCellLeft"/>
            </w:pPr>
            <w:r w:rsidRPr="002B3ED7">
              <w:t xml:space="preserve">4d: Level or nature of involvement </w:t>
            </w:r>
          </w:p>
        </w:tc>
        <w:tc>
          <w:tcPr>
            <w:tcW w:w="6934" w:type="dxa"/>
            <w:shd w:val="clear" w:color="auto" w:fill="auto"/>
          </w:tcPr>
          <w:p w14:paraId="74D36A34" w14:textId="7488157C" w:rsidR="009B05B5" w:rsidRPr="009B05B5" w:rsidRDefault="002B3ED7" w:rsidP="009B05B5">
            <w:pPr>
              <w:pStyle w:val="TableCellLeft"/>
            </w:pPr>
            <w:r w:rsidRPr="002B3ED7">
              <w:t>Report the level or nature of PPI used at various stages of the study</w:t>
            </w:r>
          </w:p>
        </w:tc>
      </w:tr>
      <w:tr w:rsidR="009B05B5" w:rsidRPr="009B05B5" w14:paraId="426817CA" w14:textId="77777777" w:rsidTr="009B05B5">
        <w:tc>
          <w:tcPr>
            <w:tcW w:w="1696" w:type="dxa"/>
            <w:shd w:val="clear" w:color="auto" w:fill="auto"/>
          </w:tcPr>
          <w:p w14:paraId="6A658178" w14:textId="3BC38C91" w:rsidR="009B05B5" w:rsidRPr="002B3ED7" w:rsidRDefault="002B3ED7" w:rsidP="009B05B5">
            <w:pPr>
              <w:pStyle w:val="TableCellLeft"/>
              <w:rPr>
                <w:b/>
              </w:rPr>
            </w:pPr>
            <w:r w:rsidRPr="002B3ED7">
              <w:rPr>
                <w:b/>
              </w:rPr>
              <w:t>Section 5: Capture or measurement of PPI impact</w:t>
            </w:r>
          </w:p>
        </w:tc>
        <w:tc>
          <w:tcPr>
            <w:tcW w:w="6934" w:type="dxa"/>
            <w:shd w:val="clear" w:color="auto" w:fill="auto"/>
          </w:tcPr>
          <w:p w14:paraId="5324B607" w14:textId="77777777" w:rsidR="009B05B5" w:rsidRPr="009B05B5" w:rsidRDefault="009B05B5" w:rsidP="009B05B5">
            <w:pPr>
              <w:pStyle w:val="TableCellLeft"/>
            </w:pPr>
          </w:p>
        </w:tc>
      </w:tr>
      <w:tr w:rsidR="009B05B5" w:rsidRPr="009B05B5" w14:paraId="709D0607" w14:textId="77777777" w:rsidTr="009B05B5">
        <w:tc>
          <w:tcPr>
            <w:tcW w:w="1696" w:type="dxa"/>
            <w:shd w:val="clear" w:color="auto" w:fill="auto"/>
          </w:tcPr>
          <w:p w14:paraId="2E6573C8" w14:textId="62D0D3D6" w:rsidR="009B05B5" w:rsidRPr="009B05B5" w:rsidRDefault="002B3ED7" w:rsidP="002B3ED7">
            <w:pPr>
              <w:pStyle w:val="TableCellLeft"/>
            </w:pPr>
            <w:r w:rsidRPr="002B3ED7">
              <w:t xml:space="preserve">5a: Qualitative evidence of impact </w:t>
            </w:r>
          </w:p>
        </w:tc>
        <w:tc>
          <w:tcPr>
            <w:tcW w:w="6934" w:type="dxa"/>
            <w:shd w:val="clear" w:color="auto" w:fill="auto"/>
          </w:tcPr>
          <w:p w14:paraId="05177981" w14:textId="5D973A95" w:rsidR="009B05B5" w:rsidRPr="009B05B5" w:rsidRDefault="002B3ED7" w:rsidP="009B05B5">
            <w:pPr>
              <w:pStyle w:val="TableCellLeft"/>
            </w:pPr>
            <w:r w:rsidRPr="002B3ED7">
              <w:t>If applicable, report the methods used to qualitatively explore the impact of PPI in the study</w:t>
            </w:r>
          </w:p>
        </w:tc>
      </w:tr>
      <w:tr w:rsidR="009B05B5" w:rsidRPr="009B05B5" w14:paraId="10793D91" w14:textId="77777777" w:rsidTr="009B05B5">
        <w:tc>
          <w:tcPr>
            <w:tcW w:w="1696" w:type="dxa"/>
            <w:shd w:val="clear" w:color="auto" w:fill="auto"/>
          </w:tcPr>
          <w:p w14:paraId="52FD3546" w14:textId="580B7440" w:rsidR="009B05B5" w:rsidRPr="009B05B5" w:rsidRDefault="002B3ED7" w:rsidP="002B3ED7">
            <w:pPr>
              <w:pStyle w:val="TableCellLeft"/>
            </w:pPr>
            <w:r w:rsidRPr="002B3ED7">
              <w:t xml:space="preserve">5b: Quantitative evidence of impact </w:t>
            </w:r>
          </w:p>
        </w:tc>
        <w:tc>
          <w:tcPr>
            <w:tcW w:w="6934" w:type="dxa"/>
            <w:shd w:val="clear" w:color="auto" w:fill="auto"/>
          </w:tcPr>
          <w:p w14:paraId="56F1ACA6" w14:textId="12528E0A" w:rsidR="009B05B5" w:rsidRPr="009B05B5" w:rsidRDefault="002B3ED7" w:rsidP="009B05B5">
            <w:pPr>
              <w:pStyle w:val="TableCellLeft"/>
            </w:pPr>
            <w:r w:rsidRPr="002B3ED7">
              <w:t>If applicable, report the methods used to quantitatively measure or assess the impact of PPI</w:t>
            </w:r>
          </w:p>
        </w:tc>
      </w:tr>
      <w:tr w:rsidR="009B05B5" w:rsidRPr="009B05B5" w14:paraId="7DDA3665" w14:textId="77777777" w:rsidTr="009B05B5">
        <w:tc>
          <w:tcPr>
            <w:tcW w:w="1696" w:type="dxa"/>
            <w:shd w:val="clear" w:color="auto" w:fill="auto"/>
          </w:tcPr>
          <w:p w14:paraId="163B8E50" w14:textId="450BFC22" w:rsidR="009B05B5" w:rsidRPr="009B05B5" w:rsidRDefault="002B3ED7" w:rsidP="002B3ED7">
            <w:pPr>
              <w:pStyle w:val="TableCellLeft"/>
            </w:pPr>
            <w:r w:rsidRPr="002B3ED7">
              <w:t xml:space="preserve">5c: Robustness of measure </w:t>
            </w:r>
          </w:p>
        </w:tc>
        <w:tc>
          <w:tcPr>
            <w:tcW w:w="6934" w:type="dxa"/>
            <w:shd w:val="clear" w:color="auto" w:fill="auto"/>
          </w:tcPr>
          <w:p w14:paraId="05CF541B" w14:textId="287DA38A" w:rsidR="009B05B5" w:rsidRPr="009B05B5" w:rsidRDefault="002B3ED7" w:rsidP="009B05B5">
            <w:pPr>
              <w:pStyle w:val="TableCellLeft"/>
            </w:pPr>
            <w:r w:rsidRPr="002B3ED7">
              <w:t>If applicable, report the rigour of the method used to capture or measure the impact of PPI</w:t>
            </w:r>
          </w:p>
        </w:tc>
      </w:tr>
      <w:tr w:rsidR="009B05B5" w:rsidRPr="009B05B5" w14:paraId="79EC70E3" w14:textId="77777777" w:rsidTr="009B05B5">
        <w:tc>
          <w:tcPr>
            <w:tcW w:w="1696" w:type="dxa"/>
            <w:shd w:val="clear" w:color="auto" w:fill="auto"/>
          </w:tcPr>
          <w:p w14:paraId="3765AF70" w14:textId="2867673B" w:rsidR="009B05B5" w:rsidRPr="002B3ED7" w:rsidRDefault="002B3ED7" w:rsidP="009B05B5">
            <w:pPr>
              <w:pStyle w:val="TableCellLeft"/>
              <w:rPr>
                <w:b/>
              </w:rPr>
            </w:pPr>
            <w:r w:rsidRPr="002B3ED7">
              <w:rPr>
                <w:b/>
              </w:rPr>
              <w:t>Section 6: Economic assessment</w:t>
            </w:r>
          </w:p>
        </w:tc>
        <w:tc>
          <w:tcPr>
            <w:tcW w:w="6934" w:type="dxa"/>
            <w:shd w:val="clear" w:color="auto" w:fill="auto"/>
          </w:tcPr>
          <w:p w14:paraId="53082125" w14:textId="77777777" w:rsidR="009B05B5" w:rsidRPr="009B05B5" w:rsidRDefault="009B05B5" w:rsidP="009B05B5">
            <w:pPr>
              <w:pStyle w:val="TableCellLeft"/>
            </w:pPr>
          </w:p>
        </w:tc>
      </w:tr>
      <w:tr w:rsidR="009B05B5" w:rsidRPr="009B05B5" w14:paraId="490F5E7E" w14:textId="77777777" w:rsidTr="009B05B5">
        <w:tc>
          <w:tcPr>
            <w:tcW w:w="1696" w:type="dxa"/>
            <w:shd w:val="clear" w:color="auto" w:fill="auto"/>
          </w:tcPr>
          <w:p w14:paraId="7EB3BC9B" w14:textId="65AE82AB" w:rsidR="009B05B5" w:rsidRPr="009B05B5" w:rsidRDefault="002B3ED7" w:rsidP="002B3ED7">
            <w:pPr>
              <w:pStyle w:val="TableCellLeft"/>
            </w:pPr>
            <w:r w:rsidRPr="002B3ED7">
              <w:t xml:space="preserve">6: Economic assessment </w:t>
            </w:r>
          </w:p>
        </w:tc>
        <w:tc>
          <w:tcPr>
            <w:tcW w:w="6934" w:type="dxa"/>
            <w:shd w:val="clear" w:color="auto" w:fill="auto"/>
          </w:tcPr>
          <w:p w14:paraId="50578829" w14:textId="289D9D0F" w:rsidR="009B05B5" w:rsidRPr="009B05B5" w:rsidRDefault="002B3ED7" w:rsidP="009B05B5">
            <w:pPr>
              <w:pStyle w:val="TableCellLeft"/>
            </w:pPr>
            <w:r w:rsidRPr="002B3ED7">
              <w:t>If applicable, report the method used for an economic assessment of PPI</w:t>
            </w:r>
          </w:p>
        </w:tc>
      </w:tr>
      <w:tr w:rsidR="009B05B5" w:rsidRPr="009B05B5" w14:paraId="5DE6A70B" w14:textId="77777777" w:rsidTr="009B05B5">
        <w:tc>
          <w:tcPr>
            <w:tcW w:w="1696" w:type="dxa"/>
            <w:shd w:val="clear" w:color="auto" w:fill="auto"/>
          </w:tcPr>
          <w:p w14:paraId="6DA8DA31" w14:textId="0B1EE4E4" w:rsidR="009B05B5" w:rsidRPr="001A07CF" w:rsidRDefault="001A07CF" w:rsidP="009B05B5">
            <w:pPr>
              <w:pStyle w:val="TableCellLeft"/>
              <w:rPr>
                <w:b/>
              </w:rPr>
            </w:pPr>
            <w:r w:rsidRPr="001A07CF">
              <w:rPr>
                <w:b/>
              </w:rPr>
              <w:t>Section 7: Study results</w:t>
            </w:r>
          </w:p>
        </w:tc>
        <w:tc>
          <w:tcPr>
            <w:tcW w:w="6934" w:type="dxa"/>
            <w:shd w:val="clear" w:color="auto" w:fill="auto"/>
          </w:tcPr>
          <w:p w14:paraId="01C78284" w14:textId="77777777" w:rsidR="009B05B5" w:rsidRPr="009B05B5" w:rsidRDefault="009B05B5" w:rsidP="009B05B5">
            <w:pPr>
              <w:pStyle w:val="TableCellLeft"/>
            </w:pPr>
          </w:p>
        </w:tc>
      </w:tr>
      <w:tr w:rsidR="009B05B5" w:rsidRPr="009B05B5" w14:paraId="254D081E" w14:textId="77777777" w:rsidTr="009B05B5">
        <w:tc>
          <w:tcPr>
            <w:tcW w:w="1696" w:type="dxa"/>
            <w:shd w:val="clear" w:color="auto" w:fill="auto"/>
          </w:tcPr>
          <w:p w14:paraId="74A32776" w14:textId="0653AEAD" w:rsidR="009B05B5" w:rsidRPr="009B05B5" w:rsidRDefault="001A07CF" w:rsidP="001A07CF">
            <w:pPr>
              <w:pStyle w:val="TableCellLeft"/>
            </w:pPr>
            <w:r w:rsidRPr="001A07CF">
              <w:t xml:space="preserve">7a: Outcomes of PPI </w:t>
            </w:r>
          </w:p>
        </w:tc>
        <w:tc>
          <w:tcPr>
            <w:tcW w:w="6934" w:type="dxa"/>
            <w:shd w:val="clear" w:color="auto" w:fill="auto"/>
          </w:tcPr>
          <w:p w14:paraId="322DE23D" w14:textId="3711A712" w:rsidR="009B05B5" w:rsidRPr="009B05B5" w:rsidRDefault="001A07CF" w:rsidP="009B05B5">
            <w:pPr>
              <w:pStyle w:val="TableCellLeft"/>
            </w:pPr>
            <w:r w:rsidRPr="001A07CF">
              <w:t>Report the results of PPI in the study, including both positive and negative outcomes</w:t>
            </w:r>
          </w:p>
        </w:tc>
      </w:tr>
      <w:tr w:rsidR="009B05B5" w:rsidRPr="009B05B5" w14:paraId="583C489D" w14:textId="77777777" w:rsidTr="009B05B5">
        <w:tc>
          <w:tcPr>
            <w:tcW w:w="1696" w:type="dxa"/>
            <w:shd w:val="clear" w:color="auto" w:fill="auto"/>
          </w:tcPr>
          <w:p w14:paraId="173D2517" w14:textId="70B549C2" w:rsidR="009B05B5" w:rsidRPr="009B05B5" w:rsidRDefault="001A07CF" w:rsidP="00920D6C">
            <w:pPr>
              <w:pStyle w:val="TableCellLeft"/>
            </w:pPr>
            <w:r>
              <w:t xml:space="preserve">7b: Impacts of PPI </w:t>
            </w:r>
          </w:p>
        </w:tc>
        <w:tc>
          <w:tcPr>
            <w:tcW w:w="6934" w:type="dxa"/>
            <w:shd w:val="clear" w:color="auto" w:fill="auto"/>
          </w:tcPr>
          <w:p w14:paraId="1FC4B40E" w14:textId="1A662AFF" w:rsidR="009B05B5" w:rsidRPr="009B05B5" w:rsidRDefault="001A07CF" w:rsidP="00920D6C">
            <w:pPr>
              <w:pStyle w:val="TableCellLeft"/>
            </w:pPr>
            <w:r>
              <w:t>Report the positive and negative impacts that PPI has had on the research, the individuals involved</w:t>
            </w:r>
            <w:r w:rsidR="00920D6C">
              <w:t xml:space="preserve"> </w:t>
            </w:r>
            <w:r>
              <w:t>(including patients and researchers), and wider impacts</w:t>
            </w:r>
          </w:p>
        </w:tc>
      </w:tr>
      <w:tr w:rsidR="009B05B5" w:rsidRPr="009B05B5" w14:paraId="7EAB3F7F" w14:textId="77777777" w:rsidTr="009B05B5">
        <w:tc>
          <w:tcPr>
            <w:tcW w:w="1696" w:type="dxa"/>
            <w:shd w:val="clear" w:color="auto" w:fill="auto"/>
          </w:tcPr>
          <w:p w14:paraId="1BBA8C79" w14:textId="434E90CC" w:rsidR="009B05B5" w:rsidRPr="009B05B5" w:rsidRDefault="001A07CF" w:rsidP="001A07CF">
            <w:pPr>
              <w:pStyle w:val="TableCellLeft"/>
            </w:pPr>
            <w:r w:rsidRPr="001A07CF">
              <w:t xml:space="preserve">7c: Context of PPI </w:t>
            </w:r>
          </w:p>
        </w:tc>
        <w:tc>
          <w:tcPr>
            <w:tcW w:w="6934" w:type="dxa"/>
            <w:shd w:val="clear" w:color="auto" w:fill="auto"/>
          </w:tcPr>
          <w:p w14:paraId="5EABC4D6" w14:textId="268797EE" w:rsidR="009B05B5" w:rsidRPr="009B05B5" w:rsidRDefault="001A07CF" w:rsidP="009B05B5">
            <w:pPr>
              <w:pStyle w:val="TableCellLeft"/>
            </w:pPr>
            <w:r w:rsidRPr="001A07CF">
              <w:t>Report the influence of any contextual factors that enabled or hindered the process or impact of PPI</w:t>
            </w:r>
          </w:p>
        </w:tc>
      </w:tr>
      <w:tr w:rsidR="009B05B5" w:rsidRPr="009B05B5" w14:paraId="00FDB7E5" w14:textId="77777777" w:rsidTr="009B05B5">
        <w:tc>
          <w:tcPr>
            <w:tcW w:w="1696" w:type="dxa"/>
            <w:shd w:val="clear" w:color="auto" w:fill="auto"/>
          </w:tcPr>
          <w:p w14:paraId="0AAFF1B6" w14:textId="0ACFA2FE" w:rsidR="009B05B5" w:rsidRPr="009B05B5" w:rsidRDefault="001A07CF" w:rsidP="001A07CF">
            <w:pPr>
              <w:pStyle w:val="TableCellLeft"/>
            </w:pPr>
            <w:r w:rsidRPr="001A07CF">
              <w:t xml:space="preserve">7d: Process of PPI </w:t>
            </w:r>
          </w:p>
        </w:tc>
        <w:tc>
          <w:tcPr>
            <w:tcW w:w="6934" w:type="dxa"/>
            <w:shd w:val="clear" w:color="auto" w:fill="auto"/>
          </w:tcPr>
          <w:p w14:paraId="1AD88F4A" w14:textId="74EE60C2" w:rsidR="009B05B5" w:rsidRPr="009B05B5" w:rsidRDefault="001A07CF" w:rsidP="009B05B5">
            <w:pPr>
              <w:pStyle w:val="TableCellLeft"/>
            </w:pPr>
            <w:r w:rsidRPr="001A07CF">
              <w:t>Report the influence of any process factors, that enabled or hindered the impact of PPI</w:t>
            </w:r>
          </w:p>
        </w:tc>
      </w:tr>
      <w:tr w:rsidR="009B05B5" w:rsidRPr="009B05B5" w14:paraId="0922FB1A" w14:textId="77777777" w:rsidTr="009B05B5">
        <w:tc>
          <w:tcPr>
            <w:tcW w:w="1696" w:type="dxa"/>
            <w:shd w:val="clear" w:color="auto" w:fill="auto"/>
          </w:tcPr>
          <w:p w14:paraId="20846D89" w14:textId="67609A81" w:rsidR="009B05B5" w:rsidRPr="009B05B5" w:rsidRDefault="001A07CF" w:rsidP="001A07CF">
            <w:pPr>
              <w:pStyle w:val="TableCellLeft"/>
            </w:pPr>
            <w:r w:rsidRPr="001A07CF">
              <w:t xml:space="preserve">7ei: Theory development </w:t>
            </w:r>
          </w:p>
        </w:tc>
        <w:tc>
          <w:tcPr>
            <w:tcW w:w="6934" w:type="dxa"/>
            <w:shd w:val="clear" w:color="auto" w:fill="auto"/>
          </w:tcPr>
          <w:p w14:paraId="136AF418" w14:textId="46C88426" w:rsidR="009B05B5" w:rsidRPr="009B05B5" w:rsidRDefault="001A07CF" w:rsidP="009B05B5">
            <w:pPr>
              <w:pStyle w:val="TableCellLeft"/>
            </w:pPr>
            <w:r w:rsidRPr="001A07CF">
              <w:t>Report any conceptual or theoretical development in PPI that have emerged</w:t>
            </w:r>
          </w:p>
        </w:tc>
      </w:tr>
      <w:tr w:rsidR="009B05B5" w:rsidRPr="009B05B5" w14:paraId="40989214" w14:textId="77777777" w:rsidTr="009B05B5">
        <w:tc>
          <w:tcPr>
            <w:tcW w:w="1696" w:type="dxa"/>
            <w:shd w:val="clear" w:color="auto" w:fill="auto"/>
          </w:tcPr>
          <w:p w14:paraId="1E07BD05" w14:textId="16A3B6AF" w:rsidR="009B05B5" w:rsidRPr="009B05B5" w:rsidRDefault="001A07CF" w:rsidP="001A07CF">
            <w:pPr>
              <w:pStyle w:val="TableCellLeft"/>
            </w:pPr>
            <w:r w:rsidRPr="001A07CF">
              <w:t xml:space="preserve">7eii: Theory development </w:t>
            </w:r>
          </w:p>
        </w:tc>
        <w:tc>
          <w:tcPr>
            <w:tcW w:w="6934" w:type="dxa"/>
            <w:shd w:val="clear" w:color="auto" w:fill="auto"/>
          </w:tcPr>
          <w:p w14:paraId="29EB3D3A" w14:textId="547BB714" w:rsidR="009B05B5" w:rsidRPr="009B05B5" w:rsidRDefault="001A07CF" w:rsidP="009B05B5">
            <w:pPr>
              <w:pStyle w:val="TableCellLeft"/>
            </w:pPr>
            <w:r w:rsidRPr="001A07CF">
              <w:t>Report testing of theoretical models, if any</w:t>
            </w:r>
          </w:p>
        </w:tc>
      </w:tr>
      <w:tr w:rsidR="009B05B5" w:rsidRPr="009B05B5" w14:paraId="09ABC38A" w14:textId="77777777" w:rsidTr="009B05B5">
        <w:tc>
          <w:tcPr>
            <w:tcW w:w="1696" w:type="dxa"/>
            <w:shd w:val="clear" w:color="auto" w:fill="auto"/>
          </w:tcPr>
          <w:p w14:paraId="3828EDB5" w14:textId="1CF7E4BF" w:rsidR="009B05B5" w:rsidRPr="009B05B5" w:rsidRDefault="001A07CF" w:rsidP="001A07CF">
            <w:pPr>
              <w:pStyle w:val="TableCellLeft"/>
            </w:pPr>
            <w:r w:rsidRPr="001A07CF">
              <w:t xml:space="preserve">7f: Measurement </w:t>
            </w:r>
          </w:p>
        </w:tc>
        <w:tc>
          <w:tcPr>
            <w:tcW w:w="6934" w:type="dxa"/>
            <w:shd w:val="clear" w:color="auto" w:fill="auto"/>
          </w:tcPr>
          <w:p w14:paraId="15341239" w14:textId="610B6674" w:rsidR="009B05B5" w:rsidRPr="009B05B5" w:rsidRDefault="001A07CF" w:rsidP="009B05B5">
            <w:pPr>
              <w:pStyle w:val="TableCellLeft"/>
            </w:pPr>
            <w:r w:rsidRPr="001A07CF">
              <w:t>If applicable, report all aspects of instrument development and testing (</w:t>
            </w:r>
            <w:proofErr w:type="spellStart"/>
            <w:r w:rsidRPr="001A07CF">
              <w:t>eg</w:t>
            </w:r>
            <w:proofErr w:type="spellEnd"/>
            <w:r w:rsidRPr="001A07CF">
              <w:t>, validity, reliability, feasibility, acceptability, responsiveness, interpretability, appropriateness, precision)</w:t>
            </w:r>
          </w:p>
        </w:tc>
      </w:tr>
      <w:tr w:rsidR="009B05B5" w:rsidRPr="009B05B5" w14:paraId="212E6FF3" w14:textId="77777777" w:rsidTr="009B05B5">
        <w:tc>
          <w:tcPr>
            <w:tcW w:w="1696" w:type="dxa"/>
            <w:shd w:val="clear" w:color="auto" w:fill="auto"/>
          </w:tcPr>
          <w:p w14:paraId="1D794CC4" w14:textId="0531A4A7" w:rsidR="009B05B5" w:rsidRPr="009B05B5" w:rsidRDefault="00475326" w:rsidP="00475326">
            <w:pPr>
              <w:pStyle w:val="TableCellLeft"/>
            </w:pPr>
            <w:r w:rsidRPr="00475326">
              <w:lastRenderedPageBreak/>
              <w:t xml:space="preserve">7g: Economic assessment </w:t>
            </w:r>
          </w:p>
        </w:tc>
        <w:tc>
          <w:tcPr>
            <w:tcW w:w="6934" w:type="dxa"/>
            <w:shd w:val="clear" w:color="auto" w:fill="auto"/>
          </w:tcPr>
          <w:p w14:paraId="5182C78E" w14:textId="139DC51A" w:rsidR="009B05B5" w:rsidRPr="009B05B5" w:rsidRDefault="00475326" w:rsidP="009B05B5">
            <w:pPr>
              <w:pStyle w:val="TableCellLeft"/>
            </w:pPr>
            <w:r w:rsidRPr="00475326">
              <w:t>Report any information on the costs or benefit of PPI</w:t>
            </w:r>
          </w:p>
        </w:tc>
      </w:tr>
      <w:tr w:rsidR="009B05B5" w:rsidRPr="009B05B5" w14:paraId="55A43B42" w14:textId="77777777" w:rsidTr="009B05B5">
        <w:tc>
          <w:tcPr>
            <w:tcW w:w="1696" w:type="dxa"/>
            <w:shd w:val="clear" w:color="auto" w:fill="auto"/>
          </w:tcPr>
          <w:p w14:paraId="0D897D32" w14:textId="7E63A598" w:rsidR="009B05B5" w:rsidRPr="00C15E7D" w:rsidRDefault="00475326" w:rsidP="009B05B5">
            <w:pPr>
              <w:pStyle w:val="TableCellLeft"/>
              <w:rPr>
                <w:b/>
              </w:rPr>
            </w:pPr>
            <w:r w:rsidRPr="00C15E7D">
              <w:rPr>
                <w:b/>
              </w:rPr>
              <w:t>Section 8: Discussion and conclusions</w:t>
            </w:r>
          </w:p>
        </w:tc>
        <w:tc>
          <w:tcPr>
            <w:tcW w:w="6934" w:type="dxa"/>
            <w:shd w:val="clear" w:color="auto" w:fill="auto"/>
          </w:tcPr>
          <w:p w14:paraId="6E949851" w14:textId="06881C2A" w:rsidR="009B05B5" w:rsidRPr="009B05B5" w:rsidRDefault="00475326" w:rsidP="009B05B5">
            <w:pPr>
              <w:pStyle w:val="TableCellLeft"/>
            </w:pPr>
            <w:r w:rsidRPr="00475326">
              <w:t>Comment on how PPI influenced the study overall. Describe positive and negative effects</w:t>
            </w:r>
          </w:p>
        </w:tc>
      </w:tr>
      <w:tr w:rsidR="009B05B5" w:rsidRPr="009B05B5" w14:paraId="592AE00A" w14:textId="77777777" w:rsidTr="009B05B5">
        <w:tc>
          <w:tcPr>
            <w:tcW w:w="1696" w:type="dxa"/>
            <w:shd w:val="clear" w:color="auto" w:fill="auto"/>
          </w:tcPr>
          <w:p w14:paraId="67F45E0B" w14:textId="00484ABC" w:rsidR="00475326" w:rsidRPr="009B05B5" w:rsidRDefault="00475326" w:rsidP="00475326">
            <w:pPr>
              <w:pStyle w:val="TableCellLeft"/>
            </w:pPr>
            <w:r>
              <w:t xml:space="preserve">8b: Impacts </w:t>
            </w:r>
          </w:p>
          <w:p w14:paraId="1882391B" w14:textId="014D686C" w:rsidR="009B05B5" w:rsidRPr="009B05B5" w:rsidRDefault="009B05B5" w:rsidP="00475326">
            <w:pPr>
              <w:pStyle w:val="TableCellLeft"/>
            </w:pPr>
          </w:p>
        </w:tc>
        <w:tc>
          <w:tcPr>
            <w:tcW w:w="6934" w:type="dxa"/>
            <w:shd w:val="clear" w:color="auto" w:fill="auto"/>
          </w:tcPr>
          <w:p w14:paraId="56D58A63" w14:textId="076D46DB" w:rsidR="009B05B5" w:rsidRPr="009B05B5" w:rsidRDefault="00475326" w:rsidP="00920D6C">
            <w:pPr>
              <w:pStyle w:val="TableCellLeft"/>
            </w:pPr>
            <w:r>
              <w:t>Comment on the different impacts of PPI identified in this study and how they contribute to new</w:t>
            </w:r>
            <w:r w:rsidR="00920D6C">
              <w:t xml:space="preserve"> </w:t>
            </w:r>
            <w:r>
              <w:t>knowledge</w:t>
            </w:r>
          </w:p>
        </w:tc>
      </w:tr>
      <w:tr w:rsidR="009B05B5" w:rsidRPr="009B05B5" w14:paraId="0F59CB27" w14:textId="77777777" w:rsidTr="009B05B5">
        <w:tc>
          <w:tcPr>
            <w:tcW w:w="1696" w:type="dxa"/>
            <w:shd w:val="clear" w:color="auto" w:fill="auto"/>
          </w:tcPr>
          <w:p w14:paraId="38D80EDC" w14:textId="7F6FD1AC" w:rsidR="00475326" w:rsidRPr="009B05B5" w:rsidRDefault="00475326" w:rsidP="00475326">
            <w:pPr>
              <w:pStyle w:val="TableCellLeft"/>
            </w:pPr>
            <w:r>
              <w:t xml:space="preserve">8c: Definition </w:t>
            </w:r>
          </w:p>
          <w:p w14:paraId="5CE1C4EF" w14:textId="4CF6CD9F" w:rsidR="009B05B5" w:rsidRPr="009B05B5" w:rsidRDefault="009B05B5" w:rsidP="00475326">
            <w:pPr>
              <w:pStyle w:val="TableCellLeft"/>
            </w:pPr>
          </w:p>
        </w:tc>
        <w:tc>
          <w:tcPr>
            <w:tcW w:w="6934" w:type="dxa"/>
            <w:shd w:val="clear" w:color="auto" w:fill="auto"/>
          </w:tcPr>
          <w:p w14:paraId="5C4CF4D7" w14:textId="0A86D080" w:rsidR="009B05B5" w:rsidRPr="009B05B5" w:rsidRDefault="00475326" w:rsidP="00920D6C">
            <w:pPr>
              <w:pStyle w:val="TableCellLeft"/>
            </w:pPr>
            <w:r>
              <w:t>Comment on the definition of PPI used (reported in the Background section) and whether or not you</w:t>
            </w:r>
            <w:r w:rsidR="00920D6C">
              <w:t xml:space="preserve"> </w:t>
            </w:r>
            <w:r>
              <w:t>would suggest any changes</w:t>
            </w:r>
          </w:p>
        </w:tc>
      </w:tr>
      <w:tr w:rsidR="009B05B5" w:rsidRPr="009B05B5" w14:paraId="2CE582B7" w14:textId="77777777" w:rsidTr="009B05B5">
        <w:tc>
          <w:tcPr>
            <w:tcW w:w="1696" w:type="dxa"/>
            <w:shd w:val="clear" w:color="auto" w:fill="auto"/>
          </w:tcPr>
          <w:p w14:paraId="02D351FE" w14:textId="6ED8954C" w:rsidR="009B05B5" w:rsidRPr="009B05B5" w:rsidRDefault="00475326" w:rsidP="00475326">
            <w:pPr>
              <w:pStyle w:val="TableCellLeft"/>
            </w:pPr>
            <w:r w:rsidRPr="00475326">
              <w:t xml:space="preserve">8d: Theoretical underpinnings </w:t>
            </w:r>
          </w:p>
        </w:tc>
        <w:tc>
          <w:tcPr>
            <w:tcW w:w="6934" w:type="dxa"/>
            <w:shd w:val="clear" w:color="auto" w:fill="auto"/>
          </w:tcPr>
          <w:p w14:paraId="7FFD20F0" w14:textId="613DDC3E" w:rsidR="009B05B5" w:rsidRPr="009B05B5" w:rsidRDefault="00475326" w:rsidP="009B05B5">
            <w:pPr>
              <w:pStyle w:val="TableCellLeft"/>
            </w:pPr>
            <w:r w:rsidRPr="00475326">
              <w:t>Comment on any way your study adds to the theoretical development of PPI</w:t>
            </w:r>
          </w:p>
        </w:tc>
      </w:tr>
      <w:tr w:rsidR="009B05B5" w:rsidRPr="009B05B5" w14:paraId="3C85D506" w14:textId="77777777" w:rsidTr="009B05B5">
        <w:tc>
          <w:tcPr>
            <w:tcW w:w="1696" w:type="dxa"/>
            <w:shd w:val="clear" w:color="auto" w:fill="auto"/>
          </w:tcPr>
          <w:p w14:paraId="7BD463B2" w14:textId="499EC1E0" w:rsidR="009B05B5" w:rsidRPr="009B05B5" w:rsidRDefault="00475326" w:rsidP="00475326">
            <w:pPr>
              <w:pStyle w:val="TableCellLeft"/>
            </w:pPr>
            <w:r w:rsidRPr="00475326">
              <w:t xml:space="preserve">8e: Context </w:t>
            </w:r>
          </w:p>
        </w:tc>
        <w:tc>
          <w:tcPr>
            <w:tcW w:w="6934" w:type="dxa"/>
            <w:shd w:val="clear" w:color="auto" w:fill="auto"/>
          </w:tcPr>
          <w:p w14:paraId="1E018CDE" w14:textId="56FF3FFC" w:rsidR="009B05B5" w:rsidRPr="009B05B5" w:rsidRDefault="00475326" w:rsidP="009B05B5">
            <w:pPr>
              <w:pStyle w:val="TableCellLeft"/>
            </w:pPr>
            <w:r w:rsidRPr="00475326">
              <w:t>Comment on how context factors influenced PPI in the study</w:t>
            </w:r>
          </w:p>
        </w:tc>
      </w:tr>
      <w:tr w:rsidR="009B05B5" w:rsidRPr="009B05B5" w14:paraId="107722BD" w14:textId="77777777" w:rsidTr="009B05B5">
        <w:tc>
          <w:tcPr>
            <w:tcW w:w="1696" w:type="dxa"/>
            <w:shd w:val="clear" w:color="auto" w:fill="auto"/>
          </w:tcPr>
          <w:p w14:paraId="754A1FBE" w14:textId="4A86B935" w:rsidR="009B05B5" w:rsidRPr="009B05B5" w:rsidRDefault="00475326" w:rsidP="00475326">
            <w:pPr>
              <w:pStyle w:val="TableCellLeft"/>
            </w:pPr>
            <w:r w:rsidRPr="00475326">
              <w:t xml:space="preserve">8f: Process </w:t>
            </w:r>
          </w:p>
        </w:tc>
        <w:tc>
          <w:tcPr>
            <w:tcW w:w="6934" w:type="dxa"/>
            <w:shd w:val="clear" w:color="auto" w:fill="auto"/>
          </w:tcPr>
          <w:p w14:paraId="37B0B0B0" w14:textId="5E7EB802" w:rsidR="009B05B5" w:rsidRPr="009B05B5" w:rsidRDefault="00475326" w:rsidP="009B05B5">
            <w:pPr>
              <w:pStyle w:val="TableCellLeft"/>
            </w:pPr>
            <w:r w:rsidRPr="00475326">
              <w:t>Comment on how process factors influenced PPI in the study</w:t>
            </w:r>
          </w:p>
        </w:tc>
      </w:tr>
      <w:tr w:rsidR="009B05B5" w:rsidRPr="009B05B5" w14:paraId="4E24116D" w14:textId="77777777" w:rsidTr="009B05B5">
        <w:tc>
          <w:tcPr>
            <w:tcW w:w="1696" w:type="dxa"/>
            <w:shd w:val="clear" w:color="auto" w:fill="auto"/>
          </w:tcPr>
          <w:p w14:paraId="457C551F" w14:textId="4D08D9DC" w:rsidR="009B05B5" w:rsidRPr="009B05B5" w:rsidRDefault="00475326" w:rsidP="00475326">
            <w:pPr>
              <w:pStyle w:val="TableCellLeft"/>
            </w:pPr>
            <w:r w:rsidRPr="00475326">
              <w:t xml:space="preserve">8g: Measurement and capture of PPI impact </w:t>
            </w:r>
          </w:p>
        </w:tc>
        <w:tc>
          <w:tcPr>
            <w:tcW w:w="6934" w:type="dxa"/>
            <w:shd w:val="clear" w:color="auto" w:fill="auto"/>
          </w:tcPr>
          <w:p w14:paraId="4DDA6366" w14:textId="6B997D51" w:rsidR="009B05B5" w:rsidRPr="009B05B5" w:rsidRDefault="00475326" w:rsidP="009B05B5">
            <w:pPr>
              <w:pStyle w:val="TableCellLeft"/>
            </w:pPr>
            <w:r w:rsidRPr="00475326">
              <w:t>If applicable, comment on how well PPI impact was evaluated or measured in the study</w:t>
            </w:r>
          </w:p>
        </w:tc>
      </w:tr>
      <w:tr w:rsidR="00475326" w:rsidRPr="009B05B5" w14:paraId="2B9C7B2A" w14:textId="77777777" w:rsidTr="009B05B5">
        <w:tc>
          <w:tcPr>
            <w:tcW w:w="1696" w:type="dxa"/>
            <w:shd w:val="clear" w:color="auto" w:fill="auto"/>
          </w:tcPr>
          <w:p w14:paraId="3BF4BD8C" w14:textId="19987A95" w:rsidR="00475326" w:rsidRPr="00475326" w:rsidRDefault="00475326" w:rsidP="00475326">
            <w:pPr>
              <w:pStyle w:val="TableCellLeft"/>
            </w:pPr>
            <w:r>
              <w:t xml:space="preserve">8h: Economic assessment </w:t>
            </w:r>
          </w:p>
          <w:p w14:paraId="145AA395" w14:textId="7C762B8E" w:rsidR="00475326" w:rsidRPr="00475326" w:rsidRDefault="00475326" w:rsidP="00475326">
            <w:pPr>
              <w:pStyle w:val="TableCellLeft"/>
            </w:pPr>
          </w:p>
        </w:tc>
        <w:tc>
          <w:tcPr>
            <w:tcW w:w="6934" w:type="dxa"/>
            <w:shd w:val="clear" w:color="auto" w:fill="auto"/>
          </w:tcPr>
          <w:p w14:paraId="74423948" w14:textId="12538D01" w:rsidR="00475326" w:rsidRPr="00475326" w:rsidRDefault="00475326" w:rsidP="00920D6C">
            <w:pPr>
              <w:pStyle w:val="TableCellLeft"/>
            </w:pPr>
            <w:r>
              <w:t>If applicable, discuss any aspects of the economic cost or benefit of PPI, particularly any suggestions</w:t>
            </w:r>
            <w:r w:rsidR="00920D6C">
              <w:t xml:space="preserve"> </w:t>
            </w:r>
            <w:r>
              <w:t>for future economic modelling.</w:t>
            </w:r>
          </w:p>
        </w:tc>
      </w:tr>
      <w:tr w:rsidR="00475326" w:rsidRPr="009B05B5" w14:paraId="555AA8EB" w14:textId="77777777" w:rsidTr="009B05B5">
        <w:tc>
          <w:tcPr>
            <w:tcW w:w="1696" w:type="dxa"/>
            <w:shd w:val="clear" w:color="auto" w:fill="auto"/>
          </w:tcPr>
          <w:p w14:paraId="7906488A" w14:textId="686F8D3F" w:rsidR="00475326" w:rsidRDefault="00475326" w:rsidP="00475326">
            <w:pPr>
              <w:pStyle w:val="TableCellLeft"/>
            </w:pPr>
            <w:r>
              <w:t xml:space="preserve">8i: Reflections/critical perspective </w:t>
            </w:r>
          </w:p>
        </w:tc>
        <w:tc>
          <w:tcPr>
            <w:tcW w:w="6934" w:type="dxa"/>
            <w:shd w:val="clear" w:color="auto" w:fill="auto"/>
          </w:tcPr>
          <w:p w14:paraId="0119C9AD" w14:textId="7A2E9784" w:rsidR="00475326" w:rsidRDefault="00475326" w:rsidP="00920D6C">
            <w:pPr>
              <w:pStyle w:val="TableCellLeft"/>
            </w:pPr>
            <w:r>
              <w:t>Comment critically on the study, reflecting on the things that went well and those that did not, so that</w:t>
            </w:r>
            <w:r w:rsidR="00920D6C">
              <w:t xml:space="preserve"> </w:t>
            </w:r>
            <w:r>
              <w:t>others can learn from this study</w:t>
            </w:r>
          </w:p>
        </w:tc>
      </w:tr>
    </w:tbl>
    <w:p w14:paraId="5DB614CC" w14:textId="57BC01D2" w:rsidR="009B05B5" w:rsidRDefault="00C15E7D" w:rsidP="009B05B5">
      <w:r>
        <w:t>PPI=Public and patient involvement</w:t>
      </w:r>
    </w:p>
    <w:p w14:paraId="28D19085" w14:textId="688067EE" w:rsidR="00977FB8" w:rsidRDefault="00977FB8" w:rsidP="00977FB8">
      <w:pPr>
        <w:pStyle w:val="TableTitle"/>
      </w:pPr>
      <w:r>
        <w:t>Table G1.2 GRIPP short form</w:t>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689"/>
        <w:gridCol w:w="5941"/>
      </w:tblGrid>
      <w:tr w:rsidR="00C15E7D" w:rsidRPr="00C15E7D" w14:paraId="5C1B04AA" w14:textId="77777777" w:rsidTr="00C15E7D">
        <w:trPr>
          <w:tblHeader/>
        </w:trPr>
        <w:tc>
          <w:tcPr>
            <w:tcW w:w="2689" w:type="dxa"/>
            <w:shd w:val="clear" w:color="auto" w:fill="auto"/>
          </w:tcPr>
          <w:p w14:paraId="699559F2" w14:textId="4E2E8897" w:rsidR="00C15E7D" w:rsidRPr="00C15E7D" w:rsidRDefault="00C15E7D" w:rsidP="00C15E7D">
            <w:pPr>
              <w:pStyle w:val="TableHead"/>
            </w:pPr>
            <w:r>
              <w:t>Section and topic</w:t>
            </w:r>
          </w:p>
        </w:tc>
        <w:tc>
          <w:tcPr>
            <w:tcW w:w="5941" w:type="dxa"/>
            <w:shd w:val="clear" w:color="auto" w:fill="auto"/>
          </w:tcPr>
          <w:p w14:paraId="21A899A5" w14:textId="6E68A401" w:rsidR="00C15E7D" w:rsidRPr="00C15E7D" w:rsidRDefault="00C15E7D" w:rsidP="00C15E7D">
            <w:pPr>
              <w:pStyle w:val="TableHead"/>
            </w:pPr>
            <w:r>
              <w:t xml:space="preserve">Item </w:t>
            </w:r>
          </w:p>
        </w:tc>
      </w:tr>
      <w:tr w:rsidR="00C15E7D" w:rsidRPr="00C15E7D" w14:paraId="21BA45C6" w14:textId="77777777" w:rsidTr="00C15E7D">
        <w:tc>
          <w:tcPr>
            <w:tcW w:w="2689" w:type="dxa"/>
            <w:shd w:val="clear" w:color="auto" w:fill="auto"/>
          </w:tcPr>
          <w:p w14:paraId="138ED0AB" w14:textId="363CA361" w:rsidR="00C15E7D" w:rsidRPr="00C15E7D" w:rsidRDefault="00C15E7D" w:rsidP="00C15E7D">
            <w:pPr>
              <w:pStyle w:val="TableCellLeft"/>
            </w:pPr>
            <w:r w:rsidRPr="00C15E7D">
              <w:t xml:space="preserve">1: Aim </w:t>
            </w:r>
          </w:p>
        </w:tc>
        <w:tc>
          <w:tcPr>
            <w:tcW w:w="5941" w:type="dxa"/>
            <w:shd w:val="clear" w:color="auto" w:fill="auto"/>
          </w:tcPr>
          <w:p w14:paraId="68E7DA9A" w14:textId="71BD93EE" w:rsidR="00C15E7D" w:rsidRPr="00C15E7D" w:rsidRDefault="00C15E7D" w:rsidP="00C15E7D">
            <w:pPr>
              <w:pStyle w:val="TableCellLeft"/>
            </w:pPr>
            <w:r w:rsidRPr="00C15E7D">
              <w:t>Report the aim of PPI in the study</w:t>
            </w:r>
          </w:p>
        </w:tc>
      </w:tr>
      <w:tr w:rsidR="00C15E7D" w:rsidRPr="00C15E7D" w14:paraId="0E72B956" w14:textId="77777777" w:rsidTr="00C15E7D">
        <w:tc>
          <w:tcPr>
            <w:tcW w:w="2689" w:type="dxa"/>
            <w:shd w:val="clear" w:color="auto" w:fill="auto"/>
          </w:tcPr>
          <w:p w14:paraId="02139221" w14:textId="74AAC764" w:rsidR="00C15E7D" w:rsidRPr="00C15E7D" w:rsidRDefault="00C15E7D" w:rsidP="00C15E7D">
            <w:pPr>
              <w:pStyle w:val="TableCellLeft"/>
            </w:pPr>
            <w:r w:rsidRPr="00C15E7D">
              <w:t xml:space="preserve">2: Methods </w:t>
            </w:r>
          </w:p>
        </w:tc>
        <w:tc>
          <w:tcPr>
            <w:tcW w:w="5941" w:type="dxa"/>
            <w:shd w:val="clear" w:color="auto" w:fill="auto"/>
          </w:tcPr>
          <w:p w14:paraId="43D99D42" w14:textId="14EDB58E" w:rsidR="00C15E7D" w:rsidRPr="00C15E7D" w:rsidRDefault="00C15E7D" w:rsidP="00C15E7D">
            <w:pPr>
              <w:pStyle w:val="TableCellLeft"/>
            </w:pPr>
            <w:r w:rsidRPr="00C15E7D">
              <w:t>Provide a clear description of the methods used for PPI in the study</w:t>
            </w:r>
          </w:p>
        </w:tc>
      </w:tr>
      <w:tr w:rsidR="00C15E7D" w:rsidRPr="00C15E7D" w14:paraId="60C9FD9E" w14:textId="77777777" w:rsidTr="00C15E7D">
        <w:tc>
          <w:tcPr>
            <w:tcW w:w="2689" w:type="dxa"/>
            <w:shd w:val="clear" w:color="auto" w:fill="auto"/>
          </w:tcPr>
          <w:p w14:paraId="623CBFE1" w14:textId="65913F35" w:rsidR="00C15E7D" w:rsidRPr="00C15E7D" w:rsidRDefault="00C15E7D" w:rsidP="00920D6C">
            <w:pPr>
              <w:pStyle w:val="TableCellLeft"/>
            </w:pPr>
            <w:r>
              <w:t>3: Study results</w:t>
            </w:r>
          </w:p>
        </w:tc>
        <w:tc>
          <w:tcPr>
            <w:tcW w:w="5941" w:type="dxa"/>
            <w:shd w:val="clear" w:color="auto" w:fill="auto"/>
          </w:tcPr>
          <w:p w14:paraId="4F99F7F3" w14:textId="2D3FF8E4" w:rsidR="00C15E7D" w:rsidRPr="00C15E7D" w:rsidRDefault="00C15E7D" w:rsidP="00920D6C">
            <w:pPr>
              <w:pStyle w:val="TableCellLeft"/>
            </w:pPr>
            <w:r>
              <w:t>Outcomes—Report the results of PPI in the study, including both</w:t>
            </w:r>
            <w:r w:rsidR="00920D6C">
              <w:t xml:space="preserve"> </w:t>
            </w:r>
            <w:r>
              <w:t>positive and negative outcomes</w:t>
            </w:r>
          </w:p>
        </w:tc>
      </w:tr>
      <w:tr w:rsidR="00C15E7D" w:rsidRPr="00C15E7D" w14:paraId="75326321" w14:textId="77777777" w:rsidTr="00C15E7D">
        <w:tc>
          <w:tcPr>
            <w:tcW w:w="2689" w:type="dxa"/>
            <w:shd w:val="clear" w:color="auto" w:fill="auto"/>
          </w:tcPr>
          <w:p w14:paraId="40137628" w14:textId="2334BF09" w:rsidR="00C15E7D" w:rsidRPr="00C15E7D" w:rsidRDefault="00977FB8" w:rsidP="00920D6C">
            <w:pPr>
              <w:pStyle w:val="TableCellLeft"/>
            </w:pPr>
            <w:r>
              <w:t xml:space="preserve">4: Discussion and conclusions </w:t>
            </w:r>
          </w:p>
        </w:tc>
        <w:tc>
          <w:tcPr>
            <w:tcW w:w="5941" w:type="dxa"/>
            <w:shd w:val="clear" w:color="auto" w:fill="auto"/>
          </w:tcPr>
          <w:p w14:paraId="45A8BB9D" w14:textId="38414696" w:rsidR="00C15E7D" w:rsidRPr="00C15E7D" w:rsidRDefault="00977FB8" w:rsidP="00920D6C">
            <w:pPr>
              <w:pStyle w:val="TableCellLeft"/>
            </w:pPr>
            <w:r>
              <w:t>Outcomes—Comment on the extent to which PPI influenced the study</w:t>
            </w:r>
            <w:r w:rsidR="00920D6C">
              <w:t xml:space="preserve"> </w:t>
            </w:r>
            <w:r>
              <w:t>overall. Describe positive and negative effects</w:t>
            </w:r>
          </w:p>
        </w:tc>
      </w:tr>
      <w:tr w:rsidR="00977FB8" w:rsidRPr="00C15E7D" w14:paraId="2E7EBC2F" w14:textId="77777777" w:rsidTr="00C15E7D">
        <w:tc>
          <w:tcPr>
            <w:tcW w:w="2689" w:type="dxa"/>
            <w:shd w:val="clear" w:color="auto" w:fill="auto"/>
          </w:tcPr>
          <w:p w14:paraId="22879013" w14:textId="1378E151" w:rsidR="00977FB8" w:rsidRDefault="00977FB8" w:rsidP="00977FB8">
            <w:pPr>
              <w:pStyle w:val="TableCellLeft"/>
            </w:pPr>
            <w:r>
              <w:lastRenderedPageBreak/>
              <w:t xml:space="preserve">5: Reflections/critical perspective </w:t>
            </w:r>
          </w:p>
          <w:p w14:paraId="3B3D5D8C" w14:textId="39461FD9" w:rsidR="00977FB8" w:rsidRDefault="00977FB8" w:rsidP="00977FB8">
            <w:pPr>
              <w:pStyle w:val="TableCellLeft"/>
            </w:pPr>
          </w:p>
        </w:tc>
        <w:tc>
          <w:tcPr>
            <w:tcW w:w="5941" w:type="dxa"/>
            <w:shd w:val="clear" w:color="auto" w:fill="auto"/>
          </w:tcPr>
          <w:p w14:paraId="3C3A954F" w14:textId="766FBC12" w:rsidR="00977FB8" w:rsidRDefault="00977FB8" w:rsidP="00920D6C">
            <w:pPr>
              <w:pStyle w:val="TableCellLeft"/>
            </w:pPr>
            <w:r>
              <w:t>Comment critically on the study, reflecting on the things that went well</w:t>
            </w:r>
            <w:r w:rsidR="00920D6C">
              <w:t xml:space="preserve"> </w:t>
            </w:r>
            <w:r>
              <w:t>and those that did not, so others can learn from this experience</w:t>
            </w:r>
          </w:p>
        </w:tc>
      </w:tr>
    </w:tbl>
    <w:p w14:paraId="3AE66AA9" w14:textId="0826FA20" w:rsidR="00C15E7D" w:rsidRPr="00B36CD2" w:rsidRDefault="00977FB8" w:rsidP="00C15E7D">
      <w:r>
        <w:t xml:space="preserve">PPI=Public and patient involvement </w:t>
      </w:r>
    </w:p>
    <w:sectPr w:rsidR="00C15E7D" w:rsidRPr="00B36CD2" w:rsidSect="002C6F9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2BCA" w14:textId="77777777" w:rsidR="00452DFD" w:rsidRDefault="00452DFD">
      <w:r>
        <w:separator/>
      </w:r>
    </w:p>
  </w:endnote>
  <w:endnote w:type="continuationSeparator" w:id="0">
    <w:p w14:paraId="026BCC07" w14:textId="77777777" w:rsidR="00452DFD" w:rsidRDefault="00452DFD">
      <w:r>
        <w:continuationSeparator/>
      </w:r>
    </w:p>
  </w:endnote>
  <w:endnote w:type="continuationNotice" w:id="1">
    <w:p w14:paraId="275E996D" w14:textId="77777777" w:rsidR="00452DFD" w:rsidRDefault="00452D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tham Rounded Bold">
    <w:altName w:val="Gotham Rounded Bold"/>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FEWFP+ArialMT">
    <w:altName w:val="YFEWFP+ArialMT"/>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Lato-Regular">
    <w:altName w:val="MS Gothic"/>
    <w:panose1 w:val="00000000000000000000"/>
    <w:charset w:val="80"/>
    <w:family w:val="auto"/>
    <w:notTrueType/>
    <w:pitch w:val="default"/>
    <w:sig w:usb0="00000003" w:usb1="08070000" w:usb2="00000010" w:usb3="00000000" w:csb0="00020001" w:csb1="00000000"/>
  </w:font>
  <w:font w:name="AdvTimes">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0B36" w14:textId="0B5B967E" w:rsidR="00452DFD" w:rsidRDefault="00452DFD">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491D" w14:textId="5431FAFB" w:rsidR="00452DFD" w:rsidRDefault="00452DFD">
    <w:pPr>
      <w:pStyle w:val="Footer"/>
      <w:jc w:val="right"/>
    </w:pPr>
  </w:p>
  <w:p w14:paraId="007719A6" w14:textId="77777777" w:rsidR="00452DFD" w:rsidRDefault="00452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EA9F" w14:textId="274D7C0C" w:rsidR="00452DFD" w:rsidRDefault="00452DFD">
    <w:pPr>
      <w:pStyle w:val="Footer"/>
    </w:pPr>
    <w:r>
      <w:tab/>
    </w:r>
    <w:r>
      <w:tab/>
    </w:r>
    <w:r>
      <w:fldChar w:fldCharType="begin"/>
    </w:r>
    <w:r>
      <w:instrText xml:space="preserve"> PAGE  \* Arabic  \* MERGEFORMAT </w:instrText>
    </w:r>
    <w:r>
      <w:fldChar w:fldCharType="separate"/>
    </w:r>
    <w:r w:rsidR="00C20EE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EA8D" w14:textId="77777777" w:rsidR="00452DFD" w:rsidRDefault="00452DFD">
      <w:r>
        <w:separator/>
      </w:r>
    </w:p>
  </w:footnote>
  <w:footnote w:type="continuationSeparator" w:id="0">
    <w:p w14:paraId="1380352E" w14:textId="77777777" w:rsidR="00452DFD" w:rsidRDefault="00452DFD">
      <w:r>
        <w:continuationSeparator/>
      </w:r>
    </w:p>
  </w:footnote>
  <w:footnote w:type="continuationNotice" w:id="1">
    <w:p w14:paraId="5C8F8C78" w14:textId="77777777" w:rsidR="00452DFD" w:rsidRDefault="00452DFD">
      <w:pPr>
        <w:spacing w:after="0"/>
      </w:pPr>
    </w:p>
  </w:footnote>
  <w:footnote w:id="2">
    <w:p w14:paraId="7F9B0758" w14:textId="4DBC04D7" w:rsidR="00452DFD" w:rsidRDefault="00452DFD">
      <w:pPr>
        <w:pStyle w:val="FootnoteText"/>
      </w:pPr>
      <w:r>
        <w:rPr>
          <w:rStyle w:val="FootnoteReference"/>
        </w:rPr>
        <w:footnoteRef/>
      </w:r>
      <w:r>
        <w:t xml:space="preserve"> National Disability Authority, 2022a</w:t>
      </w:r>
    </w:p>
  </w:footnote>
  <w:footnote w:id="3">
    <w:p w14:paraId="3495D99F" w14:textId="11C8237B" w:rsidR="00452DFD" w:rsidRDefault="00452DFD">
      <w:pPr>
        <w:pStyle w:val="FootnoteText"/>
      </w:pPr>
      <w:r>
        <w:rPr>
          <w:rStyle w:val="FootnoteReference"/>
        </w:rPr>
        <w:footnoteRef/>
      </w:r>
      <w:r>
        <w:t xml:space="preserve"> Campus Engage, 2017, O’Shea </w:t>
      </w:r>
      <w:r w:rsidRPr="009800AB">
        <w:rPr>
          <w:i/>
        </w:rPr>
        <w:t>et al.,</w:t>
      </w:r>
      <w:r>
        <w:t xml:space="preserve"> 2019</w:t>
      </w:r>
    </w:p>
  </w:footnote>
  <w:footnote w:id="4">
    <w:p w14:paraId="0C320948" w14:textId="0F1B2EEA" w:rsidR="00452DFD" w:rsidRPr="00993524" w:rsidRDefault="00452DFD" w:rsidP="00993524">
      <w:pPr>
        <w:pStyle w:val="Title"/>
        <w:spacing w:after="0"/>
        <w:jc w:val="left"/>
        <w:rPr>
          <w:rFonts w:cs="Times New Roman"/>
          <w:b w:val="0"/>
          <w:bCs w:val="0"/>
          <w:kern w:val="0"/>
          <w:sz w:val="22"/>
          <w:szCs w:val="22"/>
        </w:rPr>
      </w:pPr>
      <w:r>
        <w:rPr>
          <w:rStyle w:val="FootnoteReference"/>
        </w:rPr>
        <w:footnoteRef/>
      </w:r>
      <w:r>
        <w:t xml:space="preserve"> </w:t>
      </w:r>
      <w:r>
        <w:rPr>
          <w:rFonts w:cs="Times New Roman"/>
          <w:b w:val="0"/>
          <w:bCs w:val="0"/>
          <w:kern w:val="0"/>
          <w:sz w:val="22"/>
          <w:szCs w:val="22"/>
        </w:rPr>
        <w:t xml:space="preserve">National Disability Authority, 2022b. </w:t>
      </w:r>
    </w:p>
    <w:p w14:paraId="268864C1" w14:textId="37142A87" w:rsidR="00452DFD" w:rsidRDefault="00452DFD">
      <w:pPr>
        <w:pStyle w:val="FootnoteText"/>
      </w:pPr>
    </w:p>
  </w:footnote>
  <w:footnote w:id="5">
    <w:p w14:paraId="5927377C" w14:textId="792F6B35" w:rsidR="00452DFD" w:rsidRDefault="00452DFD">
      <w:pPr>
        <w:pStyle w:val="FootnoteText"/>
      </w:pPr>
      <w:r>
        <w:rPr>
          <w:rStyle w:val="FootnoteReference"/>
        </w:rPr>
        <w:footnoteRef/>
      </w:r>
      <w:r>
        <w:t xml:space="preserve"> Some studies may have involved research partnerships with other relevant stakeholders, such as service providers, carers or the general public – only information pertaining to the experience of co-researchers with disabilities was included in the review.</w:t>
      </w:r>
    </w:p>
  </w:footnote>
  <w:footnote w:id="6">
    <w:p w14:paraId="04FA1EF6" w14:textId="0CBCB91A" w:rsidR="00452DFD" w:rsidRDefault="00452DFD">
      <w:pPr>
        <w:pStyle w:val="FootnoteText"/>
      </w:pPr>
      <w:r>
        <w:rPr>
          <w:rStyle w:val="FootnoteReference"/>
        </w:rPr>
        <w:footnoteRef/>
      </w:r>
      <w:r>
        <w:t xml:space="preserve"> In the UK, ‘learning disabilities’ has been the preferred term since the 1980s (though there is evidence that this is beginning to be replaced by intellectual disabilities, </w:t>
      </w:r>
      <w:proofErr w:type="spellStart"/>
      <w:r>
        <w:t>Cluley</w:t>
      </w:r>
      <w:proofErr w:type="spellEnd"/>
      <w:r>
        <w:t>, 2017), while in other countries, including Ireland, the preferred term is ‘intellectual disabilities’ (Inclusion Ireland, 2013).</w:t>
      </w:r>
    </w:p>
  </w:footnote>
  <w:footnote w:id="7">
    <w:p w14:paraId="4514FF9D" w14:textId="6201AED9" w:rsidR="00452DFD" w:rsidRDefault="00452DFD">
      <w:pPr>
        <w:pStyle w:val="FootnoteText"/>
      </w:pPr>
      <w:r>
        <w:rPr>
          <w:rStyle w:val="FootnoteReference"/>
        </w:rPr>
        <w:footnoteRef/>
      </w:r>
      <w:r>
        <w:t xml:space="preserve"> </w:t>
      </w:r>
      <w:r w:rsidRPr="00161B9F">
        <w:rPr>
          <w:bCs/>
        </w:rPr>
        <w:t>Barry, 2016</w:t>
      </w:r>
      <w:r>
        <w:rPr>
          <w:bCs/>
        </w:rPr>
        <w:t xml:space="preserve">, </w:t>
      </w:r>
      <w:r w:rsidRPr="00BE48EC">
        <w:rPr>
          <w:bCs/>
        </w:rPr>
        <w:t xml:space="preserve">Stanley </w:t>
      </w:r>
      <w:r w:rsidRPr="009800AB">
        <w:rPr>
          <w:bCs/>
          <w:i/>
        </w:rPr>
        <w:t>et al.,</w:t>
      </w:r>
      <w:r>
        <w:rPr>
          <w:bCs/>
        </w:rPr>
        <w:t xml:space="preserve"> </w:t>
      </w:r>
      <w:r w:rsidRPr="00BE48EC">
        <w:rPr>
          <w:bCs/>
        </w:rPr>
        <w:t>2019</w:t>
      </w:r>
      <w:r>
        <w:rPr>
          <w:bCs/>
        </w:rPr>
        <w:t>,</w:t>
      </w:r>
      <w:r w:rsidRPr="00BE48EC">
        <w:rPr>
          <w:bCs/>
        </w:rPr>
        <w:t xml:space="preserve"> </w:t>
      </w:r>
    </w:p>
  </w:footnote>
  <w:footnote w:id="8">
    <w:p w14:paraId="3EE0D103" w14:textId="76FCD391" w:rsidR="00452DFD" w:rsidRPr="005E256C" w:rsidRDefault="00452DFD">
      <w:pPr>
        <w:pStyle w:val="FootnoteText"/>
      </w:pPr>
      <w:r>
        <w:rPr>
          <w:rStyle w:val="FootnoteReference"/>
        </w:rPr>
        <w:footnoteRef/>
      </w:r>
      <w:r>
        <w:t xml:space="preserve"> </w:t>
      </w:r>
      <w:proofErr w:type="spellStart"/>
      <w:r w:rsidRPr="00BE48EC">
        <w:rPr>
          <w:rFonts w:eastAsia="SimSun"/>
          <w:bCs/>
        </w:rPr>
        <w:t>Beighton</w:t>
      </w:r>
      <w:proofErr w:type="spellEnd"/>
      <w:r w:rsidRPr="00BE48EC">
        <w:rPr>
          <w:rFonts w:eastAsia="SimSun"/>
          <w:bCs/>
        </w:rPr>
        <w:t xml:space="preserve"> </w:t>
      </w:r>
      <w:r w:rsidRPr="009800AB">
        <w:rPr>
          <w:rFonts w:eastAsia="SimSun"/>
          <w:bCs/>
          <w:i/>
        </w:rPr>
        <w:t>et al.,</w:t>
      </w:r>
      <w:r>
        <w:rPr>
          <w:rFonts w:eastAsia="SimSun"/>
          <w:bCs/>
        </w:rPr>
        <w:t xml:space="preserve"> </w:t>
      </w:r>
      <w:r w:rsidRPr="00BE48EC">
        <w:rPr>
          <w:rFonts w:eastAsia="SimSun"/>
          <w:bCs/>
        </w:rPr>
        <w:t>2019</w:t>
      </w:r>
      <w:r>
        <w:rPr>
          <w:rFonts w:eastAsia="SimSun"/>
          <w:bCs/>
        </w:rPr>
        <w:t>,</w:t>
      </w:r>
      <w:r w:rsidRPr="00BE48EC">
        <w:rPr>
          <w:rFonts w:eastAsia="SimSun"/>
          <w:bCs/>
        </w:rPr>
        <w:t xml:space="preserve"> Bollard 2017</w:t>
      </w:r>
      <w:r>
        <w:rPr>
          <w:rFonts w:eastAsia="SimSun"/>
          <w:bCs/>
        </w:rPr>
        <w:t xml:space="preserve">, </w:t>
      </w:r>
      <w:proofErr w:type="spellStart"/>
      <w:r w:rsidRPr="00BE48EC">
        <w:rPr>
          <w:rFonts w:eastAsia="SimSun"/>
          <w:bCs/>
        </w:rPr>
        <w:t>Frankena</w:t>
      </w:r>
      <w:proofErr w:type="spellEnd"/>
      <w:r w:rsidRPr="00BE48EC">
        <w:rPr>
          <w:rFonts w:eastAsia="SimSun"/>
          <w:bCs/>
        </w:rPr>
        <w:t xml:space="preserve"> </w:t>
      </w:r>
      <w:r w:rsidRPr="009800AB">
        <w:rPr>
          <w:rFonts w:eastAsia="SimSun"/>
          <w:bCs/>
          <w:i/>
        </w:rPr>
        <w:t>et al.,</w:t>
      </w:r>
      <w:r>
        <w:rPr>
          <w:rFonts w:eastAsia="SimSun"/>
          <w:bCs/>
        </w:rPr>
        <w:t xml:space="preserve"> </w:t>
      </w:r>
      <w:r w:rsidRPr="00BE48EC">
        <w:rPr>
          <w:rFonts w:eastAsia="SimSun"/>
          <w:bCs/>
        </w:rPr>
        <w:t>2019a</w:t>
      </w:r>
    </w:p>
  </w:footnote>
  <w:footnote w:id="9">
    <w:p w14:paraId="51BBDCEF" w14:textId="2023C150" w:rsidR="00452DFD" w:rsidRPr="005E256C" w:rsidRDefault="00452DFD">
      <w:pPr>
        <w:pStyle w:val="FootnoteText"/>
      </w:pPr>
      <w:r w:rsidRPr="00BE48EC">
        <w:rPr>
          <w:rStyle w:val="FootnoteReference"/>
          <w:rFonts w:ascii="Gill Sans MT" w:hAnsi="Gill Sans MT"/>
        </w:rPr>
        <w:footnoteRef/>
      </w:r>
      <w:r w:rsidRPr="005E256C">
        <w:t xml:space="preserve"> </w:t>
      </w:r>
      <w:proofErr w:type="spellStart"/>
      <w:r w:rsidRPr="00BE48EC">
        <w:rPr>
          <w:rFonts w:eastAsia="SimSun"/>
          <w:bCs/>
        </w:rPr>
        <w:t>Gratton</w:t>
      </w:r>
      <w:proofErr w:type="spellEnd"/>
      <w:r>
        <w:rPr>
          <w:rFonts w:eastAsia="SimSun"/>
          <w:bCs/>
        </w:rPr>
        <w:t>,</w:t>
      </w:r>
      <w:r w:rsidRPr="00BE48EC">
        <w:rPr>
          <w:rFonts w:eastAsia="SimSun"/>
          <w:bCs/>
        </w:rPr>
        <w:t xml:space="preserve"> 20</w:t>
      </w:r>
      <w:r>
        <w:rPr>
          <w:rFonts w:eastAsia="SimSun"/>
          <w:bCs/>
        </w:rPr>
        <w:t>20,</w:t>
      </w:r>
      <w:r w:rsidRPr="00BE48EC">
        <w:rPr>
          <w:rFonts w:eastAsia="SimSun"/>
          <w:bCs/>
        </w:rPr>
        <w:t xml:space="preserve"> Joss </w:t>
      </w:r>
      <w:r w:rsidRPr="009800AB">
        <w:rPr>
          <w:rFonts w:eastAsia="SimSun"/>
          <w:bCs/>
          <w:i/>
        </w:rPr>
        <w:t>et al.,</w:t>
      </w:r>
      <w:r w:rsidRPr="00BE48EC">
        <w:rPr>
          <w:rFonts w:eastAsia="SimSun"/>
          <w:bCs/>
        </w:rPr>
        <w:t xml:space="preserve"> 2016</w:t>
      </w:r>
    </w:p>
  </w:footnote>
  <w:footnote w:id="10">
    <w:p w14:paraId="3139F4AA" w14:textId="42CDDEFF" w:rsidR="00452DFD" w:rsidRPr="005E256C" w:rsidRDefault="00452DFD">
      <w:pPr>
        <w:pStyle w:val="FootnoteText"/>
      </w:pPr>
      <w:r w:rsidRPr="00BE48EC">
        <w:rPr>
          <w:rStyle w:val="FootnoteReference"/>
          <w:rFonts w:ascii="Gill Sans MT" w:hAnsi="Gill Sans MT"/>
        </w:rPr>
        <w:footnoteRef/>
      </w:r>
      <w:r w:rsidRPr="005E256C">
        <w:t xml:space="preserve"> </w:t>
      </w:r>
      <w:r w:rsidRPr="00BE48EC">
        <w:rPr>
          <w:rFonts w:eastAsia="SimSun"/>
          <w:bCs/>
        </w:rPr>
        <w:t>Smith-Merry, 2017</w:t>
      </w:r>
      <w:r>
        <w:rPr>
          <w:rFonts w:eastAsia="SimSun"/>
          <w:bCs/>
        </w:rPr>
        <w:t xml:space="preserve">, </w:t>
      </w:r>
      <w:r w:rsidRPr="00BE48EC">
        <w:rPr>
          <w:rFonts w:eastAsia="SimSun"/>
          <w:bCs/>
        </w:rPr>
        <w:t>Werner-</w:t>
      </w:r>
      <w:proofErr w:type="spellStart"/>
      <w:r w:rsidRPr="00BE48EC">
        <w:rPr>
          <w:rFonts w:eastAsia="SimSun"/>
          <w:bCs/>
        </w:rPr>
        <w:t>Seidler</w:t>
      </w:r>
      <w:proofErr w:type="spellEnd"/>
      <w:r w:rsidRPr="00BE48EC">
        <w:rPr>
          <w:rFonts w:eastAsia="SimSun"/>
          <w:bCs/>
        </w:rPr>
        <w:t xml:space="preserve"> </w:t>
      </w:r>
      <w:r w:rsidRPr="009800AB">
        <w:rPr>
          <w:rFonts w:eastAsia="SimSun"/>
          <w:bCs/>
          <w:i/>
        </w:rPr>
        <w:t>et al.,</w:t>
      </w:r>
      <w:r w:rsidRPr="00BE48EC">
        <w:rPr>
          <w:rFonts w:eastAsia="SimSun"/>
          <w:bCs/>
        </w:rPr>
        <w:t xml:space="preserve"> 2019</w:t>
      </w:r>
    </w:p>
  </w:footnote>
  <w:footnote w:id="11">
    <w:p w14:paraId="357611F4" w14:textId="7C8848CF" w:rsidR="00452DFD" w:rsidRPr="005E256C" w:rsidRDefault="00452DFD">
      <w:pPr>
        <w:pStyle w:val="FootnoteText"/>
      </w:pPr>
      <w:r w:rsidRPr="00BE48EC">
        <w:rPr>
          <w:rStyle w:val="FootnoteReference"/>
          <w:rFonts w:ascii="Gill Sans MT" w:hAnsi="Gill Sans MT"/>
        </w:rPr>
        <w:footnoteRef/>
      </w:r>
      <w:r w:rsidRPr="005E256C">
        <w:t xml:space="preserve"> </w:t>
      </w:r>
      <w:r w:rsidRPr="00BE48EC">
        <w:rPr>
          <w:rFonts w:eastAsia="SimSun"/>
          <w:bCs/>
        </w:rPr>
        <w:t xml:space="preserve">Anderson </w:t>
      </w:r>
      <w:r w:rsidRPr="009800AB">
        <w:rPr>
          <w:rFonts w:eastAsia="SimSun"/>
          <w:bCs/>
          <w:i/>
        </w:rPr>
        <w:t>et al.,</w:t>
      </w:r>
      <w:r w:rsidRPr="00BE48EC">
        <w:rPr>
          <w:rFonts w:eastAsia="SimSun"/>
          <w:bCs/>
        </w:rPr>
        <w:t xml:space="preserve"> 2019, Paul </w:t>
      </w:r>
      <w:r w:rsidRPr="009800AB">
        <w:rPr>
          <w:rFonts w:eastAsia="SimSun"/>
          <w:bCs/>
          <w:i/>
        </w:rPr>
        <w:t>et al.,</w:t>
      </w:r>
      <w:r w:rsidRPr="005E256C">
        <w:rPr>
          <w:rFonts w:eastAsia="SimSun"/>
        </w:rPr>
        <w:t xml:space="preserve"> </w:t>
      </w:r>
      <w:r w:rsidRPr="00BE48EC">
        <w:rPr>
          <w:bCs/>
        </w:rPr>
        <w:t>2017</w:t>
      </w:r>
    </w:p>
  </w:footnote>
  <w:footnote w:id="12">
    <w:p w14:paraId="7ECDEE5D" w14:textId="1E70E0A2" w:rsidR="00452DFD" w:rsidRPr="005E256C" w:rsidRDefault="00452DFD">
      <w:pPr>
        <w:pStyle w:val="FootnoteText"/>
      </w:pPr>
      <w:r w:rsidRPr="00BE48EC">
        <w:rPr>
          <w:rStyle w:val="FootnoteReference"/>
          <w:rFonts w:ascii="Gill Sans MT" w:hAnsi="Gill Sans MT"/>
        </w:rPr>
        <w:footnoteRef/>
      </w:r>
      <w:r w:rsidRPr="005E256C">
        <w:t xml:space="preserve"> </w:t>
      </w:r>
      <w:r w:rsidRPr="00BE48EC">
        <w:rPr>
          <w:bCs/>
        </w:rPr>
        <w:t xml:space="preserve">Burke </w:t>
      </w:r>
      <w:r w:rsidRPr="009800AB">
        <w:rPr>
          <w:bCs/>
          <w:i/>
        </w:rPr>
        <w:t>et al.,</w:t>
      </w:r>
      <w:r w:rsidRPr="00BE48EC">
        <w:rPr>
          <w:bCs/>
        </w:rPr>
        <w:t xml:space="preserve"> 2019</w:t>
      </w:r>
    </w:p>
  </w:footnote>
  <w:footnote w:id="13">
    <w:p w14:paraId="2674809A" w14:textId="53C0565D" w:rsidR="00452DFD" w:rsidRPr="005E256C" w:rsidRDefault="00452DFD">
      <w:pPr>
        <w:pStyle w:val="FootnoteText"/>
      </w:pPr>
      <w:r w:rsidRPr="00BE48EC">
        <w:rPr>
          <w:rStyle w:val="FootnoteReference"/>
          <w:rFonts w:ascii="Gill Sans MT" w:hAnsi="Gill Sans MT"/>
        </w:rPr>
        <w:footnoteRef/>
      </w:r>
      <w:r w:rsidRPr="005E256C">
        <w:t xml:space="preserve"> </w:t>
      </w:r>
      <w:r w:rsidRPr="00BE48EC">
        <w:rPr>
          <w:bCs/>
        </w:rPr>
        <w:t xml:space="preserve">Vaughn </w:t>
      </w:r>
      <w:r w:rsidRPr="009800AB">
        <w:rPr>
          <w:bCs/>
          <w:i/>
        </w:rPr>
        <w:t>et al.,</w:t>
      </w:r>
      <w:r w:rsidRPr="00BE48EC">
        <w:rPr>
          <w:bCs/>
        </w:rPr>
        <w:t xml:space="preserve"> 2019</w:t>
      </w:r>
    </w:p>
  </w:footnote>
  <w:footnote w:id="14">
    <w:p w14:paraId="066A1AA4" w14:textId="5A904747" w:rsidR="00452DFD" w:rsidRPr="005E256C" w:rsidRDefault="00452DFD">
      <w:pPr>
        <w:pStyle w:val="FootnoteText"/>
      </w:pPr>
      <w:r w:rsidRPr="00BE48EC">
        <w:rPr>
          <w:rStyle w:val="FootnoteReference"/>
          <w:rFonts w:ascii="Gill Sans MT" w:hAnsi="Gill Sans MT"/>
        </w:rPr>
        <w:footnoteRef/>
      </w:r>
      <w:r w:rsidRPr="005E256C">
        <w:t xml:space="preserve"> </w:t>
      </w:r>
      <w:r w:rsidRPr="00BE48EC">
        <w:rPr>
          <w:bCs/>
        </w:rPr>
        <w:t xml:space="preserve">Heffron </w:t>
      </w:r>
      <w:r w:rsidRPr="009800AB">
        <w:rPr>
          <w:bCs/>
          <w:i/>
        </w:rPr>
        <w:t>et al.,</w:t>
      </w:r>
      <w:r w:rsidRPr="00BE48EC">
        <w:rPr>
          <w:bCs/>
        </w:rPr>
        <w:t xml:space="preserve"> 2018</w:t>
      </w:r>
    </w:p>
  </w:footnote>
  <w:footnote w:id="15">
    <w:p w14:paraId="182C8489" w14:textId="13C1BBEA" w:rsidR="00452DFD" w:rsidRPr="005E256C" w:rsidRDefault="00452DFD">
      <w:pPr>
        <w:pStyle w:val="FootnoteText"/>
      </w:pPr>
      <w:r w:rsidRPr="00BE48EC">
        <w:rPr>
          <w:rStyle w:val="FootnoteReference"/>
          <w:rFonts w:ascii="Gill Sans MT" w:hAnsi="Gill Sans MT"/>
        </w:rPr>
        <w:footnoteRef/>
      </w:r>
      <w:r w:rsidRPr="005E256C">
        <w:t xml:space="preserve"> </w:t>
      </w:r>
      <w:r w:rsidRPr="00784262">
        <w:rPr>
          <w:bCs/>
        </w:rPr>
        <w:t>Burton, Ogden, and Cooper</w:t>
      </w:r>
      <w:r>
        <w:rPr>
          <w:bCs/>
        </w:rPr>
        <w:t>,</w:t>
      </w:r>
      <w:r w:rsidRPr="00784262">
        <w:rPr>
          <w:bCs/>
        </w:rPr>
        <w:t xml:space="preserve"> </w:t>
      </w:r>
      <w:r w:rsidRPr="00BE48EC">
        <w:rPr>
          <w:bCs/>
        </w:rPr>
        <w:t>2019</w:t>
      </w:r>
      <w:r>
        <w:rPr>
          <w:bCs/>
        </w:rPr>
        <w:t>,</w:t>
      </w:r>
      <w:r w:rsidRPr="00BE48EC">
        <w:rPr>
          <w:bCs/>
        </w:rPr>
        <w:t xml:space="preserve"> </w:t>
      </w:r>
      <w:r w:rsidRPr="00D04764">
        <w:rPr>
          <w:bCs/>
        </w:rPr>
        <w:t xml:space="preserve">Gould, </w:t>
      </w:r>
      <w:r>
        <w:rPr>
          <w:bCs/>
        </w:rPr>
        <w:t>Harris</w:t>
      </w:r>
      <w:r w:rsidRPr="00D04764">
        <w:rPr>
          <w:bCs/>
        </w:rPr>
        <w:t xml:space="preserve">, and </w:t>
      </w:r>
      <w:proofErr w:type="spellStart"/>
      <w:r w:rsidRPr="00D04764">
        <w:rPr>
          <w:bCs/>
        </w:rPr>
        <w:t>Fujiura</w:t>
      </w:r>
      <w:proofErr w:type="spellEnd"/>
      <w:r w:rsidRPr="009800AB">
        <w:rPr>
          <w:bCs/>
          <w:i/>
        </w:rPr>
        <w:t>.,</w:t>
      </w:r>
      <w:r w:rsidRPr="00BE48EC">
        <w:rPr>
          <w:bCs/>
        </w:rPr>
        <w:t xml:space="preserve"> 2017</w:t>
      </w:r>
    </w:p>
  </w:footnote>
  <w:footnote w:id="16">
    <w:p w14:paraId="1334122E" w14:textId="2D3DA935" w:rsidR="00452DFD" w:rsidRPr="005E256C" w:rsidRDefault="00452DFD">
      <w:pPr>
        <w:pStyle w:val="FootnoteText"/>
      </w:pPr>
      <w:r w:rsidRPr="00BE48EC">
        <w:rPr>
          <w:rStyle w:val="FootnoteReference"/>
          <w:rFonts w:ascii="Gill Sans MT" w:hAnsi="Gill Sans MT"/>
        </w:rPr>
        <w:footnoteRef/>
      </w:r>
      <w:r w:rsidRPr="005E256C">
        <w:t xml:space="preserve"> </w:t>
      </w:r>
      <w:r w:rsidRPr="00BE48EC">
        <w:rPr>
          <w:bCs/>
        </w:rPr>
        <w:t>Disability Wales, 2019</w:t>
      </w:r>
      <w:r>
        <w:rPr>
          <w:bCs/>
        </w:rPr>
        <w:t xml:space="preserve">, </w:t>
      </w:r>
      <w:r w:rsidRPr="00BE48EC">
        <w:rPr>
          <w:bCs/>
        </w:rPr>
        <w:t>Drill Report, 2018</w:t>
      </w:r>
    </w:p>
  </w:footnote>
  <w:footnote w:id="17">
    <w:p w14:paraId="45A4C1B1" w14:textId="1E56E6DA" w:rsidR="00452DFD" w:rsidRPr="005E256C" w:rsidRDefault="00452DFD">
      <w:pPr>
        <w:pStyle w:val="FootnoteText"/>
      </w:pPr>
      <w:r w:rsidRPr="00BE48EC">
        <w:rPr>
          <w:rStyle w:val="FootnoteReference"/>
          <w:rFonts w:ascii="Gill Sans MT" w:hAnsi="Gill Sans MT"/>
        </w:rPr>
        <w:footnoteRef/>
      </w:r>
      <w:r w:rsidRPr="005E256C">
        <w:t xml:space="preserve"> </w:t>
      </w:r>
      <w:proofErr w:type="spellStart"/>
      <w:r w:rsidRPr="00BE48EC">
        <w:rPr>
          <w:bCs/>
        </w:rPr>
        <w:t>Puyalto</w:t>
      </w:r>
      <w:proofErr w:type="spellEnd"/>
      <w:r w:rsidRPr="00BE48EC">
        <w:rPr>
          <w:bCs/>
        </w:rPr>
        <w:t xml:space="preserve"> </w:t>
      </w:r>
      <w:r w:rsidRPr="009800AB">
        <w:rPr>
          <w:bCs/>
          <w:i/>
        </w:rPr>
        <w:t>et al.,</w:t>
      </w:r>
      <w:r w:rsidRPr="00BE48EC">
        <w:rPr>
          <w:bCs/>
        </w:rPr>
        <w:t xml:space="preserve"> 2016</w:t>
      </w:r>
      <w:r>
        <w:rPr>
          <w:bCs/>
        </w:rPr>
        <w:t xml:space="preserve">, </w:t>
      </w:r>
      <w:r>
        <w:t xml:space="preserve">Spencer </w:t>
      </w:r>
      <w:r w:rsidRPr="00BE48EC">
        <w:rPr>
          <w:bCs/>
        </w:rPr>
        <w:t xml:space="preserve">Gonzalez </w:t>
      </w:r>
      <w:r w:rsidRPr="009800AB">
        <w:rPr>
          <w:bCs/>
          <w:i/>
        </w:rPr>
        <w:t>et al.,</w:t>
      </w:r>
      <w:r w:rsidRPr="00BE48EC">
        <w:rPr>
          <w:bCs/>
        </w:rPr>
        <w:t xml:space="preserve"> 2020</w:t>
      </w:r>
    </w:p>
  </w:footnote>
  <w:footnote w:id="18">
    <w:p w14:paraId="72061539" w14:textId="6EE09AA0" w:rsidR="00452DFD" w:rsidRPr="005E256C" w:rsidRDefault="00452DFD">
      <w:pPr>
        <w:pStyle w:val="FootnoteText"/>
      </w:pPr>
      <w:r w:rsidRPr="00BE48EC">
        <w:rPr>
          <w:rStyle w:val="FootnoteReference"/>
          <w:rFonts w:ascii="Gill Sans MT" w:hAnsi="Gill Sans MT"/>
        </w:rPr>
        <w:footnoteRef/>
      </w:r>
      <w:r w:rsidRPr="005E256C">
        <w:t xml:space="preserve"> </w:t>
      </w:r>
      <w:proofErr w:type="spellStart"/>
      <w:r w:rsidRPr="00BE48EC">
        <w:rPr>
          <w:bCs/>
        </w:rPr>
        <w:t>Frankena</w:t>
      </w:r>
      <w:proofErr w:type="spellEnd"/>
      <w:r w:rsidRPr="00BE48EC">
        <w:rPr>
          <w:bCs/>
        </w:rPr>
        <w:t xml:space="preserve"> </w:t>
      </w:r>
      <w:r w:rsidRPr="009800AB">
        <w:rPr>
          <w:bCs/>
          <w:i/>
        </w:rPr>
        <w:t>et al.,</w:t>
      </w:r>
      <w:r w:rsidRPr="00BE48EC">
        <w:rPr>
          <w:bCs/>
        </w:rPr>
        <w:t xml:space="preserve"> 2015</w:t>
      </w:r>
      <w:r>
        <w:rPr>
          <w:bCs/>
        </w:rPr>
        <w:t>, Ti</w:t>
      </w:r>
      <w:r w:rsidRPr="00BE48EC">
        <w:rPr>
          <w:bCs/>
        </w:rPr>
        <w:t xml:space="preserve">lly </w:t>
      </w:r>
      <w:r w:rsidRPr="009800AB">
        <w:rPr>
          <w:bCs/>
          <w:i/>
        </w:rPr>
        <w:t>et al.,</w:t>
      </w:r>
      <w:r w:rsidRPr="00BE48EC">
        <w:rPr>
          <w:bCs/>
        </w:rPr>
        <w:t xml:space="preserve"> 2015</w:t>
      </w:r>
    </w:p>
  </w:footnote>
  <w:footnote w:id="19">
    <w:p w14:paraId="0AC6987B" w14:textId="59AFCFAA" w:rsidR="00452DFD" w:rsidRDefault="00452DFD">
      <w:pPr>
        <w:pStyle w:val="FootnoteText"/>
      </w:pPr>
      <w:r w:rsidRPr="00BE48EC">
        <w:rPr>
          <w:rStyle w:val="FootnoteReference"/>
          <w:rFonts w:ascii="Gill Sans MT" w:hAnsi="Gill Sans MT"/>
        </w:rPr>
        <w:footnoteRef/>
      </w:r>
      <w:r w:rsidRPr="005E256C">
        <w:t xml:space="preserve"> </w:t>
      </w:r>
      <w:proofErr w:type="spellStart"/>
      <w:r w:rsidRPr="00BE48EC">
        <w:rPr>
          <w:bCs/>
        </w:rPr>
        <w:t>Frankena</w:t>
      </w:r>
      <w:proofErr w:type="spellEnd"/>
      <w:r w:rsidRPr="00BE48EC">
        <w:rPr>
          <w:bCs/>
        </w:rPr>
        <w:t xml:space="preserve"> </w:t>
      </w:r>
      <w:r w:rsidRPr="009800AB">
        <w:rPr>
          <w:bCs/>
          <w:i/>
        </w:rPr>
        <w:t>et al.,</w:t>
      </w:r>
      <w:r w:rsidRPr="00BE48EC">
        <w:rPr>
          <w:bCs/>
        </w:rPr>
        <w:t xml:space="preserve"> </w:t>
      </w:r>
      <w:r>
        <w:rPr>
          <w:bCs/>
        </w:rPr>
        <w:t xml:space="preserve">2019c, </w:t>
      </w:r>
      <w:proofErr w:type="spellStart"/>
      <w:r w:rsidRPr="00BE48EC">
        <w:rPr>
          <w:bCs/>
        </w:rPr>
        <w:t>Hamidi</w:t>
      </w:r>
      <w:proofErr w:type="spellEnd"/>
      <w:r w:rsidRPr="00BE48EC">
        <w:rPr>
          <w:bCs/>
        </w:rPr>
        <w:t xml:space="preserve"> </w:t>
      </w:r>
      <w:r w:rsidRPr="009800AB">
        <w:rPr>
          <w:bCs/>
          <w:i/>
        </w:rPr>
        <w:t>et al.,</w:t>
      </w:r>
      <w:r w:rsidRPr="00BE48EC">
        <w:rPr>
          <w:bCs/>
        </w:rPr>
        <w:t xml:space="preserve"> 2015 </w:t>
      </w:r>
    </w:p>
  </w:footnote>
  <w:footnote w:id="20">
    <w:p w14:paraId="1C4057D9" w14:textId="5AA7D1D9" w:rsidR="00452DFD" w:rsidRDefault="00452DFD">
      <w:pPr>
        <w:pStyle w:val="FootnoteText"/>
      </w:pPr>
      <w:r>
        <w:rPr>
          <w:rStyle w:val="FootnoteReference"/>
        </w:rPr>
        <w:footnoteRef/>
      </w:r>
      <w:r>
        <w:t xml:space="preserve"> </w:t>
      </w:r>
      <w:r w:rsidRPr="00466585">
        <w:t xml:space="preserve">INVOLVE, 2015 cited in Di </w:t>
      </w:r>
      <w:proofErr w:type="spellStart"/>
      <w:r w:rsidRPr="00466585">
        <w:t>Lorito</w:t>
      </w:r>
      <w:proofErr w:type="spellEnd"/>
      <w:r w:rsidRPr="00466585">
        <w:t xml:space="preserve"> </w:t>
      </w:r>
      <w:r w:rsidRPr="009800AB">
        <w:rPr>
          <w:i/>
        </w:rPr>
        <w:t>et al.,</w:t>
      </w:r>
      <w:r>
        <w:t xml:space="preserve"> </w:t>
      </w:r>
      <w:r w:rsidRPr="00466585">
        <w:t>2018</w:t>
      </w:r>
      <w:r>
        <w:t xml:space="preserve">, </w:t>
      </w:r>
      <w:r w:rsidRPr="0068703A">
        <w:rPr>
          <w:rFonts w:eastAsia="SimSun"/>
        </w:rPr>
        <w:t xml:space="preserve">Paul </w:t>
      </w:r>
      <w:r w:rsidRPr="009800AB">
        <w:rPr>
          <w:rFonts w:eastAsia="SimSun"/>
          <w:i/>
        </w:rPr>
        <w:t>et al.,</w:t>
      </w:r>
      <w:r>
        <w:rPr>
          <w:rFonts w:eastAsia="SimSun"/>
        </w:rPr>
        <w:t xml:space="preserve"> </w:t>
      </w:r>
      <w:r w:rsidRPr="0068703A">
        <w:rPr>
          <w:rFonts w:eastAsia="SimSun"/>
        </w:rPr>
        <w:t>2017</w:t>
      </w:r>
      <w:r>
        <w:rPr>
          <w:rFonts w:eastAsia="SimSun"/>
        </w:rPr>
        <w:t>,</w:t>
      </w:r>
      <w:r w:rsidRPr="00EF59D6">
        <w:rPr>
          <w:rFonts w:eastAsia="SimSun"/>
        </w:rPr>
        <w:t xml:space="preserve"> Stanley </w:t>
      </w:r>
      <w:r w:rsidRPr="009800AB">
        <w:rPr>
          <w:rFonts w:eastAsia="SimSun"/>
          <w:i/>
        </w:rPr>
        <w:t>et al.,</w:t>
      </w:r>
      <w:r>
        <w:rPr>
          <w:rFonts w:eastAsia="SimSun"/>
        </w:rPr>
        <w:t xml:space="preserve"> </w:t>
      </w:r>
      <w:r w:rsidRPr="00EF59D6">
        <w:rPr>
          <w:rFonts w:eastAsia="SimSun"/>
        </w:rPr>
        <w:t>2019</w:t>
      </w:r>
    </w:p>
  </w:footnote>
  <w:footnote w:id="21">
    <w:p w14:paraId="64FA8D7B" w14:textId="3BDED20A" w:rsidR="00452DFD" w:rsidRDefault="00452DFD">
      <w:pPr>
        <w:pStyle w:val="FootnoteText"/>
      </w:pPr>
      <w:r>
        <w:rPr>
          <w:rStyle w:val="FootnoteReference"/>
        </w:rPr>
        <w:footnoteRef/>
      </w:r>
      <w:r>
        <w:t xml:space="preserve"> </w:t>
      </w:r>
      <w:r w:rsidRPr="00F82CA5">
        <w:rPr>
          <w:rFonts w:eastAsia="SimSun"/>
        </w:rPr>
        <w:t xml:space="preserve">Swarbrick </w:t>
      </w:r>
      <w:r w:rsidRPr="009800AB">
        <w:rPr>
          <w:rFonts w:eastAsia="SimSun"/>
          <w:i/>
        </w:rPr>
        <w:t>et al.,</w:t>
      </w:r>
      <w:r>
        <w:rPr>
          <w:rFonts w:eastAsia="SimSun"/>
        </w:rPr>
        <w:t xml:space="preserve"> </w:t>
      </w:r>
      <w:r w:rsidRPr="00F82CA5">
        <w:rPr>
          <w:rFonts w:eastAsia="SimSun"/>
        </w:rPr>
        <w:t>2019</w:t>
      </w:r>
    </w:p>
  </w:footnote>
  <w:footnote w:id="22">
    <w:p w14:paraId="0176BC7D" w14:textId="5BEF16EA" w:rsidR="00452DFD" w:rsidRDefault="00452DFD">
      <w:pPr>
        <w:pStyle w:val="FootnoteText"/>
      </w:pPr>
      <w:r>
        <w:rPr>
          <w:rStyle w:val="FootnoteReference"/>
        </w:rPr>
        <w:footnoteRef/>
      </w:r>
      <w:r>
        <w:t xml:space="preserve"> </w:t>
      </w:r>
      <w:r w:rsidRPr="00F82CA5">
        <w:rPr>
          <w:rFonts w:eastAsia="SimSun"/>
        </w:rPr>
        <w:t>IRN, 2019</w:t>
      </w:r>
      <w:r>
        <w:rPr>
          <w:rFonts w:eastAsia="SimSun"/>
        </w:rPr>
        <w:t xml:space="preserve">, </w:t>
      </w:r>
      <w:r w:rsidRPr="00F82CA5">
        <w:rPr>
          <w:rFonts w:eastAsia="SimSun"/>
        </w:rPr>
        <w:t xml:space="preserve">O’Hara </w:t>
      </w:r>
      <w:r w:rsidRPr="009800AB">
        <w:rPr>
          <w:rFonts w:eastAsia="SimSun"/>
          <w:i/>
        </w:rPr>
        <w:t>et al.,</w:t>
      </w:r>
      <w:r>
        <w:rPr>
          <w:rFonts w:eastAsia="SimSun"/>
        </w:rPr>
        <w:t xml:space="preserve"> </w:t>
      </w:r>
      <w:r w:rsidRPr="00F82CA5">
        <w:rPr>
          <w:rFonts w:eastAsia="SimSun"/>
        </w:rPr>
        <w:t>2017</w:t>
      </w:r>
      <w:r>
        <w:rPr>
          <w:rFonts w:eastAsia="SimSun"/>
        </w:rPr>
        <w:t>, Riches, O'Brien</w:t>
      </w:r>
      <w:r w:rsidRPr="0096271D">
        <w:rPr>
          <w:rFonts w:eastAsia="SimSun"/>
        </w:rPr>
        <w:t xml:space="preserve"> and</w:t>
      </w:r>
      <w:r>
        <w:rPr>
          <w:rFonts w:eastAsia="SimSun"/>
        </w:rPr>
        <w:t xml:space="preserve"> CDS Inclusive Research Network, </w:t>
      </w:r>
      <w:r w:rsidRPr="00F82CA5">
        <w:rPr>
          <w:rFonts w:eastAsia="SimSun"/>
        </w:rPr>
        <w:t>2020</w:t>
      </w:r>
      <w:r>
        <w:rPr>
          <w:rFonts w:eastAsia="SimSun"/>
        </w:rPr>
        <w:t xml:space="preserve">, </w:t>
      </w:r>
      <w:r w:rsidRPr="00F82CA5">
        <w:rPr>
          <w:rFonts w:eastAsia="SimSun"/>
        </w:rPr>
        <w:t xml:space="preserve">Grayson </w:t>
      </w:r>
      <w:r w:rsidRPr="009800AB">
        <w:rPr>
          <w:rFonts w:eastAsia="SimSun"/>
          <w:i/>
        </w:rPr>
        <w:t>et al.,</w:t>
      </w:r>
      <w:r w:rsidRPr="00F82CA5">
        <w:rPr>
          <w:rFonts w:eastAsia="SimSun"/>
        </w:rPr>
        <w:t xml:space="preserve"> 2013 cited in Smith-Merry, 2017</w:t>
      </w:r>
      <w:r>
        <w:rPr>
          <w:rFonts w:eastAsia="SimSun"/>
        </w:rPr>
        <w:t xml:space="preserve">, </w:t>
      </w:r>
      <w:proofErr w:type="spellStart"/>
      <w:r w:rsidRPr="00F82CA5">
        <w:rPr>
          <w:rFonts w:eastAsia="SimSun"/>
        </w:rPr>
        <w:t>Strnadová</w:t>
      </w:r>
      <w:proofErr w:type="spellEnd"/>
      <w:r w:rsidRPr="00F82CA5">
        <w:rPr>
          <w:rFonts w:eastAsia="SimSun"/>
        </w:rPr>
        <w:t xml:space="preserve"> </w:t>
      </w:r>
      <w:r w:rsidRPr="009800AB">
        <w:rPr>
          <w:rFonts w:eastAsia="SimSun"/>
          <w:i/>
        </w:rPr>
        <w:t>et al.,</w:t>
      </w:r>
      <w:r>
        <w:rPr>
          <w:rFonts w:eastAsia="SimSun"/>
        </w:rPr>
        <w:t xml:space="preserve"> </w:t>
      </w:r>
      <w:r w:rsidRPr="00F82CA5">
        <w:rPr>
          <w:rFonts w:eastAsia="SimSun"/>
        </w:rPr>
        <w:t xml:space="preserve">2016 </w:t>
      </w:r>
    </w:p>
  </w:footnote>
  <w:footnote w:id="23">
    <w:p w14:paraId="3379E577" w14:textId="2712C4B4" w:rsidR="00452DFD" w:rsidRDefault="00452DFD">
      <w:pPr>
        <w:pStyle w:val="FootnoteText"/>
      </w:pPr>
      <w:r>
        <w:rPr>
          <w:rStyle w:val="FootnoteReference"/>
        </w:rPr>
        <w:footnoteRef/>
      </w:r>
      <w:r>
        <w:t xml:space="preserve"> </w:t>
      </w:r>
      <w:r>
        <w:rPr>
          <w:rFonts w:eastAsia="SimSun"/>
        </w:rPr>
        <w:t xml:space="preserve">Burke </w:t>
      </w:r>
      <w:r w:rsidRPr="009800AB">
        <w:rPr>
          <w:rFonts w:eastAsia="SimSun"/>
          <w:i/>
        </w:rPr>
        <w:t>et al.,</w:t>
      </w:r>
      <w:r>
        <w:rPr>
          <w:rFonts w:eastAsia="SimSun"/>
        </w:rPr>
        <w:t xml:space="preserve"> 2019, </w:t>
      </w:r>
      <w:proofErr w:type="spellStart"/>
      <w:r>
        <w:rPr>
          <w:rFonts w:eastAsia="SimSun"/>
        </w:rPr>
        <w:t>Frankena</w:t>
      </w:r>
      <w:proofErr w:type="spellEnd"/>
      <w:r>
        <w:rPr>
          <w:rFonts w:eastAsia="SimSun"/>
        </w:rPr>
        <w:t xml:space="preserve"> </w:t>
      </w:r>
      <w:r w:rsidRPr="009800AB">
        <w:rPr>
          <w:rFonts w:eastAsia="SimSun"/>
          <w:i/>
        </w:rPr>
        <w:t>et al.,</w:t>
      </w:r>
      <w:r>
        <w:rPr>
          <w:rFonts w:eastAsia="SimSun"/>
        </w:rPr>
        <w:t xml:space="preserve"> 2019a</w:t>
      </w:r>
    </w:p>
  </w:footnote>
  <w:footnote w:id="24">
    <w:p w14:paraId="5D085CB2" w14:textId="7F7943D7" w:rsidR="00452DFD" w:rsidRDefault="00452DFD">
      <w:pPr>
        <w:pStyle w:val="FootnoteText"/>
      </w:pPr>
      <w:r>
        <w:rPr>
          <w:rStyle w:val="FootnoteReference"/>
        </w:rPr>
        <w:footnoteRef/>
      </w:r>
      <w:r>
        <w:t xml:space="preserve"> </w:t>
      </w:r>
      <w:r>
        <w:rPr>
          <w:rFonts w:eastAsia="SimSun"/>
        </w:rPr>
        <w:t xml:space="preserve">Haya </w:t>
      </w:r>
      <w:proofErr w:type="spellStart"/>
      <w:r w:rsidRPr="00F51EF8">
        <w:rPr>
          <w:rFonts w:eastAsia="SimSun"/>
        </w:rPr>
        <w:t>Salm</w:t>
      </w:r>
      <w:r>
        <w:rPr>
          <w:rFonts w:eastAsia="SimSun"/>
        </w:rPr>
        <w:t>ó</w:t>
      </w:r>
      <w:r w:rsidRPr="00F51EF8">
        <w:rPr>
          <w:rFonts w:eastAsia="SimSun"/>
        </w:rPr>
        <w:t>n</w:t>
      </w:r>
      <w:proofErr w:type="spellEnd"/>
      <w:r w:rsidRPr="00F51EF8">
        <w:rPr>
          <w:rFonts w:eastAsia="SimSun"/>
        </w:rPr>
        <w:t xml:space="preserve"> </w:t>
      </w:r>
      <w:r>
        <w:rPr>
          <w:rFonts w:eastAsia="SimSun"/>
        </w:rPr>
        <w:t>and</w:t>
      </w:r>
      <w:r w:rsidRPr="00F51EF8">
        <w:rPr>
          <w:rFonts w:eastAsia="SimSun"/>
        </w:rPr>
        <w:t xml:space="preserve"> </w:t>
      </w:r>
      <w:r>
        <w:rPr>
          <w:rFonts w:eastAsia="SimSun"/>
        </w:rPr>
        <w:t xml:space="preserve">Rojas </w:t>
      </w:r>
      <w:proofErr w:type="spellStart"/>
      <w:r w:rsidRPr="00F51EF8">
        <w:rPr>
          <w:rFonts w:eastAsia="SimSun"/>
        </w:rPr>
        <w:t>P</w:t>
      </w:r>
      <w:r>
        <w:rPr>
          <w:rFonts w:eastAsia="SimSun"/>
        </w:rPr>
        <w:t>ernia</w:t>
      </w:r>
      <w:proofErr w:type="spellEnd"/>
      <w:r>
        <w:rPr>
          <w:rFonts w:eastAsia="SimSun"/>
        </w:rPr>
        <w:t xml:space="preserve">, 2021, </w:t>
      </w:r>
      <w:proofErr w:type="spellStart"/>
      <w:r>
        <w:rPr>
          <w:rFonts w:eastAsia="SimSun"/>
          <w:szCs w:val="26"/>
        </w:rPr>
        <w:t>Nicolaidis</w:t>
      </w:r>
      <w:proofErr w:type="spellEnd"/>
      <w:r>
        <w:rPr>
          <w:rFonts w:eastAsia="SimSun"/>
          <w:szCs w:val="26"/>
        </w:rPr>
        <w:t xml:space="preserve"> </w:t>
      </w:r>
      <w:r w:rsidRPr="009800AB">
        <w:rPr>
          <w:rFonts w:eastAsia="SimSun"/>
          <w:i/>
          <w:szCs w:val="26"/>
        </w:rPr>
        <w:t>et al.,</w:t>
      </w:r>
      <w:r>
        <w:rPr>
          <w:rFonts w:eastAsia="SimSun"/>
          <w:szCs w:val="26"/>
        </w:rPr>
        <w:t xml:space="preserve"> 2019, </w:t>
      </w:r>
      <w:r>
        <w:rPr>
          <w:rFonts w:eastAsia="SimSun"/>
        </w:rPr>
        <w:t xml:space="preserve">Powers </w:t>
      </w:r>
      <w:r w:rsidRPr="009800AB">
        <w:rPr>
          <w:rFonts w:eastAsia="SimSun"/>
          <w:i/>
        </w:rPr>
        <w:t>et al.,</w:t>
      </w:r>
      <w:r>
        <w:rPr>
          <w:rFonts w:eastAsia="SimSun"/>
        </w:rPr>
        <w:t xml:space="preserve"> 2017, </w:t>
      </w:r>
      <w:r>
        <w:rPr>
          <w:rFonts w:eastAsia="SimSun"/>
          <w:szCs w:val="26"/>
        </w:rPr>
        <w:t>Smith-Merry, 2017</w:t>
      </w:r>
    </w:p>
  </w:footnote>
  <w:footnote w:id="25">
    <w:p w14:paraId="3E852FAD" w14:textId="30062AFC" w:rsidR="00452DFD" w:rsidRDefault="00452DFD">
      <w:pPr>
        <w:pStyle w:val="FootnoteText"/>
      </w:pPr>
      <w:r>
        <w:rPr>
          <w:rStyle w:val="FootnoteReference"/>
        </w:rPr>
        <w:footnoteRef/>
      </w:r>
      <w:r>
        <w:t xml:space="preserve"> </w:t>
      </w:r>
      <w:r w:rsidRPr="00E45E0E">
        <w:rPr>
          <w:rFonts w:eastAsia="SimSun"/>
        </w:rPr>
        <w:t>Gov</w:t>
      </w:r>
      <w:r>
        <w:rPr>
          <w:rFonts w:eastAsia="SimSun"/>
        </w:rPr>
        <w:t xml:space="preserve">e </w:t>
      </w:r>
      <w:r w:rsidRPr="009800AB">
        <w:rPr>
          <w:rFonts w:eastAsia="SimSun"/>
          <w:i/>
        </w:rPr>
        <w:t>et al.,</w:t>
      </w:r>
      <w:r>
        <w:rPr>
          <w:rFonts w:eastAsia="SimSun"/>
        </w:rPr>
        <w:t xml:space="preserve"> 2017, King </w:t>
      </w:r>
      <w:r w:rsidRPr="009800AB">
        <w:rPr>
          <w:rFonts w:eastAsia="SimSun"/>
          <w:i/>
        </w:rPr>
        <w:t>et al.,</w:t>
      </w:r>
      <w:r>
        <w:rPr>
          <w:rFonts w:eastAsia="SimSun"/>
        </w:rPr>
        <w:t xml:space="preserve"> 2019</w:t>
      </w:r>
    </w:p>
  </w:footnote>
  <w:footnote w:id="26">
    <w:p w14:paraId="497A5E8E" w14:textId="7F89F971" w:rsidR="00452DFD" w:rsidRDefault="00452DFD">
      <w:pPr>
        <w:pStyle w:val="FootnoteText"/>
      </w:pPr>
      <w:r>
        <w:rPr>
          <w:rStyle w:val="FootnoteReference"/>
        </w:rPr>
        <w:footnoteRef/>
      </w:r>
      <w:r>
        <w:t xml:space="preserve"> </w:t>
      </w:r>
      <w:proofErr w:type="spellStart"/>
      <w:r w:rsidRPr="00E45E0E">
        <w:rPr>
          <w:rFonts w:eastAsia="SimSun"/>
        </w:rPr>
        <w:t>Walmsley</w:t>
      </w:r>
      <w:proofErr w:type="spellEnd"/>
      <w:r w:rsidRPr="00E45E0E">
        <w:rPr>
          <w:rFonts w:eastAsia="SimSun"/>
        </w:rPr>
        <w:t xml:space="preserve"> </w:t>
      </w:r>
      <w:r w:rsidRPr="009800AB">
        <w:rPr>
          <w:rFonts w:eastAsia="SimSun"/>
          <w:i/>
        </w:rPr>
        <w:t>et al.,</w:t>
      </w:r>
      <w:r>
        <w:rPr>
          <w:rFonts w:eastAsia="SimSun"/>
        </w:rPr>
        <w:t xml:space="preserve"> </w:t>
      </w:r>
      <w:r w:rsidRPr="00E45E0E">
        <w:rPr>
          <w:rFonts w:eastAsia="SimSun"/>
        </w:rPr>
        <w:t xml:space="preserve">2004 cited in </w:t>
      </w:r>
      <w:proofErr w:type="spellStart"/>
      <w:r w:rsidRPr="00E45E0E">
        <w:rPr>
          <w:rFonts w:eastAsia="SimSun"/>
        </w:rPr>
        <w:t>Frankena</w:t>
      </w:r>
      <w:proofErr w:type="spellEnd"/>
      <w:r w:rsidRPr="00E45E0E">
        <w:rPr>
          <w:rFonts w:eastAsia="SimSun"/>
        </w:rPr>
        <w:t xml:space="preserve"> </w:t>
      </w:r>
      <w:r w:rsidRPr="009800AB">
        <w:rPr>
          <w:rFonts w:eastAsia="SimSun"/>
          <w:i/>
        </w:rPr>
        <w:t>et al.,</w:t>
      </w:r>
      <w:r>
        <w:rPr>
          <w:rFonts w:eastAsia="SimSun"/>
        </w:rPr>
        <w:t xml:space="preserve"> </w:t>
      </w:r>
      <w:r w:rsidRPr="00E45E0E">
        <w:rPr>
          <w:rFonts w:eastAsia="SimSun"/>
        </w:rPr>
        <w:t>2015</w:t>
      </w:r>
      <w:r>
        <w:rPr>
          <w:rFonts w:eastAsia="SimSun"/>
        </w:rPr>
        <w:t xml:space="preserve">, Gove </w:t>
      </w:r>
      <w:r w:rsidRPr="009800AB">
        <w:rPr>
          <w:rFonts w:eastAsia="SimSun"/>
          <w:i/>
        </w:rPr>
        <w:t>et al.,</w:t>
      </w:r>
      <w:r>
        <w:rPr>
          <w:rFonts w:eastAsia="SimSun"/>
        </w:rPr>
        <w:t xml:space="preserve"> 2017</w:t>
      </w:r>
    </w:p>
  </w:footnote>
  <w:footnote w:id="27">
    <w:p w14:paraId="3BE90A21" w14:textId="6642EA83" w:rsidR="00452DFD" w:rsidRDefault="00452DFD">
      <w:pPr>
        <w:pStyle w:val="FootnoteText"/>
      </w:pPr>
      <w:r>
        <w:rPr>
          <w:rStyle w:val="FootnoteReference"/>
        </w:rPr>
        <w:footnoteRef/>
      </w:r>
      <w:r>
        <w:t xml:space="preserve"> </w:t>
      </w:r>
      <w:r w:rsidRPr="00784262">
        <w:rPr>
          <w:rFonts w:eastAsia="SimSun"/>
        </w:rPr>
        <w:t>Burton, Ogden, and Cooper, 2019</w:t>
      </w:r>
      <w:r>
        <w:rPr>
          <w:rFonts w:eastAsia="SimSun"/>
        </w:rPr>
        <w:t xml:space="preserve">, O’Hara </w:t>
      </w:r>
      <w:r w:rsidRPr="009800AB">
        <w:rPr>
          <w:rFonts w:eastAsia="SimSun"/>
          <w:i/>
        </w:rPr>
        <w:t>et al.,</w:t>
      </w:r>
      <w:r>
        <w:rPr>
          <w:rFonts w:eastAsia="SimSun"/>
        </w:rPr>
        <w:t xml:space="preserve"> 2017</w:t>
      </w:r>
    </w:p>
  </w:footnote>
  <w:footnote w:id="28">
    <w:p w14:paraId="559387A6" w14:textId="1240FB51" w:rsidR="00452DFD" w:rsidRDefault="00452DFD">
      <w:pPr>
        <w:pStyle w:val="FootnoteText"/>
      </w:pPr>
      <w:r>
        <w:rPr>
          <w:rStyle w:val="FootnoteReference"/>
        </w:rPr>
        <w:footnoteRef/>
      </w:r>
      <w:r>
        <w:t xml:space="preserve"> </w:t>
      </w:r>
      <w:r w:rsidRPr="00FB3564">
        <w:t>Smith-Merry, 2017</w:t>
      </w:r>
    </w:p>
  </w:footnote>
  <w:footnote w:id="29">
    <w:p w14:paraId="421E1D70" w14:textId="080A089A" w:rsidR="00452DFD" w:rsidRDefault="00452DFD">
      <w:pPr>
        <w:pStyle w:val="FootnoteText"/>
      </w:pPr>
      <w:r>
        <w:rPr>
          <w:rStyle w:val="FootnoteReference"/>
        </w:rPr>
        <w:footnoteRef/>
      </w:r>
      <w:r>
        <w:t xml:space="preserve"> </w:t>
      </w:r>
      <w:r>
        <w:rPr>
          <w:rFonts w:eastAsia="SimSun"/>
        </w:rPr>
        <w:t xml:space="preserve">Anderson </w:t>
      </w:r>
      <w:r w:rsidRPr="009800AB">
        <w:rPr>
          <w:rFonts w:eastAsia="SimSun"/>
          <w:i/>
        </w:rPr>
        <w:t>et al.,</w:t>
      </w:r>
      <w:r>
        <w:rPr>
          <w:rFonts w:eastAsia="SimSun"/>
        </w:rPr>
        <w:t xml:space="preserve"> 2019, </w:t>
      </w:r>
      <w:proofErr w:type="spellStart"/>
      <w:r>
        <w:rPr>
          <w:rFonts w:eastAsia="SimSun"/>
        </w:rPr>
        <w:t>Frankena</w:t>
      </w:r>
      <w:proofErr w:type="spellEnd"/>
      <w:r>
        <w:rPr>
          <w:rFonts w:eastAsia="SimSun"/>
        </w:rPr>
        <w:t xml:space="preserve"> </w:t>
      </w:r>
      <w:r w:rsidRPr="009800AB">
        <w:rPr>
          <w:rFonts w:eastAsia="SimSun"/>
          <w:i/>
        </w:rPr>
        <w:t>et al.,</w:t>
      </w:r>
      <w:r>
        <w:rPr>
          <w:rFonts w:eastAsia="SimSun"/>
        </w:rPr>
        <w:t xml:space="preserve"> 2015, Gove </w:t>
      </w:r>
      <w:r w:rsidRPr="009800AB">
        <w:rPr>
          <w:rFonts w:eastAsia="SimSun"/>
          <w:i/>
        </w:rPr>
        <w:t>et al.,</w:t>
      </w:r>
      <w:r>
        <w:rPr>
          <w:rFonts w:eastAsia="SimSun"/>
        </w:rPr>
        <w:t xml:space="preserve"> 2017, Ní </w:t>
      </w:r>
      <w:proofErr w:type="spellStart"/>
      <w:r>
        <w:rPr>
          <w:rFonts w:eastAsia="SimSun"/>
        </w:rPr>
        <w:t>Shé</w:t>
      </w:r>
      <w:proofErr w:type="spellEnd"/>
      <w:r>
        <w:rPr>
          <w:rFonts w:eastAsia="SimSun"/>
        </w:rPr>
        <w:t xml:space="preserve"> </w:t>
      </w:r>
      <w:r w:rsidRPr="009800AB">
        <w:rPr>
          <w:rFonts w:eastAsia="SimSun"/>
          <w:i/>
        </w:rPr>
        <w:t>et al.,</w:t>
      </w:r>
      <w:r>
        <w:rPr>
          <w:rFonts w:eastAsia="SimSun"/>
        </w:rPr>
        <w:t xml:space="preserve"> 2020, </w:t>
      </w:r>
      <w:proofErr w:type="spellStart"/>
      <w:r>
        <w:rPr>
          <w:rFonts w:eastAsia="SimSun"/>
        </w:rPr>
        <w:t>Nicolaidis</w:t>
      </w:r>
      <w:proofErr w:type="spellEnd"/>
      <w:r>
        <w:rPr>
          <w:rFonts w:eastAsia="SimSun"/>
        </w:rPr>
        <w:t xml:space="preserve"> </w:t>
      </w:r>
      <w:r w:rsidRPr="009800AB">
        <w:rPr>
          <w:rFonts w:eastAsia="SimSun"/>
          <w:i/>
        </w:rPr>
        <w:t>et al.,</w:t>
      </w:r>
      <w:r>
        <w:rPr>
          <w:rFonts w:eastAsia="SimSun"/>
        </w:rPr>
        <w:t xml:space="preserve"> 2019</w:t>
      </w:r>
    </w:p>
  </w:footnote>
  <w:footnote w:id="30">
    <w:p w14:paraId="2D8DEB1A" w14:textId="741BC23D" w:rsidR="00452DFD" w:rsidRDefault="00452DFD">
      <w:pPr>
        <w:pStyle w:val="FootnoteText"/>
      </w:pPr>
      <w:r>
        <w:rPr>
          <w:rStyle w:val="FootnoteReference"/>
        </w:rPr>
        <w:footnoteRef/>
      </w:r>
      <w:r>
        <w:t xml:space="preserve"> </w:t>
      </w:r>
      <w:r>
        <w:rPr>
          <w:rFonts w:eastAsia="SimSun"/>
        </w:rPr>
        <w:t xml:space="preserve">Bailey </w:t>
      </w:r>
      <w:r w:rsidRPr="009800AB">
        <w:rPr>
          <w:rFonts w:eastAsia="SimSun"/>
          <w:i/>
        </w:rPr>
        <w:t>et al.,</w:t>
      </w:r>
      <w:r>
        <w:rPr>
          <w:rFonts w:eastAsia="SimSun"/>
        </w:rPr>
        <w:t xml:space="preserve"> 2015, </w:t>
      </w:r>
      <w:r w:rsidRPr="00241BD3">
        <w:rPr>
          <w:rFonts w:eastAsia="SimSun"/>
        </w:rPr>
        <w:t xml:space="preserve">Scottish Dementia Working Group 2014 cited in </w:t>
      </w:r>
      <w:r w:rsidRPr="00241BD3">
        <w:rPr>
          <w:rFonts w:eastAsia="SimSun" w:cs="Calibri"/>
          <w:color w:val="000000"/>
          <w:lang w:eastAsia="en-IE"/>
        </w:rPr>
        <w:t xml:space="preserve">Di </w:t>
      </w:r>
      <w:proofErr w:type="spellStart"/>
      <w:r w:rsidRPr="00241BD3">
        <w:rPr>
          <w:rFonts w:eastAsia="SimSun" w:cs="Calibri"/>
          <w:color w:val="000000"/>
          <w:lang w:eastAsia="en-IE"/>
        </w:rPr>
        <w:t>Lorito</w:t>
      </w:r>
      <w:proofErr w:type="spellEnd"/>
      <w:r w:rsidRPr="00241BD3">
        <w:rPr>
          <w:rFonts w:eastAsia="SimSun" w:cs="Calibri"/>
          <w:color w:val="000000"/>
          <w:lang w:eastAsia="en-IE"/>
        </w:rPr>
        <w:t xml:space="preserve"> </w:t>
      </w:r>
      <w:r w:rsidRPr="009800AB">
        <w:rPr>
          <w:rFonts w:eastAsia="SimSun" w:cs="Calibri"/>
          <w:i/>
          <w:color w:val="000000"/>
          <w:lang w:eastAsia="en-IE"/>
        </w:rPr>
        <w:t>et al.,</w:t>
      </w:r>
      <w:r>
        <w:rPr>
          <w:rFonts w:eastAsia="SimSun" w:cs="Calibri"/>
          <w:color w:val="000000"/>
          <w:lang w:eastAsia="en-IE"/>
        </w:rPr>
        <w:t xml:space="preserve"> </w:t>
      </w:r>
      <w:r w:rsidRPr="00241BD3">
        <w:rPr>
          <w:rFonts w:eastAsia="SimSun" w:cs="Calibri"/>
          <w:color w:val="000000"/>
          <w:lang w:eastAsia="en-IE"/>
        </w:rPr>
        <w:t>2017</w:t>
      </w:r>
    </w:p>
  </w:footnote>
  <w:footnote w:id="31">
    <w:p w14:paraId="1A9A7102" w14:textId="11E6786F" w:rsidR="00452DFD" w:rsidRDefault="00452DFD">
      <w:pPr>
        <w:pStyle w:val="FootnoteText"/>
      </w:pPr>
      <w:r>
        <w:rPr>
          <w:rStyle w:val="FootnoteReference"/>
        </w:rPr>
        <w:footnoteRef/>
      </w:r>
      <w:r>
        <w:t xml:space="preserve"> </w:t>
      </w:r>
      <w:r w:rsidRPr="00DB20F4">
        <w:rPr>
          <w:rFonts w:eastAsia="SimSun"/>
        </w:rPr>
        <w:t>Barry, 2016</w:t>
      </w:r>
      <w:r>
        <w:rPr>
          <w:rFonts w:eastAsia="SimSun"/>
        </w:rPr>
        <w:t xml:space="preserve">, </w:t>
      </w:r>
      <w:proofErr w:type="spellStart"/>
      <w:r w:rsidRPr="00DB20F4">
        <w:rPr>
          <w:rFonts w:eastAsia="SimSun"/>
        </w:rPr>
        <w:t>Durell</w:t>
      </w:r>
      <w:proofErr w:type="spellEnd"/>
      <w:r w:rsidRPr="00DB20F4">
        <w:rPr>
          <w:rFonts w:eastAsia="SimSun"/>
        </w:rPr>
        <w:t xml:space="preserve"> </w:t>
      </w:r>
      <w:r w:rsidRPr="009800AB">
        <w:rPr>
          <w:rFonts w:eastAsia="SimSun"/>
          <w:i/>
        </w:rPr>
        <w:t>et al.,</w:t>
      </w:r>
      <w:r>
        <w:rPr>
          <w:rFonts w:eastAsia="SimSun"/>
        </w:rPr>
        <w:t xml:space="preserve"> </w:t>
      </w:r>
      <w:r w:rsidRPr="00DB20F4">
        <w:rPr>
          <w:rFonts w:eastAsia="SimSun"/>
        </w:rPr>
        <w:t>2016</w:t>
      </w:r>
      <w:r>
        <w:rPr>
          <w:rFonts w:eastAsia="SimSun"/>
        </w:rPr>
        <w:t xml:space="preserve">, </w:t>
      </w:r>
      <w:proofErr w:type="spellStart"/>
      <w:r w:rsidRPr="009F4972">
        <w:rPr>
          <w:rFonts w:eastAsia="SimSun" w:cs="Calibri"/>
          <w:color w:val="000000"/>
          <w:lang w:eastAsia="en-IE"/>
        </w:rPr>
        <w:t>Suijkerbuijk</w:t>
      </w:r>
      <w:proofErr w:type="spellEnd"/>
      <w:r w:rsidRPr="009F4972">
        <w:rPr>
          <w:rFonts w:eastAsia="SimSun" w:cs="Calibri"/>
          <w:color w:val="000000"/>
          <w:lang w:eastAsia="en-IE"/>
        </w:rPr>
        <w:t xml:space="preserve"> </w:t>
      </w:r>
      <w:r w:rsidRPr="009800AB">
        <w:rPr>
          <w:rFonts w:eastAsia="SimSun" w:cs="Calibri"/>
          <w:i/>
          <w:color w:val="000000"/>
          <w:lang w:eastAsia="en-IE"/>
        </w:rPr>
        <w:t>et al.,</w:t>
      </w:r>
      <w:r>
        <w:rPr>
          <w:rFonts w:eastAsia="SimSun" w:cs="Calibri"/>
          <w:color w:val="000000"/>
          <w:lang w:eastAsia="en-IE"/>
        </w:rPr>
        <w:t xml:space="preserve"> </w:t>
      </w:r>
      <w:r w:rsidRPr="009F4972">
        <w:rPr>
          <w:rFonts w:eastAsia="SimSun" w:cs="Calibri"/>
          <w:color w:val="000000"/>
          <w:lang w:eastAsia="en-IE"/>
        </w:rPr>
        <w:t>2019</w:t>
      </w:r>
    </w:p>
  </w:footnote>
  <w:footnote w:id="32">
    <w:p w14:paraId="3BFCD42C" w14:textId="0FF4557F" w:rsidR="00452DFD" w:rsidRDefault="00452DFD">
      <w:pPr>
        <w:pStyle w:val="FootnoteText"/>
      </w:pPr>
      <w:r>
        <w:rPr>
          <w:rStyle w:val="FootnoteReference"/>
        </w:rPr>
        <w:footnoteRef/>
      </w:r>
      <w:r>
        <w:t xml:space="preserve"> </w:t>
      </w:r>
      <w:r w:rsidRPr="009F4972">
        <w:rPr>
          <w:rFonts w:eastAsia="SimSun"/>
        </w:rPr>
        <w:t xml:space="preserve">Ní </w:t>
      </w:r>
      <w:proofErr w:type="spellStart"/>
      <w:r w:rsidRPr="009F4972">
        <w:rPr>
          <w:rFonts w:eastAsia="SimSun"/>
        </w:rPr>
        <w:t>Shé</w:t>
      </w:r>
      <w:proofErr w:type="spellEnd"/>
      <w:r w:rsidRPr="009F4972">
        <w:rPr>
          <w:rFonts w:eastAsia="SimSun"/>
        </w:rPr>
        <w:t xml:space="preserve"> </w:t>
      </w:r>
      <w:r w:rsidRPr="009800AB">
        <w:rPr>
          <w:rFonts w:eastAsia="SimSun"/>
          <w:i/>
        </w:rPr>
        <w:t>et al.,</w:t>
      </w:r>
      <w:r>
        <w:rPr>
          <w:rFonts w:eastAsia="SimSun"/>
        </w:rPr>
        <w:t xml:space="preserve"> </w:t>
      </w:r>
      <w:r w:rsidRPr="009F4972">
        <w:rPr>
          <w:rFonts w:eastAsia="SimSun"/>
        </w:rPr>
        <w:t>2020</w:t>
      </w:r>
    </w:p>
  </w:footnote>
  <w:footnote w:id="33">
    <w:p w14:paraId="252D8362" w14:textId="4E4C2B1E" w:rsidR="00452DFD" w:rsidRDefault="00452DFD">
      <w:pPr>
        <w:pStyle w:val="FootnoteText"/>
      </w:pPr>
      <w:r>
        <w:rPr>
          <w:rStyle w:val="FootnoteReference"/>
        </w:rPr>
        <w:footnoteRef/>
      </w:r>
      <w:r>
        <w:t xml:space="preserve"> </w:t>
      </w:r>
      <w:proofErr w:type="spellStart"/>
      <w:r w:rsidRPr="00024848">
        <w:rPr>
          <w:rFonts w:eastAsia="SimSun"/>
        </w:rPr>
        <w:t>Frankena</w:t>
      </w:r>
      <w:proofErr w:type="spellEnd"/>
      <w:r w:rsidRPr="00024848">
        <w:rPr>
          <w:rFonts w:eastAsia="SimSun"/>
        </w:rPr>
        <w:t xml:space="preserve"> </w:t>
      </w:r>
      <w:r w:rsidRPr="009800AB">
        <w:rPr>
          <w:rFonts w:eastAsia="SimSun"/>
          <w:i/>
        </w:rPr>
        <w:t>et al.,</w:t>
      </w:r>
      <w:r>
        <w:rPr>
          <w:rFonts w:eastAsia="SimSun"/>
        </w:rPr>
        <w:t xml:space="preserve"> </w:t>
      </w:r>
      <w:r w:rsidRPr="00024848">
        <w:rPr>
          <w:rFonts w:eastAsia="SimSun"/>
        </w:rPr>
        <w:t xml:space="preserve">2015, </w:t>
      </w:r>
      <w:proofErr w:type="spellStart"/>
      <w:r w:rsidRPr="00024848">
        <w:rPr>
          <w:rFonts w:eastAsia="SimSun"/>
        </w:rPr>
        <w:t>Frankena</w:t>
      </w:r>
      <w:proofErr w:type="spellEnd"/>
      <w:r w:rsidRPr="00024848">
        <w:rPr>
          <w:rFonts w:eastAsia="SimSun"/>
        </w:rPr>
        <w:t xml:space="preserve"> </w:t>
      </w:r>
      <w:r w:rsidRPr="009800AB">
        <w:rPr>
          <w:rFonts w:eastAsia="SimSun"/>
          <w:i/>
        </w:rPr>
        <w:t>et al.,</w:t>
      </w:r>
      <w:r>
        <w:rPr>
          <w:rFonts w:eastAsia="SimSun"/>
        </w:rPr>
        <w:t xml:space="preserve"> </w:t>
      </w:r>
      <w:r w:rsidRPr="00024848">
        <w:rPr>
          <w:rFonts w:eastAsia="SimSun"/>
        </w:rPr>
        <w:t xml:space="preserve">2019a, Miah </w:t>
      </w:r>
      <w:r w:rsidRPr="009800AB">
        <w:rPr>
          <w:rFonts w:eastAsia="SimSun"/>
          <w:i/>
        </w:rPr>
        <w:t>et al.,</w:t>
      </w:r>
      <w:r>
        <w:rPr>
          <w:rFonts w:eastAsia="SimSun"/>
        </w:rPr>
        <w:t xml:space="preserve"> </w:t>
      </w:r>
      <w:r w:rsidRPr="00024848">
        <w:rPr>
          <w:rFonts w:eastAsia="SimSun"/>
        </w:rPr>
        <w:t>2019</w:t>
      </w:r>
    </w:p>
  </w:footnote>
  <w:footnote w:id="34">
    <w:p w14:paraId="16E93AC8" w14:textId="6643AE1D" w:rsidR="00452DFD" w:rsidRDefault="00452DFD">
      <w:pPr>
        <w:pStyle w:val="FootnoteText"/>
      </w:pPr>
      <w:r>
        <w:rPr>
          <w:rStyle w:val="FootnoteReference"/>
        </w:rPr>
        <w:footnoteRef/>
      </w:r>
      <w:r>
        <w:t xml:space="preserve"> NDA, 2002, p. 7</w:t>
      </w:r>
    </w:p>
  </w:footnote>
  <w:footnote w:id="35">
    <w:p w14:paraId="1684EFA6" w14:textId="31317C09" w:rsidR="00452DFD" w:rsidRDefault="00452DFD">
      <w:pPr>
        <w:pStyle w:val="FootnoteText"/>
      </w:pPr>
      <w:r>
        <w:rPr>
          <w:rStyle w:val="FootnoteReference"/>
        </w:rPr>
        <w:footnoteRef/>
      </w:r>
      <w:r>
        <w:t xml:space="preserve"> </w:t>
      </w:r>
      <w:r w:rsidRPr="009050EC">
        <w:t>In this review we use the term</w:t>
      </w:r>
      <w:r>
        <w:t xml:space="preserve"> </w:t>
      </w:r>
      <w:r w:rsidRPr="009050EC">
        <w:t>the term ‘researcher’ to refer to trained</w:t>
      </w:r>
      <w:r>
        <w:t>/professional researchers (e.g.</w:t>
      </w:r>
      <w:r w:rsidRPr="009050EC">
        <w:t xml:space="preserve"> academic researchers, organisations, clinicians)</w:t>
      </w:r>
      <w:r>
        <w:t xml:space="preserve"> and</w:t>
      </w:r>
      <w:r w:rsidRPr="009050EC">
        <w:t xml:space="preserve"> </w:t>
      </w:r>
      <w:r>
        <w:t>‘</w:t>
      </w:r>
      <w:r w:rsidRPr="009050EC">
        <w:t xml:space="preserve">co-researcher’ to identify people with lived experience of disability who are </w:t>
      </w:r>
      <w:r>
        <w:t xml:space="preserve">collaboratively </w:t>
      </w:r>
      <w:r w:rsidRPr="009050EC">
        <w:t>involved in the research process</w:t>
      </w:r>
      <w:r>
        <w:t xml:space="preserve">. It is important to note that trained or academic researchers may include people with lived experience of disability. </w:t>
      </w:r>
    </w:p>
  </w:footnote>
  <w:footnote w:id="36">
    <w:p w14:paraId="58B1B025" w14:textId="6A8C6AEB" w:rsidR="00452DFD" w:rsidRDefault="00452DFD">
      <w:pPr>
        <w:pStyle w:val="FootnoteText"/>
      </w:pPr>
      <w:r>
        <w:rPr>
          <w:rStyle w:val="FootnoteReference"/>
        </w:rPr>
        <w:footnoteRef/>
      </w:r>
      <w:r>
        <w:t xml:space="preserve"> </w:t>
      </w:r>
      <w:r w:rsidRPr="004554C3">
        <w:rPr>
          <w:rFonts w:eastAsia="SimSun" w:cs="MinionPro-Regular"/>
          <w:szCs w:val="26"/>
          <w:lang w:eastAsia="en-IE"/>
        </w:rPr>
        <w:t xml:space="preserve">Brown </w:t>
      </w:r>
      <w:r>
        <w:rPr>
          <w:rFonts w:eastAsia="SimSun" w:cs="MinionPro-Regular"/>
          <w:szCs w:val="26"/>
          <w:lang w:eastAsia="en-IE"/>
        </w:rPr>
        <w:t>and</w:t>
      </w:r>
      <w:r w:rsidRPr="004554C3">
        <w:rPr>
          <w:rFonts w:eastAsia="SimSun" w:cs="MinionPro-Regular"/>
          <w:szCs w:val="26"/>
          <w:lang w:eastAsia="en-IE"/>
        </w:rPr>
        <w:t xml:space="preserve"> </w:t>
      </w:r>
      <w:proofErr w:type="spellStart"/>
      <w:r w:rsidRPr="004554C3">
        <w:rPr>
          <w:rFonts w:eastAsia="SimSun" w:cs="MinionPro-Regular"/>
          <w:szCs w:val="26"/>
          <w:lang w:eastAsia="en-IE"/>
        </w:rPr>
        <w:t>Dorris</w:t>
      </w:r>
      <w:proofErr w:type="spellEnd"/>
      <w:r w:rsidRPr="004554C3">
        <w:rPr>
          <w:rFonts w:eastAsia="SimSun" w:cs="MinionPro-Regular"/>
          <w:szCs w:val="26"/>
          <w:lang w:eastAsia="en-IE"/>
        </w:rPr>
        <w:t>, 2022</w:t>
      </w:r>
      <w:r>
        <w:rPr>
          <w:rFonts w:eastAsia="SimSun" w:cs="MinionPro-Regular"/>
          <w:szCs w:val="26"/>
          <w:lang w:eastAsia="en-IE"/>
        </w:rPr>
        <w:t xml:space="preserve">, Gomez </w:t>
      </w:r>
      <w:r w:rsidRPr="009800AB">
        <w:rPr>
          <w:rFonts w:eastAsia="SimSun" w:cs="MinionPro-Regular"/>
          <w:i/>
          <w:szCs w:val="26"/>
          <w:lang w:eastAsia="en-IE"/>
        </w:rPr>
        <w:t>et al.,</w:t>
      </w:r>
      <w:r>
        <w:rPr>
          <w:rFonts w:eastAsia="SimSun" w:cs="MinionPro-Regular"/>
          <w:szCs w:val="26"/>
          <w:lang w:eastAsia="en-IE"/>
        </w:rPr>
        <w:t xml:space="preserve"> 2020, </w:t>
      </w:r>
      <w:proofErr w:type="spellStart"/>
      <w:r>
        <w:rPr>
          <w:rFonts w:eastAsia="SimSun" w:cs="MinionPro-Regular"/>
          <w:szCs w:val="26"/>
          <w:lang w:eastAsia="en-IE"/>
        </w:rPr>
        <w:t>M</w:t>
      </w:r>
      <w:r>
        <w:rPr>
          <w:shd w:val="clear" w:color="auto" w:fill="FFFFFF"/>
        </w:rPr>
        <w:t>cCausland</w:t>
      </w:r>
      <w:proofErr w:type="spellEnd"/>
      <w:r>
        <w:rPr>
          <w:shd w:val="clear" w:color="auto" w:fill="FFFFFF"/>
        </w:rPr>
        <w:t xml:space="preserve"> </w:t>
      </w:r>
      <w:r w:rsidRPr="009800AB">
        <w:rPr>
          <w:i/>
          <w:shd w:val="clear" w:color="auto" w:fill="FFFFFF"/>
        </w:rPr>
        <w:t>et al.,</w:t>
      </w:r>
      <w:r>
        <w:rPr>
          <w:shd w:val="clear" w:color="auto" w:fill="FFFFFF"/>
        </w:rPr>
        <w:t xml:space="preserve"> 2018</w:t>
      </w:r>
    </w:p>
  </w:footnote>
  <w:footnote w:id="37">
    <w:p w14:paraId="4AEEDFFA" w14:textId="6CF15234" w:rsidR="00452DFD" w:rsidRDefault="00452DFD">
      <w:pPr>
        <w:pStyle w:val="FootnoteText"/>
      </w:pPr>
      <w:r>
        <w:rPr>
          <w:rStyle w:val="FootnoteReference"/>
        </w:rPr>
        <w:footnoteRef/>
      </w:r>
      <w:r>
        <w:t xml:space="preserve"> </w:t>
      </w:r>
      <w:r>
        <w:rPr>
          <w:rFonts w:eastAsia="SimSun" w:cs="HelveticaNeueLTStd-Lt"/>
          <w:szCs w:val="26"/>
          <w:lang w:eastAsia="en-IE"/>
        </w:rPr>
        <w:t xml:space="preserve">Brown and </w:t>
      </w:r>
      <w:proofErr w:type="spellStart"/>
      <w:r>
        <w:rPr>
          <w:rFonts w:eastAsia="SimSun" w:cs="HelveticaNeueLTStd-Lt"/>
          <w:szCs w:val="26"/>
          <w:lang w:eastAsia="en-IE"/>
        </w:rPr>
        <w:t>Dorris</w:t>
      </w:r>
      <w:proofErr w:type="spellEnd"/>
      <w:r>
        <w:rPr>
          <w:rFonts w:eastAsia="SimSun" w:cs="HelveticaNeueLTStd-Lt"/>
          <w:szCs w:val="26"/>
          <w:lang w:eastAsia="en-IE"/>
        </w:rPr>
        <w:t>, 2022</w:t>
      </w:r>
    </w:p>
  </w:footnote>
  <w:footnote w:id="38">
    <w:p w14:paraId="64790BB7" w14:textId="1285A4D6" w:rsidR="00452DFD" w:rsidRDefault="00452DFD">
      <w:pPr>
        <w:pStyle w:val="FootnoteText"/>
      </w:pPr>
      <w:r>
        <w:rPr>
          <w:rStyle w:val="FootnoteReference"/>
        </w:rPr>
        <w:footnoteRef/>
      </w:r>
      <w:r>
        <w:t xml:space="preserve"> </w:t>
      </w:r>
      <w:r>
        <w:rPr>
          <w:rFonts w:eastAsia="SimSun" w:cs="MinionPro-Regular"/>
          <w:szCs w:val="26"/>
          <w:lang w:eastAsia="en-IE"/>
        </w:rPr>
        <w:t xml:space="preserve">Salmon </w:t>
      </w:r>
      <w:r w:rsidRPr="00893777">
        <w:rPr>
          <w:rFonts w:eastAsia="SimSun" w:cs="MinionPro-Regular"/>
          <w:i/>
          <w:szCs w:val="26"/>
          <w:lang w:eastAsia="en-IE"/>
        </w:rPr>
        <w:t>et al.,</w:t>
      </w:r>
      <w:r>
        <w:rPr>
          <w:rFonts w:eastAsia="SimSun" w:cs="MinionPro-Regular"/>
          <w:szCs w:val="26"/>
          <w:lang w:eastAsia="en-IE"/>
        </w:rPr>
        <w:t xml:space="preserve"> 2018</w:t>
      </w:r>
    </w:p>
  </w:footnote>
  <w:footnote w:id="39">
    <w:p w14:paraId="50D61E81" w14:textId="175E7F85" w:rsidR="00452DFD" w:rsidRDefault="00452DFD">
      <w:pPr>
        <w:pStyle w:val="FootnoteText"/>
      </w:pPr>
      <w:r>
        <w:rPr>
          <w:rStyle w:val="FootnoteReference"/>
        </w:rPr>
        <w:footnoteRef/>
      </w:r>
      <w:r>
        <w:t xml:space="preserve"> </w:t>
      </w:r>
      <w:r>
        <w:rPr>
          <w:lang w:eastAsia="en-IE"/>
        </w:rPr>
        <w:t>Campus Engage is an Irish initiative dedicated to supporting civic and community engagement in all aspects of higher education institutions.</w:t>
      </w:r>
    </w:p>
  </w:footnote>
  <w:footnote w:id="40">
    <w:p w14:paraId="5FF9FC36" w14:textId="6640DB9B" w:rsidR="00452DFD" w:rsidRDefault="00452DFD">
      <w:pPr>
        <w:pStyle w:val="FootnoteText"/>
      </w:pPr>
      <w:r>
        <w:rPr>
          <w:rStyle w:val="FootnoteReference"/>
        </w:rPr>
        <w:footnoteRef/>
      </w:r>
      <w:r>
        <w:t xml:space="preserve"> </w:t>
      </w:r>
      <w:r>
        <w:rPr>
          <w:rFonts w:eastAsia="SimSun" w:cs="HelveticaNeueLTStd-Lt"/>
          <w:szCs w:val="26"/>
          <w:lang w:eastAsia="en-IE"/>
        </w:rPr>
        <w:t>Campus Engage, 2017</w:t>
      </w:r>
    </w:p>
  </w:footnote>
  <w:footnote w:id="41">
    <w:p w14:paraId="7C053E8F" w14:textId="036D7D4D" w:rsidR="00452DFD" w:rsidRDefault="00452DFD">
      <w:pPr>
        <w:pStyle w:val="FootnoteText"/>
      </w:pPr>
      <w:r>
        <w:rPr>
          <w:rStyle w:val="FootnoteReference"/>
        </w:rPr>
        <w:footnoteRef/>
      </w:r>
      <w:r>
        <w:t xml:space="preserve"> NDA, 2022b</w:t>
      </w:r>
    </w:p>
  </w:footnote>
  <w:footnote w:id="42">
    <w:p w14:paraId="01E72BA0" w14:textId="15370D0C" w:rsidR="00452DFD" w:rsidRDefault="00452DFD">
      <w:pPr>
        <w:pStyle w:val="FootnoteText"/>
      </w:pPr>
      <w:r>
        <w:rPr>
          <w:rStyle w:val="FootnoteReference"/>
        </w:rPr>
        <w:footnoteRef/>
      </w:r>
      <w:r>
        <w:t xml:space="preserve"> Castro </w:t>
      </w:r>
      <w:r w:rsidRPr="009800AB">
        <w:rPr>
          <w:i/>
        </w:rPr>
        <w:t>et al.,</w:t>
      </w:r>
      <w:r>
        <w:t xml:space="preserve"> 2016, </w:t>
      </w:r>
      <w:proofErr w:type="spellStart"/>
      <w:r>
        <w:t>Nind</w:t>
      </w:r>
      <w:proofErr w:type="spellEnd"/>
      <w:r>
        <w:t>, 2014</w:t>
      </w:r>
    </w:p>
  </w:footnote>
  <w:footnote w:id="43">
    <w:p w14:paraId="7B558B30" w14:textId="28880BF0" w:rsidR="00452DFD" w:rsidRDefault="00452DFD">
      <w:pPr>
        <w:pStyle w:val="FootnoteText"/>
      </w:pPr>
      <w:r>
        <w:rPr>
          <w:rStyle w:val="FootnoteReference"/>
        </w:rPr>
        <w:footnoteRef/>
      </w:r>
      <w:r>
        <w:t xml:space="preserve"> </w:t>
      </w:r>
      <w:proofErr w:type="spellStart"/>
      <w:r>
        <w:t>Nind</w:t>
      </w:r>
      <w:proofErr w:type="spellEnd"/>
      <w:r>
        <w:t xml:space="preserve">, 2014, </w:t>
      </w:r>
      <w:proofErr w:type="spellStart"/>
      <w:r>
        <w:t>Walmsley</w:t>
      </w:r>
      <w:proofErr w:type="spellEnd"/>
      <w:r>
        <w:t xml:space="preserve"> and Johnson, 2003</w:t>
      </w:r>
    </w:p>
  </w:footnote>
  <w:footnote w:id="44">
    <w:p w14:paraId="029C93D2" w14:textId="0BAB4DC4" w:rsidR="00452DFD" w:rsidRDefault="00452DFD">
      <w:pPr>
        <w:pStyle w:val="FootnoteText"/>
      </w:pPr>
      <w:r>
        <w:rPr>
          <w:rStyle w:val="FootnoteReference"/>
        </w:rPr>
        <w:footnoteRef/>
      </w:r>
      <w:r>
        <w:t xml:space="preserve"> Campus Engage, 2017, </w:t>
      </w:r>
      <w:r w:rsidRPr="00121663">
        <w:t xml:space="preserve">Holliman </w:t>
      </w:r>
      <w:r w:rsidRPr="009800AB">
        <w:rPr>
          <w:i/>
        </w:rPr>
        <w:t>et al.,</w:t>
      </w:r>
      <w:r>
        <w:t xml:space="preserve"> 2015</w:t>
      </w:r>
    </w:p>
  </w:footnote>
  <w:footnote w:id="45">
    <w:p w14:paraId="6838E187" w14:textId="292035FD" w:rsidR="00452DFD" w:rsidRDefault="00452DFD">
      <w:pPr>
        <w:pStyle w:val="FootnoteText"/>
      </w:pPr>
      <w:r>
        <w:rPr>
          <w:rStyle w:val="FootnoteReference"/>
        </w:rPr>
        <w:footnoteRef/>
      </w:r>
      <w:r>
        <w:t xml:space="preserve"> Cornwall and </w:t>
      </w:r>
      <w:proofErr w:type="spellStart"/>
      <w:r>
        <w:t>Jewkes</w:t>
      </w:r>
      <w:proofErr w:type="spellEnd"/>
      <w:r>
        <w:t>, 1995</w:t>
      </w:r>
    </w:p>
  </w:footnote>
  <w:footnote w:id="46">
    <w:p w14:paraId="76B903D9" w14:textId="6DA58263" w:rsidR="00452DFD" w:rsidRDefault="00452DFD">
      <w:pPr>
        <w:pStyle w:val="FootnoteText"/>
      </w:pPr>
      <w:r>
        <w:rPr>
          <w:rStyle w:val="FootnoteReference"/>
        </w:rPr>
        <w:footnoteRef/>
      </w:r>
      <w:r>
        <w:t xml:space="preserve"> Vaughn and Jacquez, 2020</w:t>
      </w:r>
    </w:p>
  </w:footnote>
  <w:footnote w:id="47">
    <w:p w14:paraId="7790491B" w14:textId="07850948" w:rsidR="00452DFD" w:rsidRDefault="00452DFD">
      <w:pPr>
        <w:pStyle w:val="FootnoteText"/>
      </w:pPr>
      <w:r>
        <w:rPr>
          <w:rStyle w:val="FootnoteReference"/>
        </w:rPr>
        <w:footnoteRef/>
      </w:r>
      <w:r>
        <w:t xml:space="preserve"> </w:t>
      </w:r>
      <w:r w:rsidRPr="00AD1E64">
        <w:t>Banks and Brydon Miller</w:t>
      </w:r>
      <w:r>
        <w:t>, 2018, p.3</w:t>
      </w:r>
    </w:p>
  </w:footnote>
  <w:footnote w:id="48">
    <w:p w14:paraId="651A2314" w14:textId="5AF63EEE" w:rsidR="00452DFD" w:rsidRDefault="00452DFD">
      <w:pPr>
        <w:pStyle w:val="FootnoteText"/>
      </w:pPr>
      <w:r>
        <w:rPr>
          <w:rStyle w:val="FootnoteReference"/>
        </w:rPr>
        <w:footnoteRef/>
      </w:r>
      <w:r>
        <w:t xml:space="preserve"> </w:t>
      </w:r>
      <w:proofErr w:type="spellStart"/>
      <w:r>
        <w:t>Nind</w:t>
      </w:r>
      <w:proofErr w:type="spellEnd"/>
      <w:r>
        <w:t xml:space="preserve">, 2017, </w:t>
      </w:r>
      <w:proofErr w:type="spellStart"/>
      <w:r>
        <w:t>Walmsley</w:t>
      </w:r>
      <w:proofErr w:type="spellEnd"/>
      <w:r>
        <w:t>, 2003</w:t>
      </w:r>
    </w:p>
  </w:footnote>
  <w:footnote w:id="49">
    <w:p w14:paraId="7EDAA036" w14:textId="4637C8F7" w:rsidR="00452DFD" w:rsidRDefault="00452DFD">
      <w:pPr>
        <w:pStyle w:val="FootnoteText"/>
      </w:pPr>
      <w:r>
        <w:rPr>
          <w:rStyle w:val="FootnoteReference"/>
        </w:rPr>
        <w:footnoteRef/>
      </w:r>
      <w:r>
        <w:t xml:space="preserve"> </w:t>
      </w:r>
      <w:proofErr w:type="spellStart"/>
      <w:r>
        <w:t>Fenge</w:t>
      </w:r>
      <w:proofErr w:type="spellEnd"/>
      <w:r>
        <w:t>, 2010</w:t>
      </w:r>
    </w:p>
  </w:footnote>
  <w:footnote w:id="50">
    <w:p w14:paraId="4D0C56E2" w14:textId="09DEBD16" w:rsidR="00452DFD" w:rsidRDefault="00452DFD">
      <w:pPr>
        <w:pStyle w:val="FootnoteText"/>
      </w:pPr>
      <w:r>
        <w:rPr>
          <w:rStyle w:val="FootnoteReference"/>
        </w:rPr>
        <w:footnoteRef/>
      </w:r>
      <w:r>
        <w:t xml:space="preserve"> </w:t>
      </w:r>
      <w:proofErr w:type="spellStart"/>
      <w:r>
        <w:t>Welikala</w:t>
      </w:r>
      <w:proofErr w:type="spellEnd"/>
      <w:r>
        <w:t>, 2014</w:t>
      </w:r>
    </w:p>
  </w:footnote>
  <w:footnote w:id="51">
    <w:p w14:paraId="74368486" w14:textId="77777777" w:rsidR="000212E2" w:rsidRDefault="000212E2" w:rsidP="000212E2">
      <w:pPr>
        <w:pStyle w:val="FootnoteText"/>
      </w:pPr>
      <w:r>
        <w:rPr>
          <w:rStyle w:val="FootnoteReference"/>
        </w:rPr>
        <w:footnoteRef/>
      </w:r>
      <w:r>
        <w:t xml:space="preserve"> </w:t>
      </w:r>
      <w:r w:rsidRPr="00A50128">
        <w:t>Smith-Merry</w:t>
      </w:r>
      <w:r>
        <w:t>, no date</w:t>
      </w:r>
    </w:p>
  </w:footnote>
  <w:footnote w:id="52">
    <w:p w14:paraId="19530CD4" w14:textId="77777777" w:rsidR="002736F0" w:rsidRDefault="002736F0" w:rsidP="008C4CEF">
      <w:pPr>
        <w:pStyle w:val="FootnoteText"/>
      </w:pPr>
      <w:r>
        <w:rPr>
          <w:rStyle w:val="FootnoteReference"/>
        </w:rPr>
        <w:footnoteRef/>
      </w:r>
      <w:r>
        <w:t xml:space="preserve"> </w:t>
      </w:r>
      <w:r w:rsidRPr="00A50128">
        <w:t>Blomkamp, 2018</w:t>
      </w:r>
      <w:r>
        <w:t>,</w:t>
      </w:r>
      <w:r w:rsidRPr="00A50128">
        <w:t xml:space="preserve"> Burkett, 2012</w:t>
      </w:r>
    </w:p>
  </w:footnote>
  <w:footnote w:id="53">
    <w:p w14:paraId="72950E34" w14:textId="77777777" w:rsidR="002736F0" w:rsidRDefault="002736F0" w:rsidP="008C4CEF">
      <w:pPr>
        <w:pStyle w:val="FootnoteText"/>
      </w:pPr>
      <w:r>
        <w:rPr>
          <w:rStyle w:val="FootnoteReference"/>
        </w:rPr>
        <w:footnoteRef/>
      </w:r>
      <w:r>
        <w:t xml:space="preserve"> </w:t>
      </w:r>
      <w:r w:rsidRPr="00A50128">
        <w:t xml:space="preserve">Farmer </w:t>
      </w:r>
      <w:r>
        <w:t>and</w:t>
      </w:r>
      <w:r w:rsidRPr="00A50128">
        <w:t xml:space="preserve"> MacLeod, 2011</w:t>
      </w:r>
    </w:p>
  </w:footnote>
  <w:footnote w:id="54">
    <w:p w14:paraId="3354C132" w14:textId="77777777" w:rsidR="002736F0" w:rsidRDefault="002736F0" w:rsidP="008C4CEF">
      <w:pPr>
        <w:pStyle w:val="FootnoteText"/>
      </w:pPr>
      <w:r>
        <w:rPr>
          <w:rStyle w:val="FootnoteReference"/>
        </w:rPr>
        <w:footnoteRef/>
      </w:r>
      <w:r>
        <w:t xml:space="preserve"> </w:t>
      </w:r>
      <w:r w:rsidRPr="00466585">
        <w:t xml:space="preserve">INVOLVE, 2015 cited in Di </w:t>
      </w:r>
      <w:proofErr w:type="spellStart"/>
      <w:r w:rsidRPr="00466585">
        <w:t>Lorito</w:t>
      </w:r>
      <w:proofErr w:type="spellEnd"/>
      <w:r w:rsidRPr="00466585">
        <w:t xml:space="preserve"> </w:t>
      </w:r>
      <w:r w:rsidRPr="009800AB">
        <w:rPr>
          <w:i/>
        </w:rPr>
        <w:t>et al.,</w:t>
      </w:r>
      <w:r>
        <w:t xml:space="preserve"> </w:t>
      </w:r>
      <w:r w:rsidRPr="00466585">
        <w:t>2018</w:t>
      </w:r>
    </w:p>
  </w:footnote>
  <w:footnote w:id="55">
    <w:p w14:paraId="55846544" w14:textId="77777777" w:rsidR="002736F0" w:rsidRDefault="002736F0" w:rsidP="008C4CEF">
      <w:pPr>
        <w:pStyle w:val="FootnoteText"/>
      </w:pPr>
      <w:r>
        <w:rPr>
          <w:rStyle w:val="FootnoteReference"/>
        </w:rPr>
        <w:footnoteRef/>
      </w:r>
      <w:r>
        <w:t xml:space="preserve"> </w:t>
      </w:r>
      <w:proofErr w:type="spellStart"/>
      <w:r w:rsidRPr="00466585">
        <w:t>Durose</w:t>
      </w:r>
      <w:proofErr w:type="spellEnd"/>
      <w:r w:rsidRPr="00466585">
        <w:t xml:space="preserve"> </w:t>
      </w:r>
      <w:r w:rsidRPr="009800AB">
        <w:rPr>
          <w:i/>
        </w:rPr>
        <w:t>et al.,</w:t>
      </w:r>
      <w:r>
        <w:t xml:space="preserve"> </w:t>
      </w:r>
      <w:r w:rsidRPr="00466585">
        <w:t xml:space="preserve">2011 cited in James </w:t>
      </w:r>
      <w:r>
        <w:t>and</w:t>
      </w:r>
      <w:r w:rsidRPr="00466585">
        <w:t xml:space="preserve"> </w:t>
      </w:r>
      <w:proofErr w:type="spellStart"/>
      <w:r w:rsidRPr="00466585">
        <w:t>Buffel</w:t>
      </w:r>
      <w:proofErr w:type="spellEnd"/>
      <w:r w:rsidRPr="00466585">
        <w:t>, 2022</w:t>
      </w:r>
    </w:p>
  </w:footnote>
  <w:footnote w:id="56">
    <w:p w14:paraId="2F844417" w14:textId="77777777" w:rsidR="002736F0" w:rsidRDefault="002736F0" w:rsidP="008C4CEF">
      <w:pPr>
        <w:pStyle w:val="FootnoteText"/>
      </w:pPr>
      <w:r>
        <w:rPr>
          <w:rStyle w:val="FootnoteReference"/>
        </w:rPr>
        <w:footnoteRef/>
      </w:r>
      <w:r>
        <w:t xml:space="preserve"> </w:t>
      </w:r>
      <w:proofErr w:type="spellStart"/>
      <w:r>
        <w:t>Nicolaidis</w:t>
      </w:r>
      <w:proofErr w:type="spellEnd"/>
      <w:r>
        <w:t xml:space="preserve"> and </w:t>
      </w:r>
      <w:proofErr w:type="spellStart"/>
      <w:r>
        <w:t>Raymaker</w:t>
      </w:r>
      <w:proofErr w:type="spellEnd"/>
      <w:r>
        <w:t xml:space="preserve">, 2015, </w:t>
      </w:r>
      <w:r w:rsidRPr="00466585">
        <w:t xml:space="preserve">Vaughn </w:t>
      </w:r>
      <w:r>
        <w:t>and</w:t>
      </w:r>
      <w:r w:rsidRPr="00466585">
        <w:t xml:space="preserve"> Jaquez, 2</w:t>
      </w:r>
      <w:r>
        <w:t>020</w:t>
      </w:r>
    </w:p>
  </w:footnote>
  <w:footnote w:id="57">
    <w:p w14:paraId="3A210D17" w14:textId="77777777" w:rsidR="002736F0" w:rsidRDefault="002736F0" w:rsidP="008C4CEF">
      <w:pPr>
        <w:pStyle w:val="FootnoteText"/>
      </w:pPr>
      <w:r>
        <w:rPr>
          <w:rStyle w:val="FootnoteReference"/>
        </w:rPr>
        <w:footnoteRef/>
      </w:r>
      <w:r>
        <w:t xml:space="preserve"> </w:t>
      </w:r>
      <w:r w:rsidRPr="00466585">
        <w:t>Involve guidelines 2018</w:t>
      </w:r>
      <w:r>
        <w:t>, p.4</w:t>
      </w:r>
    </w:p>
  </w:footnote>
  <w:footnote w:id="58">
    <w:p w14:paraId="117F9781" w14:textId="77777777" w:rsidR="008147CB" w:rsidRDefault="008147CB" w:rsidP="008147CB">
      <w:pPr>
        <w:pStyle w:val="FootnoteText"/>
      </w:pPr>
      <w:r>
        <w:rPr>
          <w:rStyle w:val="FootnoteReference"/>
        </w:rPr>
        <w:footnoteRef/>
      </w:r>
      <w:r>
        <w:t xml:space="preserve"> </w:t>
      </w:r>
      <w:r w:rsidRPr="00466585">
        <w:t>Oliver, 1992</w:t>
      </w:r>
      <w:r>
        <w:t>,</w:t>
      </w:r>
      <w:r w:rsidRPr="00466585">
        <w:t xml:space="preserve"> Vaughn </w:t>
      </w:r>
      <w:r>
        <w:t>and</w:t>
      </w:r>
      <w:r w:rsidRPr="00466585">
        <w:t xml:space="preserve"> Jaquez,</w:t>
      </w:r>
      <w:r>
        <w:t xml:space="preserve"> 2020,</w:t>
      </w:r>
      <w:r w:rsidRPr="00466585">
        <w:t xml:space="preserve"> </w:t>
      </w:r>
      <w:proofErr w:type="spellStart"/>
      <w:r w:rsidRPr="00466585">
        <w:t>Zarb</w:t>
      </w:r>
      <w:proofErr w:type="spellEnd"/>
      <w:r w:rsidRPr="00466585">
        <w:t>, 1992</w:t>
      </w:r>
    </w:p>
  </w:footnote>
  <w:footnote w:id="59">
    <w:p w14:paraId="66E3F253" w14:textId="77777777" w:rsidR="008147CB" w:rsidRDefault="008147CB" w:rsidP="008147CB">
      <w:pPr>
        <w:pStyle w:val="FootnoteText"/>
      </w:pPr>
      <w:r>
        <w:rPr>
          <w:rStyle w:val="FootnoteReference"/>
        </w:rPr>
        <w:footnoteRef/>
      </w:r>
      <w:r>
        <w:t xml:space="preserve"> </w:t>
      </w:r>
      <w:proofErr w:type="spellStart"/>
      <w:r w:rsidRPr="00466585">
        <w:t>Bjornsdottir</w:t>
      </w:r>
      <w:proofErr w:type="spellEnd"/>
      <w:r w:rsidRPr="00466585">
        <w:t xml:space="preserve"> and </w:t>
      </w:r>
      <w:proofErr w:type="spellStart"/>
      <w:r w:rsidRPr="00466585">
        <w:t>Svensdottir</w:t>
      </w:r>
      <w:proofErr w:type="spellEnd"/>
      <w:r w:rsidRPr="00466585">
        <w:t>, 2008 cited in Smith-Merry, 2017</w:t>
      </w:r>
    </w:p>
  </w:footnote>
  <w:footnote w:id="60">
    <w:p w14:paraId="5B3B8342" w14:textId="77777777" w:rsidR="008147CB" w:rsidRDefault="008147CB" w:rsidP="008147CB">
      <w:pPr>
        <w:pStyle w:val="FootnoteText"/>
      </w:pPr>
      <w:r>
        <w:rPr>
          <w:rStyle w:val="FootnoteReference"/>
        </w:rPr>
        <w:footnoteRef/>
      </w:r>
      <w:r>
        <w:t xml:space="preserve"> </w:t>
      </w:r>
      <w:r w:rsidRPr="00466585">
        <w:t>Campus Engage, 201</w:t>
      </w:r>
      <w:r>
        <w:t>7</w:t>
      </w:r>
    </w:p>
  </w:footnote>
  <w:footnote w:id="61">
    <w:p w14:paraId="2C9D3336" w14:textId="77777777" w:rsidR="000212E2" w:rsidRDefault="000212E2" w:rsidP="000212E2">
      <w:pPr>
        <w:pStyle w:val="FootnoteText"/>
      </w:pPr>
      <w:r>
        <w:rPr>
          <w:rStyle w:val="FootnoteReference"/>
        </w:rPr>
        <w:footnoteRef/>
      </w:r>
      <w:r>
        <w:t xml:space="preserve"> </w:t>
      </w:r>
      <w:proofErr w:type="spellStart"/>
      <w:r w:rsidRPr="00466585">
        <w:t>Donetto</w:t>
      </w:r>
      <w:proofErr w:type="spellEnd"/>
      <w:r w:rsidRPr="00466585">
        <w:t xml:space="preserve"> </w:t>
      </w:r>
      <w:r w:rsidRPr="009800AB">
        <w:rPr>
          <w:i/>
        </w:rPr>
        <w:t>et al.,</w:t>
      </w:r>
      <w:r>
        <w:t xml:space="preserve"> </w:t>
      </w:r>
      <w:r w:rsidRPr="00466585">
        <w:t>2015</w:t>
      </w:r>
    </w:p>
  </w:footnote>
  <w:footnote w:id="62">
    <w:p w14:paraId="25C26ECB" w14:textId="77777777" w:rsidR="000212E2" w:rsidRDefault="000212E2" w:rsidP="000212E2">
      <w:pPr>
        <w:pStyle w:val="FootnoteText"/>
      </w:pPr>
      <w:r>
        <w:rPr>
          <w:rStyle w:val="FootnoteReference"/>
        </w:rPr>
        <w:footnoteRef/>
      </w:r>
      <w:r>
        <w:t xml:space="preserve"> </w:t>
      </w:r>
      <w:proofErr w:type="spellStart"/>
      <w:r w:rsidRPr="00466585">
        <w:t>Donetto</w:t>
      </w:r>
      <w:proofErr w:type="spellEnd"/>
      <w:r w:rsidRPr="00466585">
        <w:t xml:space="preserve"> </w:t>
      </w:r>
      <w:r w:rsidRPr="009800AB">
        <w:rPr>
          <w:i/>
        </w:rPr>
        <w:t>et al.,</w:t>
      </w:r>
      <w:r>
        <w:t xml:space="preserve"> </w:t>
      </w:r>
      <w:r w:rsidRPr="00466585">
        <w:t>2015</w:t>
      </w:r>
      <w:r>
        <w:t>,</w:t>
      </w:r>
      <w:r w:rsidRPr="00466585">
        <w:t xml:space="preserve"> </w:t>
      </w:r>
      <w:proofErr w:type="spellStart"/>
      <w:r w:rsidRPr="00466585">
        <w:t>Dominopoulis</w:t>
      </w:r>
      <w:proofErr w:type="spellEnd"/>
      <w:r w:rsidRPr="00466585">
        <w:t xml:space="preserve"> </w:t>
      </w:r>
      <w:r w:rsidRPr="009800AB">
        <w:rPr>
          <w:i/>
        </w:rPr>
        <w:t>et al.,</w:t>
      </w:r>
      <w:r>
        <w:t xml:space="preserve"> </w:t>
      </w:r>
      <w:r w:rsidRPr="00466585">
        <w:t>2018</w:t>
      </w:r>
    </w:p>
  </w:footnote>
  <w:footnote w:id="63">
    <w:p w14:paraId="69D6D15C" w14:textId="77777777" w:rsidR="000212E2" w:rsidRDefault="000212E2" w:rsidP="000212E2">
      <w:pPr>
        <w:pStyle w:val="FootnoteText"/>
      </w:pPr>
      <w:r>
        <w:rPr>
          <w:rStyle w:val="FootnoteReference"/>
        </w:rPr>
        <w:footnoteRef/>
      </w:r>
      <w:r>
        <w:t xml:space="preserve"> In the UK, ‘learning disabilities’ has been the preferred term since the 1980s (though there is evidence that this is beginning to be replaced by intellectual disabilities, </w:t>
      </w:r>
      <w:proofErr w:type="spellStart"/>
      <w:r>
        <w:t>Cluley</w:t>
      </w:r>
      <w:proofErr w:type="spellEnd"/>
      <w:r>
        <w:t>, 2017), while in other countries, including Ireland, the preferred term is ‘intellectual disabilities’ (Inclusion Ireland, 2013).</w:t>
      </w:r>
    </w:p>
  </w:footnote>
  <w:footnote w:id="64">
    <w:p w14:paraId="712AAF5A" w14:textId="77777777" w:rsidR="000212E2" w:rsidRDefault="000212E2" w:rsidP="000212E2">
      <w:pPr>
        <w:pStyle w:val="FootnoteText"/>
      </w:pPr>
      <w:r>
        <w:rPr>
          <w:rStyle w:val="FootnoteReference"/>
        </w:rPr>
        <w:footnoteRef/>
      </w:r>
      <w:r>
        <w:t xml:space="preserve"> </w:t>
      </w:r>
      <w:proofErr w:type="spellStart"/>
      <w:r w:rsidRPr="00466585">
        <w:t>Walmsley</w:t>
      </w:r>
      <w:proofErr w:type="spellEnd"/>
      <w:r w:rsidRPr="00466585">
        <w:t xml:space="preserve"> </w:t>
      </w:r>
      <w:r>
        <w:t>and</w:t>
      </w:r>
      <w:r w:rsidRPr="00466585">
        <w:t xml:space="preserve"> Johnson, 2003, p.</w:t>
      </w:r>
      <w:r>
        <w:t xml:space="preserve"> </w:t>
      </w:r>
      <w:r w:rsidRPr="00466585">
        <w:t>9</w:t>
      </w:r>
    </w:p>
  </w:footnote>
  <w:footnote w:id="65">
    <w:p w14:paraId="267C9C34" w14:textId="77777777" w:rsidR="008147CB" w:rsidRDefault="008147CB" w:rsidP="008C4CEF">
      <w:pPr>
        <w:pStyle w:val="FootnoteText"/>
      </w:pPr>
      <w:r>
        <w:rPr>
          <w:rStyle w:val="FootnoteReference"/>
        </w:rPr>
        <w:footnoteRef/>
      </w:r>
      <w:r>
        <w:t xml:space="preserve"> INVOLVE, 2015</w:t>
      </w:r>
    </w:p>
  </w:footnote>
  <w:footnote w:id="66">
    <w:p w14:paraId="158141D2" w14:textId="77777777" w:rsidR="008147CB" w:rsidRDefault="008147CB" w:rsidP="008C4CEF">
      <w:pPr>
        <w:pStyle w:val="FootnoteText"/>
      </w:pPr>
      <w:r>
        <w:rPr>
          <w:rStyle w:val="FootnoteReference"/>
        </w:rPr>
        <w:footnoteRef/>
      </w:r>
      <w:r>
        <w:t xml:space="preserve"> INVOLVE, 2015</w:t>
      </w:r>
    </w:p>
  </w:footnote>
  <w:footnote w:id="67">
    <w:p w14:paraId="1FA336AD" w14:textId="77777777" w:rsidR="008147CB" w:rsidRDefault="008147CB" w:rsidP="008147CB">
      <w:pPr>
        <w:pStyle w:val="FootnoteText"/>
      </w:pPr>
      <w:r>
        <w:rPr>
          <w:rStyle w:val="FootnoteReference"/>
        </w:rPr>
        <w:footnoteRef/>
      </w:r>
      <w:r>
        <w:t xml:space="preserve"> </w:t>
      </w:r>
      <w:r w:rsidRPr="00466585">
        <w:t xml:space="preserve">Cornwall </w:t>
      </w:r>
      <w:r>
        <w:t>and</w:t>
      </w:r>
      <w:r w:rsidRPr="00466585">
        <w:t xml:space="preserve"> </w:t>
      </w:r>
      <w:proofErr w:type="spellStart"/>
      <w:r w:rsidRPr="00466585">
        <w:t>Jewkes</w:t>
      </w:r>
      <w:proofErr w:type="spellEnd"/>
      <w:r w:rsidRPr="00466585">
        <w:t>, 1995</w:t>
      </w:r>
      <w:r>
        <w:t>,</w:t>
      </w:r>
      <w:r w:rsidRPr="00466585">
        <w:t xml:space="preserve"> Vaughn </w:t>
      </w:r>
      <w:r>
        <w:t>and</w:t>
      </w:r>
      <w:r w:rsidRPr="00466585">
        <w:t xml:space="preserve"> Jaquez, 2020</w:t>
      </w:r>
    </w:p>
  </w:footnote>
  <w:footnote w:id="68">
    <w:p w14:paraId="53754969" w14:textId="77777777" w:rsidR="008147CB" w:rsidRDefault="008147CB" w:rsidP="008147CB">
      <w:pPr>
        <w:pStyle w:val="FootnoteText"/>
      </w:pPr>
      <w:r>
        <w:rPr>
          <w:rStyle w:val="FootnoteReference"/>
        </w:rPr>
        <w:footnoteRef/>
      </w:r>
      <w:r>
        <w:t xml:space="preserve"> </w:t>
      </w:r>
      <w:r w:rsidRPr="00466585">
        <w:t xml:space="preserve">Cargo </w:t>
      </w:r>
      <w:r>
        <w:t>and</w:t>
      </w:r>
      <w:r w:rsidRPr="00466585">
        <w:t xml:space="preserve"> Mercer, 2008</w:t>
      </w:r>
      <w:r>
        <w:t>,</w:t>
      </w:r>
      <w:r w:rsidRPr="00466585">
        <w:t xml:space="preserve"> Vaughn </w:t>
      </w:r>
      <w:r>
        <w:t>and</w:t>
      </w:r>
      <w:r w:rsidRPr="00466585">
        <w:t xml:space="preserve"> Jaquez, 2020</w:t>
      </w:r>
    </w:p>
  </w:footnote>
  <w:footnote w:id="69">
    <w:p w14:paraId="69184785" w14:textId="77777777" w:rsidR="008147CB" w:rsidRDefault="008147CB" w:rsidP="008147CB">
      <w:pPr>
        <w:pStyle w:val="FootnoteText"/>
      </w:pPr>
      <w:r>
        <w:rPr>
          <w:rStyle w:val="FootnoteReference"/>
        </w:rPr>
        <w:footnoteRef/>
      </w:r>
      <w:r>
        <w:t xml:space="preserve"> </w:t>
      </w:r>
      <w:r w:rsidRPr="002105F3">
        <w:t xml:space="preserve">Baum, MacDougall, and Smith, </w:t>
      </w:r>
      <w:r>
        <w:t>2006</w:t>
      </w:r>
    </w:p>
  </w:footnote>
  <w:footnote w:id="70">
    <w:p w14:paraId="637CA3C0" w14:textId="77777777" w:rsidR="008147CB" w:rsidRDefault="008147CB" w:rsidP="008147CB">
      <w:pPr>
        <w:pStyle w:val="FootnoteText"/>
      </w:pPr>
      <w:r>
        <w:rPr>
          <w:rStyle w:val="FootnoteReference"/>
        </w:rPr>
        <w:footnoteRef/>
      </w:r>
      <w:r>
        <w:t xml:space="preserve"> </w:t>
      </w:r>
      <w:r w:rsidRPr="002105F3">
        <w:t xml:space="preserve">Baum, MacDougall, and Smith, </w:t>
      </w:r>
      <w:r>
        <w:t>2006</w:t>
      </w:r>
    </w:p>
  </w:footnote>
  <w:footnote w:id="71">
    <w:p w14:paraId="3FA2EA98" w14:textId="77777777" w:rsidR="008147CB" w:rsidRDefault="008147CB" w:rsidP="008147CB">
      <w:pPr>
        <w:pStyle w:val="FootnoteText"/>
      </w:pPr>
      <w:r>
        <w:rPr>
          <w:rStyle w:val="FootnoteReference"/>
        </w:rPr>
        <w:footnoteRef/>
      </w:r>
      <w:r>
        <w:t xml:space="preserve"> </w:t>
      </w:r>
      <w:r w:rsidRPr="002105F3">
        <w:t xml:space="preserve">Baum, MacDougall, and Smith, </w:t>
      </w:r>
      <w:r>
        <w:t>2006,</w:t>
      </w:r>
      <w:r w:rsidRPr="00466585">
        <w:t xml:space="preserve"> NDA, 200</w:t>
      </w:r>
      <w:r>
        <w:t xml:space="preserve">2, </w:t>
      </w:r>
      <w:r w:rsidRPr="00466585">
        <w:t xml:space="preserve">Vaughn </w:t>
      </w:r>
      <w:r>
        <w:t>and</w:t>
      </w:r>
      <w:r w:rsidRPr="00466585">
        <w:t xml:space="preserve"> Jacquez, 2020</w:t>
      </w:r>
    </w:p>
  </w:footnote>
  <w:footnote w:id="72">
    <w:p w14:paraId="680EADFF" w14:textId="77777777" w:rsidR="008147CB" w:rsidRDefault="008147CB" w:rsidP="008147CB">
      <w:pPr>
        <w:pStyle w:val="FootnoteText"/>
      </w:pPr>
      <w:r>
        <w:rPr>
          <w:rStyle w:val="FootnoteReference"/>
        </w:rPr>
        <w:footnoteRef/>
      </w:r>
      <w:r>
        <w:t xml:space="preserve"> NDA, 2002</w:t>
      </w:r>
    </w:p>
  </w:footnote>
  <w:footnote w:id="73">
    <w:p w14:paraId="10DC4DE3" w14:textId="77777777" w:rsidR="008147CB" w:rsidRDefault="008147CB" w:rsidP="008147CB">
      <w:pPr>
        <w:pStyle w:val="FootnoteText"/>
      </w:pPr>
      <w:r>
        <w:rPr>
          <w:rStyle w:val="FootnoteReference"/>
        </w:rPr>
        <w:footnoteRef/>
      </w:r>
      <w:r>
        <w:t xml:space="preserve"> </w:t>
      </w:r>
      <w:r w:rsidRPr="00466585">
        <w:t xml:space="preserve">McCurdie </w:t>
      </w:r>
      <w:r w:rsidRPr="009800AB">
        <w:rPr>
          <w:i/>
        </w:rPr>
        <w:t>et al.,</w:t>
      </w:r>
      <w:r>
        <w:t xml:space="preserve"> </w:t>
      </w:r>
      <w:r w:rsidRPr="00466585">
        <w:t>2012</w:t>
      </w:r>
      <w:r>
        <w:t xml:space="preserve">, </w:t>
      </w:r>
      <w:r w:rsidRPr="00466585">
        <w:t xml:space="preserve">Vaughn </w:t>
      </w:r>
      <w:r>
        <w:t>and</w:t>
      </w:r>
      <w:r w:rsidRPr="00466585">
        <w:t xml:space="preserve"> Jaquez, 2020 </w:t>
      </w:r>
    </w:p>
  </w:footnote>
  <w:footnote w:id="74">
    <w:p w14:paraId="330D6CAD" w14:textId="5D034813" w:rsidR="00452DFD" w:rsidRDefault="00452DFD">
      <w:pPr>
        <w:pStyle w:val="FootnoteText"/>
      </w:pPr>
      <w:r>
        <w:rPr>
          <w:rStyle w:val="FootnoteReference"/>
        </w:rPr>
        <w:footnoteRef/>
      </w:r>
      <w:r>
        <w:t xml:space="preserve"> </w:t>
      </w:r>
      <w:proofErr w:type="spellStart"/>
      <w:r>
        <w:t>Bigby</w:t>
      </w:r>
      <w:proofErr w:type="spellEnd"/>
      <w:r>
        <w:t xml:space="preserve"> and </w:t>
      </w:r>
      <w:proofErr w:type="spellStart"/>
      <w:r>
        <w:t>Frawley</w:t>
      </w:r>
      <w:proofErr w:type="spellEnd"/>
      <w:r>
        <w:t xml:space="preserve"> 2010</w:t>
      </w:r>
    </w:p>
  </w:footnote>
  <w:footnote w:id="75">
    <w:p w14:paraId="6C47F87C" w14:textId="10E7A512" w:rsidR="00452DFD" w:rsidRDefault="00452DFD">
      <w:pPr>
        <w:pStyle w:val="FootnoteText"/>
      </w:pPr>
      <w:r>
        <w:rPr>
          <w:rStyle w:val="FootnoteReference"/>
        </w:rPr>
        <w:footnoteRef/>
      </w:r>
      <w:r>
        <w:t xml:space="preserve"> </w:t>
      </w:r>
      <w:proofErr w:type="spellStart"/>
      <w:r>
        <w:t>García</w:t>
      </w:r>
      <w:proofErr w:type="spellEnd"/>
      <w:r>
        <w:t xml:space="preserve"> </w:t>
      </w:r>
      <w:proofErr w:type="spellStart"/>
      <w:r>
        <w:t>Ingarte</w:t>
      </w:r>
      <w:proofErr w:type="spellEnd"/>
      <w:r w:rsidRPr="00E428A5">
        <w:t xml:space="preserve">, </w:t>
      </w:r>
      <w:r>
        <w:t>O'Brien</w:t>
      </w:r>
      <w:r w:rsidRPr="00E428A5">
        <w:t xml:space="preserve"> and Chadwick, </w:t>
      </w:r>
      <w:r>
        <w:t xml:space="preserve">2014, </w:t>
      </w:r>
      <w:proofErr w:type="spellStart"/>
      <w:r>
        <w:t>Walmsley</w:t>
      </w:r>
      <w:proofErr w:type="spellEnd"/>
      <w:r>
        <w:t xml:space="preserve"> and Johnson, 2003</w:t>
      </w:r>
    </w:p>
  </w:footnote>
  <w:footnote w:id="76">
    <w:p w14:paraId="07DCE7EB" w14:textId="5800E3AC" w:rsidR="00452DFD" w:rsidRDefault="00452DFD">
      <w:pPr>
        <w:pStyle w:val="FootnoteText"/>
      </w:pPr>
      <w:r>
        <w:rPr>
          <w:rStyle w:val="FootnoteReference"/>
        </w:rPr>
        <w:footnoteRef/>
      </w:r>
      <w:r>
        <w:t>,</w:t>
      </w:r>
      <w:r w:rsidRPr="001947B8">
        <w:t xml:space="preserve"> McLaughlin, 2010</w:t>
      </w:r>
      <w:r>
        <w:t>,</w:t>
      </w:r>
      <w:r w:rsidRPr="001947B8">
        <w:t xml:space="preserve"> </w:t>
      </w:r>
      <w:proofErr w:type="spellStart"/>
      <w:r w:rsidRPr="001947B8">
        <w:t>Walmsl</w:t>
      </w:r>
      <w:r>
        <w:t>e</w:t>
      </w:r>
      <w:r w:rsidRPr="001947B8">
        <w:t>y</w:t>
      </w:r>
      <w:proofErr w:type="spellEnd"/>
      <w:r w:rsidRPr="001947B8">
        <w:t xml:space="preserve"> </w:t>
      </w:r>
      <w:r>
        <w:t>and</w:t>
      </w:r>
      <w:r w:rsidRPr="001947B8">
        <w:t xml:space="preserve"> Johnson, 2003</w:t>
      </w:r>
    </w:p>
  </w:footnote>
  <w:footnote w:id="77">
    <w:p w14:paraId="12DFF7AD" w14:textId="35389263" w:rsidR="00452DFD" w:rsidRDefault="00452DFD">
      <w:pPr>
        <w:pStyle w:val="FootnoteText"/>
      </w:pPr>
      <w:r>
        <w:rPr>
          <w:rStyle w:val="FootnoteReference"/>
        </w:rPr>
        <w:footnoteRef/>
      </w:r>
      <w:r>
        <w:t xml:space="preserve"> </w:t>
      </w:r>
      <w:proofErr w:type="spellStart"/>
      <w:r>
        <w:t>Arnstein</w:t>
      </w:r>
      <w:proofErr w:type="spellEnd"/>
      <w:r>
        <w:t>, 1969</w:t>
      </w:r>
    </w:p>
  </w:footnote>
  <w:footnote w:id="78">
    <w:p w14:paraId="4081F89B" w14:textId="77777777" w:rsidR="00452DFD" w:rsidRDefault="00452DFD" w:rsidP="00443CF0">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w:t>
      </w:r>
    </w:p>
  </w:footnote>
  <w:footnote w:id="79">
    <w:p w14:paraId="552B2EC5" w14:textId="77777777" w:rsidR="00452DFD" w:rsidRDefault="00452DFD" w:rsidP="00443CF0">
      <w:pPr>
        <w:pStyle w:val="FootnoteText"/>
      </w:pPr>
      <w:r>
        <w:rPr>
          <w:rStyle w:val="FootnoteReference"/>
        </w:rPr>
        <w:footnoteRef/>
      </w:r>
      <w:r>
        <w:t xml:space="preserve"> Services users in Hanley’s model (2004) includes members of the public and persons who use health and social care services.</w:t>
      </w:r>
    </w:p>
  </w:footnote>
  <w:footnote w:id="80">
    <w:p w14:paraId="6D9B6D2B" w14:textId="46876F8E" w:rsidR="00452DFD" w:rsidRDefault="00452DFD">
      <w:pPr>
        <w:pStyle w:val="FootnoteText"/>
      </w:pPr>
      <w:r>
        <w:rPr>
          <w:rStyle w:val="FootnoteReference"/>
        </w:rPr>
        <w:footnoteRef/>
      </w:r>
      <w:r>
        <w:t xml:space="preserve"> Adapted from </w:t>
      </w:r>
      <w:proofErr w:type="spellStart"/>
      <w:r>
        <w:t>Arnstein</w:t>
      </w:r>
      <w:proofErr w:type="spellEnd"/>
      <w:r>
        <w:t>, 1969, p.217</w:t>
      </w:r>
    </w:p>
  </w:footnote>
  <w:footnote w:id="81">
    <w:p w14:paraId="41FC7728" w14:textId="02C653CF" w:rsidR="00452DFD" w:rsidRDefault="00452DFD">
      <w:pPr>
        <w:pStyle w:val="FootnoteText"/>
      </w:pPr>
      <w:r>
        <w:rPr>
          <w:rStyle w:val="FootnoteReference"/>
        </w:rPr>
        <w:footnoteRef/>
      </w:r>
      <w:r>
        <w:t xml:space="preserve"> Smith-Merry, no date</w:t>
      </w:r>
    </w:p>
  </w:footnote>
  <w:footnote w:id="82">
    <w:p w14:paraId="1B3014C3" w14:textId="20A48078" w:rsidR="00452DFD" w:rsidRDefault="00452DFD">
      <w:pPr>
        <w:pStyle w:val="FootnoteText"/>
      </w:pPr>
      <w:r>
        <w:rPr>
          <w:rStyle w:val="FootnoteReference"/>
        </w:rPr>
        <w:footnoteRef/>
      </w:r>
      <w:r>
        <w:t xml:space="preserve"> </w:t>
      </w:r>
      <w:proofErr w:type="spellStart"/>
      <w:r w:rsidRPr="0047733C">
        <w:t>Bigby</w:t>
      </w:r>
      <w:proofErr w:type="spellEnd"/>
      <w:r w:rsidRPr="0047733C">
        <w:t xml:space="preserve">, </w:t>
      </w:r>
      <w:proofErr w:type="spellStart"/>
      <w:r w:rsidRPr="0047733C">
        <w:t>Frawley</w:t>
      </w:r>
      <w:proofErr w:type="spellEnd"/>
      <w:r w:rsidRPr="0047733C">
        <w:t xml:space="preserve"> and </w:t>
      </w:r>
      <w:proofErr w:type="spellStart"/>
      <w:r w:rsidRPr="0047733C">
        <w:t>Ramcharan</w:t>
      </w:r>
      <w:proofErr w:type="spellEnd"/>
      <w:r w:rsidRPr="0047733C">
        <w:t>, 2014b</w:t>
      </w:r>
    </w:p>
  </w:footnote>
  <w:footnote w:id="83">
    <w:p w14:paraId="6734D249" w14:textId="3D2BC665" w:rsidR="00452DFD" w:rsidRDefault="00452DFD">
      <w:pPr>
        <w:pStyle w:val="FootnoteText"/>
      </w:pPr>
      <w:r>
        <w:rPr>
          <w:rStyle w:val="FootnoteReference"/>
        </w:rPr>
        <w:footnoteRef/>
      </w:r>
      <w:r>
        <w:t xml:space="preserve"> McLaughlin </w:t>
      </w:r>
      <w:r w:rsidRPr="009800AB">
        <w:rPr>
          <w:i/>
        </w:rPr>
        <w:t>et al.,</w:t>
      </w:r>
      <w:r>
        <w:t xml:space="preserve"> 2010</w:t>
      </w:r>
    </w:p>
  </w:footnote>
  <w:footnote w:id="84">
    <w:p w14:paraId="4400E87B" w14:textId="2CE69078" w:rsidR="00452DFD" w:rsidRDefault="00452DFD">
      <w:pPr>
        <w:pStyle w:val="FootnoteText"/>
      </w:pPr>
      <w:r>
        <w:rPr>
          <w:rStyle w:val="FootnoteReference"/>
        </w:rPr>
        <w:footnoteRef/>
      </w:r>
      <w:r>
        <w:t xml:space="preserve"> Farmer and Macleod, 2011</w:t>
      </w:r>
    </w:p>
  </w:footnote>
  <w:footnote w:id="85">
    <w:p w14:paraId="3579BE00" w14:textId="0F03D567" w:rsidR="00452DFD" w:rsidRDefault="00452DFD">
      <w:pPr>
        <w:pStyle w:val="FootnoteText"/>
      </w:pPr>
      <w:r>
        <w:rPr>
          <w:rStyle w:val="FootnoteReference"/>
        </w:rPr>
        <w:footnoteRef/>
      </w:r>
      <w:r>
        <w:t xml:space="preserve"> </w:t>
      </w:r>
      <w:proofErr w:type="spellStart"/>
      <w:r w:rsidRPr="0047733C">
        <w:t>Bigby</w:t>
      </w:r>
      <w:proofErr w:type="spellEnd"/>
      <w:r w:rsidRPr="0047733C">
        <w:t xml:space="preserve">, </w:t>
      </w:r>
      <w:proofErr w:type="spellStart"/>
      <w:r w:rsidRPr="0047733C">
        <w:t>Frawley</w:t>
      </w:r>
      <w:proofErr w:type="spellEnd"/>
      <w:r w:rsidRPr="0047733C">
        <w:t xml:space="preserve"> and </w:t>
      </w:r>
      <w:proofErr w:type="spellStart"/>
      <w:r w:rsidRPr="0047733C">
        <w:t>Ramcharan</w:t>
      </w:r>
      <w:proofErr w:type="spellEnd"/>
      <w:r w:rsidRPr="0047733C">
        <w:t>, 2014b</w:t>
      </w:r>
    </w:p>
  </w:footnote>
  <w:footnote w:id="86">
    <w:p w14:paraId="36C38132" w14:textId="05ADCD6B" w:rsidR="00452DFD" w:rsidRDefault="00452DFD">
      <w:pPr>
        <w:pStyle w:val="FootnoteText"/>
      </w:pPr>
      <w:r>
        <w:rPr>
          <w:rStyle w:val="FootnoteReference"/>
        </w:rPr>
        <w:footnoteRef/>
      </w:r>
      <w:r>
        <w:t xml:space="preserve"> Smith-Merry, 2017</w:t>
      </w:r>
    </w:p>
  </w:footnote>
  <w:footnote w:id="87">
    <w:p w14:paraId="5A8C2B37" w14:textId="305EACF2" w:rsidR="00452DFD" w:rsidRDefault="00452DFD">
      <w:pPr>
        <w:pStyle w:val="FootnoteText"/>
      </w:pPr>
      <w:r>
        <w:rPr>
          <w:rStyle w:val="FootnoteReference"/>
        </w:rPr>
        <w:footnoteRef/>
      </w:r>
      <w:r>
        <w:t xml:space="preserve"> </w:t>
      </w:r>
      <w:proofErr w:type="spellStart"/>
      <w:r>
        <w:t>Bigby</w:t>
      </w:r>
      <w:proofErr w:type="spellEnd"/>
      <w:r>
        <w:t xml:space="preserve">, </w:t>
      </w:r>
      <w:proofErr w:type="spellStart"/>
      <w:r>
        <w:t>Frawley</w:t>
      </w:r>
      <w:proofErr w:type="spellEnd"/>
      <w:r>
        <w:t xml:space="preserve"> and </w:t>
      </w:r>
      <w:proofErr w:type="spellStart"/>
      <w:r>
        <w:t>Ramcharan</w:t>
      </w:r>
      <w:proofErr w:type="spellEnd"/>
      <w:r>
        <w:t>, 2014b, Farmer and MacLeod, 2011</w:t>
      </w:r>
    </w:p>
  </w:footnote>
  <w:footnote w:id="88">
    <w:p w14:paraId="71482B49" w14:textId="05C6C2EA" w:rsidR="00452DFD" w:rsidRDefault="00452DFD">
      <w:pPr>
        <w:pStyle w:val="FootnoteText"/>
      </w:pPr>
      <w:r>
        <w:rPr>
          <w:rStyle w:val="FootnoteReference"/>
        </w:rPr>
        <w:footnoteRef/>
      </w:r>
      <w:r>
        <w:t xml:space="preserve"> </w:t>
      </w:r>
      <w:proofErr w:type="spellStart"/>
      <w:r>
        <w:t>Bigby</w:t>
      </w:r>
      <w:proofErr w:type="spellEnd"/>
      <w:r>
        <w:t xml:space="preserve">, </w:t>
      </w:r>
      <w:proofErr w:type="spellStart"/>
      <w:r>
        <w:t>Frawley</w:t>
      </w:r>
      <w:proofErr w:type="spellEnd"/>
      <w:r>
        <w:t xml:space="preserve"> and </w:t>
      </w:r>
      <w:proofErr w:type="spellStart"/>
      <w:r>
        <w:t>Ramcharan</w:t>
      </w:r>
      <w:proofErr w:type="spellEnd"/>
      <w:r>
        <w:t>, 2014b</w:t>
      </w:r>
    </w:p>
  </w:footnote>
  <w:footnote w:id="89">
    <w:p w14:paraId="0F932EA8" w14:textId="47C00881" w:rsidR="00452DFD" w:rsidRDefault="00452DFD">
      <w:pPr>
        <w:pStyle w:val="FootnoteText"/>
      </w:pPr>
      <w:r>
        <w:rPr>
          <w:rStyle w:val="FootnoteReference"/>
        </w:rPr>
        <w:footnoteRef/>
      </w:r>
      <w:r>
        <w:t xml:space="preserve"> Smith-Merry, no date</w:t>
      </w:r>
    </w:p>
  </w:footnote>
  <w:footnote w:id="90">
    <w:p w14:paraId="38D11316" w14:textId="2560B281" w:rsidR="00452DFD" w:rsidRDefault="00452DFD">
      <w:pPr>
        <w:pStyle w:val="FootnoteText"/>
      </w:pPr>
      <w:r>
        <w:rPr>
          <w:rStyle w:val="FootnoteReference"/>
        </w:rPr>
        <w:footnoteRef/>
      </w:r>
      <w:r>
        <w:t xml:space="preserve"> </w:t>
      </w:r>
      <w:proofErr w:type="spellStart"/>
      <w:r>
        <w:t>Nind</w:t>
      </w:r>
      <w:proofErr w:type="spellEnd"/>
      <w:r>
        <w:t xml:space="preserve"> and </w:t>
      </w:r>
      <w:proofErr w:type="spellStart"/>
      <w:r>
        <w:t>Vinha</w:t>
      </w:r>
      <w:proofErr w:type="spellEnd"/>
      <w:r>
        <w:t>, 2014</w:t>
      </w:r>
    </w:p>
  </w:footnote>
  <w:footnote w:id="91">
    <w:p w14:paraId="2BED6A75" w14:textId="155FC199" w:rsidR="00452DFD" w:rsidRDefault="00452DFD">
      <w:pPr>
        <w:pStyle w:val="FootnoteText"/>
      </w:pPr>
      <w:r>
        <w:rPr>
          <w:rStyle w:val="FootnoteReference"/>
        </w:rPr>
        <w:footnoteRef/>
      </w:r>
      <w:r>
        <w:t xml:space="preserve"> Farmer and Macleod, 2011</w:t>
      </w:r>
    </w:p>
  </w:footnote>
  <w:footnote w:id="92">
    <w:p w14:paraId="34F7338A" w14:textId="7985DA99" w:rsidR="00452DFD" w:rsidRDefault="00452DFD">
      <w:pPr>
        <w:pStyle w:val="FootnoteText"/>
      </w:pPr>
      <w:r>
        <w:rPr>
          <w:rStyle w:val="FootnoteReference"/>
        </w:rPr>
        <w:footnoteRef/>
      </w:r>
      <w:r>
        <w:t xml:space="preserve"> Farmer and Macleod, 2011</w:t>
      </w:r>
    </w:p>
  </w:footnote>
  <w:footnote w:id="93">
    <w:p w14:paraId="402B6774" w14:textId="5B2ACF0B" w:rsidR="00452DFD" w:rsidRDefault="00452DFD">
      <w:pPr>
        <w:pStyle w:val="FootnoteText"/>
      </w:pPr>
      <w:r>
        <w:rPr>
          <w:rStyle w:val="FootnoteReference"/>
        </w:rPr>
        <w:footnoteRef/>
      </w:r>
      <w:r>
        <w:t xml:space="preserve"> Farmer and Macleod, 2011</w:t>
      </w:r>
    </w:p>
  </w:footnote>
  <w:footnote w:id="94">
    <w:p w14:paraId="07FAF96F" w14:textId="4DA03F92" w:rsidR="00452DFD" w:rsidRDefault="00452DFD">
      <w:pPr>
        <w:pStyle w:val="FootnoteText"/>
      </w:pPr>
      <w:r>
        <w:rPr>
          <w:rStyle w:val="FootnoteReference"/>
        </w:rPr>
        <w:footnoteRef/>
      </w:r>
      <w:r>
        <w:t xml:space="preserve"> National Disability Authority, 2022b</w:t>
      </w:r>
    </w:p>
  </w:footnote>
  <w:footnote w:id="95">
    <w:p w14:paraId="06E3A4B3" w14:textId="434247DD" w:rsidR="00452DFD" w:rsidRDefault="00452DFD">
      <w:pPr>
        <w:pStyle w:val="FootnoteText"/>
      </w:pPr>
      <w:r>
        <w:rPr>
          <w:rStyle w:val="FootnoteReference"/>
        </w:rPr>
        <w:footnoteRef/>
      </w:r>
      <w:r>
        <w:t xml:space="preserve"> Please note that as this search was conducted during 2020, it will not include all relevant 2020 publications.</w:t>
      </w:r>
    </w:p>
  </w:footnote>
  <w:footnote w:id="96">
    <w:p w14:paraId="53021284" w14:textId="022D5C05" w:rsidR="00452DFD" w:rsidRDefault="00452DFD">
      <w:pPr>
        <w:pStyle w:val="FootnoteText"/>
      </w:pPr>
      <w:r>
        <w:rPr>
          <w:rStyle w:val="FootnoteReference"/>
        </w:rPr>
        <w:footnoteRef/>
      </w:r>
      <w:r>
        <w:t xml:space="preserve"> In some instances, this was difficult to discern and involved the authors making a judgment call that study authors may not necessarily agree with, as to how much input into a research or design project was illustrative of power or ownership.</w:t>
      </w:r>
    </w:p>
  </w:footnote>
  <w:footnote w:id="97">
    <w:p w14:paraId="133F9EC7" w14:textId="1E9E94C0" w:rsidR="00452DFD" w:rsidRDefault="00452DFD" w:rsidP="00F7249B">
      <w:pPr>
        <w:pStyle w:val="FootnoteText"/>
      </w:pPr>
      <w:r>
        <w:rPr>
          <w:rStyle w:val="FootnoteReference"/>
        </w:rPr>
        <w:footnoteRef/>
      </w:r>
      <w:r>
        <w:t xml:space="preserve"> As noted, in the UK, ‘learning disabilities’ has been the preferred term since the 1980s (though there is evidence that this is beginning to be replaced by intellectual disabilities, </w:t>
      </w:r>
      <w:proofErr w:type="spellStart"/>
      <w:r>
        <w:t>Cluley</w:t>
      </w:r>
      <w:proofErr w:type="spellEnd"/>
      <w:r>
        <w:t>, 2018), while in other countries, including Ireland, the preferred term is ‘intellectual disabilities’ (Inclusion Ireland, 2013).</w:t>
      </w:r>
    </w:p>
  </w:footnote>
  <w:footnote w:id="98">
    <w:p w14:paraId="1BDD939D" w14:textId="77777777" w:rsidR="00452DFD" w:rsidRDefault="00452DFD" w:rsidP="00EB6117">
      <w:pPr>
        <w:pStyle w:val="FootnoteText"/>
      </w:pPr>
      <w:r>
        <w:rPr>
          <w:rStyle w:val="FootnoteReference"/>
        </w:rPr>
        <w:footnoteRef/>
      </w:r>
      <w:r>
        <w:t xml:space="preserve"> Some studies may have involved research partnerships with other relevant stakeholders, such as service providers, carers or the general public – only information pertaining to the involvement and experience of co-researchers with disabilities was included in the review.</w:t>
      </w:r>
    </w:p>
  </w:footnote>
  <w:footnote w:id="99">
    <w:p w14:paraId="68D58FEA" w14:textId="0A53527F" w:rsidR="00452DFD" w:rsidRDefault="00452DFD">
      <w:pPr>
        <w:pStyle w:val="FootnoteText"/>
      </w:pPr>
      <w:r>
        <w:rPr>
          <w:rStyle w:val="FootnoteReference"/>
        </w:rPr>
        <w:footnoteRef/>
      </w:r>
      <w:r>
        <w:t xml:space="preserve"> Anderson </w:t>
      </w:r>
      <w:r w:rsidRPr="009800AB">
        <w:rPr>
          <w:i/>
        </w:rPr>
        <w:t>et al.,</w:t>
      </w:r>
      <w:r>
        <w:t xml:space="preserve"> 2018, </w:t>
      </w:r>
      <w:proofErr w:type="spellStart"/>
      <w:r>
        <w:t>Sangill</w:t>
      </w:r>
      <w:proofErr w:type="spellEnd"/>
      <w:r>
        <w:t xml:space="preserve"> </w:t>
      </w:r>
      <w:r w:rsidRPr="009800AB">
        <w:rPr>
          <w:i/>
        </w:rPr>
        <w:t>et al.,</w:t>
      </w:r>
      <w:r>
        <w:t xml:space="preserve"> 2019</w:t>
      </w:r>
    </w:p>
  </w:footnote>
  <w:footnote w:id="100">
    <w:p w14:paraId="09490AA6" w14:textId="13370159" w:rsidR="00452DFD" w:rsidRDefault="00452DFD">
      <w:pPr>
        <w:pStyle w:val="FootnoteText"/>
      </w:pPr>
      <w:r>
        <w:rPr>
          <w:rStyle w:val="FootnoteReference"/>
        </w:rPr>
        <w:footnoteRef/>
      </w:r>
      <w:r>
        <w:t xml:space="preserve"> O’Brien </w:t>
      </w:r>
      <w:r w:rsidRPr="009800AB">
        <w:rPr>
          <w:i/>
        </w:rPr>
        <w:t>et al.,</w:t>
      </w:r>
      <w:r>
        <w:t xml:space="preserve"> 2014 in Di </w:t>
      </w:r>
      <w:proofErr w:type="spellStart"/>
      <w:r>
        <w:t>Lorito</w:t>
      </w:r>
      <w:proofErr w:type="spellEnd"/>
      <w:r>
        <w:t xml:space="preserve"> </w:t>
      </w:r>
      <w:r w:rsidRPr="009800AB">
        <w:rPr>
          <w:i/>
        </w:rPr>
        <w:t>et al.,</w:t>
      </w:r>
      <w:r>
        <w:t xml:space="preserve"> 2017, </w:t>
      </w:r>
      <w:proofErr w:type="spellStart"/>
      <w:r>
        <w:t>Frankena</w:t>
      </w:r>
      <w:proofErr w:type="spellEnd"/>
      <w:r>
        <w:t xml:space="preserve"> </w:t>
      </w:r>
      <w:r w:rsidRPr="009800AB">
        <w:rPr>
          <w:i/>
        </w:rPr>
        <w:t>et al.,</w:t>
      </w:r>
      <w:r>
        <w:t xml:space="preserve"> 2019a, Walsh </w:t>
      </w:r>
      <w:r w:rsidRPr="009800AB">
        <w:rPr>
          <w:i/>
        </w:rPr>
        <w:t>et al.,</w:t>
      </w:r>
      <w:r>
        <w:t xml:space="preserve"> 2018</w:t>
      </w:r>
    </w:p>
  </w:footnote>
  <w:footnote w:id="101">
    <w:p w14:paraId="06017D63" w14:textId="436233AC" w:rsidR="00452DFD" w:rsidRDefault="00452DFD">
      <w:pPr>
        <w:pStyle w:val="FootnoteText"/>
      </w:pPr>
      <w:r>
        <w:rPr>
          <w:rStyle w:val="FootnoteReference"/>
        </w:rPr>
        <w:footnoteRef/>
      </w:r>
      <w:r>
        <w:t xml:space="preserve"> </w:t>
      </w:r>
      <w:r w:rsidRPr="005F3A80">
        <w:t>Barry, 2016</w:t>
      </w:r>
      <w:r>
        <w:t xml:space="preserve">, </w:t>
      </w:r>
      <w:r w:rsidRPr="00A0195C">
        <w:t xml:space="preserve">Stanley </w:t>
      </w:r>
      <w:r w:rsidRPr="009800AB">
        <w:rPr>
          <w:i/>
        </w:rPr>
        <w:t>et al.,</w:t>
      </w:r>
      <w:r>
        <w:t xml:space="preserve"> 2</w:t>
      </w:r>
      <w:r w:rsidRPr="00A0195C">
        <w:t>019</w:t>
      </w:r>
      <w:r>
        <w:t>,</w:t>
      </w:r>
      <w:r w:rsidRPr="00E2285E">
        <w:t xml:space="preserve"> </w:t>
      </w:r>
    </w:p>
  </w:footnote>
  <w:footnote w:id="102">
    <w:p w14:paraId="2E88AC84" w14:textId="6E603F5F" w:rsidR="00452DFD" w:rsidRDefault="00452DFD">
      <w:pPr>
        <w:pStyle w:val="FootnoteText"/>
      </w:pPr>
      <w:r>
        <w:rPr>
          <w:rStyle w:val="FootnoteReference"/>
        </w:rPr>
        <w:footnoteRef/>
      </w:r>
      <w:r>
        <w:t xml:space="preserve"> </w:t>
      </w:r>
      <w:r w:rsidRPr="00FC79A5">
        <w:t xml:space="preserve">Ashcroft </w:t>
      </w:r>
      <w:r w:rsidRPr="009800AB">
        <w:rPr>
          <w:i/>
        </w:rPr>
        <w:t>et al.,</w:t>
      </w:r>
      <w:r>
        <w:t xml:space="preserve"> 2016, </w:t>
      </w:r>
      <w:proofErr w:type="spellStart"/>
      <w:r w:rsidRPr="005F3A80">
        <w:t>Beighton</w:t>
      </w:r>
      <w:proofErr w:type="spellEnd"/>
      <w:r w:rsidRPr="005F3A80">
        <w:t xml:space="preserve"> </w:t>
      </w:r>
      <w:r w:rsidRPr="009800AB">
        <w:rPr>
          <w:i/>
        </w:rPr>
        <w:t>et al.,</w:t>
      </w:r>
      <w:r>
        <w:t xml:space="preserve"> 2</w:t>
      </w:r>
      <w:r w:rsidRPr="005F3A80">
        <w:t>019</w:t>
      </w:r>
      <w:r>
        <w:t xml:space="preserve">, </w:t>
      </w:r>
      <w:proofErr w:type="spellStart"/>
      <w:r w:rsidRPr="003646EA">
        <w:t>Moule</w:t>
      </w:r>
      <w:proofErr w:type="spellEnd"/>
      <w:r w:rsidRPr="003646EA">
        <w:t xml:space="preserve"> </w:t>
      </w:r>
      <w:r w:rsidRPr="009800AB">
        <w:rPr>
          <w:i/>
        </w:rPr>
        <w:t>et al.,</w:t>
      </w:r>
      <w:r>
        <w:t xml:space="preserve"> </w:t>
      </w:r>
      <w:r w:rsidRPr="003646EA">
        <w:t>2016</w:t>
      </w:r>
      <w:r>
        <w:t xml:space="preserve">, </w:t>
      </w:r>
      <w:proofErr w:type="spellStart"/>
      <w:r w:rsidRPr="00E11A53">
        <w:t>Puyalto</w:t>
      </w:r>
      <w:proofErr w:type="spellEnd"/>
      <w:r w:rsidRPr="00E11A53">
        <w:t xml:space="preserve"> </w:t>
      </w:r>
      <w:r w:rsidRPr="009800AB">
        <w:rPr>
          <w:i/>
        </w:rPr>
        <w:t>et al.,</w:t>
      </w:r>
      <w:r>
        <w:t xml:space="preserve"> </w:t>
      </w:r>
      <w:r w:rsidRPr="00E11A53">
        <w:t>2016</w:t>
      </w:r>
    </w:p>
  </w:footnote>
  <w:footnote w:id="103">
    <w:p w14:paraId="66C1C475" w14:textId="4FAFE11A" w:rsidR="00452DFD" w:rsidRDefault="00452DFD">
      <w:pPr>
        <w:pStyle w:val="FootnoteText"/>
      </w:pPr>
      <w:r>
        <w:rPr>
          <w:rStyle w:val="FootnoteReference"/>
        </w:rPr>
        <w:footnoteRef/>
      </w:r>
      <w:r>
        <w:t xml:space="preserve"> Barry </w:t>
      </w:r>
      <w:r w:rsidRPr="009800AB">
        <w:rPr>
          <w:i/>
        </w:rPr>
        <w:t>et al.,</w:t>
      </w:r>
      <w:r>
        <w:t xml:space="preserve"> 2016, Beaumont 2019, </w:t>
      </w:r>
      <w:r w:rsidRPr="006D3104">
        <w:t xml:space="preserve">O'Hara </w:t>
      </w:r>
      <w:r w:rsidRPr="009800AB">
        <w:rPr>
          <w:i/>
        </w:rPr>
        <w:t>et al.,</w:t>
      </w:r>
      <w:r>
        <w:t xml:space="preserve"> </w:t>
      </w:r>
      <w:r w:rsidRPr="006D3104">
        <w:t>2017</w:t>
      </w:r>
      <w:r>
        <w:t>,</w:t>
      </w:r>
      <w:r w:rsidRPr="0098567F">
        <w:t xml:space="preserve"> </w:t>
      </w:r>
      <w:r>
        <w:t xml:space="preserve">Rojas </w:t>
      </w:r>
      <w:proofErr w:type="spellStart"/>
      <w:r w:rsidRPr="006D3104">
        <w:t>Pernia</w:t>
      </w:r>
      <w:proofErr w:type="spellEnd"/>
      <w:r w:rsidRPr="006D3104">
        <w:t xml:space="preserve"> </w:t>
      </w:r>
      <w:r w:rsidRPr="009800AB">
        <w:rPr>
          <w:i/>
        </w:rPr>
        <w:t>et al.,</w:t>
      </w:r>
      <w:r>
        <w:t xml:space="preserve"> </w:t>
      </w:r>
      <w:r w:rsidRPr="006D3104">
        <w:t>2020</w:t>
      </w:r>
      <w:r>
        <w:t xml:space="preserve">, Salmon </w:t>
      </w:r>
      <w:r w:rsidRPr="009800AB">
        <w:rPr>
          <w:i/>
        </w:rPr>
        <w:t>et al.,</w:t>
      </w:r>
      <w:r>
        <w:t xml:space="preserve"> 2018</w:t>
      </w:r>
    </w:p>
  </w:footnote>
  <w:footnote w:id="104">
    <w:p w14:paraId="75AE9B9A" w14:textId="0CE0552C" w:rsidR="00452DFD" w:rsidRDefault="00452DFD">
      <w:pPr>
        <w:pStyle w:val="FootnoteText"/>
      </w:pPr>
      <w:r>
        <w:rPr>
          <w:rStyle w:val="FootnoteReference"/>
        </w:rPr>
        <w:footnoteRef/>
      </w:r>
      <w:r>
        <w:t xml:space="preserve"> </w:t>
      </w:r>
      <w:proofErr w:type="spellStart"/>
      <w:r w:rsidRPr="002A431C">
        <w:t>Mogensen</w:t>
      </w:r>
      <w:proofErr w:type="spellEnd"/>
      <w:r>
        <w:t>,</w:t>
      </w:r>
      <w:r w:rsidRPr="002A431C">
        <w:t xml:space="preserve"> 2010</w:t>
      </w:r>
      <w:r>
        <w:t xml:space="preserve"> cited in Bailey </w:t>
      </w:r>
      <w:r w:rsidRPr="009800AB">
        <w:rPr>
          <w:i/>
        </w:rPr>
        <w:t>et al.,</w:t>
      </w:r>
      <w:r>
        <w:t xml:space="preserve"> 2015, Street and Herts, 2005 cited in Bailey </w:t>
      </w:r>
      <w:r w:rsidRPr="009800AB">
        <w:rPr>
          <w:i/>
        </w:rPr>
        <w:t>et al.,</w:t>
      </w:r>
      <w:r>
        <w:t xml:space="preserve"> 2015, </w:t>
      </w:r>
      <w:proofErr w:type="spellStart"/>
      <w:r>
        <w:t>Brosnan</w:t>
      </w:r>
      <w:proofErr w:type="spellEnd"/>
      <w:r>
        <w:t xml:space="preserve"> </w:t>
      </w:r>
      <w:r w:rsidRPr="009800AB">
        <w:rPr>
          <w:i/>
        </w:rPr>
        <w:t>et al.,</w:t>
      </w:r>
      <w:r>
        <w:t xml:space="preserve"> 2016</w:t>
      </w:r>
    </w:p>
  </w:footnote>
  <w:footnote w:id="105">
    <w:p w14:paraId="23FAD17E" w14:textId="52DD4C5F" w:rsidR="00452DFD" w:rsidRDefault="00452DFD">
      <w:pPr>
        <w:pStyle w:val="FootnoteText"/>
      </w:pPr>
      <w:r>
        <w:rPr>
          <w:rStyle w:val="FootnoteReference"/>
        </w:rPr>
        <w:footnoteRef/>
      </w:r>
      <w:r>
        <w:t xml:space="preserve"> Beaumont </w:t>
      </w:r>
      <w:r w:rsidRPr="009800AB">
        <w:rPr>
          <w:i/>
        </w:rPr>
        <w:t>et al.,</w:t>
      </w:r>
      <w:r>
        <w:t xml:space="preserve"> 2019, Salmon </w:t>
      </w:r>
      <w:r w:rsidRPr="00893777">
        <w:rPr>
          <w:i/>
        </w:rPr>
        <w:t>et al.,</w:t>
      </w:r>
      <w:r>
        <w:t xml:space="preserve"> 2018, </w:t>
      </w:r>
      <w:r w:rsidRPr="00E11A53">
        <w:t xml:space="preserve">Stack </w:t>
      </w:r>
      <w:r>
        <w:t>and</w:t>
      </w:r>
      <w:r w:rsidRPr="00E11A53">
        <w:t xml:space="preserve"> McDonald, 2018</w:t>
      </w:r>
      <w:r>
        <w:t xml:space="preserve"> </w:t>
      </w:r>
    </w:p>
  </w:footnote>
  <w:footnote w:id="106">
    <w:p w14:paraId="17B04140" w14:textId="0FF168C2" w:rsidR="00452DFD" w:rsidRDefault="00452DFD">
      <w:pPr>
        <w:pStyle w:val="FootnoteText"/>
      </w:pPr>
      <w:r>
        <w:rPr>
          <w:rStyle w:val="FootnoteReference"/>
        </w:rPr>
        <w:footnoteRef/>
      </w:r>
      <w:r>
        <w:t xml:space="preserve"> P13 in Salmon </w:t>
      </w:r>
      <w:r w:rsidRPr="009800AB">
        <w:rPr>
          <w:i/>
        </w:rPr>
        <w:t>et al.,</w:t>
      </w:r>
      <w:r>
        <w:t xml:space="preserve"> 2018, p. 272</w:t>
      </w:r>
    </w:p>
  </w:footnote>
  <w:footnote w:id="107">
    <w:p w14:paraId="098402EC" w14:textId="4E33DF6B" w:rsidR="00452DFD" w:rsidRDefault="00452DFD">
      <w:pPr>
        <w:pStyle w:val="FootnoteText"/>
      </w:pPr>
      <w:r>
        <w:rPr>
          <w:rStyle w:val="FootnoteReference"/>
        </w:rPr>
        <w:footnoteRef/>
      </w:r>
      <w:r>
        <w:t xml:space="preserve"> </w:t>
      </w:r>
      <w:proofErr w:type="spellStart"/>
      <w:r w:rsidRPr="005F3A80">
        <w:t>Beighton</w:t>
      </w:r>
      <w:proofErr w:type="spellEnd"/>
      <w:r w:rsidRPr="005F3A80">
        <w:t xml:space="preserve"> </w:t>
      </w:r>
      <w:r w:rsidRPr="009800AB">
        <w:rPr>
          <w:i/>
        </w:rPr>
        <w:t>et al.,</w:t>
      </w:r>
      <w:r>
        <w:t xml:space="preserve"> 2</w:t>
      </w:r>
      <w:r w:rsidRPr="005F3A80">
        <w:t>019</w:t>
      </w:r>
      <w:r>
        <w:t>,</w:t>
      </w:r>
      <w:r w:rsidRPr="00197F2E">
        <w:t xml:space="preserve"> </w:t>
      </w:r>
      <w:r w:rsidRPr="005F3A80">
        <w:t>Bollard 2017</w:t>
      </w:r>
      <w:r>
        <w:t xml:space="preserve">, </w:t>
      </w:r>
      <w:proofErr w:type="spellStart"/>
      <w:r w:rsidRPr="00FC79A5">
        <w:t>Frankena</w:t>
      </w:r>
      <w:proofErr w:type="spellEnd"/>
      <w:r w:rsidRPr="00FC79A5">
        <w:t xml:space="preserve"> </w:t>
      </w:r>
      <w:r w:rsidRPr="009800AB">
        <w:rPr>
          <w:i/>
        </w:rPr>
        <w:t>et al.,</w:t>
      </w:r>
      <w:r>
        <w:t xml:space="preserve"> 2</w:t>
      </w:r>
      <w:r w:rsidRPr="00FC79A5">
        <w:t>019a</w:t>
      </w:r>
    </w:p>
  </w:footnote>
  <w:footnote w:id="108">
    <w:p w14:paraId="1E65AA39" w14:textId="0E8B052A" w:rsidR="00452DFD" w:rsidRDefault="00452DFD">
      <w:pPr>
        <w:pStyle w:val="FootnoteText"/>
      </w:pPr>
      <w:r>
        <w:rPr>
          <w:rStyle w:val="FootnoteReference"/>
        </w:rPr>
        <w:footnoteRef/>
      </w:r>
      <w:r>
        <w:t xml:space="preserve"> </w:t>
      </w:r>
      <w:proofErr w:type="spellStart"/>
      <w:r w:rsidRPr="005F3A80">
        <w:t>Gratton</w:t>
      </w:r>
      <w:proofErr w:type="spellEnd"/>
      <w:r>
        <w:t>,</w:t>
      </w:r>
      <w:r w:rsidRPr="005F3A80">
        <w:t xml:space="preserve"> 20</w:t>
      </w:r>
      <w:r>
        <w:t>20</w:t>
      </w:r>
    </w:p>
  </w:footnote>
  <w:footnote w:id="109">
    <w:p w14:paraId="49EFEEB8" w14:textId="0A6577B1" w:rsidR="00452DFD" w:rsidRDefault="00452DFD">
      <w:pPr>
        <w:pStyle w:val="FootnoteText"/>
      </w:pPr>
      <w:r>
        <w:rPr>
          <w:rStyle w:val="FootnoteReference"/>
        </w:rPr>
        <w:footnoteRef/>
      </w:r>
      <w:r>
        <w:t xml:space="preserve"> </w:t>
      </w:r>
      <w:r w:rsidRPr="007F544F">
        <w:t>Callus</w:t>
      </w:r>
      <w:r>
        <w:t>,</w:t>
      </w:r>
      <w:r w:rsidRPr="007F544F">
        <w:t xml:space="preserve"> 2019</w:t>
      </w:r>
      <w:r>
        <w:t xml:space="preserve">, Joss </w:t>
      </w:r>
      <w:r w:rsidRPr="009800AB">
        <w:rPr>
          <w:i/>
        </w:rPr>
        <w:t>et al.,</w:t>
      </w:r>
      <w:r>
        <w:t xml:space="preserve"> 2016</w:t>
      </w:r>
    </w:p>
  </w:footnote>
  <w:footnote w:id="110">
    <w:p w14:paraId="1CDE8D45" w14:textId="28F24A9C" w:rsidR="00452DFD" w:rsidRDefault="00452DFD">
      <w:pPr>
        <w:pStyle w:val="FootnoteText"/>
      </w:pPr>
      <w:r>
        <w:rPr>
          <w:rStyle w:val="FootnoteReference"/>
        </w:rPr>
        <w:footnoteRef/>
      </w:r>
      <w:r>
        <w:t xml:space="preserve"> Green </w:t>
      </w:r>
      <w:r w:rsidRPr="009800AB">
        <w:rPr>
          <w:i/>
        </w:rPr>
        <w:t>et al.,</w:t>
      </w:r>
      <w:r>
        <w:t xml:space="preserve"> 2016</w:t>
      </w:r>
    </w:p>
  </w:footnote>
  <w:footnote w:id="111">
    <w:p w14:paraId="6B7A351D" w14:textId="18EED934" w:rsidR="00452DFD" w:rsidRDefault="00452DFD">
      <w:pPr>
        <w:pStyle w:val="FootnoteText"/>
      </w:pPr>
      <w:r>
        <w:rPr>
          <w:rStyle w:val="FootnoteReference"/>
        </w:rPr>
        <w:footnoteRef/>
      </w:r>
      <w:r>
        <w:t xml:space="preserve"> Di </w:t>
      </w:r>
      <w:proofErr w:type="spellStart"/>
      <w:r>
        <w:t>Lorito</w:t>
      </w:r>
      <w:proofErr w:type="spellEnd"/>
      <w:r w:rsidRPr="00AB69E4">
        <w:t xml:space="preserve"> </w:t>
      </w:r>
      <w:r w:rsidRPr="009800AB">
        <w:rPr>
          <w:i/>
        </w:rPr>
        <w:t>et al.,</w:t>
      </w:r>
      <w:r>
        <w:t xml:space="preserve"> 2</w:t>
      </w:r>
      <w:r w:rsidRPr="00AB69E4">
        <w:t>01</w:t>
      </w:r>
      <w:r>
        <w:t xml:space="preserve">8, </w:t>
      </w:r>
      <w:proofErr w:type="spellStart"/>
      <w:r w:rsidRPr="00496CCA">
        <w:t>Wo</w:t>
      </w:r>
      <w:r>
        <w:t>e</w:t>
      </w:r>
      <w:r w:rsidRPr="00496CCA">
        <w:t>lders</w:t>
      </w:r>
      <w:proofErr w:type="spellEnd"/>
      <w:r w:rsidRPr="00496CCA">
        <w:t xml:space="preserve"> </w:t>
      </w:r>
      <w:r w:rsidRPr="009800AB">
        <w:rPr>
          <w:i/>
        </w:rPr>
        <w:t>et al.,</w:t>
      </w:r>
      <w:r>
        <w:t xml:space="preserve"> </w:t>
      </w:r>
      <w:r w:rsidRPr="00496CCA">
        <w:t>2015</w:t>
      </w:r>
      <w:r>
        <w:t>,</w:t>
      </w:r>
      <w:r w:rsidRPr="001B021A">
        <w:t xml:space="preserve"> </w:t>
      </w:r>
    </w:p>
  </w:footnote>
  <w:footnote w:id="112">
    <w:p w14:paraId="3DB8B946" w14:textId="7B739EF7" w:rsidR="00452DFD" w:rsidRDefault="00452DFD">
      <w:pPr>
        <w:pStyle w:val="FootnoteText"/>
      </w:pPr>
      <w:r>
        <w:rPr>
          <w:rStyle w:val="FootnoteReference"/>
        </w:rPr>
        <w:footnoteRef/>
      </w:r>
      <w:r>
        <w:t xml:space="preserve"> Academic researcher in </w:t>
      </w:r>
      <w:proofErr w:type="spellStart"/>
      <w:r>
        <w:t>Woelders</w:t>
      </w:r>
      <w:proofErr w:type="spellEnd"/>
      <w:r>
        <w:t xml:space="preserve"> </w:t>
      </w:r>
      <w:r w:rsidRPr="009800AB">
        <w:rPr>
          <w:i/>
        </w:rPr>
        <w:t>et al.,</w:t>
      </w:r>
      <w:r>
        <w:t xml:space="preserve"> 2015, p. 535</w:t>
      </w:r>
    </w:p>
  </w:footnote>
  <w:footnote w:id="113">
    <w:p w14:paraId="51102A3F" w14:textId="2CE97EB0" w:rsidR="00452DFD" w:rsidRDefault="00452DFD">
      <w:pPr>
        <w:pStyle w:val="FootnoteText"/>
      </w:pPr>
      <w:r>
        <w:rPr>
          <w:rStyle w:val="FootnoteReference"/>
        </w:rPr>
        <w:footnoteRef/>
      </w:r>
      <w:r>
        <w:t xml:space="preserve"> Spencer </w:t>
      </w:r>
      <w:r w:rsidRPr="007F544F">
        <w:t xml:space="preserve">Gonzalez </w:t>
      </w:r>
      <w:r w:rsidRPr="009800AB">
        <w:rPr>
          <w:i/>
        </w:rPr>
        <w:t>et al.,</w:t>
      </w:r>
      <w:r>
        <w:t xml:space="preserve"> 2</w:t>
      </w:r>
      <w:r w:rsidRPr="007F544F">
        <w:t>020</w:t>
      </w:r>
    </w:p>
  </w:footnote>
  <w:footnote w:id="114">
    <w:p w14:paraId="15F059FF" w14:textId="6E9CB09B" w:rsidR="00452DFD" w:rsidRDefault="00452DFD">
      <w:pPr>
        <w:pStyle w:val="FootnoteText"/>
      </w:pPr>
      <w:r>
        <w:rPr>
          <w:rStyle w:val="FootnoteReference"/>
        </w:rPr>
        <w:footnoteRef/>
      </w:r>
      <w:r>
        <w:t xml:space="preserve"> Smith-Merry, 2017, </w:t>
      </w:r>
      <w:r w:rsidRPr="00496CCA">
        <w:t>Werner-</w:t>
      </w:r>
      <w:proofErr w:type="spellStart"/>
      <w:r w:rsidRPr="00496CCA">
        <w:t>Seidler</w:t>
      </w:r>
      <w:proofErr w:type="spellEnd"/>
      <w:r w:rsidRPr="00496CCA">
        <w:t xml:space="preserve"> </w:t>
      </w:r>
      <w:r w:rsidRPr="009800AB">
        <w:rPr>
          <w:i/>
        </w:rPr>
        <w:t>et al.,</w:t>
      </w:r>
      <w:r>
        <w:t xml:space="preserve"> </w:t>
      </w:r>
      <w:r w:rsidRPr="00496CCA">
        <w:t>2019</w:t>
      </w:r>
    </w:p>
  </w:footnote>
  <w:footnote w:id="115">
    <w:p w14:paraId="70F4D60B" w14:textId="1D8DE7DD" w:rsidR="00452DFD" w:rsidRDefault="00452DFD">
      <w:pPr>
        <w:pStyle w:val="FootnoteText"/>
      </w:pPr>
      <w:r>
        <w:rPr>
          <w:rStyle w:val="FootnoteReference"/>
        </w:rPr>
        <w:footnoteRef/>
      </w:r>
      <w:r>
        <w:t xml:space="preserve"> </w:t>
      </w:r>
      <w:proofErr w:type="spellStart"/>
      <w:r w:rsidRPr="00951124">
        <w:t>Gratton</w:t>
      </w:r>
      <w:proofErr w:type="spellEnd"/>
      <w:r w:rsidRPr="00951124">
        <w:t xml:space="preserve"> 201</w:t>
      </w:r>
      <w:r>
        <w:t>2,</w:t>
      </w:r>
      <w:r w:rsidRPr="001B616A">
        <w:t xml:space="preserve"> </w:t>
      </w:r>
      <w:r w:rsidRPr="007C387C">
        <w:t xml:space="preserve">Joss </w:t>
      </w:r>
      <w:r w:rsidRPr="009800AB">
        <w:rPr>
          <w:i/>
        </w:rPr>
        <w:t>et al.,</w:t>
      </w:r>
      <w:r>
        <w:t xml:space="preserve"> </w:t>
      </w:r>
      <w:r w:rsidRPr="007C387C">
        <w:t>2016</w:t>
      </w:r>
      <w:r>
        <w:t xml:space="preserve">, </w:t>
      </w:r>
      <w:r w:rsidRPr="00D82020">
        <w:t xml:space="preserve">e.g. Livingstone </w:t>
      </w:r>
      <w:r w:rsidRPr="009800AB">
        <w:rPr>
          <w:i/>
        </w:rPr>
        <w:t>et al.,</w:t>
      </w:r>
      <w:r>
        <w:t xml:space="preserve"> 2</w:t>
      </w:r>
      <w:r w:rsidRPr="00D82020">
        <w:t xml:space="preserve">014b </w:t>
      </w:r>
      <w:r>
        <w:t>cited in Smith-Merry,</w:t>
      </w:r>
      <w:r w:rsidRPr="0081718A">
        <w:t xml:space="preserve"> 2017</w:t>
      </w:r>
      <w:r>
        <w:t xml:space="preserve">, </w:t>
      </w:r>
      <w:r w:rsidRPr="00D82020">
        <w:t xml:space="preserve">Rose </w:t>
      </w:r>
      <w:r w:rsidRPr="009800AB">
        <w:rPr>
          <w:i/>
        </w:rPr>
        <w:t>et al.,</w:t>
      </w:r>
      <w:r>
        <w:t xml:space="preserve"> 2</w:t>
      </w:r>
      <w:r w:rsidRPr="00D82020">
        <w:t>008</w:t>
      </w:r>
      <w:r>
        <w:t xml:space="preserve"> cited in Smith-Merry, 2017</w:t>
      </w:r>
    </w:p>
  </w:footnote>
  <w:footnote w:id="116">
    <w:p w14:paraId="20167925" w14:textId="5F69E39E" w:rsidR="00452DFD" w:rsidRDefault="00452DFD">
      <w:pPr>
        <w:pStyle w:val="FootnoteText"/>
      </w:pPr>
      <w:r>
        <w:rPr>
          <w:rStyle w:val="FootnoteReference"/>
        </w:rPr>
        <w:footnoteRef/>
      </w:r>
      <w:r>
        <w:t xml:space="preserve"> Anderson </w:t>
      </w:r>
      <w:r w:rsidRPr="009800AB">
        <w:rPr>
          <w:i/>
        </w:rPr>
        <w:t>et al.,</w:t>
      </w:r>
      <w:r>
        <w:t xml:space="preserve"> 2019, </w:t>
      </w:r>
      <w:proofErr w:type="spellStart"/>
      <w:r>
        <w:t>Wykes</w:t>
      </w:r>
      <w:proofErr w:type="spellEnd"/>
      <w:r>
        <w:t xml:space="preserve">, 2014 cited in Ashcroft </w:t>
      </w:r>
      <w:r w:rsidRPr="009800AB">
        <w:rPr>
          <w:i/>
        </w:rPr>
        <w:t>et al.,</w:t>
      </w:r>
      <w:r>
        <w:t xml:space="preserve"> 2016, </w:t>
      </w:r>
      <w:proofErr w:type="spellStart"/>
      <w:r>
        <w:t>Wykes</w:t>
      </w:r>
      <w:proofErr w:type="spellEnd"/>
      <w:r>
        <w:t xml:space="preserve"> and Marshall, 2004 cited in Ashcroft </w:t>
      </w:r>
      <w:r w:rsidRPr="009800AB">
        <w:rPr>
          <w:i/>
        </w:rPr>
        <w:t>et al.,</w:t>
      </w:r>
      <w:r>
        <w:t xml:space="preserve"> 2016</w:t>
      </w:r>
    </w:p>
  </w:footnote>
  <w:footnote w:id="117">
    <w:p w14:paraId="30369462" w14:textId="3AC35E76" w:rsidR="00452DFD" w:rsidRDefault="00452DFD">
      <w:pPr>
        <w:pStyle w:val="FootnoteText"/>
      </w:pPr>
      <w:r>
        <w:rPr>
          <w:rStyle w:val="FootnoteReference"/>
        </w:rPr>
        <w:footnoteRef/>
      </w:r>
      <w:r>
        <w:t xml:space="preserve"> </w:t>
      </w:r>
      <w:proofErr w:type="spellStart"/>
      <w:r>
        <w:t>Weksler-Derri</w:t>
      </w:r>
      <w:proofErr w:type="spellEnd"/>
      <w:r>
        <w:t xml:space="preserve">, </w:t>
      </w:r>
      <w:proofErr w:type="spellStart"/>
      <w:r>
        <w:t>Shwed</w:t>
      </w:r>
      <w:proofErr w:type="spellEnd"/>
      <w:r w:rsidRPr="00473AB4">
        <w:t xml:space="preserve"> and </w:t>
      </w:r>
      <w:proofErr w:type="spellStart"/>
      <w:r w:rsidRPr="00473AB4">
        <w:t>Davidovitch</w:t>
      </w:r>
      <w:proofErr w:type="spellEnd"/>
      <w:r>
        <w:t>, 2019</w:t>
      </w:r>
    </w:p>
  </w:footnote>
  <w:footnote w:id="118">
    <w:p w14:paraId="7E900EAA" w14:textId="142EB2E1" w:rsidR="00452DFD" w:rsidRDefault="00452DFD">
      <w:pPr>
        <w:pStyle w:val="FootnoteText"/>
      </w:pPr>
      <w:r>
        <w:rPr>
          <w:rStyle w:val="FootnoteReference"/>
        </w:rPr>
        <w:footnoteRef/>
      </w:r>
      <w:r>
        <w:t xml:space="preserve"> </w:t>
      </w:r>
      <w:r w:rsidRPr="00A05A6E">
        <w:t xml:space="preserve">Paul </w:t>
      </w:r>
      <w:r w:rsidRPr="009800AB">
        <w:rPr>
          <w:i/>
        </w:rPr>
        <w:t>et al.,</w:t>
      </w:r>
      <w:r>
        <w:t xml:space="preserve"> </w:t>
      </w:r>
      <w:r w:rsidRPr="00A05A6E">
        <w:t>2017</w:t>
      </w:r>
    </w:p>
  </w:footnote>
  <w:footnote w:id="119">
    <w:p w14:paraId="5C7D9BBB" w14:textId="6143D2A5" w:rsidR="00452DFD" w:rsidRDefault="00452DFD">
      <w:pPr>
        <w:pStyle w:val="FootnoteText"/>
      </w:pPr>
      <w:r>
        <w:rPr>
          <w:rStyle w:val="FootnoteReference"/>
        </w:rPr>
        <w:footnoteRef/>
      </w:r>
      <w:r>
        <w:t xml:space="preserve"> </w:t>
      </w:r>
      <w:r w:rsidRPr="0038527E">
        <w:t xml:space="preserve">Anderson </w:t>
      </w:r>
      <w:r w:rsidRPr="009800AB">
        <w:rPr>
          <w:i/>
        </w:rPr>
        <w:t>et al.,</w:t>
      </w:r>
      <w:r>
        <w:t xml:space="preserve"> </w:t>
      </w:r>
      <w:r w:rsidRPr="0038527E">
        <w:t>2019</w:t>
      </w:r>
      <w:r>
        <w:t xml:space="preserve">, </w:t>
      </w:r>
      <w:r w:rsidRPr="00E9010C">
        <w:t>Street and Herts 2005</w:t>
      </w:r>
      <w:r>
        <w:t xml:space="preserve"> cited </w:t>
      </w:r>
      <w:r w:rsidRPr="0038527E">
        <w:t xml:space="preserve">in Bailey </w:t>
      </w:r>
      <w:r w:rsidRPr="009800AB">
        <w:rPr>
          <w:i/>
        </w:rPr>
        <w:t>et al.,</w:t>
      </w:r>
      <w:r>
        <w:t xml:space="preserve"> 2</w:t>
      </w:r>
      <w:r w:rsidRPr="0038527E">
        <w:t>015</w:t>
      </w:r>
      <w:r>
        <w:t xml:space="preserve">, </w:t>
      </w:r>
      <w:r w:rsidRPr="00426AD7">
        <w:t>Morris</w:t>
      </w:r>
      <w:r>
        <w:t>,</w:t>
      </w:r>
      <w:r w:rsidRPr="00426AD7">
        <w:t xml:space="preserve"> 2003</w:t>
      </w:r>
      <w:r>
        <w:t xml:space="preserve"> cited in Bailey </w:t>
      </w:r>
      <w:r w:rsidRPr="009800AB">
        <w:rPr>
          <w:i/>
        </w:rPr>
        <w:t>et al.,</w:t>
      </w:r>
      <w:r>
        <w:t xml:space="preserve"> 2015, </w:t>
      </w:r>
      <w:proofErr w:type="spellStart"/>
      <w:r w:rsidRPr="0038527E">
        <w:t>Brosnan</w:t>
      </w:r>
      <w:proofErr w:type="spellEnd"/>
      <w:r w:rsidRPr="0038527E">
        <w:t xml:space="preserve"> </w:t>
      </w:r>
      <w:r w:rsidRPr="009800AB">
        <w:rPr>
          <w:i/>
        </w:rPr>
        <w:t>et al.,</w:t>
      </w:r>
      <w:r>
        <w:t xml:space="preserve"> 2</w:t>
      </w:r>
      <w:r w:rsidRPr="0038527E">
        <w:t>016</w:t>
      </w:r>
      <w:r>
        <w:t xml:space="preserve">, </w:t>
      </w:r>
      <w:proofErr w:type="spellStart"/>
      <w:r>
        <w:t>Fitzimons</w:t>
      </w:r>
      <w:proofErr w:type="spellEnd"/>
      <w:r>
        <w:t xml:space="preserve"> </w:t>
      </w:r>
      <w:r w:rsidRPr="009800AB">
        <w:rPr>
          <w:i/>
        </w:rPr>
        <w:t>et al.,</w:t>
      </w:r>
      <w:r>
        <w:t xml:space="preserve"> 2017, </w:t>
      </w:r>
      <w:r w:rsidRPr="0038527E">
        <w:t xml:space="preserve">Tilly </w:t>
      </w:r>
      <w:r w:rsidRPr="009800AB">
        <w:rPr>
          <w:i/>
        </w:rPr>
        <w:t>et al.,</w:t>
      </w:r>
      <w:r>
        <w:t xml:space="preserve"> </w:t>
      </w:r>
      <w:r w:rsidRPr="0038527E">
        <w:t>2015</w:t>
      </w:r>
      <w:r>
        <w:t xml:space="preserve">, </w:t>
      </w:r>
      <w:r w:rsidRPr="0038527E">
        <w:t xml:space="preserve">Walsh </w:t>
      </w:r>
      <w:r w:rsidRPr="009800AB">
        <w:rPr>
          <w:i/>
        </w:rPr>
        <w:t>et al.,</w:t>
      </w:r>
      <w:r>
        <w:t xml:space="preserve"> </w:t>
      </w:r>
      <w:r w:rsidRPr="0038527E">
        <w:t>2018</w:t>
      </w:r>
    </w:p>
  </w:footnote>
  <w:footnote w:id="120">
    <w:p w14:paraId="5ADE6BB6" w14:textId="7F0C6D5B" w:rsidR="00452DFD" w:rsidRDefault="00452DFD">
      <w:pPr>
        <w:pStyle w:val="FootnoteText"/>
      </w:pPr>
      <w:r>
        <w:rPr>
          <w:rStyle w:val="FootnoteReference"/>
        </w:rPr>
        <w:footnoteRef/>
      </w:r>
      <w:r>
        <w:t xml:space="preserve"> </w:t>
      </w:r>
      <w:proofErr w:type="spellStart"/>
      <w:r w:rsidRPr="0038527E">
        <w:t>Wykes</w:t>
      </w:r>
      <w:proofErr w:type="spellEnd"/>
      <w:r w:rsidRPr="0038527E">
        <w:t xml:space="preserve">, 2003 </w:t>
      </w:r>
      <w:r>
        <w:t xml:space="preserve">cited </w:t>
      </w:r>
      <w:r w:rsidRPr="0038527E">
        <w:t xml:space="preserve">in Ashcroft </w:t>
      </w:r>
      <w:r w:rsidRPr="009800AB">
        <w:rPr>
          <w:i/>
        </w:rPr>
        <w:t>et al.,</w:t>
      </w:r>
      <w:r>
        <w:t xml:space="preserve"> 2016,</w:t>
      </w:r>
      <w:r w:rsidRPr="0038527E">
        <w:t xml:space="preserve"> </w:t>
      </w:r>
      <w:proofErr w:type="spellStart"/>
      <w:r w:rsidRPr="0038527E">
        <w:t>Frankena</w:t>
      </w:r>
      <w:proofErr w:type="spellEnd"/>
      <w:r w:rsidRPr="0038527E">
        <w:t xml:space="preserve"> </w:t>
      </w:r>
      <w:r w:rsidRPr="009800AB">
        <w:rPr>
          <w:i/>
        </w:rPr>
        <w:t>et al.,</w:t>
      </w:r>
      <w:r>
        <w:t xml:space="preserve"> 2</w:t>
      </w:r>
      <w:r w:rsidRPr="0038527E">
        <w:t>019C</w:t>
      </w:r>
      <w:r>
        <w:t>,</w:t>
      </w:r>
      <w:r w:rsidRPr="0038527E">
        <w:t xml:space="preserve"> McCartan </w:t>
      </w:r>
      <w:r w:rsidRPr="009800AB">
        <w:rPr>
          <w:i/>
        </w:rPr>
        <w:t>et al.,</w:t>
      </w:r>
      <w:r>
        <w:t xml:space="preserve"> 2</w:t>
      </w:r>
      <w:r w:rsidRPr="0038527E">
        <w:t>019</w:t>
      </w:r>
    </w:p>
  </w:footnote>
  <w:footnote w:id="121">
    <w:p w14:paraId="3738BB72" w14:textId="59EF60A0" w:rsidR="00452DFD" w:rsidRDefault="00452DFD">
      <w:pPr>
        <w:pStyle w:val="FootnoteText"/>
      </w:pPr>
      <w:r>
        <w:rPr>
          <w:rStyle w:val="FootnoteReference"/>
        </w:rPr>
        <w:footnoteRef/>
      </w:r>
      <w:r>
        <w:t xml:space="preserve"> </w:t>
      </w:r>
      <w:proofErr w:type="spellStart"/>
      <w:r w:rsidRPr="00D7213D">
        <w:t>Beighton</w:t>
      </w:r>
      <w:proofErr w:type="spellEnd"/>
      <w:r w:rsidRPr="00D7213D">
        <w:t xml:space="preserve"> </w:t>
      </w:r>
      <w:r w:rsidRPr="009800AB">
        <w:rPr>
          <w:i/>
        </w:rPr>
        <w:t>et al.,</w:t>
      </w:r>
      <w:r>
        <w:t xml:space="preserve"> 2</w:t>
      </w:r>
      <w:r w:rsidRPr="00D7213D">
        <w:t>019</w:t>
      </w:r>
      <w:r>
        <w:t xml:space="preserve">, </w:t>
      </w:r>
      <w:proofErr w:type="spellStart"/>
      <w:r w:rsidRPr="00595F02">
        <w:t>Hamidi</w:t>
      </w:r>
      <w:proofErr w:type="spellEnd"/>
      <w:r w:rsidRPr="00595F02">
        <w:t xml:space="preserve"> </w:t>
      </w:r>
      <w:r w:rsidRPr="009800AB">
        <w:rPr>
          <w:i/>
        </w:rPr>
        <w:t>et al.,</w:t>
      </w:r>
      <w:r>
        <w:t xml:space="preserve"> </w:t>
      </w:r>
      <w:r w:rsidRPr="00595F02">
        <w:t>2015</w:t>
      </w:r>
      <w:r>
        <w:t xml:space="preserve">, </w:t>
      </w:r>
      <w:proofErr w:type="spellStart"/>
      <w:r w:rsidRPr="007C387C">
        <w:t>Sangill</w:t>
      </w:r>
      <w:proofErr w:type="spellEnd"/>
      <w:r w:rsidRPr="007C387C">
        <w:t xml:space="preserve"> </w:t>
      </w:r>
      <w:r w:rsidRPr="009800AB">
        <w:rPr>
          <w:i/>
        </w:rPr>
        <w:t>et al.,</w:t>
      </w:r>
      <w:r>
        <w:t xml:space="preserve"> </w:t>
      </w:r>
      <w:r w:rsidRPr="007C387C">
        <w:t>2019</w:t>
      </w:r>
      <w:r>
        <w:t>, Schwartz</w:t>
      </w:r>
      <w:r w:rsidRPr="007C387C">
        <w:t xml:space="preserve"> </w:t>
      </w:r>
      <w:r>
        <w:t>and</w:t>
      </w:r>
      <w:r w:rsidRPr="007C387C">
        <w:t xml:space="preserve"> Durkin, 2020</w:t>
      </w:r>
      <w:r>
        <w:t xml:space="preserve">, </w:t>
      </w:r>
      <w:r w:rsidRPr="001E0D30">
        <w:t xml:space="preserve">St John </w:t>
      </w:r>
      <w:r w:rsidRPr="009800AB">
        <w:rPr>
          <w:i/>
        </w:rPr>
        <w:t>et al.,</w:t>
      </w:r>
      <w:r>
        <w:t xml:space="preserve"> 2</w:t>
      </w:r>
      <w:r w:rsidRPr="001E0D30">
        <w:t>018</w:t>
      </w:r>
      <w:r>
        <w:t xml:space="preserve">, </w:t>
      </w:r>
      <w:r w:rsidRPr="00F63408">
        <w:t>Werner-</w:t>
      </w:r>
      <w:proofErr w:type="spellStart"/>
      <w:r w:rsidRPr="00F63408">
        <w:t>Seidler</w:t>
      </w:r>
      <w:proofErr w:type="spellEnd"/>
      <w:r w:rsidRPr="00F63408">
        <w:t xml:space="preserve"> </w:t>
      </w:r>
      <w:r w:rsidRPr="009800AB">
        <w:rPr>
          <w:i/>
        </w:rPr>
        <w:t>et al.,</w:t>
      </w:r>
      <w:r>
        <w:t xml:space="preserve"> </w:t>
      </w:r>
      <w:r w:rsidRPr="00F63408">
        <w:t>2019</w:t>
      </w:r>
    </w:p>
  </w:footnote>
  <w:footnote w:id="122">
    <w:p w14:paraId="392A4009" w14:textId="699C5AFD" w:rsidR="00452DFD" w:rsidRDefault="00452DFD">
      <w:pPr>
        <w:pStyle w:val="FootnoteText"/>
      </w:pPr>
      <w:r>
        <w:rPr>
          <w:rStyle w:val="FootnoteReference"/>
        </w:rPr>
        <w:footnoteRef/>
      </w:r>
      <w:r>
        <w:t xml:space="preserve"> </w:t>
      </w:r>
      <w:r w:rsidRPr="0060251B">
        <w:t xml:space="preserve">Burke </w:t>
      </w:r>
      <w:r w:rsidRPr="009800AB">
        <w:rPr>
          <w:i/>
        </w:rPr>
        <w:t>et al.,</w:t>
      </w:r>
      <w:r>
        <w:t xml:space="preserve"> 2</w:t>
      </w:r>
      <w:r w:rsidRPr="0060251B">
        <w:t>019</w:t>
      </w:r>
    </w:p>
  </w:footnote>
  <w:footnote w:id="123">
    <w:p w14:paraId="60710BE0" w14:textId="121D5CAB" w:rsidR="00452DFD" w:rsidRDefault="00452DFD">
      <w:pPr>
        <w:pStyle w:val="FootnoteText"/>
      </w:pPr>
      <w:r>
        <w:rPr>
          <w:rStyle w:val="FootnoteReference"/>
        </w:rPr>
        <w:footnoteRef/>
      </w:r>
      <w:r>
        <w:t xml:space="preserve"> </w:t>
      </w:r>
      <w:r w:rsidRPr="006F36E0">
        <w:t xml:space="preserve">McCartan </w:t>
      </w:r>
      <w:r w:rsidRPr="009800AB">
        <w:rPr>
          <w:i/>
        </w:rPr>
        <w:t>et al.,</w:t>
      </w:r>
      <w:r>
        <w:t xml:space="preserve"> 2</w:t>
      </w:r>
      <w:r w:rsidRPr="006F36E0">
        <w:t>019</w:t>
      </w:r>
      <w:r>
        <w:t xml:space="preserve">, </w:t>
      </w:r>
      <w:r w:rsidRPr="006F36E0">
        <w:t xml:space="preserve">Walsh </w:t>
      </w:r>
      <w:r w:rsidRPr="009800AB">
        <w:rPr>
          <w:i/>
        </w:rPr>
        <w:t>et al.,</w:t>
      </w:r>
      <w:r>
        <w:t xml:space="preserve"> </w:t>
      </w:r>
      <w:r w:rsidRPr="006F36E0">
        <w:t>2018</w:t>
      </w:r>
    </w:p>
  </w:footnote>
  <w:footnote w:id="124">
    <w:p w14:paraId="16CFDCA6" w14:textId="383E6E65" w:rsidR="00452DFD" w:rsidRDefault="00452DFD">
      <w:pPr>
        <w:pStyle w:val="FootnoteText"/>
      </w:pPr>
      <w:r>
        <w:rPr>
          <w:rStyle w:val="FootnoteReference"/>
        </w:rPr>
        <w:footnoteRef/>
      </w:r>
      <w:r>
        <w:t xml:space="preserve"> </w:t>
      </w:r>
      <w:proofErr w:type="spellStart"/>
      <w:r>
        <w:t>Varkonyi</w:t>
      </w:r>
      <w:proofErr w:type="spellEnd"/>
      <w:r>
        <w:t>-Sep, Cross and Howarth, 2017</w:t>
      </w:r>
    </w:p>
  </w:footnote>
  <w:footnote w:id="125">
    <w:p w14:paraId="4788C47D" w14:textId="7B8C7EC1" w:rsidR="00452DFD" w:rsidRDefault="00452DFD">
      <w:pPr>
        <w:pStyle w:val="FootnoteText"/>
      </w:pPr>
      <w:r>
        <w:rPr>
          <w:rStyle w:val="FootnoteReference"/>
        </w:rPr>
        <w:footnoteRef/>
      </w:r>
      <w:r>
        <w:t xml:space="preserve"> </w:t>
      </w:r>
      <w:r w:rsidRPr="006A0B9F">
        <w:t>Participant 2</w:t>
      </w:r>
      <w:r>
        <w:t xml:space="preserve"> in</w:t>
      </w:r>
      <w:r w:rsidRPr="006A0B9F">
        <w:t xml:space="preserve"> Paul</w:t>
      </w:r>
      <w:r>
        <w:t xml:space="preserve"> </w:t>
      </w:r>
      <w:r>
        <w:rPr>
          <w:i/>
        </w:rPr>
        <w:t xml:space="preserve">et al., </w:t>
      </w:r>
      <w:r w:rsidRPr="006A0B9F">
        <w:t>2017</w:t>
      </w:r>
      <w:r>
        <w:t>, p. 13</w:t>
      </w:r>
    </w:p>
  </w:footnote>
  <w:footnote w:id="126">
    <w:p w14:paraId="0B11996D" w14:textId="31228EB0" w:rsidR="00452DFD" w:rsidRDefault="00452DFD">
      <w:pPr>
        <w:pStyle w:val="FootnoteText"/>
      </w:pPr>
      <w:r>
        <w:rPr>
          <w:rStyle w:val="FootnoteReference"/>
        </w:rPr>
        <w:footnoteRef/>
      </w:r>
      <w:r>
        <w:t xml:space="preserve"> </w:t>
      </w:r>
      <w:proofErr w:type="spellStart"/>
      <w:r w:rsidRPr="00660F3F">
        <w:t>Bigby</w:t>
      </w:r>
      <w:proofErr w:type="spellEnd"/>
      <w:r w:rsidRPr="00660F3F">
        <w:t xml:space="preserve">, </w:t>
      </w:r>
      <w:proofErr w:type="spellStart"/>
      <w:r w:rsidRPr="00660F3F">
        <w:t>Frawley</w:t>
      </w:r>
      <w:proofErr w:type="spellEnd"/>
      <w:r w:rsidRPr="00660F3F">
        <w:t xml:space="preserve"> and </w:t>
      </w:r>
      <w:proofErr w:type="spellStart"/>
      <w:r w:rsidRPr="00660F3F">
        <w:t>Ramcharan</w:t>
      </w:r>
      <w:proofErr w:type="spellEnd"/>
      <w:r w:rsidRPr="00660F3F">
        <w:t>, 2014a</w:t>
      </w:r>
      <w:r w:rsidRPr="00B96C91">
        <w:t>,</w:t>
      </w:r>
      <w:r>
        <w:t xml:space="preserve"> </w:t>
      </w:r>
      <w:r w:rsidRPr="00BB52B1">
        <w:t xml:space="preserve">Burke </w:t>
      </w:r>
      <w:r w:rsidRPr="009800AB">
        <w:rPr>
          <w:i/>
        </w:rPr>
        <w:t>et al.,</w:t>
      </w:r>
      <w:r>
        <w:t xml:space="preserve"> 2</w:t>
      </w:r>
      <w:r w:rsidRPr="00BB52B1">
        <w:t>019</w:t>
      </w:r>
      <w:r>
        <w:t xml:space="preserve">, O’Brien </w:t>
      </w:r>
      <w:r w:rsidRPr="009800AB">
        <w:rPr>
          <w:i/>
        </w:rPr>
        <w:t>et al.,</w:t>
      </w:r>
      <w:r>
        <w:t xml:space="preserve"> 2014 cited in Di </w:t>
      </w:r>
      <w:proofErr w:type="spellStart"/>
      <w:r>
        <w:t>Lorito</w:t>
      </w:r>
      <w:proofErr w:type="spellEnd"/>
      <w:r>
        <w:t xml:space="preserve"> </w:t>
      </w:r>
      <w:r w:rsidRPr="009800AB">
        <w:rPr>
          <w:i/>
        </w:rPr>
        <w:t>et al.,</w:t>
      </w:r>
      <w:r>
        <w:t xml:space="preserve"> 2018, </w:t>
      </w:r>
      <w:r w:rsidRPr="00115FCA">
        <w:t>Herron</w:t>
      </w:r>
      <w:r>
        <w:t xml:space="preserve">, </w:t>
      </w:r>
      <w:r w:rsidRPr="00115FCA">
        <w:t xml:space="preserve">Priest </w:t>
      </w:r>
      <w:r>
        <w:t>and</w:t>
      </w:r>
      <w:r w:rsidRPr="00115FCA">
        <w:t xml:space="preserve"> Read</w:t>
      </w:r>
      <w:r>
        <w:t>,</w:t>
      </w:r>
      <w:r w:rsidRPr="00115FCA">
        <w:t xml:space="preserve"> </w:t>
      </w:r>
      <w:r>
        <w:t>2</w:t>
      </w:r>
      <w:r w:rsidRPr="00EB436D">
        <w:t>015</w:t>
      </w:r>
      <w:r>
        <w:t xml:space="preserve">, </w:t>
      </w:r>
      <w:proofErr w:type="spellStart"/>
      <w:r w:rsidRPr="007C387C">
        <w:t>Sangill</w:t>
      </w:r>
      <w:proofErr w:type="spellEnd"/>
      <w:r w:rsidRPr="007C387C">
        <w:t xml:space="preserve"> </w:t>
      </w:r>
      <w:r w:rsidRPr="009800AB">
        <w:rPr>
          <w:i/>
        </w:rPr>
        <w:t>et al.,</w:t>
      </w:r>
      <w:r>
        <w:t xml:space="preserve"> </w:t>
      </w:r>
      <w:r w:rsidRPr="007C387C">
        <w:t>2019</w:t>
      </w:r>
    </w:p>
  </w:footnote>
  <w:footnote w:id="127">
    <w:p w14:paraId="4C8607C9" w14:textId="4C460ABF" w:rsidR="00452DFD" w:rsidRDefault="00452DFD">
      <w:pPr>
        <w:pStyle w:val="FootnoteText"/>
      </w:pPr>
      <w:r>
        <w:rPr>
          <w:rStyle w:val="FootnoteReference"/>
        </w:rPr>
        <w:footnoteRef/>
      </w:r>
      <w:r>
        <w:t xml:space="preserve"> O’Brien, </w:t>
      </w:r>
      <w:proofErr w:type="spellStart"/>
      <w:r>
        <w:t>Fossey</w:t>
      </w:r>
      <w:proofErr w:type="spellEnd"/>
      <w:r>
        <w:t xml:space="preserve"> </w:t>
      </w:r>
      <w:r w:rsidRPr="00791F74">
        <w:t>and Palmer</w:t>
      </w:r>
      <w:r>
        <w:t>,</w:t>
      </w:r>
      <w:r w:rsidRPr="00EB436D">
        <w:t xml:space="preserve"> </w:t>
      </w:r>
      <w:r>
        <w:t xml:space="preserve">2021, </w:t>
      </w:r>
      <w:r w:rsidRPr="00F63408">
        <w:t>Smith-Merry</w:t>
      </w:r>
      <w:r>
        <w:t>, 2017,</w:t>
      </w:r>
      <w:r w:rsidRPr="00EB436D">
        <w:t xml:space="preserve"> </w:t>
      </w:r>
      <w:r>
        <w:t>Smith-Merry, no date</w:t>
      </w:r>
    </w:p>
  </w:footnote>
  <w:footnote w:id="128">
    <w:p w14:paraId="0382B793" w14:textId="70233E41" w:rsidR="00452DFD" w:rsidRDefault="00452DFD">
      <w:pPr>
        <w:pStyle w:val="FootnoteText"/>
      </w:pPr>
      <w:r>
        <w:rPr>
          <w:rStyle w:val="FootnoteReference"/>
        </w:rPr>
        <w:footnoteRef/>
      </w:r>
      <w:r>
        <w:t xml:space="preserve"> </w:t>
      </w:r>
      <w:r w:rsidRPr="001145DC">
        <w:t>VIPER</w:t>
      </w:r>
      <w:r>
        <w:t>,</w:t>
      </w:r>
      <w:r w:rsidRPr="001145DC">
        <w:t xml:space="preserve"> 2012b</w:t>
      </w:r>
      <w:r>
        <w:t xml:space="preserve"> cited</w:t>
      </w:r>
      <w:r w:rsidRPr="00434453">
        <w:t xml:space="preserve"> in Bailey </w:t>
      </w:r>
      <w:r w:rsidRPr="009800AB">
        <w:rPr>
          <w:i/>
        </w:rPr>
        <w:t>et al.,</w:t>
      </w:r>
      <w:r>
        <w:t xml:space="preserve"> 2</w:t>
      </w:r>
      <w:r w:rsidRPr="00434453">
        <w:t>015</w:t>
      </w:r>
      <w:r>
        <w:t xml:space="preserve">, </w:t>
      </w:r>
      <w:r w:rsidRPr="001145DC">
        <w:t xml:space="preserve">Noyes </w:t>
      </w:r>
      <w:r w:rsidRPr="009800AB">
        <w:rPr>
          <w:i/>
        </w:rPr>
        <w:t>et al.,</w:t>
      </w:r>
      <w:r>
        <w:t xml:space="preserve"> </w:t>
      </w:r>
      <w:r w:rsidRPr="001145DC">
        <w:t>2010</w:t>
      </w:r>
      <w:r>
        <w:t xml:space="preserve"> cited</w:t>
      </w:r>
      <w:r w:rsidRPr="00434453">
        <w:t xml:space="preserve"> in Bailey </w:t>
      </w:r>
      <w:r w:rsidRPr="009800AB">
        <w:rPr>
          <w:i/>
        </w:rPr>
        <w:t>et al.,</w:t>
      </w:r>
      <w:r>
        <w:t xml:space="preserve"> 2</w:t>
      </w:r>
      <w:r w:rsidRPr="00434453">
        <w:t>015</w:t>
      </w:r>
      <w:r>
        <w:t xml:space="preserve">, </w:t>
      </w:r>
      <w:r w:rsidRPr="00784262">
        <w:t>Burton, Ogden, and Cooper, 2019</w:t>
      </w:r>
    </w:p>
  </w:footnote>
  <w:footnote w:id="129">
    <w:p w14:paraId="6859B6AF" w14:textId="7578F265" w:rsidR="00452DFD" w:rsidRDefault="00452DFD">
      <w:pPr>
        <w:pStyle w:val="FootnoteText"/>
      </w:pPr>
      <w:r>
        <w:rPr>
          <w:rStyle w:val="FootnoteReference"/>
        </w:rPr>
        <w:footnoteRef/>
      </w:r>
      <w:r>
        <w:t xml:space="preserve"> </w:t>
      </w:r>
      <w:r w:rsidRPr="00784262">
        <w:t>Burton, Ogden, and Cooper, 2019</w:t>
      </w:r>
      <w:r>
        <w:t xml:space="preserve">, Savage </w:t>
      </w:r>
      <w:r w:rsidRPr="009800AB">
        <w:rPr>
          <w:i/>
        </w:rPr>
        <w:t>et al.,</w:t>
      </w:r>
      <w:r>
        <w:t xml:space="preserve"> 2006 cited in </w:t>
      </w:r>
      <w:proofErr w:type="spellStart"/>
      <w:r>
        <w:t>Varkonyi</w:t>
      </w:r>
      <w:proofErr w:type="spellEnd"/>
      <w:r>
        <w:t>-Sep, Cross and Howarth, 2017</w:t>
      </w:r>
    </w:p>
  </w:footnote>
  <w:footnote w:id="130">
    <w:p w14:paraId="03B58551" w14:textId="2D04FB8A" w:rsidR="00452DFD" w:rsidRDefault="00452DFD">
      <w:pPr>
        <w:pStyle w:val="FootnoteText"/>
      </w:pPr>
      <w:r>
        <w:rPr>
          <w:rStyle w:val="FootnoteReference"/>
        </w:rPr>
        <w:footnoteRef/>
      </w:r>
      <w:r>
        <w:t xml:space="preserve"> Beaumont </w:t>
      </w:r>
      <w:r w:rsidRPr="009800AB">
        <w:rPr>
          <w:i/>
        </w:rPr>
        <w:t>et al.,</w:t>
      </w:r>
      <w:r>
        <w:t xml:space="preserve"> 2019, </w:t>
      </w:r>
      <w:proofErr w:type="spellStart"/>
      <w:r>
        <w:t>Frankena</w:t>
      </w:r>
      <w:proofErr w:type="spellEnd"/>
      <w:r>
        <w:t xml:space="preserve"> </w:t>
      </w:r>
      <w:r w:rsidRPr="009800AB">
        <w:rPr>
          <w:i/>
        </w:rPr>
        <w:t>et al.,</w:t>
      </w:r>
      <w:r>
        <w:t xml:space="preserve"> 2015</w:t>
      </w:r>
    </w:p>
  </w:footnote>
  <w:footnote w:id="131">
    <w:p w14:paraId="1EBD8404" w14:textId="6179C663" w:rsidR="00452DFD" w:rsidRDefault="00452DFD">
      <w:pPr>
        <w:pStyle w:val="FootnoteText"/>
      </w:pPr>
      <w:r>
        <w:rPr>
          <w:rStyle w:val="FootnoteReference"/>
        </w:rPr>
        <w:footnoteRef/>
      </w:r>
      <w:r>
        <w:t xml:space="preserve"> Anderson </w:t>
      </w:r>
      <w:r w:rsidRPr="009800AB">
        <w:rPr>
          <w:i/>
        </w:rPr>
        <w:t>et al.,</w:t>
      </w:r>
      <w:r>
        <w:t xml:space="preserve"> 2019, Armstrong </w:t>
      </w:r>
      <w:r w:rsidRPr="009800AB">
        <w:rPr>
          <w:i/>
        </w:rPr>
        <w:t>et al.,</w:t>
      </w:r>
      <w:r>
        <w:t xml:space="preserve"> 2019, Burke </w:t>
      </w:r>
      <w:r w:rsidRPr="009800AB">
        <w:rPr>
          <w:i/>
        </w:rPr>
        <w:t>et al.,</w:t>
      </w:r>
      <w:r>
        <w:t xml:space="preserve"> 2019, </w:t>
      </w:r>
      <w:proofErr w:type="spellStart"/>
      <w:r>
        <w:t>Gratton</w:t>
      </w:r>
      <w:proofErr w:type="spellEnd"/>
      <w:r>
        <w:t xml:space="preserve"> </w:t>
      </w:r>
      <w:r w:rsidRPr="009800AB">
        <w:rPr>
          <w:i/>
        </w:rPr>
        <w:t>et al.,</w:t>
      </w:r>
      <w:r>
        <w:t xml:space="preserve"> 2020,</w:t>
      </w:r>
      <w:r w:rsidRPr="007D4D69">
        <w:t xml:space="preserve"> </w:t>
      </w:r>
      <w:r w:rsidRPr="00F63408">
        <w:t xml:space="preserve">Vaughn </w:t>
      </w:r>
      <w:r w:rsidRPr="009800AB">
        <w:rPr>
          <w:i/>
        </w:rPr>
        <w:t>et al.,</w:t>
      </w:r>
      <w:r>
        <w:t xml:space="preserve"> </w:t>
      </w:r>
      <w:r w:rsidRPr="00F63408">
        <w:t>2019</w:t>
      </w:r>
    </w:p>
  </w:footnote>
  <w:footnote w:id="132">
    <w:p w14:paraId="6711E08B" w14:textId="0310D4BC" w:rsidR="00452DFD" w:rsidRDefault="00452DFD">
      <w:pPr>
        <w:pStyle w:val="FootnoteText"/>
      </w:pPr>
      <w:r>
        <w:rPr>
          <w:rStyle w:val="FootnoteReference"/>
        </w:rPr>
        <w:footnoteRef/>
      </w:r>
      <w:r>
        <w:t xml:space="preserve"> </w:t>
      </w:r>
      <w:r>
        <w:rPr>
          <w:rFonts w:eastAsia="Lato-Regular"/>
          <w:lang w:eastAsia="en-IE"/>
        </w:rPr>
        <w:t>Schwartz and Durkin, 2020, p. 120</w:t>
      </w:r>
    </w:p>
  </w:footnote>
  <w:footnote w:id="133">
    <w:p w14:paraId="2D020453" w14:textId="7E82FC52" w:rsidR="00452DFD" w:rsidRDefault="00452DFD">
      <w:pPr>
        <w:pStyle w:val="FootnoteText"/>
      </w:pPr>
      <w:r>
        <w:rPr>
          <w:rStyle w:val="FootnoteReference"/>
        </w:rPr>
        <w:footnoteRef/>
      </w:r>
      <w:r>
        <w:t xml:space="preserve"> Anderson </w:t>
      </w:r>
      <w:r w:rsidRPr="009800AB">
        <w:rPr>
          <w:i/>
        </w:rPr>
        <w:t>et al.,</w:t>
      </w:r>
      <w:r>
        <w:t xml:space="preserve"> 2019, </w:t>
      </w:r>
      <w:r w:rsidRPr="00A475BF">
        <w:t>Beaumont</w:t>
      </w:r>
      <w:r>
        <w:t>,</w:t>
      </w:r>
      <w:r w:rsidRPr="00A475BF">
        <w:t xml:space="preserve"> 2019</w:t>
      </w:r>
      <w:r>
        <w:t>,</w:t>
      </w:r>
      <w:r w:rsidRPr="00A475BF">
        <w:t xml:space="preserve"> </w:t>
      </w:r>
      <w:r>
        <w:t xml:space="preserve">Butler </w:t>
      </w:r>
      <w:r w:rsidRPr="009800AB">
        <w:rPr>
          <w:i/>
        </w:rPr>
        <w:t>et al.,</w:t>
      </w:r>
      <w:r>
        <w:t xml:space="preserve"> 2019 in Di </w:t>
      </w:r>
      <w:proofErr w:type="spellStart"/>
      <w:r>
        <w:t>Lorito</w:t>
      </w:r>
      <w:proofErr w:type="spellEnd"/>
      <w:r>
        <w:t xml:space="preserve"> </w:t>
      </w:r>
      <w:r w:rsidRPr="009800AB">
        <w:rPr>
          <w:i/>
        </w:rPr>
        <w:t>et al.,</w:t>
      </w:r>
      <w:r>
        <w:t xml:space="preserve"> 2018,</w:t>
      </w:r>
      <w:r w:rsidRPr="00A475BF">
        <w:t xml:space="preserve"> Joss </w:t>
      </w:r>
      <w:r w:rsidRPr="009800AB">
        <w:rPr>
          <w:i/>
        </w:rPr>
        <w:t>et al.,</w:t>
      </w:r>
      <w:r>
        <w:t xml:space="preserve"> </w:t>
      </w:r>
      <w:r w:rsidRPr="00A475BF">
        <w:t>2016</w:t>
      </w:r>
      <w:r>
        <w:t>,</w:t>
      </w:r>
      <w:r w:rsidRPr="00A475BF">
        <w:t xml:space="preserve"> </w:t>
      </w:r>
      <w:r>
        <w:t>K</w:t>
      </w:r>
      <w:r w:rsidRPr="00A475BF">
        <w:t xml:space="preserve">ing </w:t>
      </w:r>
      <w:r w:rsidRPr="009800AB">
        <w:rPr>
          <w:i/>
        </w:rPr>
        <w:t>et al.,</w:t>
      </w:r>
      <w:r>
        <w:t xml:space="preserve"> </w:t>
      </w:r>
      <w:r w:rsidRPr="00A475BF">
        <w:t>2019</w:t>
      </w:r>
      <w:r>
        <w:t>,</w:t>
      </w:r>
      <w:r w:rsidRPr="004870FF">
        <w:rPr>
          <w:rFonts w:asciiTheme="minorHAnsi" w:eastAsiaTheme="minorHAnsi" w:hAnsiTheme="minorHAnsi" w:cstheme="minorBidi"/>
          <w:szCs w:val="22"/>
        </w:rPr>
        <w:t xml:space="preserve"> </w:t>
      </w:r>
      <w:r>
        <w:t xml:space="preserve">O’Brien, </w:t>
      </w:r>
      <w:proofErr w:type="spellStart"/>
      <w:r>
        <w:t>Fossey</w:t>
      </w:r>
      <w:proofErr w:type="spellEnd"/>
      <w:r>
        <w:t xml:space="preserve"> and Palmer, 2021, </w:t>
      </w:r>
      <w:r w:rsidRPr="004870FF">
        <w:t>Smith-Merry</w:t>
      </w:r>
      <w:r>
        <w:t>, 2017</w:t>
      </w:r>
    </w:p>
  </w:footnote>
  <w:footnote w:id="134">
    <w:p w14:paraId="44241E15" w14:textId="545A0A56" w:rsidR="00452DFD" w:rsidRDefault="00452DFD">
      <w:pPr>
        <w:pStyle w:val="FootnoteText"/>
      </w:pPr>
      <w:r>
        <w:rPr>
          <w:rStyle w:val="FootnoteReference"/>
        </w:rPr>
        <w:footnoteRef/>
      </w:r>
      <w:r>
        <w:t xml:space="preserve"> </w:t>
      </w:r>
      <w:proofErr w:type="spellStart"/>
      <w:r w:rsidRPr="00D7213D">
        <w:t>Aldersey</w:t>
      </w:r>
      <w:proofErr w:type="spellEnd"/>
      <w:r w:rsidRPr="00D7213D">
        <w:t xml:space="preserve"> </w:t>
      </w:r>
      <w:r w:rsidRPr="009800AB">
        <w:rPr>
          <w:i/>
        </w:rPr>
        <w:t>et al.,</w:t>
      </w:r>
      <w:r>
        <w:t xml:space="preserve"> </w:t>
      </w:r>
      <w:r w:rsidRPr="00D7213D">
        <w:t>2018</w:t>
      </w:r>
    </w:p>
  </w:footnote>
  <w:footnote w:id="135">
    <w:p w14:paraId="128F2EF5" w14:textId="381F6608" w:rsidR="00452DFD" w:rsidRDefault="00452DFD">
      <w:pPr>
        <w:pStyle w:val="FootnoteText"/>
      </w:pPr>
      <w:r>
        <w:rPr>
          <w:rStyle w:val="FootnoteReference"/>
        </w:rPr>
        <w:footnoteRef/>
      </w:r>
      <w:r>
        <w:t xml:space="preserve"> </w:t>
      </w:r>
      <w:proofErr w:type="spellStart"/>
      <w:r w:rsidRPr="0047733C">
        <w:t>Bigby</w:t>
      </w:r>
      <w:proofErr w:type="spellEnd"/>
      <w:r w:rsidRPr="0047733C">
        <w:t xml:space="preserve">, </w:t>
      </w:r>
      <w:proofErr w:type="spellStart"/>
      <w:r w:rsidRPr="0047733C">
        <w:t>Frawley</w:t>
      </w:r>
      <w:proofErr w:type="spellEnd"/>
      <w:r w:rsidRPr="0047733C">
        <w:t xml:space="preserve"> and </w:t>
      </w:r>
      <w:proofErr w:type="spellStart"/>
      <w:r w:rsidRPr="0047733C">
        <w:t>Ramcharan</w:t>
      </w:r>
      <w:proofErr w:type="spellEnd"/>
      <w:r w:rsidRPr="0047733C">
        <w:t>, 2014a</w:t>
      </w:r>
      <w:r>
        <w:t xml:space="preserve">, Di </w:t>
      </w:r>
      <w:proofErr w:type="spellStart"/>
      <w:r>
        <w:t>Lorito</w:t>
      </w:r>
      <w:proofErr w:type="spellEnd"/>
      <w:r>
        <w:t xml:space="preserve"> </w:t>
      </w:r>
      <w:r w:rsidRPr="009800AB">
        <w:rPr>
          <w:i/>
        </w:rPr>
        <w:t>et al.,</w:t>
      </w:r>
      <w:r>
        <w:t xml:space="preserve"> 2018,</w:t>
      </w:r>
      <w:r w:rsidRPr="00781A2D">
        <w:t xml:space="preserve"> </w:t>
      </w:r>
      <w:proofErr w:type="spellStart"/>
      <w:r>
        <w:t>Strnadová</w:t>
      </w:r>
      <w:proofErr w:type="spellEnd"/>
      <w:r>
        <w:t xml:space="preserve"> </w:t>
      </w:r>
      <w:r w:rsidRPr="009800AB">
        <w:rPr>
          <w:i/>
        </w:rPr>
        <w:t>et al.,</w:t>
      </w:r>
      <w:r>
        <w:t xml:space="preserve"> 2014 cited in Di </w:t>
      </w:r>
      <w:proofErr w:type="spellStart"/>
      <w:r>
        <w:t>Lorito</w:t>
      </w:r>
      <w:proofErr w:type="spellEnd"/>
      <w:r>
        <w:t xml:space="preserve"> </w:t>
      </w:r>
      <w:r w:rsidRPr="009800AB">
        <w:rPr>
          <w:i/>
        </w:rPr>
        <w:t>et al.,</w:t>
      </w:r>
      <w:r>
        <w:t xml:space="preserve"> 2018, </w:t>
      </w:r>
      <w:r w:rsidRPr="00115FCA">
        <w:t>Herron, Priest and Read, 2015</w:t>
      </w:r>
      <w:r>
        <w:t xml:space="preserve">, </w:t>
      </w:r>
      <w:proofErr w:type="spellStart"/>
      <w:r>
        <w:t>Walmsley</w:t>
      </w:r>
      <w:proofErr w:type="spellEnd"/>
      <w:r>
        <w:t xml:space="preserve">, </w:t>
      </w:r>
      <w:proofErr w:type="spellStart"/>
      <w:r>
        <w:t>Strnadová</w:t>
      </w:r>
      <w:proofErr w:type="spellEnd"/>
      <w:r>
        <w:t xml:space="preserve"> and Johnson, 2018</w:t>
      </w:r>
    </w:p>
  </w:footnote>
  <w:footnote w:id="136">
    <w:p w14:paraId="4AD0A36B" w14:textId="5FF4953A" w:rsidR="00452DFD" w:rsidRDefault="00452DFD">
      <w:pPr>
        <w:pStyle w:val="FootnoteText"/>
      </w:pPr>
      <w:r>
        <w:rPr>
          <w:rStyle w:val="FootnoteReference"/>
        </w:rPr>
        <w:footnoteRef/>
      </w:r>
      <w:r>
        <w:t xml:space="preserve"> St. John </w:t>
      </w:r>
      <w:r w:rsidRPr="009800AB">
        <w:rPr>
          <w:i/>
        </w:rPr>
        <w:t>et al.,</w:t>
      </w:r>
      <w:r>
        <w:t xml:space="preserve"> 2018</w:t>
      </w:r>
    </w:p>
  </w:footnote>
  <w:footnote w:id="137">
    <w:p w14:paraId="4CB369D6" w14:textId="700D15E7" w:rsidR="00452DFD" w:rsidRDefault="00452DFD">
      <w:pPr>
        <w:pStyle w:val="FootnoteText"/>
      </w:pPr>
      <w:r>
        <w:rPr>
          <w:rStyle w:val="FootnoteReference"/>
        </w:rPr>
        <w:footnoteRef/>
      </w:r>
      <w:r>
        <w:t xml:space="preserve"> Cooper, </w:t>
      </w:r>
      <w:proofErr w:type="spellStart"/>
      <w:r>
        <w:t>Gillmore</w:t>
      </w:r>
      <w:proofErr w:type="spellEnd"/>
      <w:r w:rsidRPr="00023608">
        <w:t xml:space="preserve"> and Hogg</w:t>
      </w:r>
      <w:r>
        <w:t>, 2016, D</w:t>
      </w:r>
      <w:r w:rsidRPr="003178BC">
        <w:t>isability Wales, 201</w:t>
      </w:r>
      <w:r>
        <w:t xml:space="preserve">9, </w:t>
      </w:r>
      <w:proofErr w:type="spellStart"/>
      <w:r>
        <w:t>Frankena</w:t>
      </w:r>
      <w:proofErr w:type="spellEnd"/>
      <w:r>
        <w:t xml:space="preserve"> </w:t>
      </w:r>
      <w:r w:rsidRPr="009800AB">
        <w:rPr>
          <w:i/>
        </w:rPr>
        <w:t>et al.,</w:t>
      </w:r>
      <w:r>
        <w:t xml:space="preserve"> 2019a, </w:t>
      </w:r>
      <w:proofErr w:type="spellStart"/>
      <w:r w:rsidRPr="0060251B">
        <w:t>Frankena</w:t>
      </w:r>
      <w:proofErr w:type="spellEnd"/>
      <w:r w:rsidRPr="0060251B">
        <w:t xml:space="preserve"> </w:t>
      </w:r>
      <w:r w:rsidRPr="009800AB">
        <w:rPr>
          <w:i/>
        </w:rPr>
        <w:t>et al.,</w:t>
      </w:r>
      <w:r>
        <w:t xml:space="preserve"> 2</w:t>
      </w:r>
      <w:r w:rsidRPr="0060251B">
        <w:t>019</w:t>
      </w:r>
      <w:r>
        <w:t xml:space="preserve">c, </w:t>
      </w:r>
      <w:proofErr w:type="spellStart"/>
      <w:r w:rsidRPr="00F63408">
        <w:t>Vlot</w:t>
      </w:r>
      <w:proofErr w:type="spellEnd"/>
      <w:r w:rsidRPr="00F63408">
        <w:t xml:space="preserve">-van </w:t>
      </w:r>
      <w:proofErr w:type="spellStart"/>
      <w:r w:rsidRPr="00F63408">
        <w:t>Anrooij</w:t>
      </w:r>
      <w:proofErr w:type="spellEnd"/>
      <w:r w:rsidRPr="00F63408">
        <w:t xml:space="preserve"> </w:t>
      </w:r>
      <w:r w:rsidRPr="009800AB">
        <w:rPr>
          <w:i/>
        </w:rPr>
        <w:t>et al.,</w:t>
      </w:r>
      <w:r>
        <w:t xml:space="preserve"> </w:t>
      </w:r>
      <w:r w:rsidRPr="00F63408">
        <w:t>2020</w:t>
      </w:r>
      <w:r>
        <w:t xml:space="preserve">, </w:t>
      </w:r>
      <w:proofErr w:type="spellStart"/>
      <w:r>
        <w:t>Walmsley</w:t>
      </w:r>
      <w:proofErr w:type="spellEnd"/>
      <w:r>
        <w:t xml:space="preserve">, </w:t>
      </w:r>
      <w:proofErr w:type="spellStart"/>
      <w:r>
        <w:t>Strnadová</w:t>
      </w:r>
      <w:proofErr w:type="spellEnd"/>
      <w:r>
        <w:t xml:space="preserve"> and Johnson, 2018</w:t>
      </w:r>
    </w:p>
  </w:footnote>
  <w:footnote w:id="138">
    <w:p w14:paraId="2651064A" w14:textId="4A59EEBA" w:rsidR="00452DFD" w:rsidRDefault="00452DFD">
      <w:pPr>
        <w:pStyle w:val="FootnoteText"/>
      </w:pPr>
      <w:r>
        <w:rPr>
          <w:rStyle w:val="FootnoteReference"/>
        </w:rPr>
        <w:footnoteRef/>
      </w:r>
      <w:r>
        <w:t xml:space="preserve"> </w:t>
      </w:r>
      <w:proofErr w:type="spellStart"/>
      <w:r w:rsidRPr="00616CB6">
        <w:t>Aldersey</w:t>
      </w:r>
      <w:proofErr w:type="spellEnd"/>
      <w:r w:rsidRPr="00616CB6">
        <w:t xml:space="preserve"> </w:t>
      </w:r>
      <w:r w:rsidRPr="009800AB">
        <w:rPr>
          <w:i/>
        </w:rPr>
        <w:t>et al.,</w:t>
      </w:r>
      <w:r>
        <w:t xml:space="preserve"> </w:t>
      </w:r>
      <w:r w:rsidRPr="00616CB6">
        <w:t>2018</w:t>
      </w:r>
      <w:r>
        <w:t xml:space="preserve">, Beaumont </w:t>
      </w:r>
      <w:r w:rsidRPr="009800AB">
        <w:rPr>
          <w:i/>
        </w:rPr>
        <w:t>et al.,</w:t>
      </w:r>
      <w:r>
        <w:t xml:space="preserve"> 2019, Burke </w:t>
      </w:r>
      <w:r w:rsidRPr="009800AB">
        <w:rPr>
          <w:i/>
        </w:rPr>
        <w:t>et al.,</w:t>
      </w:r>
      <w:r>
        <w:t xml:space="preserve"> 2019, </w:t>
      </w:r>
      <w:r w:rsidRPr="00616CB6">
        <w:t xml:space="preserve">O’Brien </w:t>
      </w:r>
      <w:r w:rsidRPr="009800AB">
        <w:rPr>
          <w:i/>
        </w:rPr>
        <w:t>et al.,</w:t>
      </w:r>
      <w:r>
        <w:t xml:space="preserve"> </w:t>
      </w:r>
      <w:r w:rsidRPr="00616CB6">
        <w:t>2014</w:t>
      </w:r>
      <w:r>
        <w:t xml:space="preserve"> cited</w:t>
      </w:r>
      <w:r w:rsidRPr="00616CB6">
        <w:t xml:space="preserve"> in </w:t>
      </w:r>
      <w:r>
        <w:t xml:space="preserve">Di </w:t>
      </w:r>
      <w:proofErr w:type="spellStart"/>
      <w:r>
        <w:t>Lorito</w:t>
      </w:r>
      <w:proofErr w:type="spellEnd"/>
      <w:r w:rsidRPr="00616CB6">
        <w:t xml:space="preserve"> </w:t>
      </w:r>
      <w:r w:rsidRPr="009800AB">
        <w:rPr>
          <w:i/>
        </w:rPr>
        <w:t>et al.,</w:t>
      </w:r>
      <w:r>
        <w:t xml:space="preserve"> </w:t>
      </w:r>
      <w:r w:rsidRPr="00616CB6">
        <w:t>201</w:t>
      </w:r>
      <w:r>
        <w:t xml:space="preserve">8, </w:t>
      </w:r>
      <w:r w:rsidRPr="00616CB6">
        <w:t xml:space="preserve">Faulkner </w:t>
      </w:r>
      <w:r w:rsidRPr="009800AB">
        <w:rPr>
          <w:i/>
        </w:rPr>
        <w:t>et al.,</w:t>
      </w:r>
      <w:r>
        <w:t xml:space="preserve"> 2</w:t>
      </w:r>
      <w:r w:rsidRPr="00616CB6">
        <w:t>019</w:t>
      </w:r>
      <w:r>
        <w:t xml:space="preserve">, </w:t>
      </w:r>
      <w:r w:rsidRPr="00115FCA">
        <w:t>Herron, Priest and Read, 2015</w:t>
      </w:r>
      <w:r>
        <w:t xml:space="preserve">, </w:t>
      </w:r>
      <w:r w:rsidRPr="00616CB6">
        <w:t xml:space="preserve">King </w:t>
      </w:r>
      <w:r w:rsidRPr="009800AB">
        <w:rPr>
          <w:i/>
        </w:rPr>
        <w:t>et al.,</w:t>
      </w:r>
      <w:r>
        <w:t xml:space="preserve"> </w:t>
      </w:r>
      <w:r w:rsidRPr="00616CB6">
        <w:t>2019</w:t>
      </w:r>
      <w:r>
        <w:t xml:space="preserve">, St John </w:t>
      </w:r>
      <w:r w:rsidRPr="009800AB">
        <w:rPr>
          <w:i/>
        </w:rPr>
        <w:t>et al.,</w:t>
      </w:r>
      <w:r>
        <w:t xml:space="preserve"> 2018, Vaughn </w:t>
      </w:r>
      <w:r w:rsidRPr="009800AB">
        <w:rPr>
          <w:i/>
        </w:rPr>
        <w:t>et al.,</w:t>
      </w:r>
      <w:r>
        <w:t xml:space="preserve"> 2019</w:t>
      </w:r>
    </w:p>
  </w:footnote>
  <w:footnote w:id="139">
    <w:p w14:paraId="39812F6B" w14:textId="0A596472" w:rsidR="00452DFD" w:rsidRDefault="00452DFD">
      <w:pPr>
        <w:pStyle w:val="FootnoteText"/>
      </w:pPr>
      <w:r>
        <w:rPr>
          <w:rStyle w:val="FootnoteReference"/>
        </w:rPr>
        <w:footnoteRef/>
      </w:r>
      <w:r>
        <w:t xml:space="preserve"> </w:t>
      </w:r>
      <w:proofErr w:type="spellStart"/>
      <w:r>
        <w:t>Barod</w:t>
      </w:r>
      <w:proofErr w:type="spellEnd"/>
      <w:r>
        <w:t xml:space="preserve"> Community Interest Company, 2019, Chapman </w:t>
      </w:r>
      <w:r w:rsidRPr="009800AB">
        <w:rPr>
          <w:i/>
        </w:rPr>
        <w:t>et al.,</w:t>
      </w:r>
      <w:r>
        <w:t xml:space="preserve"> 2014 cited in Di </w:t>
      </w:r>
      <w:proofErr w:type="spellStart"/>
      <w:r>
        <w:t>Lorito</w:t>
      </w:r>
      <w:proofErr w:type="spellEnd"/>
      <w:r>
        <w:t xml:space="preserve"> </w:t>
      </w:r>
      <w:r w:rsidRPr="009800AB">
        <w:rPr>
          <w:i/>
        </w:rPr>
        <w:t>et al.,</w:t>
      </w:r>
      <w:r>
        <w:t xml:space="preserve"> 2018,</w:t>
      </w:r>
      <w:r w:rsidRPr="00E70E16">
        <w:t xml:space="preserve"> </w:t>
      </w:r>
      <w:r w:rsidRPr="007C387C">
        <w:t xml:space="preserve">Heffron </w:t>
      </w:r>
      <w:r w:rsidRPr="009800AB">
        <w:rPr>
          <w:i/>
        </w:rPr>
        <w:t>et al.,</w:t>
      </w:r>
      <w:r>
        <w:t xml:space="preserve"> </w:t>
      </w:r>
      <w:r w:rsidRPr="007C387C">
        <w:t>2018</w:t>
      </w:r>
      <w:r>
        <w:t xml:space="preserve">, Jennings </w:t>
      </w:r>
      <w:r w:rsidRPr="009800AB">
        <w:rPr>
          <w:i/>
        </w:rPr>
        <w:t>et al.,</w:t>
      </w:r>
      <w:r>
        <w:t xml:space="preserve"> 2018, Stevenson and Taylor, 2019</w:t>
      </w:r>
    </w:p>
  </w:footnote>
  <w:footnote w:id="140">
    <w:p w14:paraId="34195C2A" w14:textId="1AA0AA40" w:rsidR="00452DFD" w:rsidRDefault="00452DFD">
      <w:pPr>
        <w:pStyle w:val="FootnoteText"/>
      </w:pPr>
      <w:r>
        <w:rPr>
          <w:rStyle w:val="FootnoteReference"/>
        </w:rPr>
        <w:footnoteRef/>
      </w:r>
      <w:r>
        <w:t xml:space="preserve"> </w:t>
      </w:r>
      <w:proofErr w:type="spellStart"/>
      <w:r w:rsidRPr="00D7213D">
        <w:t>Beighton</w:t>
      </w:r>
      <w:proofErr w:type="spellEnd"/>
      <w:r w:rsidRPr="00D7213D">
        <w:t xml:space="preserve"> </w:t>
      </w:r>
      <w:r w:rsidRPr="009800AB">
        <w:rPr>
          <w:i/>
        </w:rPr>
        <w:t>et al.,</w:t>
      </w:r>
      <w:r>
        <w:t xml:space="preserve"> 2</w:t>
      </w:r>
      <w:r w:rsidRPr="00D7213D">
        <w:t>019</w:t>
      </w:r>
      <w:r>
        <w:t xml:space="preserve">, </w:t>
      </w:r>
      <w:proofErr w:type="spellStart"/>
      <w:r w:rsidRPr="007C387C">
        <w:t>Puyalto</w:t>
      </w:r>
      <w:proofErr w:type="spellEnd"/>
      <w:r w:rsidRPr="007C387C">
        <w:t xml:space="preserve"> </w:t>
      </w:r>
      <w:r w:rsidRPr="009800AB">
        <w:rPr>
          <w:i/>
        </w:rPr>
        <w:t>et al.,</w:t>
      </w:r>
      <w:r>
        <w:t xml:space="preserve"> </w:t>
      </w:r>
      <w:r w:rsidRPr="007C387C">
        <w:t>2016</w:t>
      </w:r>
      <w:r>
        <w:t xml:space="preserve">, </w:t>
      </w:r>
      <w:proofErr w:type="spellStart"/>
      <w:r w:rsidRPr="007C387C">
        <w:t>Sangill</w:t>
      </w:r>
      <w:proofErr w:type="spellEnd"/>
      <w:r w:rsidRPr="007C387C">
        <w:t xml:space="preserve"> </w:t>
      </w:r>
      <w:r w:rsidRPr="009800AB">
        <w:rPr>
          <w:i/>
        </w:rPr>
        <w:t>et al.,</w:t>
      </w:r>
      <w:r>
        <w:t xml:space="preserve"> </w:t>
      </w:r>
      <w:r w:rsidRPr="007C387C">
        <w:t>2019</w:t>
      </w:r>
      <w:r>
        <w:t>,</w:t>
      </w:r>
      <w:r w:rsidRPr="00E75231">
        <w:t xml:space="preserve"> </w:t>
      </w:r>
      <w:r>
        <w:t xml:space="preserve">Smith-Merry, 2017, </w:t>
      </w:r>
      <w:proofErr w:type="spellStart"/>
      <w:r w:rsidRPr="00F63408">
        <w:t>Vlot</w:t>
      </w:r>
      <w:proofErr w:type="spellEnd"/>
      <w:r w:rsidRPr="00F63408">
        <w:t xml:space="preserve">-van </w:t>
      </w:r>
      <w:proofErr w:type="spellStart"/>
      <w:r w:rsidRPr="00F63408">
        <w:t>Anrooij</w:t>
      </w:r>
      <w:proofErr w:type="spellEnd"/>
      <w:r w:rsidRPr="00F63408">
        <w:t xml:space="preserve"> </w:t>
      </w:r>
      <w:r w:rsidRPr="009800AB">
        <w:rPr>
          <w:i/>
        </w:rPr>
        <w:t>et al.,</w:t>
      </w:r>
      <w:r>
        <w:t xml:space="preserve"> </w:t>
      </w:r>
      <w:r w:rsidRPr="00F63408">
        <w:t>2020</w:t>
      </w:r>
      <w:r>
        <w:t>, Williams, Ponting and Ford, 2015</w:t>
      </w:r>
    </w:p>
  </w:footnote>
  <w:footnote w:id="141">
    <w:p w14:paraId="5F6871BA" w14:textId="7DF92D81" w:rsidR="00452DFD" w:rsidRDefault="00452DFD">
      <w:pPr>
        <w:pStyle w:val="FootnoteText"/>
      </w:pPr>
      <w:r>
        <w:rPr>
          <w:rStyle w:val="FootnoteReference"/>
        </w:rPr>
        <w:footnoteRef/>
      </w:r>
      <w:r>
        <w:t xml:space="preserve"> Rose, 2004 cited in Ashcroft </w:t>
      </w:r>
      <w:r w:rsidRPr="009800AB">
        <w:rPr>
          <w:i/>
        </w:rPr>
        <w:t>et al.,</w:t>
      </w:r>
      <w:r>
        <w:t xml:space="preserve"> 2016, Rose </w:t>
      </w:r>
      <w:r w:rsidRPr="009800AB">
        <w:rPr>
          <w:i/>
        </w:rPr>
        <w:t>et al.,</w:t>
      </w:r>
      <w:r>
        <w:t xml:space="preserve"> 2008 cited in Ashcroft </w:t>
      </w:r>
      <w:r w:rsidRPr="009800AB">
        <w:rPr>
          <w:i/>
        </w:rPr>
        <w:t>et al.,</w:t>
      </w:r>
      <w:r>
        <w:t xml:space="preserve"> 2016, </w:t>
      </w:r>
      <w:proofErr w:type="spellStart"/>
      <w:r w:rsidRPr="00D7213D">
        <w:t>Beighton</w:t>
      </w:r>
      <w:proofErr w:type="spellEnd"/>
      <w:r w:rsidRPr="00D7213D">
        <w:t xml:space="preserve"> </w:t>
      </w:r>
      <w:r w:rsidRPr="009800AB">
        <w:rPr>
          <w:i/>
        </w:rPr>
        <w:t>et al.,</w:t>
      </w:r>
      <w:r>
        <w:t xml:space="preserve"> 2</w:t>
      </w:r>
      <w:r w:rsidRPr="00D7213D">
        <w:t>019</w:t>
      </w:r>
      <w:r>
        <w:t>, Smith-Merry, 2017,</w:t>
      </w:r>
      <w:r w:rsidRPr="00C52C84">
        <w:t xml:space="preserve"> </w:t>
      </w:r>
      <w:r w:rsidRPr="00F63408">
        <w:t>Werner-</w:t>
      </w:r>
      <w:proofErr w:type="spellStart"/>
      <w:r w:rsidRPr="00F63408">
        <w:t>Seidler</w:t>
      </w:r>
      <w:proofErr w:type="spellEnd"/>
      <w:r w:rsidRPr="00F63408">
        <w:t xml:space="preserve"> </w:t>
      </w:r>
      <w:r w:rsidRPr="009800AB">
        <w:rPr>
          <w:i/>
        </w:rPr>
        <w:t>et al.,</w:t>
      </w:r>
      <w:r>
        <w:t xml:space="preserve"> </w:t>
      </w:r>
      <w:r w:rsidRPr="00F63408">
        <w:t>2019</w:t>
      </w:r>
    </w:p>
  </w:footnote>
  <w:footnote w:id="142">
    <w:p w14:paraId="12E341BB" w14:textId="7DA86216" w:rsidR="00452DFD" w:rsidRDefault="00452DFD">
      <w:pPr>
        <w:pStyle w:val="FootnoteText"/>
      </w:pPr>
      <w:r>
        <w:rPr>
          <w:rStyle w:val="FootnoteReference"/>
        </w:rPr>
        <w:footnoteRef/>
      </w:r>
      <w:r>
        <w:t xml:space="preserve"> </w:t>
      </w:r>
      <w:proofErr w:type="spellStart"/>
      <w:r w:rsidRPr="004B1F5D">
        <w:t>Beighton</w:t>
      </w:r>
      <w:proofErr w:type="spellEnd"/>
      <w:r w:rsidRPr="004B1F5D">
        <w:t xml:space="preserve"> </w:t>
      </w:r>
      <w:r w:rsidRPr="009800AB">
        <w:rPr>
          <w:i/>
        </w:rPr>
        <w:t>et al.,</w:t>
      </w:r>
      <w:r>
        <w:t xml:space="preserve"> 2</w:t>
      </w:r>
      <w:r w:rsidRPr="004B1F5D">
        <w:t>019</w:t>
      </w:r>
      <w:r>
        <w:t xml:space="preserve">, </w:t>
      </w:r>
      <w:r w:rsidRPr="00A87659">
        <w:t xml:space="preserve">Cameron </w:t>
      </w:r>
      <w:r w:rsidRPr="009800AB">
        <w:rPr>
          <w:i/>
        </w:rPr>
        <w:t>et al.,</w:t>
      </w:r>
      <w:r>
        <w:t xml:space="preserve"> 2019, Faulkner </w:t>
      </w:r>
      <w:r w:rsidRPr="009800AB">
        <w:rPr>
          <w:i/>
        </w:rPr>
        <w:t>et al.,</w:t>
      </w:r>
      <w:r>
        <w:t xml:space="preserve"> 2019, </w:t>
      </w:r>
      <w:proofErr w:type="spellStart"/>
      <w:r w:rsidRPr="0060251B">
        <w:t>Frankena</w:t>
      </w:r>
      <w:proofErr w:type="spellEnd"/>
      <w:r w:rsidRPr="0060251B">
        <w:t xml:space="preserve"> </w:t>
      </w:r>
      <w:r w:rsidRPr="009800AB">
        <w:rPr>
          <w:i/>
        </w:rPr>
        <w:t>et al.,</w:t>
      </w:r>
      <w:r>
        <w:t xml:space="preserve"> 2</w:t>
      </w:r>
      <w:r w:rsidRPr="0060251B">
        <w:t>019</w:t>
      </w:r>
      <w:r>
        <w:t>c,</w:t>
      </w:r>
      <w:r w:rsidRPr="0060251B">
        <w:t xml:space="preserve"> Green </w:t>
      </w:r>
      <w:r w:rsidRPr="009800AB">
        <w:rPr>
          <w:i/>
        </w:rPr>
        <w:t>et al.,</w:t>
      </w:r>
      <w:r>
        <w:t xml:space="preserve"> 2</w:t>
      </w:r>
      <w:r w:rsidRPr="0060251B">
        <w:t>016</w:t>
      </w:r>
      <w:r>
        <w:t>,</w:t>
      </w:r>
      <w:r w:rsidRPr="00F939DF">
        <w:t xml:space="preserve"> </w:t>
      </w:r>
      <w:proofErr w:type="spellStart"/>
      <w:r w:rsidRPr="002272B3">
        <w:t>Hamidi</w:t>
      </w:r>
      <w:proofErr w:type="spellEnd"/>
      <w:r w:rsidRPr="002272B3">
        <w:t xml:space="preserve"> </w:t>
      </w:r>
      <w:r w:rsidRPr="009800AB">
        <w:rPr>
          <w:i/>
        </w:rPr>
        <w:t>et al.,</w:t>
      </w:r>
      <w:r>
        <w:t xml:space="preserve"> </w:t>
      </w:r>
      <w:r w:rsidRPr="002272B3">
        <w:t>2015</w:t>
      </w:r>
      <w:r>
        <w:t xml:space="preserve">, </w:t>
      </w:r>
      <w:r w:rsidRPr="00F63408">
        <w:t>Smith-Merry</w:t>
      </w:r>
      <w:r>
        <w:t xml:space="preserve">, 2017, </w:t>
      </w:r>
      <w:proofErr w:type="spellStart"/>
      <w:r w:rsidRPr="0081718A">
        <w:t>Vlot</w:t>
      </w:r>
      <w:proofErr w:type="spellEnd"/>
      <w:r w:rsidRPr="0081718A">
        <w:t xml:space="preserve">-van </w:t>
      </w:r>
      <w:proofErr w:type="spellStart"/>
      <w:r w:rsidRPr="0081718A">
        <w:t>Anrooij</w:t>
      </w:r>
      <w:proofErr w:type="spellEnd"/>
      <w:r w:rsidRPr="0081718A">
        <w:t xml:space="preserve"> </w:t>
      </w:r>
      <w:r w:rsidRPr="009800AB">
        <w:rPr>
          <w:i/>
        </w:rPr>
        <w:t>et al.,</w:t>
      </w:r>
      <w:r>
        <w:t xml:space="preserve"> 2</w:t>
      </w:r>
      <w:r w:rsidRPr="0081718A">
        <w:t>018</w:t>
      </w:r>
    </w:p>
  </w:footnote>
  <w:footnote w:id="143">
    <w:p w14:paraId="5B765777" w14:textId="43D3DD19" w:rsidR="00452DFD" w:rsidRDefault="00452DFD">
      <w:pPr>
        <w:pStyle w:val="FootnoteText"/>
      </w:pPr>
      <w:r>
        <w:rPr>
          <w:rStyle w:val="FootnoteReference"/>
        </w:rPr>
        <w:footnoteRef/>
      </w:r>
      <w:r>
        <w:t xml:space="preserve"> VIPER 2012b cited in Bailey </w:t>
      </w:r>
      <w:r w:rsidRPr="009800AB">
        <w:rPr>
          <w:i/>
        </w:rPr>
        <w:t>et al.,</w:t>
      </w:r>
      <w:r>
        <w:t xml:space="preserve"> 2015, </w:t>
      </w:r>
      <w:r w:rsidRPr="00142C8F">
        <w:t xml:space="preserve">Gillard </w:t>
      </w:r>
      <w:r w:rsidRPr="009800AB">
        <w:rPr>
          <w:i/>
        </w:rPr>
        <w:t>et al.,</w:t>
      </w:r>
      <w:r>
        <w:t xml:space="preserve"> </w:t>
      </w:r>
      <w:r w:rsidRPr="00142C8F">
        <w:t>2012</w:t>
      </w:r>
      <w:r>
        <w:t xml:space="preserve"> cited in Smith-Merry,</w:t>
      </w:r>
      <w:r w:rsidRPr="0081718A">
        <w:t xml:space="preserve"> 2017</w:t>
      </w:r>
      <w:r>
        <w:t xml:space="preserve">, </w:t>
      </w:r>
      <w:r w:rsidRPr="007C387C">
        <w:t xml:space="preserve">Stack </w:t>
      </w:r>
      <w:r>
        <w:t>and</w:t>
      </w:r>
      <w:r w:rsidRPr="007C387C">
        <w:t xml:space="preserve"> McDonald, 2018</w:t>
      </w:r>
    </w:p>
  </w:footnote>
  <w:footnote w:id="144">
    <w:p w14:paraId="494FA641" w14:textId="2E01BE3D" w:rsidR="00452DFD" w:rsidRDefault="00452DFD">
      <w:pPr>
        <w:pStyle w:val="FootnoteText"/>
      </w:pPr>
      <w:r>
        <w:rPr>
          <w:rStyle w:val="FootnoteReference"/>
        </w:rPr>
        <w:footnoteRef/>
      </w:r>
      <w:r>
        <w:t xml:space="preserve"> ML, </w:t>
      </w:r>
      <w:r w:rsidRPr="00B11E96">
        <w:t xml:space="preserve">academic researcher in Dewa </w:t>
      </w:r>
      <w:r w:rsidRPr="009800AB">
        <w:rPr>
          <w:i/>
        </w:rPr>
        <w:t>et al.,</w:t>
      </w:r>
      <w:r>
        <w:t xml:space="preserve"> 2020, p. 138</w:t>
      </w:r>
    </w:p>
  </w:footnote>
  <w:footnote w:id="145">
    <w:p w14:paraId="0BEE56A3" w14:textId="34E9D10D" w:rsidR="00452DFD" w:rsidRDefault="00452DFD">
      <w:pPr>
        <w:pStyle w:val="FootnoteText"/>
      </w:pPr>
      <w:r>
        <w:rPr>
          <w:rStyle w:val="FootnoteReference"/>
        </w:rPr>
        <w:footnoteRef/>
      </w:r>
      <w:r>
        <w:t xml:space="preserve"> Anderson </w:t>
      </w:r>
      <w:r w:rsidRPr="009800AB">
        <w:rPr>
          <w:i/>
        </w:rPr>
        <w:t>et al.,</w:t>
      </w:r>
      <w:r>
        <w:t xml:space="preserve"> 2018,</w:t>
      </w:r>
      <w:r w:rsidRPr="002F3D32">
        <w:t xml:space="preserve"> </w:t>
      </w:r>
      <w:proofErr w:type="spellStart"/>
      <w:r w:rsidRPr="00AB69E4">
        <w:t>Frankena</w:t>
      </w:r>
      <w:proofErr w:type="spellEnd"/>
      <w:r w:rsidRPr="00AB69E4">
        <w:t xml:space="preserve"> </w:t>
      </w:r>
      <w:r w:rsidRPr="009800AB">
        <w:rPr>
          <w:i/>
        </w:rPr>
        <w:t>et al.,</w:t>
      </w:r>
      <w:r>
        <w:t xml:space="preserve"> 2</w:t>
      </w:r>
      <w:r w:rsidRPr="00AB69E4">
        <w:t>015</w:t>
      </w:r>
      <w:r>
        <w:t xml:space="preserve">, </w:t>
      </w:r>
      <w:r w:rsidRPr="00D04764">
        <w:rPr>
          <w:bCs/>
        </w:rPr>
        <w:t xml:space="preserve">Gould, </w:t>
      </w:r>
      <w:r>
        <w:rPr>
          <w:bCs/>
        </w:rPr>
        <w:t>Harris</w:t>
      </w:r>
      <w:r w:rsidRPr="00D04764">
        <w:rPr>
          <w:bCs/>
        </w:rPr>
        <w:t xml:space="preserve">, and </w:t>
      </w:r>
      <w:proofErr w:type="spellStart"/>
      <w:r w:rsidRPr="00D04764">
        <w:rPr>
          <w:bCs/>
        </w:rPr>
        <w:t>Fujiura</w:t>
      </w:r>
      <w:proofErr w:type="spellEnd"/>
      <w:r w:rsidRPr="009800AB">
        <w:rPr>
          <w:bCs/>
          <w:i/>
        </w:rPr>
        <w:t>.,</w:t>
      </w:r>
      <w:r w:rsidRPr="00BE48EC">
        <w:rPr>
          <w:bCs/>
        </w:rPr>
        <w:t xml:space="preserve"> 2017</w:t>
      </w:r>
    </w:p>
  </w:footnote>
  <w:footnote w:id="146">
    <w:p w14:paraId="33A3CBB5" w14:textId="42B89FA0" w:rsidR="00452DFD" w:rsidRDefault="00452DFD">
      <w:pPr>
        <w:pStyle w:val="FootnoteText"/>
      </w:pPr>
      <w:r>
        <w:rPr>
          <w:rStyle w:val="FootnoteReference"/>
        </w:rPr>
        <w:footnoteRef/>
      </w:r>
      <w:r>
        <w:t xml:space="preserve"> </w:t>
      </w:r>
      <w:proofErr w:type="spellStart"/>
      <w:r>
        <w:t>Hamidi</w:t>
      </w:r>
      <w:proofErr w:type="spellEnd"/>
      <w:r>
        <w:t xml:space="preserve"> </w:t>
      </w:r>
      <w:r w:rsidRPr="009800AB">
        <w:rPr>
          <w:i/>
        </w:rPr>
        <w:t>et al.,</w:t>
      </w:r>
      <w:r>
        <w:t xml:space="preserve"> </w:t>
      </w:r>
      <w:r w:rsidRPr="00E96E03">
        <w:t>2015</w:t>
      </w:r>
      <w:r>
        <w:t xml:space="preserve">, Haya </w:t>
      </w:r>
      <w:proofErr w:type="spellStart"/>
      <w:r w:rsidRPr="006D3104">
        <w:t>Salm</w:t>
      </w:r>
      <w:r>
        <w:t>ó</w:t>
      </w:r>
      <w:r w:rsidRPr="006D3104">
        <w:t>n</w:t>
      </w:r>
      <w:proofErr w:type="spellEnd"/>
      <w:r w:rsidRPr="006D3104">
        <w:t xml:space="preserve"> </w:t>
      </w:r>
      <w:r>
        <w:t>and</w:t>
      </w:r>
      <w:r w:rsidRPr="006D3104">
        <w:t xml:space="preserve"> </w:t>
      </w:r>
      <w:r>
        <w:t xml:space="preserve">Rojas </w:t>
      </w:r>
      <w:proofErr w:type="spellStart"/>
      <w:r w:rsidRPr="006D3104">
        <w:t>Pernia</w:t>
      </w:r>
      <w:proofErr w:type="spellEnd"/>
      <w:r w:rsidRPr="006D3104">
        <w:t>, 202</w:t>
      </w:r>
      <w:r>
        <w:t>1</w:t>
      </w:r>
    </w:p>
  </w:footnote>
  <w:footnote w:id="147">
    <w:p w14:paraId="7F2B459F" w14:textId="2689D726" w:rsidR="00452DFD" w:rsidRDefault="00452DFD">
      <w:pPr>
        <w:pStyle w:val="FootnoteText"/>
      </w:pPr>
      <w:r>
        <w:rPr>
          <w:rStyle w:val="FootnoteReference"/>
        </w:rPr>
        <w:footnoteRef/>
      </w:r>
      <w:r>
        <w:t xml:space="preserve"> </w:t>
      </w:r>
      <w:proofErr w:type="spellStart"/>
      <w:r>
        <w:t>Hamidi</w:t>
      </w:r>
      <w:proofErr w:type="spellEnd"/>
      <w:r>
        <w:t xml:space="preserve"> </w:t>
      </w:r>
      <w:r w:rsidRPr="009800AB">
        <w:rPr>
          <w:i/>
        </w:rPr>
        <w:t>et al.,</w:t>
      </w:r>
      <w:r>
        <w:t xml:space="preserve"> 2015, p. 170</w:t>
      </w:r>
    </w:p>
  </w:footnote>
  <w:footnote w:id="148">
    <w:p w14:paraId="059DE570" w14:textId="33395FCA" w:rsidR="00452DFD" w:rsidRDefault="00452DFD">
      <w:pPr>
        <w:pStyle w:val="FootnoteText"/>
      </w:pPr>
      <w:r>
        <w:rPr>
          <w:rStyle w:val="FootnoteReference"/>
        </w:rPr>
        <w:footnoteRef/>
      </w:r>
      <w:r>
        <w:t xml:space="preserve"> </w:t>
      </w:r>
      <w:proofErr w:type="spellStart"/>
      <w:r w:rsidRPr="00D7213D">
        <w:t>Beighton</w:t>
      </w:r>
      <w:proofErr w:type="spellEnd"/>
      <w:r w:rsidRPr="00D7213D">
        <w:t xml:space="preserve"> </w:t>
      </w:r>
      <w:r w:rsidRPr="009800AB">
        <w:rPr>
          <w:i/>
        </w:rPr>
        <w:t>et al.,</w:t>
      </w:r>
      <w:r>
        <w:t xml:space="preserve"> 2</w:t>
      </w:r>
      <w:r w:rsidRPr="00D7213D">
        <w:t>019</w:t>
      </w:r>
      <w:r>
        <w:t xml:space="preserve">, </w:t>
      </w:r>
      <w:r w:rsidRPr="006C14CF">
        <w:t>Burton, Ogden, and Cooper, 2019</w:t>
      </w:r>
      <w:r>
        <w:t xml:space="preserve">, Campus Engage, 2017, </w:t>
      </w:r>
      <w:proofErr w:type="spellStart"/>
      <w:r w:rsidRPr="0060251B">
        <w:t>Frankena</w:t>
      </w:r>
      <w:proofErr w:type="spellEnd"/>
      <w:r w:rsidRPr="0060251B">
        <w:t xml:space="preserve"> </w:t>
      </w:r>
      <w:r w:rsidRPr="009800AB">
        <w:rPr>
          <w:i/>
        </w:rPr>
        <w:t>et al.,</w:t>
      </w:r>
      <w:r>
        <w:t xml:space="preserve"> 2</w:t>
      </w:r>
      <w:r w:rsidRPr="0060251B">
        <w:t>019a</w:t>
      </w:r>
      <w:r>
        <w:t xml:space="preserve">, </w:t>
      </w:r>
      <w:proofErr w:type="spellStart"/>
      <w:r w:rsidRPr="0060251B">
        <w:t>Frankena</w:t>
      </w:r>
      <w:proofErr w:type="spellEnd"/>
      <w:r w:rsidRPr="0060251B">
        <w:t xml:space="preserve"> </w:t>
      </w:r>
      <w:r w:rsidRPr="009800AB">
        <w:rPr>
          <w:i/>
        </w:rPr>
        <w:t>et al.,</w:t>
      </w:r>
      <w:r>
        <w:t xml:space="preserve"> 2</w:t>
      </w:r>
      <w:r w:rsidRPr="0060251B">
        <w:t>019</w:t>
      </w:r>
      <w:r>
        <w:t xml:space="preserve">c, </w:t>
      </w:r>
      <w:r w:rsidRPr="007C387C">
        <w:t xml:space="preserve">Joss </w:t>
      </w:r>
      <w:r w:rsidRPr="009800AB">
        <w:rPr>
          <w:i/>
        </w:rPr>
        <w:t>et al.,</w:t>
      </w:r>
      <w:r>
        <w:t xml:space="preserve"> </w:t>
      </w:r>
      <w:r w:rsidRPr="007C387C">
        <w:t>2016</w:t>
      </w:r>
      <w:r>
        <w:t>,</w:t>
      </w:r>
      <w:r w:rsidRPr="008A243B">
        <w:t xml:space="preserve"> </w:t>
      </w:r>
      <w:r>
        <w:t xml:space="preserve">McConnell </w:t>
      </w:r>
      <w:r w:rsidRPr="009800AB">
        <w:rPr>
          <w:i/>
        </w:rPr>
        <w:t>et al.,</w:t>
      </w:r>
      <w:r>
        <w:t xml:space="preserve"> 2019, O’Brien, </w:t>
      </w:r>
      <w:proofErr w:type="spellStart"/>
      <w:r>
        <w:t>Fossey</w:t>
      </w:r>
      <w:proofErr w:type="spellEnd"/>
      <w:r>
        <w:t xml:space="preserve"> and Palmer, 2021, </w:t>
      </w:r>
      <w:r w:rsidRPr="007C387C">
        <w:t xml:space="preserve">Paul </w:t>
      </w:r>
      <w:r w:rsidRPr="009800AB">
        <w:rPr>
          <w:i/>
        </w:rPr>
        <w:t>et al.,</w:t>
      </w:r>
      <w:r>
        <w:t xml:space="preserve"> </w:t>
      </w:r>
      <w:r w:rsidRPr="007C387C">
        <w:t>2017</w:t>
      </w:r>
      <w:r>
        <w:t xml:space="preserve">, </w:t>
      </w:r>
      <w:proofErr w:type="spellStart"/>
      <w:r>
        <w:t>Varkonyi</w:t>
      </w:r>
      <w:proofErr w:type="spellEnd"/>
      <w:r>
        <w:t>-Sep, Cross and Howarth, 2017,</w:t>
      </w:r>
      <w:r w:rsidRPr="008A243B">
        <w:t xml:space="preserve"> </w:t>
      </w:r>
      <w:r w:rsidRPr="00F63408">
        <w:t xml:space="preserve">Walsh </w:t>
      </w:r>
      <w:r w:rsidRPr="009800AB">
        <w:rPr>
          <w:i/>
        </w:rPr>
        <w:t>et al.,</w:t>
      </w:r>
      <w:r>
        <w:t xml:space="preserve"> </w:t>
      </w:r>
      <w:r w:rsidRPr="00F63408">
        <w:t>2018</w:t>
      </w:r>
    </w:p>
  </w:footnote>
  <w:footnote w:id="149">
    <w:p w14:paraId="60E97145" w14:textId="4F93D2D7" w:rsidR="00452DFD" w:rsidRDefault="00452DFD">
      <w:pPr>
        <w:pStyle w:val="FootnoteText"/>
      </w:pPr>
      <w:r>
        <w:rPr>
          <w:rStyle w:val="FootnoteReference"/>
        </w:rPr>
        <w:footnoteRef/>
      </w:r>
      <w:r>
        <w:t xml:space="preserve"> </w:t>
      </w:r>
      <w:r w:rsidRPr="0081718A">
        <w:t xml:space="preserve">Cameron </w:t>
      </w:r>
      <w:r w:rsidRPr="009800AB">
        <w:rPr>
          <w:i/>
        </w:rPr>
        <w:t>et al.,</w:t>
      </w:r>
      <w:r>
        <w:t xml:space="preserve"> 2019, </w:t>
      </w:r>
      <w:proofErr w:type="spellStart"/>
      <w:r w:rsidRPr="0060251B">
        <w:t>Frankena</w:t>
      </w:r>
      <w:proofErr w:type="spellEnd"/>
      <w:r w:rsidRPr="0060251B">
        <w:t xml:space="preserve"> </w:t>
      </w:r>
      <w:r w:rsidRPr="009800AB">
        <w:rPr>
          <w:i/>
        </w:rPr>
        <w:t>et al.,</w:t>
      </w:r>
      <w:r>
        <w:t xml:space="preserve"> 2</w:t>
      </w:r>
      <w:r w:rsidRPr="0060251B">
        <w:t>019a</w:t>
      </w:r>
      <w:r>
        <w:t>, Smith-Merry, 2017</w:t>
      </w:r>
    </w:p>
  </w:footnote>
  <w:footnote w:id="150">
    <w:p w14:paraId="1E1EE67D" w14:textId="75418F51" w:rsidR="00452DFD" w:rsidRDefault="00452DFD">
      <w:pPr>
        <w:pStyle w:val="FootnoteText"/>
      </w:pPr>
      <w:r>
        <w:rPr>
          <w:rStyle w:val="FootnoteReference"/>
        </w:rPr>
        <w:footnoteRef/>
      </w:r>
      <w:r>
        <w:t xml:space="preserve"> </w:t>
      </w:r>
      <w:r w:rsidRPr="00CC715B">
        <w:t xml:space="preserve">Davidson </w:t>
      </w:r>
      <w:r w:rsidRPr="009800AB">
        <w:rPr>
          <w:i/>
        </w:rPr>
        <w:t>et al.,</w:t>
      </w:r>
      <w:r>
        <w:t xml:space="preserve"> 2</w:t>
      </w:r>
      <w:r w:rsidRPr="00CC715B">
        <w:t>018</w:t>
      </w:r>
    </w:p>
  </w:footnote>
  <w:footnote w:id="151">
    <w:p w14:paraId="4BD98639" w14:textId="57651EF1" w:rsidR="00452DFD" w:rsidRDefault="00452DFD">
      <w:pPr>
        <w:pStyle w:val="FootnoteText"/>
      </w:pPr>
      <w:r>
        <w:rPr>
          <w:rStyle w:val="FootnoteReference"/>
        </w:rPr>
        <w:footnoteRef/>
      </w:r>
      <w:r>
        <w:t xml:space="preserve"> </w:t>
      </w:r>
      <w:r w:rsidRPr="005F3A80">
        <w:t>Bollard</w:t>
      </w:r>
      <w:r>
        <w:t>,</w:t>
      </w:r>
      <w:r w:rsidRPr="005F3A80">
        <w:t xml:space="preserve"> 2017</w:t>
      </w:r>
      <w:r>
        <w:t>,</w:t>
      </w:r>
      <w:r w:rsidRPr="00186BD0">
        <w:t xml:space="preserve"> </w:t>
      </w:r>
      <w:proofErr w:type="spellStart"/>
      <w:r>
        <w:t>Walmsley</w:t>
      </w:r>
      <w:proofErr w:type="spellEnd"/>
      <w:r>
        <w:t xml:space="preserve">, </w:t>
      </w:r>
      <w:proofErr w:type="spellStart"/>
      <w:r>
        <w:t>Strnadová</w:t>
      </w:r>
      <w:proofErr w:type="spellEnd"/>
      <w:r>
        <w:t xml:space="preserve"> and Johnson, 2018</w:t>
      </w:r>
    </w:p>
  </w:footnote>
  <w:footnote w:id="152">
    <w:p w14:paraId="156842BF" w14:textId="64EC4E70" w:rsidR="00452DFD" w:rsidRDefault="00452DFD">
      <w:pPr>
        <w:pStyle w:val="FootnoteText"/>
      </w:pPr>
      <w:r>
        <w:rPr>
          <w:rStyle w:val="FootnoteReference"/>
        </w:rPr>
        <w:footnoteRef/>
      </w:r>
      <w:r>
        <w:t xml:space="preserve"> </w:t>
      </w:r>
      <w:r w:rsidRPr="00455880">
        <w:t xml:space="preserve">Anderson </w:t>
      </w:r>
      <w:r w:rsidRPr="009800AB">
        <w:rPr>
          <w:i/>
        </w:rPr>
        <w:t>et al.,</w:t>
      </w:r>
      <w:r>
        <w:t xml:space="preserve"> </w:t>
      </w:r>
      <w:r w:rsidRPr="00455880">
        <w:t>2019</w:t>
      </w:r>
      <w:r>
        <w:t>,</w:t>
      </w:r>
      <w:r w:rsidRPr="00455880">
        <w:t xml:space="preserve"> Bollard </w:t>
      </w:r>
      <w:r w:rsidRPr="009800AB">
        <w:rPr>
          <w:i/>
        </w:rPr>
        <w:t>et al.,</w:t>
      </w:r>
      <w:r>
        <w:t xml:space="preserve"> </w:t>
      </w:r>
      <w:r w:rsidRPr="00455880">
        <w:t>2017</w:t>
      </w:r>
      <w:r>
        <w:t>,</w:t>
      </w:r>
      <w:r w:rsidRPr="00455880">
        <w:t xml:space="preserve"> </w:t>
      </w:r>
      <w:r>
        <w:t xml:space="preserve">Di </w:t>
      </w:r>
      <w:proofErr w:type="spellStart"/>
      <w:r>
        <w:t>Lorito</w:t>
      </w:r>
      <w:proofErr w:type="spellEnd"/>
      <w:r w:rsidRPr="00455880">
        <w:t xml:space="preserve"> </w:t>
      </w:r>
      <w:r w:rsidRPr="009800AB">
        <w:rPr>
          <w:i/>
        </w:rPr>
        <w:t>et al.,</w:t>
      </w:r>
      <w:r>
        <w:t xml:space="preserve"> </w:t>
      </w:r>
      <w:r w:rsidRPr="00455880">
        <w:t>201</w:t>
      </w:r>
      <w:r>
        <w:t xml:space="preserve">8, </w:t>
      </w:r>
      <w:r w:rsidRPr="00455880">
        <w:t>Drill Report, 2018</w:t>
      </w:r>
    </w:p>
  </w:footnote>
  <w:footnote w:id="153">
    <w:p w14:paraId="4978990A" w14:textId="67E93932" w:rsidR="00452DFD" w:rsidRDefault="00452DFD">
      <w:pPr>
        <w:pStyle w:val="FootnoteText"/>
      </w:pPr>
      <w:r>
        <w:rPr>
          <w:rStyle w:val="FootnoteReference"/>
        </w:rPr>
        <w:footnoteRef/>
      </w:r>
      <w:r>
        <w:t xml:space="preserve"> Anderson </w:t>
      </w:r>
      <w:r w:rsidRPr="009800AB">
        <w:rPr>
          <w:i/>
        </w:rPr>
        <w:t>et al.,</w:t>
      </w:r>
      <w:r>
        <w:t xml:space="preserve"> 2019, </w:t>
      </w:r>
      <w:proofErr w:type="spellStart"/>
      <w:r w:rsidRPr="00455880">
        <w:t>Beighton</w:t>
      </w:r>
      <w:proofErr w:type="spellEnd"/>
      <w:r w:rsidRPr="00455880">
        <w:t xml:space="preserve"> </w:t>
      </w:r>
      <w:r w:rsidRPr="009800AB">
        <w:rPr>
          <w:i/>
        </w:rPr>
        <w:t>et al.,</w:t>
      </w:r>
      <w:r>
        <w:t xml:space="preserve"> 2</w:t>
      </w:r>
      <w:r w:rsidRPr="00455880">
        <w:t>019</w:t>
      </w:r>
      <w:r>
        <w:t>,</w:t>
      </w:r>
      <w:r w:rsidRPr="00455880">
        <w:t xml:space="preserve"> Bollard 2017</w:t>
      </w:r>
      <w:r>
        <w:t>,</w:t>
      </w:r>
      <w:r w:rsidRPr="00455880">
        <w:t xml:space="preserve"> </w:t>
      </w:r>
      <w:proofErr w:type="spellStart"/>
      <w:r w:rsidRPr="00455880">
        <w:t>Brosnan</w:t>
      </w:r>
      <w:proofErr w:type="spellEnd"/>
      <w:r w:rsidRPr="00455880">
        <w:t xml:space="preserve"> </w:t>
      </w:r>
      <w:r w:rsidRPr="009800AB">
        <w:rPr>
          <w:i/>
        </w:rPr>
        <w:t>et al.,</w:t>
      </w:r>
      <w:r>
        <w:t xml:space="preserve"> 2</w:t>
      </w:r>
      <w:r w:rsidRPr="00455880">
        <w:t>016</w:t>
      </w:r>
      <w:r>
        <w:t>,</w:t>
      </w:r>
      <w:r w:rsidRPr="00455880">
        <w:t xml:space="preserve"> Drill </w:t>
      </w:r>
      <w:r>
        <w:t>R</w:t>
      </w:r>
      <w:r w:rsidRPr="00455880">
        <w:t>eport, 2018</w:t>
      </w:r>
      <w:r>
        <w:t>,</w:t>
      </w:r>
      <w:r w:rsidRPr="00455880">
        <w:t xml:space="preserve"> </w:t>
      </w:r>
      <w:proofErr w:type="spellStart"/>
      <w:r w:rsidRPr="00455880">
        <w:t>Frankena</w:t>
      </w:r>
      <w:proofErr w:type="spellEnd"/>
      <w:r w:rsidRPr="00455880">
        <w:t xml:space="preserve"> </w:t>
      </w:r>
      <w:r w:rsidRPr="009800AB">
        <w:rPr>
          <w:i/>
        </w:rPr>
        <w:t>et al.,</w:t>
      </w:r>
      <w:r>
        <w:t xml:space="preserve"> </w:t>
      </w:r>
      <w:r w:rsidRPr="00455880">
        <w:t>201</w:t>
      </w:r>
      <w:r>
        <w:t>9</w:t>
      </w:r>
      <w:r w:rsidRPr="00455880">
        <w:t>a</w:t>
      </w:r>
      <w:r>
        <w:t>,</w:t>
      </w:r>
      <w:r w:rsidRPr="00455880">
        <w:t xml:space="preserve"> </w:t>
      </w:r>
      <w:proofErr w:type="spellStart"/>
      <w:r w:rsidRPr="00455880">
        <w:t>Frankena</w:t>
      </w:r>
      <w:proofErr w:type="spellEnd"/>
      <w:r w:rsidRPr="00455880">
        <w:t xml:space="preserve"> </w:t>
      </w:r>
      <w:r w:rsidRPr="009800AB">
        <w:rPr>
          <w:i/>
        </w:rPr>
        <w:t>et al.,</w:t>
      </w:r>
      <w:r>
        <w:t xml:space="preserve"> </w:t>
      </w:r>
      <w:r w:rsidRPr="00455880">
        <w:t>2019c</w:t>
      </w:r>
      <w:r>
        <w:t xml:space="preserve">, Haya </w:t>
      </w:r>
      <w:proofErr w:type="spellStart"/>
      <w:r w:rsidRPr="00455880">
        <w:t>Salm</w:t>
      </w:r>
      <w:r>
        <w:t>ó</w:t>
      </w:r>
      <w:r w:rsidRPr="00455880">
        <w:t>n</w:t>
      </w:r>
      <w:proofErr w:type="spellEnd"/>
      <w:r w:rsidRPr="00455880">
        <w:t xml:space="preserve"> </w:t>
      </w:r>
      <w:r>
        <w:t>and</w:t>
      </w:r>
      <w:r w:rsidRPr="00455880">
        <w:t xml:space="preserve"> </w:t>
      </w:r>
      <w:r>
        <w:t xml:space="preserve">Rojas </w:t>
      </w:r>
      <w:proofErr w:type="spellStart"/>
      <w:r w:rsidRPr="00455880">
        <w:t>Pernia</w:t>
      </w:r>
      <w:proofErr w:type="spellEnd"/>
      <w:r>
        <w:t>,</w:t>
      </w:r>
      <w:r w:rsidRPr="00455880">
        <w:t xml:space="preserve"> 202</w:t>
      </w:r>
      <w:r>
        <w:t xml:space="preserve">1, </w:t>
      </w:r>
      <w:r w:rsidRPr="00455880">
        <w:t>Hollinrake</w:t>
      </w:r>
      <w:r>
        <w:t>, Spencer and Dix</w:t>
      </w:r>
      <w:r w:rsidRPr="009800AB">
        <w:rPr>
          <w:i/>
        </w:rPr>
        <w:t>,</w:t>
      </w:r>
      <w:r>
        <w:t xml:space="preserve"> </w:t>
      </w:r>
      <w:r w:rsidRPr="00455880">
        <w:t>2019</w:t>
      </w:r>
      <w:r>
        <w:t>,</w:t>
      </w:r>
      <w:r w:rsidRPr="00455880">
        <w:t xml:space="preserve"> IRN, 2019</w:t>
      </w:r>
      <w:r>
        <w:t>,</w:t>
      </w:r>
      <w:r w:rsidRPr="00455880">
        <w:t xml:space="preserve"> McCartan </w:t>
      </w:r>
      <w:r w:rsidRPr="009800AB">
        <w:rPr>
          <w:i/>
        </w:rPr>
        <w:t>et al.,</w:t>
      </w:r>
      <w:r>
        <w:t xml:space="preserve"> </w:t>
      </w:r>
      <w:r w:rsidRPr="00455880">
        <w:t>2019</w:t>
      </w:r>
      <w:r>
        <w:t>,</w:t>
      </w:r>
      <w:r w:rsidRPr="00455880">
        <w:t xml:space="preserve"> </w:t>
      </w:r>
      <w:proofErr w:type="spellStart"/>
      <w:r>
        <w:t>Nind</w:t>
      </w:r>
      <w:proofErr w:type="spellEnd"/>
      <w:r>
        <w:t xml:space="preserve">, 2017, </w:t>
      </w:r>
      <w:r w:rsidRPr="00455880">
        <w:t xml:space="preserve">St John </w:t>
      </w:r>
      <w:r w:rsidRPr="009800AB">
        <w:rPr>
          <w:i/>
        </w:rPr>
        <w:t>et al.,</w:t>
      </w:r>
      <w:r>
        <w:t xml:space="preserve"> </w:t>
      </w:r>
      <w:r w:rsidRPr="00455880">
        <w:t>2018</w:t>
      </w:r>
      <w:r>
        <w:t>,</w:t>
      </w:r>
      <w:r w:rsidRPr="00455880">
        <w:t xml:space="preserve"> </w:t>
      </w:r>
      <w:r>
        <w:t xml:space="preserve">Stack and McDonald, 2018, </w:t>
      </w:r>
      <w:proofErr w:type="spellStart"/>
      <w:r>
        <w:t>Walmsley</w:t>
      </w:r>
      <w:proofErr w:type="spellEnd"/>
      <w:r>
        <w:t xml:space="preserve">, </w:t>
      </w:r>
      <w:proofErr w:type="spellStart"/>
      <w:r>
        <w:t>Strnadová</w:t>
      </w:r>
      <w:proofErr w:type="spellEnd"/>
      <w:r>
        <w:t xml:space="preserve"> and Johnson, 2018,</w:t>
      </w:r>
    </w:p>
  </w:footnote>
  <w:footnote w:id="154">
    <w:p w14:paraId="596011E2" w14:textId="72062750" w:rsidR="00452DFD" w:rsidRDefault="00452DFD">
      <w:pPr>
        <w:pStyle w:val="FootnoteText"/>
      </w:pPr>
      <w:r>
        <w:rPr>
          <w:rStyle w:val="FootnoteReference"/>
        </w:rPr>
        <w:footnoteRef/>
      </w:r>
      <w:r>
        <w:t xml:space="preserve"> </w:t>
      </w:r>
      <w:r w:rsidRPr="00455880">
        <w:t xml:space="preserve">Anderson </w:t>
      </w:r>
      <w:r w:rsidRPr="009800AB">
        <w:rPr>
          <w:i/>
        </w:rPr>
        <w:t>et al.,</w:t>
      </w:r>
      <w:r>
        <w:t xml:space="preserve"> </w:t>
      </w:r>
      <w:r w:rsidRPr="00455880">
        <w:t>2019</w:t>
      </w:r>
      <w:r>
        <w:t>,</w:t>
      </w:r>
      <w:r w:rsidRPr="00455880">
        <w:t xml:space="preserve"> </w:t>
      </w:r>
      <w:proofErr w:type="spellStart"/>
      <w:r w:rsidRPr="00455880">
        <w:t>Conder</w:t>
      </w:r>
      <w:proofErr w:type="spellEnd"/>
      <w:r w:rsidRPr="00455880">
        <w:t xml:space="preserve"> </w:t>
      </w:r>
      <w:r w:rsidRPr="009800AB">
        <w:rPr>
          <w:i/>
        </w:rPr>
        <w:t>et al.,</w:t>
      </w:r>
      <w:r>
        <w:t xml:space="preserve"> </w:t>
      </w:r>
      <w:r w:rsidRPr="00455880">
        <w:t>2011</w:t>
      </w:r>
      <w:r>
        <w:t xml:space="preserve"> cited </w:t>
      </w:r>
      <w:r w:rsidRPr="00455880">
        <w:t xml:space="preserve">in </w:t>
      </w:r>
      <w:r>
        <w:t xml:space="preserve">Di </w:t>
      </w:r>
      <w:proofErr w:type="spellStart"/>
      <w:r>
        <w:t>Lorito</w:t>
      </w:r>
      <w:proofErr w:type="spellEnd"/>
      <w:r w:rsidRPr="00455880">
        <w:t xml:space="preserve"> </w:t>
      </w:r>
      <w:r w:rsidRPr="009800AB">
        <w:rPr>
          <w:i/>
        </w:rPr>
        <w:t>et al.,</w:t>
      </w:r>
      <w:r>
        <w:t xml:space="preserve"> </w:t>
      </w:r>
      <w:r w:rsidRPr="00455880">
        <w:t>201</w:t>
      </w:r>
      <w:r>
        <w:t xml:space="preserve">8, King </w:t>
      </w:r>
      <w:r w:rsidRPr="009800AB">
        <w:rPr>
          <w:i/>
        </w:rPr>
        <w:t>et al.,</w:t>
      </w:r>
      <w:r>
        <w:t xml:space="preserve"> 2019, Smith-Merry, 2017</w:t>
      </w:r>
    </w:p>
  </w:footnote>
  <w:footnote w:id="155">
    <w:p w14:paraId="4F1D345E" w14:textId="540AC26E" w:rsidR="00452DFD" w:rsidRDefault="00452DFD">
      <w:pPr>
        <w:pStyle w:val="FootnoteText"/>
      </w:pPr>
      <w:r>
        <w:rPr>
          <w:rStyle w:val="FootnoteReference"/>
        </w:rPr>
        <w:footnoteRef/>
      </w:r>
      <w:r>
        <w:t xml:space="preserve"> O’Hara </w:t>
      </w:r>
      <w:r w:rsidRPr="009800AB">
        <w:rPr>
          <w:i/>
        </w:rPr>
        <w:t>et al.,</w:t>
      </w:r>
      <w:r>
        <w:t xml:space="preserve"> 2017</w:t>
      </w:r>
    </w:p>
  </w:footnote>
  <w:footnote w:id="156">
    <w:p w14:paraId="4F255541" w14:textId="1C32D543" w:rsidR="00452DFD" w:rsidRDefault="00452DFD">
      <w:pPr>
        <w:pStyle w:val="FootnoteText"/>
      </w:pPr>
      <w:r>
        <w:rPr>
          <w:rStyle w:val="FootnoteReference"/>
        </w:rPr>
        <w:footnoteRef/>
      </w:r>
      <w:r>
        <w:t xml:space="preserve"> Williams, Ponting and Ford, 2015</w:t>
      </w:r>
    </w:p>
  </w:footnote>
  <w:footnote w:id="157">
    <w:p w14:paraId="0FE2B6DC" w14:textId="2DAF87CE" w:rsidR="00452DFD" w:rsidRDefault="00452DFD">
      <w:pPr>
        <w:pStyle w:val="FootnoteText"/>
      </w:pPr>
      <w:r>
        <w:rPr>
          <w:rStyle w:val="FootnoteReference"/>
        </w:rPr>
        <w:footnoteRef/>
      </w:r>
      <w:r>
        <w:t xml:space="preserve"> </w:t>
      </w:r>
      <w:r w:rsidRPr="00455880">
        <w:t>Disability Wales, 2019</w:t>
      </w:r>
      <w:r>
        <w:t>,</w:t>
      </w:r>
      <w:r w:rsidRPr="00455880">
        <w:t xml:space="preserve"> </w:t>
      </w:r>
      <w:proofErr w:type="spellStart"/>
      <w:r w:rsidRPr="00455880">
        <w:t>Frankena</w:t>
      </w:r>
      <w:proofErr w:type="spellEnd"/>
      <w:r w:rsidRPr="00455880">
        <w:t xml:space="preserve"> </w:t>
      </w:r>
      <w:r w:rsidRPr="009800AB">
        <w:rPr>
          <w:i/>
        </w:rPr>
        <w:t>et al.,</w:t>
      </w:r>
      <w:r>
        <w:t xml:space="preserve"> 2</w:t>
      </w:r>
      <w:r w:rsidRPr="00455880">
        <w:t>019</w:t>
      </w:r>
      <w:r>
        <w:t>c</w:t>
      </w:r>
    </w:p>
  </w:footnote>
  <w:footnote w:id="158">
    <w:p w14:paraId="7F4AC635" w14:textId="38243FC2" w:rsidR="00452DFD" w:rsidRDefault="00452DFD">
      <w:pPr>
        <w:pStyle w:val="FootnoteText"/>
      </w:pPr>
      <w:r>
        <w:rPr>
          <w:rStyle w:val="FootnoteReference"/>
        </w:rPr>
        <w:footnoteRef/>
      </w:r>
      <w:r>
        <w:t xml:space="preserve"> DRILL report, 2018, </w:t>
      </w:r>
      <w:r w:rsidRPr="007F544F">
        <w:t xml:space="preserve">Brady </w:t>
      </w:r>
      <w:r w:rsidRPr="009800AB">
        <w:rPr>
          <w:i/>
        </w:rPr>
        <w:t>et al.,</w:t>
      </w:r>
      <w:r>
        <w:t xml:space="preserve"> 2</w:t>
      </w:r>
      <w:r w:rsidRPr="007F544F">
        <w:t>019</w:t>
      </w:r>
      <w:r>
        <w:t xml:space="preserve">, Herron, Priest and Read, 2015, </w:t>
      </w:r>
      <w:proofErr w:type="spellStart"/>
      <w:r w:rsidRPr="007F544F">
        <w:t>Puyalto</w:t>
      </w:r>
      <w:proofErr w:type="spellEnd"/>
      <w:r w:rsidRPr="007F544F">
        <w:t xml:space="preserve"> </w:t>
      </w:r>
      <w:r w:rsidRPr="009800AB">
        <w:rPr>
          <w:i/>
        </w:rPr>
        <w:t>et al.,</w:t>
      </w:r>
      <w:r>
        <w:t xml:space="preserve"> </w:t>
      </w:r>
      <w:r w:rsidRPr="007F544F">
        <w:t>2016</w:t>
      </w:r>
      <w:r>
        <w:t xml:space="preserve">, Spencer Gonzalez </w:t>
      </w:r>
      <w:r w:rsidRPr="009800AB">
        <w:rPr>
          <w:i/>
        </w:rPr>
        <w:t>et al.,</w:t>
      </w:r>
      <w:r>
        <w:t xml:space="preserve"> 2020</w:t>
      </w:r>
    </w:p>
  </w:footnote>
  <w:footnote w:id="159">
    <w:p w14:paraId="58E18255" w14:textId="451D192F" w:rsidR="00452DFD" w:rsidRDefault="00452DFD">
      <w:pPr>
        <w:pStyle w:val="FootnoteText"/>
      </w:pPr>
      <w:r>
        <w:rPr>
          <w:rStyle w:val="FootnoteReference"/>
        </w:rPr>
        <w:footnoteRef/>
      </w:r>
      <w:r>
        <w:t xml:space="preserve"> </w:t>
      </w:r>
      <w:r w:rsidRPr="00455880">
        <w:t xml:space="preserve">Burke </w:t>
      </w:r>
      <w:r w:rsidRPr="009800AB">
        <w:rPr>
          <w:i/>
        </w:rPr>
        <w:t>et al.,</w:t>
      </w:r>
      <w:r>
        <w:t xml:space="preserve"> </w:t>
      </w:r>
      <w:r w:rsidRPr="00455880">
        <w:t>2019</w:t>
      </w:r>
      <w:r>
        <w:t xml:space="preserve">, </w:t>
      </w:r>
      <w:r w:rsidRPr="00455880">
        <w:t>Disability Wales, 2019</w:t>
      </w:r>
      <w:r>
        <w:t>,</w:t>
      </w:r>
      <w:r w:rsidRPr="00455880">
        <w:t xml:space="preserve"> Green </w:t>
      </w:r>
      <w:r w:rsidRPr="009800AB">
        <w:rPr>
          <w:i/>
        </w:rPr>
        <w:t>et al.,</w:t>
      </w:r>
      <w:r>
        <w:t xml:space="preserve"> </w:t>
      </w:r>
      <w:r w:rsidRPr="00455880">
        <w:t>2016</w:t>
      </w:r>
      <w:r>
        <w:t>,</w:t>
      </w:r>
      <w:r w:rsidRPr="00455880">
        <w:t xml:space="preserve"> Tilly </w:t>
      </w:r>
      <w:r w:rsidRPr="009800AB">
        <w:rPr>
          <w:i/>
        </w:rPr>
        <w:t>et al.,</w:t>
      </w:r>
      <w:r>
        <w:t xml:space="preserve"> </w:t>
      </w:r>
      <w:r w:rsidRPr="00455880">
        <w:t>2015</w:t>
      </w:r>
    </w:p>
  </w:footnote>
  <w:footnote w:id="160">
    <w:p w14:paraId="3BC8F8A2" w14:textId="4CDFA88C" w:rsidR="00452DFD" w:rsidRDefault="00452DFD">
      <w:pPr>
        <w:pStyle w:val="FootnoteText"/>
      </w:pPr>
      <w:r>
        <w:rPr>
          <w:rStyle w:val="FootnoteReference"/>
        </w:rPr>
        <w:footnoteRef/>
      </w:r>
      <w:r>
        <w:t xml:space="preserve"> </w:t>
      </w:r>
      <w:r w:rsidRPr="00455880">
        <w:t xml:space="preserve">Anderson </w:t>
      </w:r>
      <w:r w:rsidRPr="009800AB">
        <w:rPr>
          <w:i/>
        </w:rPr>
        <w:t>et al.,</w:t>
      </w:r>
      <w:r>
        <w:t xml:space="preserve"> </w:t>
      </w:r>
      <w:r w:rsidRPr="00455880">
        <w:t>2019</w:t>
      </w:r>
    </w:p>
  </w:footnote>
  <w:footnote w:id="161">
    <w:p w14:paraId="57DB1CDF" w14:textId="50F694E5" w:rsidR="00452DFD" w:rsidRDefault="00452DFD">
      <w:pPr>
        <w:pStyle w:val="FootnoteText"/>
      </w:pPr>
      <w:r>
        <w:rPr>
          <w:rStyle w:val="FootnoteReference"/>
        </w:rPr>
        <w:footnoteRef/>
      </w:r>
      <w:r>
        <w:t xml:space="preserve"> Tilly </w:t>
      </w:r>
      <w:r w:rsidRPr="009800AB">
        <w:rPr>
          <w:i/>
        </w:rPr>
        <w:t>et al.,</w:t>
      </w:r>
      <w:r>
        <w:t xml:space="preserve"> 2015</w:t>
      </w:r>
    </w:p>
  </w:footnote>
  <w:footnote w:id="162">
    <w:p w14:paraId="659FB262" w14:textId="28C4EB9B"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2019c, </w:t>
      </w:r>
      <w:proofErr w:type="spellStart"/>
      <w:r>
        <w:t>Nind</w:t>
      </w:r>
      <w:proofErr w:type="spellEnd"/>
      <w:r>
        <w:t xml:space="preserve"> </w:t>
      </w:r>
      <w:r w:rsidRPr="009800AB">
        <w:rPr>
          <w:i/>
        </w:rPr>
        <w:t>et al.,</w:t>
      </w:r>
      <w:r>
        <w:t xml:space="preserve"> 2017</w:t>
      </w:r>
    </w:p>
  </w:footnote>
  <w:footnote w:id="163">
    <w:p w14:paraId="124B805A" w14:textId="6C615EA9" w:rsidR="00452DFD" w:rsidRDefault="00452DFD">
      <w:pPr>
        <w:pStyle w:val="FootnoteText"/>
      </w:pPr>
      <w:r>
        <w:rPr>
          <w:rStyle w:val="FootnoteReference"/>
        </w:rPr>
        <w:footnoteRef/>
      </w:r>
      <w:r>
        <w:t xml:space="preserve"> Anderson </w:t>
      </w:r>
      <w:r w:rsidRPr="009800AB">
        <w:rPr>
          <w:i/>
        </w:rPr>
        <w:t>et al.,</w:t>
      </w:r>
      <w:r>
        <w:t xml:space="preserve"> 2018, Anderson </w:t>
      </w:r>
      <w:r w:rsidRPr="009800AB">
        <w:rPr>
          <w:i/>
        </w:rPr>
        <w:t>et al.,</w:t>
      </w:r>
      <w:r>
        <w:t xml:space="preserve"> 2019, </w:t>
      </w:r>
      <w:r w:rsidRPr="005F3A80">
        <w:t>Beaumont 2019</w:t>
      </w:r>
      <w:r>
        <w:t>,</w:t>
      </w:r>
      <w:r w:rsidRPr="004625B0">
        <w:t xml:space="preserve"> </w:t>
      </w:r>
      <w:r>
        <w:t xml:space="preserve">Bollard </w:t>
      </w:r>
      <w:r w:rsidRPr="009800AB">
        <w:rPr>
          <w:i/>
        </w:rPr>
        <w:t>et al.,</w:t>
      </w:r>
      <w:r>
        <w:t xml:space="preserve"> 2017, </w:t>
      </w:r>
      <w:r w:rsidRPr="005F3A80">
        <w:t>Disability Wales, 2019</w:t>
      </w:r>
      <w:r>
        <w:t xml:space="preserve">, Drill Report, 2019, Evans </w:t>
      </w:r>
      <w:r w:rsidRPr="009800AB">
        <w:rPr>
          <w:i/>
        </w:rPr>
        <w:t>et al.,</w:t>
      </w:r>
      <w:r>
        <w:t xml:space="preserve"> 2020, </w:t>
      </w:r>
      <w:r w:rsidRPr="003646EA">
        <w:t xml:space="preserve">Joss </w:t>
      </w:r>
      <w:r w:rsidRPr="009800AB">
        <w:rPr>
          <w:i/>
        </w:rPr>
        <w:t>et al.,</w:t>
      </w:r>
      <w:r>
        <w:t xml:space="preserve"> </w:t>
      </w:r>
      <w:r w:rsidRPr="003646EA">
        <w:t>2016</w:t>
      </w:r>
      <w:r>
        <w:t>,</w:t>
      </w:r>
      <w:r w:rsidRPr="004625B0">
        <w:t xml:space="preserve"> </w:t>
      </w:r>
      <w:r>
        <w:t xml:space="preserve">Oliver </w:t>
      </w:r>
      <w:r w:rsidRPr="009800AB">
        <w:rPr>
          <w:i/>
        </w:rPr>
        <w:t>et al.,</w:t>
      </w:r>
      <w:r>
        <w:t xml:space="preserve"> 2020, Roberts </w:t>
      </w:r>
      <w:r w:rsidRPr="009800AB">
        <w:rPr>
          <w:i/>
        </w:rPr>
        <w:t>et al.,</w:t>
      </w:r>
      <w:r>
        <w:t xml:space="preserve"> 2020, </w:t>
      </w:r>
      <w:proofErr w:type="spellStart"/>
      <w:r w:rsidRPr="00E11A53">
        <w:t>Sangill</w:t>
      </w:r>
      <w:proofErr w:type="spellEnd"/>
      <w:r w:rsidRPr="00E11A53">
        <w:t xml:space="preserve"> </w:t>
      </w:r>
      <w:r w:rsidRPr="009800AB">
        <w:rPr>
          <w:i/>
        </w:rPr>
        <w:t>et al.,</w:t>
      </w:r>
      <w:r>
        <w:t xml:space="preserve"> </w:t>
      </w:r>
      <w:r w:rsidRPr="00E11A53">
        <w:t>2019</w:t>
      </w:r>
      <w:r>
        <w:t>, Williams, Ponting and Ford, 2015</w:t>
      </w:r>
    </w:p>
  </w:footnote>
  <w:footnote w:id="164">
    <w:p w14:paraId="560B35BE" w14:textId="4510B362" w:rsidR="00452DFD" w:rsidRDefault="00452DFD">
      <w:pPr>
        <w:pStyle w:val="FootnoteText"/>
      </w:pPr>
      <w:r>
        <w:rPr>
          <w:rStyle w:val="FootnoteReference"/>
        </w:rPr>
        <w:footnoteRef/>
      </w:r>
      <w:r>
        <w:t xml:space="preserve"> JJ in D</w:t>
      </w:r>
      <w:r w:rsidRPr="00B11E96">
        <w:t xml:space="preserve">ewa </w:t>
      </w:r>
      <w:r w:rsidRPr="009800AB">
        <w:rPr>
          <w:i/>
        </w:rPr>
        <w:t>et al.,</w:t>
      </w:r>
      <w:r>
        <w:t xml:space="preserve"> 2020, p. 138</w:t>
      </w:r>
    </w:p>
  </w:footnote>
  <w:footnote w:id="165">
    <w:p w14:paraId="0FDA21E8" w14:textId="4C69B885" w:rsidR="00452DFD" w:rsidRDefault="00452DFD">
      <w:pPr>
        <w:pStyle w:val="FootnoteText"/>
      </w:pPr>
      <w:r>
        <w:rPr>
          <w:rStyle w:val="FootnoteReference"/>
        </w:rPr>
        <w:footnoteRef/>
      </w:r>
      <w:r>
        <w:t xml:space="preserve"> </w:t>
      </w:r>
      <w:r w:rsidRPr="005F3A80">
        <w:t>Barry, 2016</w:t>
      </w:r>
      <w:r>
        <w:t xml:space="preserve">, </w:t>
      </w:r>
      <w:proofErr w:type="spellStart"/>
      <w:r w:rsidRPr="00E11A53">
        <w:t>Nind</w:t>
      </w:r>
      <w:proofErr w:type="spellEnd"/>
      <w:r w:rsidRPr="00E11A53">
        <w:t xml:space="preserve"> 2017</w:t>
      </w:r>
      <w:r>
        <w:t xml:space="preserve">, Riches, O’Brien and CDS Inclusive Research Network, 2017, </w:t>
      </w:r>
      <w:r w:rsidRPr="006D3104">
        <w:t xml:space="preserve">Vaughn </w:t>
      </w:r>
      <w:r w:rsidRPr="009800AB">
        <w:rPr>
          <w:i/>
        </w:rPr>
        <w:t>et al.,</w:t>
      </w:r>
      <w:r>
        <w:t xml:space="preserve"> </w:t>
      </w:r>
      <w:r w:rsidRPr="006D3104">
        <w:t>2019</w:t>
      </w:r>
    </w:p>
  </w:footnote>
  <w:footnote w:id="166">
    <w:p w14:paraId="5760A15A" w14:textId="24241884" w:rsidR="00452DFD" w:rsidRDefault="00452DFD">
      <w:pPr>
        <w:pStyle w:val="FootnoteText"/>
      </w:pPr>
      <w:r>
        <w:rPr>
          <w:rStyle w:val="FootnoteReference"/>
        </w:rPr>
        <w:footnoteRef/>
      </w:r>
      <w:r>
        <w:t xml:space="preserve"> </w:t>
      </w:r>
      <w:r>
        <w:rPr>
          <w:lang w:eastAsia="en-IE"/>
        </w:rPr>
        <w:t xml:space="preserve">Oliver </w:t>
      </w:r>
      <w:r w:rsidRPr="009800AB">
        <w:rPr>
          <w:i/>
          <w:lang w:eastAsia="en-IE"/>
        </w:rPr>
        <w:t>et al.,</w:t>
      </w:r>
      <w:r>
        <w:rPr>
          <w:lang w:eastAsia="en-IE"/>
        </w:rPr>
        <w:t xml:space="preserve"> 2020, p. 46</w:t>
      </w:r>
    </w:p>
  </w:footnote>
  <w:footnote w:id="167">
    <w:p w14:paraId="7443EF93" w14:textId="41582113" w:rsidR="00452DFD" w:rsidRDefault="00452DFD">
      <w:pPr>
        <w:pStyle w:val="FootnoteText"/>
      </w:pPr>
      <w:r>
        <w:rPr>
          <w:rStyle w:val="FootnoteReference"/>
        </w:rPr>
        <w:footnoteRef/>
      </w:r>
      <w:r>
        <w:t xml:space="preserve"> Anderson </w:t>
      </w:r>
      <w:r w:rsidRPr="009800AB">
        <w:rPr>
          <w:i/>
        </w:rPr>
        <w:t>et al.,</w:t>
      </w:r>
      <w:r>
        <w:t xml:space="preserve"> 2019, Disability Wales, 2019, Drill Report, 2019, </w:t>
      </w:r>
      <w:proofErr w:type="spellStart"/>
      <w:r>
        <w:t>Nicolaidis</w:t>
      </w:r>
      <w:proofErr w:type="spellEnd"/>
      <w:r>
        <w:t xml:space="preserve"> </w:t>
      </w:r>
      <w:r w:rsidRPr="009800AB">
        <w:rPr>
          <w:i/>
        </w:rPr>
        <w:t>et al.,</w:t>
      </w:r>
      <w:r>
        <w:t xml:space="preserve"> 2019, Salmon </w:t>
      </w:r>
      <w:r w:rsidRPr="009800AB">
        <w:rPr>
          <w:i/>
        </w:rPr>
        <w:t>et al.,</w:t>
      </w:r>
      <w:r>
        <w:t xml:space="preserve"> 2018, </w:t>
      </w:r>
      <w:proofErr w:type="spellStart"/>
      <w:r>
        <w:t>Sangill</w:t>
      </w:r>
      <w:proofErr w:type="spellEnd"/>
      <w:r>
        <w:t xml:space="preserve"> </w:t>
      </w:r>
      <w:r w:rsidRPr="009800AB">
        <w:rPr>
          <w:i/>
        </w:rPr>
        <w:t>et al.,</w:t>
      </w:r>
      <w:r>
        <w:t xml:space="preserve"> 2019, Williams, Ponting and Ford, 2015</w:t>
      </w:r>
    </w:p>
  </w:footnote>
  <w:footnote w:id="168">
    <w:p w14:paraId="29DFEB05" w14:textId="43CC0731" w:rsidR="00452DFD" w:rsidRDefault="00452DFD">
      <w:pPr>
        <w:pStyle w:val="FootnoteText"/>
      </w:pPr>
      <w:r>
        <w:rPr>
          <w:rStyle w:val="FootnoteReference"/>
        </w:rPr>
        <w:footnoteRef/>
      </w:r>
      <w:r>
        <w:t xml:space="preserve"> Anderson </w:t>
      </w:r>
      <w:r w:rsidRPr="009800AB">
        <w:rPr>
          <w:i/>
        </w:rPr>
        <w:t>et al.,</w:t>
      </w:r>
      <w:r>
        <w:t xml:space="preserve"> 2019, Staley 2009 cited in Ashcroft </w:t>
      </w:r>
      <w:r w:rsidRPr="009800AB">
        <w:rPr>
          <w:i/>
        </w:rPr>
        <w:t>et al.,</w:t>
      </w:r>
      <w:r>
        <w:t xml:space="preserve"> 2016, King </w:t>
      </w:r>
      <w:r w:rsidRPr="009800AB">
        <w:rPr>
          <w:i/>
        </w:rPr>
        <w:t>et al.,</w:t>
      </w:r>
      <w:r>
        <w:t xml:space="preserve"> 2019, </w:t>
      </w:r>
      <w:proofErr w:type="spellStart"/>
      <w:r>
        <w:t>Nind</w:t>
      </w:r>
      <w:proofErr w:type="spellEnd"/>
      <w:r>
        <w:t xml:space="preserve"> </w:t>
      </w:r>
      <w:r w:rsidRPr="009800AB">
        <w:rPr>
          <w:i/>
        </w:rPr>
        <w:t>et al.,</w:t>
      </w:r>
      <w:r>
        <w:t xml:space="preserve"> 2017, Smith-Merry, no date, Williams, Ponting and Ford, 2015</w:t>
      </w:r>
    </w:p>
  </w:footnote>
  <w:footnote w:id="169">
    <w:p w14:paraId="2CF8228A" w14:textId="6D1112B1"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170">
    <w:p w14:paraId="33B2B94D" w14:textId="5BE4E90D" w:rsidR="00452DFD" w:rsidRDefault="00452DFD">
      <w:pPr>
        <w:pStyle w:val="FootnoteText"/>
      </w:pPr>
      <w:r>
        <w:rPr>
          <w:rStyle w:val="FootnoteReference"/>
        </w:rPr>
        <w:footnoteRef/>
      </w:r>
      <w:r>
        <w:t xml:space="preserve"> O’Brien, </w:t>
      </w:r>
      <w:proofErr w:type="spellStart"/>
      <w:r>
        <w:t>Fossey</w:t>
      </w:r>
      <w:proofErr w:type="spellEnd"/>
      <w:r>
        <w:t xml:space="preserve"> and Palmer, 2021, </w:t>
      </w:r>
      <w:proofErr w:type="spellStart"/>
      <w:r>
        <w:t>Nind</w:t>
      </w:r>
      <w:proofErr w:type="spellEnd"/>
      <w:r>
        <w:t xml:space="preserve"> </w:t>
      </w:r>
      <w:r w:rsidRPr="009800AB">
        <w:rPr>
          <w:i/>
        </w:rPr>
        <w:t>et al.,</w:t>
      </w:r>
      <w:r>
        <w:t xml:space="preserve"> 2017</w:t>
      </w:r>
    </w:p>
  </w:footnote>
  <w:footnote w:id="171">
    <w:p w14:paraId="6C863B1D" w14:textId="3D200B48" w:rsidR="00452DFD" w:rsidRDefault="00452DFD">
      <w:pPr>
        <w:pStyle w:val="FootnoteText"/>
      </w:pPr>
      <w:r>
        <w:rPr>
          <w:rStyle w:val="FootnoteReference"/>
        </w:rPr>
        <w:footnoteRef/>
      </w:r>
      <w:r>
        <w:t xml:space="preserve"> Drill Report, 2019, Green </w:t>
      </w:r>
      <w:r w:rsidRPr="009800AB">
        <w:rPr>
          <w:i/>
        </w:rPr>
        <w:t>et al.,</w:t>
      </w:r>
      <w:r>
        <w:t xml:space="preserve"> 2016, Schwartz </w:t>
      </w:r>
      <w:r w:rsidRPr="009800AB">
        <w:rPr>
          <w:i/>
        </w:rPr>
        <w:t>et al.,</w:t>
      </w:r>
      <w:r>
        <w:t xml:space="preserve"> 2020, </w:t>
      </w:r>
      <w:r w:rsidRPr="00E11A53">
        <w:t xml:space="preserve">Stack </w:t>
      </w:r>
      <w:r>
        <w:t>and</w:t>
      </w:r>
      <w:r w:rsidRPr="00E11A53">
        <w:t xml:space="preserve"> McDonald, 2018</w:t>
      </w:r>
      <w:r>
        <w:t>,</w:t>
      </w:r>
      <w:r w:rsidRPr="00B27A9D">
        <w:t xml:space="preserve"> </w:t>
      </w:r>
      <w:r w:rsidRPr="00E11A53">
        <w:t xml:space="preserve">Tilly </w:t>
      </w:r>
      <w:r w:rsidRPr="009800AB">
        <w:rPr>
          <w:i/>
        </w:rPr>
        <w:t>et al.,</w:t>
      </w:r>
      <w:r>
        <w:t xml:space="preserve"> </w:t>
      </w:r>
      <w:r w:rsidRPr="00E11A53">
        <w:t>2015</w:t>
      </w:r>
    </w:p>
  </w:footnote>
  <w:footnote w:id="172">
    <w:p w14:paraId="2C4E09E2" w14:textId="5523E6C3" w:rsidR="00452DFD" w:rsidRDefault="00452DFD">
      <w:pPr>
        <w:pStyle w:val="FootnoteText"/>
      </w:pPr>
      <w:r>
        <w:rPr>
          <w:rStyle w:val="FootnoteReference"/>
        </w:rPr>
        <w:footnoteRef/>
      </w:r>
      <w:r>
        <w:t xml:space="preserve"> </w:t>
      </w:r>
      <w:proofErr w:type="spellStart"/>
      <w:r>
        <w:t>Gratton</w:t>
      </w:r>
      <w:proofErr w:type="spellEnd"/>
      <w:r>
        <w:t xml:space="preserve"> </w:t>
      </w:r>
      <w:r w:rsidRPr="009800AB">
        <w:rPr>
          <w:i/>
        </w:rPr>
        <w:t>et al.,</w:t>
      </w:r>
      <w:r>
        <w:t xml:space="preserve"> 2020, p. 110</w:t>
      </w:r>
    </w:p>
  </w:footnote>
  <w:footnote w:id="173">
    <w:p w14:paraId="3F744201" w14:textId="12B3DF42" w:rsidR="00452DFD" w:rsidRDefault="00452DFD">
      <w:pPr>
        <w:pStyle w:val="FootnoteText"/>
      </w:pPr>
      <w:r>
        <w:rPr>
          <w:rStyle w:val="FootnoteReference"/>
        </w:rPr>
        <w:footnoteRef/>
      </w:r>
      <w:r>
        <w:t xml:space="preserve"> </w:t>
      </w:r>
      <w:r w:rsidRPr="00E11A53">
        <w:t xml:space="preserve">Tilly </w:t>
      </w:r>
      <w:r w:rsidRPr="009800AB">
        <w:rPr>
          <w:i/>
        </w:rPr>
        <w:t>et al.,</w:t>
      </w:r>
      <w:r>
        <w:t xml:space="preserve"> </w:t>
      </w:r>
      <w:r w:rsidRPr="00E11A53">
        <w:t>2015</w:t>
      </w:r>
      <w:r>
        <w:t xml:space="preserve">, </w:t>
      </w:r>
      <w:r w:rsidRPr="006D3104">
        <w:t>Werner-</w:t>
      </w:r>
      <w:proofErr w:type="spellStart"/>
      <w:r w:rsidRPr="006D3104">
        <w:t>Seidler</w:t>
      </w:r>
      <w:proofErr w:type="spellEnd"/>
      <w:r w:rsidRPr="006D3104">
        <w:t xml:space="preserve"> </w:t>
      </w:r>
      <w:r w:rsidRPr="009800AB">
        <w:rPr>
          <w:i/>
        </w:rPr>
        <w:t>et al.,</w:t>
      </w:r>
      <w:r>
        <w:t xml:space="preserve"> </w:t>
      </w:r>
      <w:r w:rsidRPr="006D3104">
        <w:t>2019</w:t>
      </w:r>
    </w:p>
  </w:footnote>
  <w:footnote w:id="174">
    <w:p w14:paraId="200BC399" w14:textId="7F484219" w:rsidR="00452DFD" w:rsidRDefault="00452DFD">
      <w:pPr>
        <w:pStyle w:val="FootnoteText"/>
      </w:pPr>
      <w:r>
        <w:rPr>
          <w:rStyle w:val="FootnoteReference"/>
        </w:rPr>
        <w:footnoteRef/>
      </w:r>
      <w:r>
        <w:t xml:space="preserve"> </w:t>
      </w:r>
      <w:proofErr w:type="spellStart"/>
      <w:r w:rsidRPr="003319EB">
        <w:t>Bigby</w:t>
      </w:r>
      <w:proofErr w:type="spellEnd"/>
      <w:r w:rsidRPr="003319EB">
        <w:t xml:space="preserve">, </w:t>
      </w:r>
      <w:proofErr w:type="spellStart"/>
      <w:r w:rsidRPr="003319EB">
        <w:t>Frawley</w:t>
      </w:r>
      <w:proofErr w:type="spellEnd"/>
      <w:r w:rsidRPr="003319EB">
        <w:t xml:space="preserve"> and </w:t>
      </w:r>
      <w:proofErr w:type="spellStart"/>
      <w:r w:rsidRPr="003319EB">
        <w:t>Ramcharan</w:t>
      </w:r>
      <w:proofErr w:type="spellEnd"/>
      <w:r w:rsidRPr="003319EB">
        <w:t>, 2014a</w:t>
      </w:r>
      <w:r>
        <w:t xml:space="preserve">, </w:t>
      </w:r>
      <w:r w:rsidRPr="00FC79A5">
        <w:t xml:space="preserve">McCartan </w:t>
      </w:r>
      <w:r w:rsidRPr="009800AB">
        <w:rPr>
          <w:i/>
        </w:rPr>
        <w:t>et al.,</w:t>
      </w:r>
      <w:r>
        <w:t xml:space="preserve"> 2</w:t>
      </w:r>
      <w:r w:rsidRPr="00FC79A5">
        <w:t>019</w:t>
      </w:r>
    </w:p>
  </w:footnote>
  <w:footnote w:id="175">
    <w:p w14:paraId="694B2DA9" w14:textId="4DD36C9F" w:rsidR="00452DFD" w:rsidRDefault="00452DFD">
      <w:pPr>
        <w:pStyle w:val="FootnoteText"/>
      </w:pPr>
      <w:r>
        <w:rPr>
          <w:rStyle w:val="FootnoteReference"/>
        </w:rPr>
        <w:footnoteRef/>
      </w:r>
      <w:r>
        <w:t xml:space="preserve"> Thomas in Stack and McDonald, 2018, p. 85</w:t>
      </w:r>
    </w:p>
  </w:footnote>
  <w:footnote w:id="176">
    <w:p w14:paraId="2910584E" w14:textId="191AE845"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w:t>
      </w:r>
    </w:p>
  </w:footnote>
  <w:footnote w:id="177">
    <w:p w14:paraId="7B33199C" w14:textId="0A952277" w:rsidR="00452DFD" w:rsidRDefault="00452DFD">
      <w:pPr>
        <w:pStyle w:val="FootnoteText"/>
      </w:pPr>
      <w:r>
        <w:rPr>
          <w:rStyle w:val="FootnoteReference"/>
        </w:rPr>
        <w:footnoteRef/>
      </w:r>
      <w:r>
        <w:t xml:space="preserve"> </w:t>
      </w:r>
      <w:proofErr w:type="spellStart"/>
      <w:r>
        <w:t>Woelders</w:t>
      </w:r>
      <w:proofErr w:type="spellEnd"/>
      <w:r>
        <w:t xml:space="preserve"> </w:t>
      </w:r>
      <w:r w:rsidRPr="009800AB">
        <w:rPr>
          <w:i/>
        </w:rPr>
        <w:t>et al.,</w:t>
      </w:r>
      <w:r>
        <w:t xml:space="preserve"> 2015</w:t>
      </w:r>
    </w:p>
  </w:footnote>
  <w:footnote w:id="178">
    <w:p w14:paraId="1CF9ACAB" w14:textId="08C4342B" w:rsidR="00452DFD" w:rsidRDefault="00452DFD">
      <w:pPr>
        <w:pStyle w:val="FootnoteText"/>
      </w:pPr>
      <w:r>
        <w:rPr>
          <w:rStyle w:val="FootnoteReference"/>
        </w:rPr>
        <w:footnoteRef/>
      </w:r>
      <w:r>
        <w:t xml:space="preserve"> Armstrong </w:t>
      </w:r>
      <w:r w:rsidRPr="009800AB">
        <w:rPr>
          <w:i/>
        </w:rPr>
        <w:t>et al.,</w:t>
      </w:r>
      <w:r>
        <w:t xml:space="preserve"> 2019, Ashcroft </w:t>
      </w:r>
      <w:r w:rsidRPr="009800AB">
        <w:rPr>
          <w:i/>
        </w:rPr>
        <w:t>et al.,</w:t>
      </w:r>
      <w:r>
        <w:t xml:space="preserve"> 2016, Drill Report, 2019, King </w:t>
      </w:r>
      <w:r w:rsidRPr="009800AB">
        <w:rPr>
          <w:i/>
        </w:rPr>
        <w:t>et al.,</w:t>
      </w:r>
      <w:r>
        <w:t xml:space="preserve"> 2019, </w:t>
      </w:r>
      <w:proofErr w:type="spellStart"/>
      <w:r>
        <w:t>Moule</w:t>
      </w:r>
      <w:proofErr w:type="spellEnd"/>
      <w:r>
        <w:t xml:space="preserve"> </w:t>
      </w:r>
      <w:r w:rsidRPr="009800AB">
        <w:rPr>
          <w:i/>
        </w:rPr>
        <w:t>et al.,</w:t>
      </w:r>
      <w:r>
        <w:t xml:space="preserve"> 2016, </w:t>
      </w:r>
      <w:proofErr w:type="spellStart"/>
      <w:r>
        <w:t>Sangill</w:t>
      </w:r>
      <w:proofErr w:type="spellEnd"/>
      <w:r>
        <w:t xml:space="preserve"> </w:t>
      </w:r>
      <w:r w:rsidRPr="009800AB">
        <w:rPr>
          <w:i/>
        </w:rPr>
        <w:t>et al.,</w:t>
      </w:r>
      <w:r>
        <w:t xml:space="preserve"> 2019, Smith-Merry, no date</w:t>
      </w:r>
    </w:p>
  </w:footnote>
  <w:footnote w:id="179">
    <w:p w14:paraId="7AC42B5C" w14:textId="557A47AB" w:rsidR="00452DFD" w:rsidRDefault="00452DFD">
      <w:pPr>
        <w:pStyle w:val="FootnoteText"/>
      </w:pPr>
      <w:r>
        <w:rPr>
          <w:rStyle w:val="FootnoteReference"/>
        </w:rPr>
        <w:footnoteRef/>
      </w:r>
      <w:r>
        <w:t xml:space="preserve"> Staley, 2009 in Ashcroft </w:t>
      </w:r>
      <w:r w:rsidRPr="009800AB">
        <w:rPr>
          <w:i/>
        </w:rPr>
        <w:t>et al.,</w:t>
      </w:r>
      <w:r>
        <w:t xml:space="preserve"> 2016, </w:t>
      </w:r>
      <w:proofErr w:type="spellStart"/>
      <w:r>
        <w:t>Frankena</w:t>
      </w:r>
      <w:proofErr w:type="spellEnd"/>
      <w:r>
        <w:t xml:space="preserve"> </w:t>
      </w:r>
      <w:r w:rsidRPr="009800AB">
        <w:rPr>
          <w:i/>
        </w:rPr>
        <w:t>et al.,</w:t>
      </w:r>
      <w:r>
        <w:t xml:space="preserve"> 2015, Hollinrake, Spencer and Dix, 2019, Schwartz, </w:t>
      </w:r>
      <w:r w:rsidRPr="009800AB">
        <w:rPr>
          <w:i/>
        </w:rPr>
        <w:t>et al.,</w:t>
      </w:r>
      <w:r>
        <w:t xml:space="preserve"> 2020</w:t>
      </w:r>
    </w:p>
  </w:footnote>
  <w:footnote w:id="180">
    <w:p w14:paraId="7DE81293" w14:textId="1DD59DAD" w:rsidR="00452DFD" w:rsidRDefault="00452DFD">
      <w:pPr>
        <w:pStyle w:val="FootnoteText"/>
      </w:pPr>
      <w:r>
        <w:rPr>
          <w:rStyle w:val="FootnoteReference"/>
        </w:rPr>
        <w:footnoteRef/>
      </w:r>
      <w:r>
        <w:t xml:space="preserve"> </w:t>
      </w:r>
      <w:r w:rsidRPr="009B17B5">
        <w:t>DRILL report, 2018</w:t>
      </w:r>
      <w:r>
        <w:t xml:space="preserve">, </w:t>
      </w:r>
      <w:r w:rsidRPr="009B17B5">
        <w:t xml:space="preserve">Green </w:t>
      </w:r>
      <w:r w:rsidRPr="009800AB">
        <w:rPr>
          <w:i/>
        </w:rPr>
        <w:t>et al.,</w:t>
      </w:r>
      <w:r>
        <w:t xml:space="preserve"> </w:t>
      </w:r>
      <w:r w:rsidRPr="009B17B5">
        <w:t>2016</w:t>
      </w:r>
      <w:r>
        <w:t xml:space="preserve">, </w:t>
      </w:r>
      <w:proofErr w:type="spellStart"/>
      <w:r w:rsidRPr="007F544F">
        <w:t>Hamidi</w:t>
      </w:r>
      <w:proofErr w:type="spellEnd"/>
      <w:r w:rsidRPr="007F544F">
        <w:t xml:space="preserve"> </w:t>
      </w:r>
      <w:r w:rsidRPr="009800AB">
        <w:rPr>
          <w:i/>
        </w:rPr>
        <w:t>et al.,</w:t>
      </w:r>
      <w:r>
        <w:t xml:space="preserve"> </w:t>
      </w:r>
      <w:r w:rsidRPr="007F544F">
        <w:t>2015</w:t>
      </w:r>
      <w:r>
        <w:t>,</w:t>
      </w:r>
      <w:r w:rsidRPr="009B17B5">
        <w:t xml:space="preserve"> </w:t>
      </w:r>
      <w:r w:rsidRPr="007F544F">
        <w:t>S</w:t>
      </w:r>
      <w:r>
        <w:t>ch</w:t>
      </w:r>
      <w:r w:rsidRPr="007F544F">
        <w:t xml:space="preserve">wartz </w:t>
      </w:r>
      <w:r w:rsidRPr="009800AB">
        <w:rPr>
          <w:i/>
        </w:rPr>
        <w:t>et al.,</w:t>
      </w:r>
      <w:r>
        <w:t xml:space="preserve"> </w:t>
      </w:r>
      <w:r w:rsidRPr="007F544F">
        <w:t>2020</w:t>
      </w:r>
    </w:p>
  </w:footnote>
  <w:footnote w:id="181">
    <w:p w14:paraId="1520B98B" w14:textId="793A9E8B" w:rsidR="00452DFD" w:rsidRDefault="00452DFD">
      <w:pPr>
        <w:pStyle w:val="FootnoteText"/>
      </w:pPr>
      <w:r>
        <w:rPr>
          <w:rStyle w:val="FootnoteReference"/>
        </w:rPr>
        <w:footnoteRef/>
      </w:r>
      <w:r>
        <w:t xml:space="preserve"> K</w:t>
      </w:r>
      <w:r w:rsidRPr="007F544F">
        <w:t xml:space="preserve">ing </w:t>
      </w:r>
      <w:r w:rsidRPr="009800AB">
        <w:rPr>
          <w:i/>
        </w:rPr>
        <w:t>et al.,</w:t>
      </w:r>
      <w:r>
        <w:t xml:space="preserve"> </w:t>
      </w:r>
      <w:r w:rsidRPr="007F544F">
        <w:t>2019</w:t>
      </w:r>
    </w:p>
  </w:footnote>
  <w:footnote w:id="182">
    <w:p w14:paraId="23CCB7D3" w14:textId="1633871B" w:rsidR="00452DFD" w:rsidRDefault="00452DFD">
      <w:pPr>
        <w:pStyle w:val="FootnoteText"/>
      </w:pPr>
      <w:r>
        <w:rPr>
          <w:rStyle w:val="FootnoteReference"/>
        </w:rPr>
        <w:footnoteRef/>
      </w:r>
      <w:r>
        <w:t xml:space="preserve"> Drill Report, 2018, p. 70</w:t>
      </w:r>
    </w:p>
  </w:footnote>
  <w:footnote w:id="183">
    <w:p w14:paraId="36192279" w14:textId="7B88CEBE" w:rsidR="00452DFD" w:rsidRDefault="00452DFD">
      <w:pPr>
        <w:pStyle w:val="FootnoteText"/>
      </w:pPr>
      <w:r>
        <w:rPr>
          <w:rStyle w:val="FootnoteReference"/>
        </w:rPr>
        <w:footnoteRef/>
      </w:r>
      <w:r>
        <w:t xml:space="preserve"> </w:t>
      </w:r>
      <w:proofErr w:type="spellStart"/>
      <w:r w:rsidRPr="00FC79A5">
        <w:t>Frankena</w:t>
      </w:r>
      <w:proofErr w:type="spellEnd"/>
      <w:r w:rsidRPr="00FC79A5">
        <w:t xml:space="preserve"> </w:t>
      </w:r>
      <w:r w:rsidRPr="009800AB">
        <w:rPr>
          <w:i/>
        </w:rPr>
        <w:t>et al.,</w:t>
      </w:r>
      <w:r>
        <w:t xml:space="preserve"> 2019c,</w:t>
      </w:r>
      <w:r w:rsidRPr="004A0E18">
        <w:t xml:space="preserve"> </w:t>
      </w:r>
      <w:r w:rsidRPr="006D3104">
        <w:t>IRN 2019</w:t>
      </w:r>
      <w:r>
        <w:t xml:space="preserve">, </w:t>
      </w:r>
      <w:r w:rsidRPr="00FC79A5">
        <w:t xml:space="preserve">McCartan </w:t>
      </w:r>
      <w:r w:rsidRPr="009800AB">
        <w:rPr>
          <w:i/>
        </w:rPr>
        <w:t>et al.,</w:t>
      </w:r>
      <w:r>
        <w:t xml:space="preserve"> 2</w:t>
      </w:r>
      <w:r w:rsidRPr="00FC79A5">
        <w:t>019</w:t>
      </w:r>
    </w:p>
  </w:footnote>
  <w:footnote w:id="184">
    <w:p w14:paraId="7E90BD3A" w14:textId="67BA3108" w:rsidR="00452DFD" w:rsidRDefault="00452DFD">
      <w:pPr>
        <w:pStyle w:val="FootnoteText"/>
      </w:pPr>
      <w:r>
        <w:rPr>
          <w:rStyle w:val="FootnoteReference"/>
        </w:rPr>
        <w:footnoteRef/>
      </w:r>
      <w:r>
        <w:t xml:space="preserve"> Riches, O’Brien and CDS Inclusive Research Network, 2020, Smith-Merry,</w:t>
      </w:r>
      <w:r w:rsidRPr="00A0195C">
        <w:t xml:space="preserve"> 2017</w:t>
      </w:r>
    </w:p>
  </w:footnote>
  <w:footnote w:id="185">
    <w:p w14:paraId="0084DF3C" w14:textId="0335FC92" w:rsidR="00452DFD" w:rsidRDefault="00452DFD">
      <w:pPr>
        <w:pStyle w:val="FootnoteText"/>
      </w:pPr>
      <w:r>
        <w:rPr>
          <w:rStyle w:val="FootnoteReference"/>
        </w:rPr>
        <w:footnoteRef/>
      </w:r>
      <w:r>
        <w:t xml:space="preserve"> </w:t>
      </w:r>
      <w:r w:rsidRPr="005F3A80" w:rsidDel="005A1F7E">
        <w:t>Disability Wales, 2019</w:t>
      </w:r>
      <w:r>
        <w:t xml:space="preserve">, </w:t>
      </w:r>
      <w:proofErr w:type="spellStart"/>
      <w:r w:rsidDel="005A1F7E">
        <w:t>Gratton</w:t>
      </w:r>
      <w:proofErr w:type="spellEnd"/>
      <w:r w:rsidDel="005A1F7E">
        <w:t xml:space="preserve"> </w:t>
      </w:r>
      <w:r w:rsidRPr="009800AB">
        <w:rPr>
          <w:i/>
        </w:rPr>
        <w:t>et al.,</w:t>
      </w:r>
      <w:r>
        <w:t xml:space="preserve"> </w:t>
      </w:r>
      <w:r w:rsidDel="005A1F7E">
        <w:t>20</w:t>
      </w:r>
      <w:r>
        <w:t>20</w:t>
      </w:r>
    </w:p>
  </w:footnote>
  <w:footnote w:id="186">
    <w:p w14:paraId="2216E707" w14:textId="7DB16C9D" w:rsidR="00452DFD" w:rsidRDefault="00452DFD">
      <w:pPr>
        <w:pStyle w:val="FootnoteText"/>
      </w:pPr>
      <w:r>
        <w:rPr>
          <w:rStyle w:val="FootnoteReference"/>
        </w:rPr>
        <w:footnoteRef/>
      </w:r>
      <w:r>
        <w:t xml:space="preserve"> </w:t>
      </w:r>
      <w:r w:rsidRPr="00FD502E">
        <w:t xml:space="preserve">Lightfoot and </w:t>
      </w:r>
      <w:proofErr w:type="spellStart"/>
      <w:r w:rsidRPr="00FD502E">
        <w:t>Sloper</w:t>
      </w:r>
      <w:proofErr w:type="spellEnd"/>
      <w:r w:rsidRPr="00FD502E">
        <w:t xml:space="preserve"> 2003</w:t>
      </w:r>
      <w:r>
        <w:t xml:space="preserve"> cited in Bailey </w:t>
      </w:r>
      <w:r w:rsidRPr="009800AB">
        <w:rPr>
          <w:i/>
        </w:rPr>
        <w:t>et al.,</w:t>
      </w:r>
      <w:r>
        <w:t xml:space="preserve"> 2015,</w:t>
      </w:r>
      <w:r w:rsidRPr="00614948">
        <w:t xml:space="preserve"> </w:t>
      </w:r>
      <w:proofErr w:type="spellStart"/>
      <w:r>
        <w:t>Conder</w:t>
      </w:r>
      <w:proofErr w:type="spellEnd"/>
      <w:r>
        <w:t xml:space="preserve"> </w:t>
      </w:r>
      <w:r w:rsidRPr="009800AB">
        <w:rPr>
          <w:i/>
        </w:rPr>
        <w:t>et al.,</w:t>
      </w:r>
      <w:r>
        <w:t xml:space="preserve"> 2011 cited in Di </w:t>
      </w:r>
      <w:proofErr w:type="spellStart"/>
      <w:r>
        <w:t>Lorito</w:t>
      </w:r>
      <w:proofErr w:type="spellEnd"/>
      <w:r>
        <w:t xml:space="preserve"> </w:t>
      </w:r>
      <w:r w:rsidRPr="009800AB">
        <w:rPr>
          <w:i/>
        </w:rPr>
        <w:t>et al.,</w:t>
      </w:r>
      <w:r>
        <w:t xml:space="preserve"> 2018, </w:t>
      </w:r>
      <w:proofErr w:type="spellStart"/>
      <w:r>
        <w:t>Sangill</w:t>
      </w:r>
      <w:proofErr w:type="spellEnd"/>
      <w:r>
        <w:t xml:space="preserve"> </w:t>
      </w:r>
      <w:r w:rsidRPr="009800AB">
        <w:rPr>
          <w:i/>
        </w:rPr>
        <w:t>et al.,</w:t>
      </w:r>
      <w:r>
        <w:t xml:space="preserve"> 2019, Schwartz </w:t>
      </w:r>
      <w:r w:rsidRPr="009800AB">
        <w:rPr>
          <w:i/>
        </w:rPr>
        <w:t>et al.,</w:t>
      </w:r>
      <w:r>
        <w:t xml:space="preserve"> 2020, </w:t>
      </w:r>
    </w:p>
  </w:footnote>
  <w:footnote w:id="187">
    <w:p w14:paraId="7ABA0A0E" w14:textId="0A9702A8" w:rsidR="00452DFD" w:rsidRDefault="00452DFD">
      <w:pPr>
        <w:pStyle w:val="FootnoteText"/>
      </w:pPr>
      <w:r>
        <w:rPr>
          <w:rStyle w:val="FootnoteReference"/>
        </w:rPr>
        <w:footnoteRef/>
      </w:r>
      <w:r>
        <w:t xml:space="preserve"> Di </w:t>
      </w:r>
      <w:proofErr w:type="spellStart"/>
      <w:r>
        <w:t>Lorito</w:t>
      </w:r>
      <w:proofErr w:type="spellEnd"/>
      <w:r w:rsidRPr="00FC79A5">
        <w:t xml:space="preserve"> </w:t>
      </w:r>
      <w:r w:rsidRPr="009800AB">
        <w:rPr>
          <w:i/>
        </w:rPr>
        <w:t>et al.,</w:t>
      </w:r>
      <w:r>
        <w:t xml:space="preserve"> 2</w:t>
      </w:r>
      <w:r w:rsidRPr="00FC79A5">
        <w:t>01</w:t>
      </w:r>
      <w:r>
        <w:t xml:space="preserve">8, Disability Wales, 2019, Drill Report, 2019, Hollinrake, Spencer and Dix, 2019, </w:t>
      </w:r>
      <w:proofErr w:type="spellStart"/>
      <w:r>
        <w:t>Moule</w:t>
      </w:r>
      <w:proofErr w:type="spellEnd"/>
      <w:r>
        <w:t xml:space="preserve"> </w:t>
      </w:r>
      <w:r w:rsidRPr="009800AB">
        <w:rPr>
          <w:i/>
        </w:rPr>
        <w:t>et al.,</w:t>
      </w:r>
      <w:r>
        <w:t xml:space="preserve"> 2016, </w:t>
      </w:r>
      <w:proofErr w:type="spellStart"/>
      <w:r>
        <w:t>Sangill</w:t>
      </w:r>
      <w:proofErr w:type="spellEnd"/>
      <w:r>
        <w:t xml:space="preserve"> </w:t>
      </w:r>
      <w:r w:rsidRPr="009800AB">
        <w:rPr>
          <w:i/>
        </w:rPr>
        <w:t>et al.,</w:t>
      </w:r>
      <w:r>
        <w:t xml:space="preserve"> 2019, Schwartz </w:t>
      </w:r>
      <w:r w:rsidRPr="009800AB">
        <w:rPr>
          <w:i/>
        </w:rPr>
        <w:t>et al.,</w:t>
      </w:r>
      <w:r>
        <w:t xml:space="preserve"> 2020, Stack and McDonald, 2018</w:t>
      </w:r>
    </w:p>
  </w:footnote>
  <w:footnote w:id="188">
    <w:p w14:paraId="1BABED7D" w14:textId="6E9F53CC" w:rsidR="00452DFD" w:rsidRDefault="00452DFD">
      <w:pPr>
        <w:pStyle w:val="FootnoteText"/>
      </w:pPr>
      <w:r>
        <w:rPr>
          <w:rStyle w:val="FootnoteReference"/>
        </w:rPr>
        <w:footnoteRef/>
      </w:r>
      <w:r>
        <w:t xml:space="preserve"> Ashcroft </w:t>
      </w:r>
      <w:r w:rsidRPr="009800AB">
        <w:rPr>
          <w:i/>
        </w:rPr>
        <w:t>et al.,</w:t>
      </w:r>
      <w:r>
        <w:t xml:space="preserve"> 2016, p. 30</w:t>
      </w:r>
    </w:p>
  </w:footnote>
  <w:footnote w:id="189">
    <w:p w14:paraId="7A38F794" w14:textId="07D29D99" w:rsidR="00452DFD" w:rsidRDefault="00452DFD">
      <w:pPr>
        <w:pStyle w:val="FootnoteText"/>
      </w:pPr>
      <w:r>
        <w:rPr>
          <w:rStyle w:val="FootnoteReference"/>
        </w:rPr>
        <w:footnoteRef/>
      </w:r>
      <w:r>
        <w:t xml:space="preserve"> Tilly </w:t>
      </w:r>
      <w:r w:rsidRPr="009800AB">
        <w:rPr>
          <w:i/>
        </w:rPr>
        <w:t>et al.,</w:t>
      </w:r>
      <w:r>
        <w:t xml:space="preserve"> 2015, Williams, Ponting and Ford, 2015</w:t>
      </w:r>
    </w:p>
  </w:footnote>
  <w:footnote w:id="190">
    <w:p w14:paraId="351DA351" w14:textId="5E5D7E4C" w:rsidR="00452DFD" w:rsidRDefault="00452DFD">
      <w:pPr>
        <w:pStyle w:val="FootnoteText"/>
      </w:pPr>
      <w:r>
        <w:rPr>
          <w:rStyle w:val="FootnoteReference"/>
        </w:rPr>
        <w:footnoteRef/>
      </w:r>
      <w:r>
        <w:t xml:space="preserve"> Paul </w:t>
      </w:r>
      <w:r w:rsidRPr="009800AB">
        <w:rPr>
          <w:i/>
        </w:rPr>
        <w:t>et al.,</w:t>
      </w:r>
      <w:r>
        <w:t xml:space="preserve"> 2017, </w:t>
      </w:r>
      <w:proofErr w:type="spellStart"/>
      <w:r>
        <w:t>Sangill</w:t>
      </w:r>
      <w:proofErr w:type="spellEnd"/>
      <w:r>
        <w:t xml:space="preserve"> </w:t>
      </w:r>
      <w:r w:rsidRPr="009800AB">
        <w:rPr>
          <w:i/>
        </w:rPr>
        <w:t>et al.,</w:t>
      </w:r>
      <w:r>
        <w:t xml:space="preserve"> 2019,</w:t>
      </w:r>
      <w:r w:rsidRPr="00614948">
        <w:t xml:space="preserve"> </w:t>
      </w:r>
      <w:r w:rsidRPr="006D3104">
        <w:t>Werner-</w:t>
      </w:r>
      <w:proofErr w:type="spellStart"/>
      <w:r w:rsidRPr="006D3104">
        <w:t>Seidler</w:t>
      </w:r>
      <w:proofErr w:type="spellEnd"/>
      <w:r w:rsidRPr="006D3104">
        <w:t xml:space="preserve"> </w:t>
      </w:r>
      <w:r w:rsidRPr="009800AB">
        <w:rPr>
          <w:i/>
        </w:rPr>
        <w:t>et al.,</w:t>
      </w:r>
      <w:r>
        <w:t xml:space="preserve"> </w:t>
      </w:r>
      <w:r w:rsidRPr="006D3104">
        <w:t>2019</w:t>
      </w:r>
    </w:p>
  </w:footnote>
  <w:footnote w:id="191">
    <w:p w14:paraId="02D7E214" w14:textId="2E2864C4" w:rsidR="00452DFD" w:rsidRDefault="00452DFD">
      <w:pPr>
        <w:pStyle w:val="FootnoteText"/>
      </w:pPr>
      <w:r>
        <w:rPr>
          <w:rStyle w:val="FootnoteReference"/>
        </w:rPr>
        <w:footnoteRef/>
      </w:r>
      <w:r>
        <w:t xml:space="preserve"> Paul </w:t>
      </w:r>
      <w:r w:rsidRPr="009800AB">
        <w:rPr>
          <w:i/>
        </w:rPr>
        <w:t>et al.,</w:t>
      </w:r>
      <w:r>
        <w:t xml:space="preserve"> 2017</w:t>
      </w:r>
    </w:p>
  </w:footnote>
  <w:footnote w:id="192">
    <w:p w14:paraId="3D88F210" w14:textId="0451AF20" w:rsidR="00452DFD" w:rsidRDefault="00452DFD">
      <w:pPr>
        <w:pStyle w:val="FootnoteText"/>
      </w:pPr>
      <w:r>
        <w:rPr>
          <w:rStyle w:val="FootnoteReference"/>
        </w:rPr>
        <w:footnoteRef/>
      </w:r>
      <w:r>
        <w:t xml:space="preserve"> Rojas </w:t>
      </w:r>
      <w:proofErr w:type="spellStart"/>
      <w:r>
        <w:t>Pernia</w:t>
      </w:r>
      <w:proofErr w:type="spellEnd"/>
      <w:r>
        <w:t xml:space="preserve"> and Haya </w:t>
      </w:r>
      <w:proofErr w:type="spellStart"/>
      <w:r>
        <w:t>Salmón</w:t>
      </w:r>
      <w:proofErr w:type="spellEnd"/>
      <w:r>
        <w:t xml:space="preserve">, 2020, Salmon </w:t>
      </w:r>
      <w:r w:rsidRPr="009800AB">
        <w:rPr>
          <w:i/>
        </w:rPr>
        <w:t>et al.,</w:t>
      </w:r>
      <w:r>
        <w:t xml:space="preserve"> 2018</w:t>
      </w:r>
    </w:p>
  </w:footnote>
  <w:footnote w:id="193">
    <w:p w14:paraId="1BC69DED" w14:textId="2EB40474" w:rsidR="00452DFD" w:rsidRDefault="00452DFD">
      <w:pPr>
        <w:pStyle w:val="FootnoteText"/>
      </w:pPr>
      <w:r>
        <w:rPr>
          <w:rStyle w:val="FootnoteReference"/>
        </w:rPr>
        <w:footnoteRef/>
      </w:r>
      <w:r>
        <w:t xml:space="preserve"> Campus Engage, 2017</w:t>
      </w:r>
    </w:p>
  </w:footnote>
  <w:footnote w:id="194">
    <w:p w14:paraId="13F9D559" w14:textId="23E9A4F0" w:rsidR="00452DFD" w:rsidRDefault="00452DFD">
      <w:pPr>
        <w:pStyle w:val="FootnoteText"/>
      </w:pPr>
      <w:r>
        <w:rPr>
          <w:rStyle w:val="FootnoteReference"/>
        </w:rPr>
        <w:footnoteRef/>
      </w:r>
      <w:r>
        <w:t xml:space="preserve"> Anderson </w:t>
      </w:r>
      <w:r w:rsidRPr="009800AB">
        <w:rPr>
          <w:i/>
        </w:rPr>
        <w:t>et al.,</w:t>
      </w:r>
      <w:r>
        <w:t xml:space="preserve"> 2019, </w:t>
      </w:r>
      <w:proofErr w:type="spellStart"/>
      <w:r>
        <w:t>Barod</w:t>
      </w:r>
      <w:proofErr w:type="spellEnd"/>
      <w:r>
        <w:t xml:space="preserve"> Community Interest Company, 2019, </w:t>
      </w:r>
      <w:proofErr w:type="spellStart"/>
      <w:r>
        <w:t>Brea</w:t>
      </w:r>
      <w:r w:rsidRPr="00401012">
        <w:t>u</w:t>
      </w:r>
      <w:r>
        <w:t>lt</w:t>
      </w:r>
      <w:proofErr w:type="spellEnd"/>
      <w:r>
        <w:t xml:space="preserve"> </w:t>
      </w:r>
      <w:r w:rsidRPr="009800AB">
        <w:rPr>
          <w:i/>
        </w:rPr>
        <w:t>et al.,</w:t>
      </w:r>
      <w:r>
        <w:t xml:space="preserve"> 2018, </w:t>
      </w:r>
      <w:proofErr w:type="spellStart"/>
      <w:r>
        <w:t>S</w:t>
      </w:r>
      <w:r w:rsidRPr="00766DDD">
        <w:t>trnadov</w:t>
      </w:r>
      <w:r>
        <w:t>á</w:t>
      </w:r>
      <w:proofErr w:type="spellEnd"/>
      <w:r>
        <w:t xml:space="preserve"> </w:t>
      </w:r>
      <w:r w:rsidRPr="009800AB">
        <w:rPr>
          <w:i/>
        </w:rPr>
        <w:t>et al.,</w:t>
      </w:r>
      <w:r w:rsidRPr="00401012">
        <w:t xml:space="preserve"> 2014 </w:t>
      </w:r>
      <w:r>
        <w:t>cited in</w:t>
      </w:r>
      <w:r w:rsidRPr="00401012">
        <w:t xml:space="preserve"> </w:t>
      </w:r>
      <w:r>
        <w:t xml:space="preserve">Di </w:t>
      </w:r>
      <w:proofErr w:type="spellStart"/>
      <w:r>
        <w:t>Lorito</w:t>
      </w:r>
      <w:proofErr w:type="spellEnd"/>
      <w:r w:rsidRPr="00401012">
        <w:t xml:space="preserve"> </w:t>
      </w:r>
      <w:r w:rsidRPr="009800AB">
        <w:rPr>
          <w:i/>
        </w:rPr>
        <w:t>et al.,</w:t>
      </w:r>
      <w:r w:rsidRPr="00401012">
        <w:t xml:space="preserve"> 201</w:t>
      </w:r>
      <w:r>
        <w:t xml:space="preserve">8, </w:t>
      </w:r>
      <w:r w:rsidRPr="00F9544B">
        <w:t xml:space="preserve">Gillard </w:t>
      </w:r>
      <w:r w:rsidRPr="009800AB">
        <w:rPr>
          <w:i/>
        </w:rPr>
        <w:t>et al.,</w:t>
      </w:r>
      <w:r w:rsidRPr="00F9544B">
        <w:t xml:space="preserve"> 2012</w:t>
      </w:r>
      <w:r>
        <w:t xml:space="preserve"> cited in Paul </w:t>
      </w:r>
      <w:r w:rsidRPr="009800AB">
        <w:rPr>
          <w:i/>
        </w:rPr>
        <w:t>et al.,</w:t>
      </w:r>
      <w:r>
        <w:t xml:space="preserve"> 2017, </w:t>
      </w:r>
      <w:r w:rsidRPr="00F9544B">
        <w:t xml:space="preserve">Ross </w:t>
      </w:r>
      <w:r w:rsidRPr="009800AB">
        <w:rPr>
          <w:i/>
        </w:rPr>
        <w:t>et al.,</w:t>
      </w:r>
      <w:r w:rsidRPr="00F9544B">
        <w:t xml:space="preserve"> 2005</w:t>
      </w:r>
      <w:r>
        <w:t xml:space="preserve"> cited in Paul </w:t>
      </w:r>
      <w:r w:rsidRPr="009800AB">
        <w:rPr>
          <w:i/>
        </w:rPr>
        <w:t>et al.,</w:t>
      </w:r>
      <w:r>
        <w:t xml:space="preserve"> 2017, </w:t>
      </w:r>
      <w:proofErr w:type="spellStart"/>
      <w:r>
        <w:t>Woelders</w:t>
      </w:r>
      <w:proofErr w:type="spellEnd"/>
      <w:r>
        <w:t xml:space="preserve"> </w:t>
      </w:r>
      <w:r w:rsidRPr="009800AB">
        <w:rPr>
          <w:i/>
        </w:rPr>
        <w:t>et al.,</w:t>
      </w:r>
      <w:r>
        <w:t xml:space="preserve"> 2015</w:t>
      </w:r>
    </w:p>
  </w:footnote>
  <w:footnote w:id="195">
    <w:p w14:paraId="05F1557A" w14:textId="45F11F40" w:rsidR="00452DFD" w:rsidRDefault="00452DFD">
      <w:pPr>
        <w:pStyle w:val="FootnoteText"/>
      </w:pPr>
      <w:r>
        <w:rPr>
          <w:rStyle w:val="FootnoteReference"/>
        </w:rPr>
        <w:footnoteRef/>
      </w:r>
      <w:r>
        <w:t xml:space="preserve"> Paul </w:t>
      </w:r>
      <w:r w:rsidRPr="009800AB">
        <w:rPr>
          <w:i/>
        </w:rPr>
        <w:t>et al.,</w:t>
      </w:r>
      <w:r>
        <w:t xml:space="preserve"> 2017</w:t>
      </w:r>
    </w:p>
  </w:footnote>
  <w:footnote w:id="196">
    <w:p w14:paraId="1057FE38" w14:textId="36593816" w:rsidR="00452DFD" w:rsidRDefault="00452DFD">
      <w:pPr>
        <w:pStyle w:val="FootnoteText"/>
      </w:pPr>
      <w:r>
        <w:rPr>
          <w:rStyle w:val="FootnoteReference"/>
        </w:rPr>
        <w:footnoteRef/>
      </w:r>
      <w:r>
        <w:t xml:space="preserve"> Paul </w:t>
      </w:r>
      <w:r w:rsidRPr="009800AB">
        <w:rPr>
          <w:i/>
        </w:rPr>
        <w:t>et al.,</w:t>
      </w:r>
      <w:r>
        <w:t xml:space="preserve"> 2017, </w:t>
      </w:r>
      <w:proofErr w:type="spellStart"/>
      <w:r>
        <w:t>Woelders</w:t>
      </w:r>
      <w:proofErr w:type="spellEnd"/>
      <w:r>
        <w:t xml:space="preserve"> </w:t>
      </w:r>
      <w:r w:rsidRPr="009800AB">
        <w:rPr>
          <w:i/>
        </w:rPr>
        <w:t>et al.,</w:t>
      </w:r>
      <w:r>
        <w:t xml:space="preserve"> 2015</w:t>
      </w:r>
    </w:p>
  </w:footnote>
  <w:footnote w:id="197">
    <w:p w14:paraId="02CA267C" w14:textId="27F7466D" w:rsidR="00452DFD" w:rsidRDefault="00452DFD">
      <w:pPr>
        <w:pStyle w:val="FootnoteText"/>
      </w:pPr>
      <w:r>
        <w:rPr>
          <w:rStyle w:val="FootnoteReference"/>
        </w:rPr>
        <w:footnoteRef/>
      </w:r>
      <w:r>
        <w:t xml:space="preserve"> Barry, 2016</w:t>
      </w:r>
    </w:p>
  </w:footnote>
  <w:footnote w:id="198">
    <w:p w14:paraId="6378323B" w14:textId="28AADD84" w:rsidR="00452DFD" w:rsidRDefault="00452DFD">
      <w:pPr>
        <w:pStyle w:val="FootnoteText"/>
      </w:pPr>
      <w:r>
        <w:rPr>
          <w:rStyle w:val="FootnoteReference"/>
        </w:rPr>
        <w:footnoteRef/>
      </w:r>
      <w:r>
        <w:t xml:space="preserve"> Faulkner </w:t>
      </w:r>
      <w:r w:rsidRPr="009800AB">
        <w:rPr>
          <w:i/>
        </w:rPr>
        <w:t>et al.,</w:t>
      </w:r>
      <w:r>
        <w:t xml:space="preserve"> 2019</w:t>
      </w:r>
    </w:p>
  </w:footnote>
  <w:footnote w:id="199">
    <w:p w14:paraId="01EFD17A" w14:textId="1F98E6C8" w:rsidR="00452DFD" w:rsidRDefault="00452DFD">
      <w:pPr>
        <w:pStyle w:val="FootnoteText"/>
      </w:pPr>
      <w:r>
        <w:rPr>
          <w:rStyle w:val="FootnoteReference"/>
        </w:rPr>
        <w:footnoteRef/>
      </w:r>
      <w:r>
        <w:t xml:space="preserve"> Barry </w:t>
      </w:r>
      <w:r w:rsidRPr="009800AB">
        <w:rPr>
          <w:i/>
        </w:rPr>
        <w:t>et al.,</w:t>
      </w:r>
      <w:r>
        <w:t xml:space="preserve"> 2016, Salmon </w:t>
      </w:r>
      <w:r w:rsidRPr="00893777">
        <w:rPr>
          <w:i/>
        </w:rPr>
        <w:t>et al.,</w:t>
      </w:r>
      <w:r>
        <w:t xml:space="preserve"> 2018, Pain </w:t>
      </w:r>
      <w:r w:rsidRPr="009800AB">
        <w:rPr>
          <w:i/>
        </w:rPr>
        <w:t>et al.,</w:t>
      </w:r>
      <w:r>
        <w:t xml:space="preserve"> 2014 cited in Vaughn </w:t>
      </w:r>
      <w:r w:rsidRPr="009800AB">
        <w:rPr>
          <w:i/>
        </w:rPr>
        <w:t>et al.,</w:t>
      </w:r>
      <w:r>
        <w:t xml:space="preserve"> 2019, Williams </w:t>
      </w:r>
      <w:r w:rsidRPr="009800AB">
        <w:rPr>
          <w:i/>
        </w:rPr>
        <w:t>et al.,</w:t>
      </w:r>
      <w:r>
        <w:t xml:space="preserve"> 2012 cited in Vaughn </w:t>
      </w:r>
      <w:r w:rsidRPr="009800AB">
        <w:rPr>
          <w:i/>
        </w:rPr>
        <w:t>et al.,</w:t>
      </w:r>
      <w:r>
        <w:t xml:space="preserve"> 2019</w:t>
      </w:r>
    </w:p>
  </w:footnote>
  <w:footnote w:id="200">
    <w:p w14:paraId="7ECCADFD" w14:textId="603795FF" w:rsidR="00452DFD" w:rsidRDefault="00452DFD">
      <w:pPr>
        <w:pStyle w:val="FootnoteText"/>
      </w:pPr>
      <w:r>
        <w:rPr>
          <w:rStyle w:val="FootnoteReference"/>
        </w:rPr>
        <w:footnoteRef/>
      </w:r>
      <w:r>
        <w:t xml:space="preserve"> </w:t>
      </w:r>
      <w:proofErr w:type="spellStart"/>
      <w:r>
        <w:t>Wadman</w:t>
      </w:r>
      <w:proofErr w:type="spellEnd"/>
      <w:r>
        <w:t xml:space="preserve"> </w:t>
      </w:r>
      <w:r w:rsidRPr="009800AB">
        <w:rPr>
          <w:i/>
        </w:rPr>
        <w:t>et al.,</w:t>
      </w:r>
      <w:r>
        <w:t xml:space="preserve"> 2019</w:t>
      </w:r>
    </w:p>
  </w:footnote>
  <w:footnote w:id="201">
    <w:p w14:paraId="0DA88F3C" w14:textId="290C5723" w:rsidR="00452DFD" w:rsidRDefault="00452DFD">
      <w:pPr>
        <w:pStyle w:val="FootnoteText"/>
      </w:pPr>
      <w:r>
        <w:rPr>
          <w:rStyle w:val="FootnoteReference"/>
        </w:rPr>
        <w:footnoteRef/>
      </w:r>
      <w:r>
        <w:t xml:space="preserve"> Rojas </w:t>
      </w:r>
      <w:proofErr w:type="spellStart"/>
      <w:r>
        <w:t>Pernia</w:t>
      </w:r>
      <w:proofErr w:type="spellEnd"/>
      <w:r>
        <w:t xml:space="preserve"> and Haya </w:t>
      </w:r>
      <w:proofErr w:type="spellStart"/>
      <w:r>
        <w:t>Salmón</w:t>
      </w:r>
      <w:proofErr w:type="spellEnd"/>
      <w:r>
        <w:t>, 2020</w:t>
      </w:r>
    </w:p>
  </w:footnote>
  <w:footnote w:id="202">
    <w:p w14:paraId="79B468FD" w14:textId="4DE6AFEC" w:rsidR="00452DFD" w:rsidRDefault="00452DFD">
      <w:pPr>
        <w:pStyle w:val="FootnoteText"/>
      </w:pPr>
      <w:r>
        <w:rPr>
          <w:rStyle w:val="FootnoteReference"/>
        </w:rPr>
        <w:footnoteRef/>
      </w:r>
      <w:r>
        <w:t xml:space="preserve"> </w:t>
      </w:r>
      <w:r w:rsidRPr="000479BF">
        <w:t>Campus Engage,</w:t>
      </w:r>
      <w:r>
        <w:t xml:space="preserve"> 2017,</w:t>
      </w:r>
      <w:r>
        <w:rPr>
          <w:rStyle w:val="FootnoteReference"/>
        </w:rPr>
        <w:t xml:space="preserve"> </w:t>
      </w:r>
      <w:proofErr w:type="spellStart"/>
      <w:r w:rsidRPr="00771123">
        <w:t>Dorozenko</w:t>
      </w:r>
      <w:proofErr w:type="spellEnd"/>
      <w:r w:rsidRPr="00771123">
        <w:t xml:space="preserve"> </w:t>
      </w:r>
      <w:r w:rsidRPr="009800AB">
        <w:rPr>
          <w:i/>
        </w:rPr>
        <w:t>et al.,</w:t>
      </w:r>
      <w:r w:rsidRPr="00771123">
        <w:t xml:space="preserve"> 2016</w:t>
      </w:r>
      <w:r>
        <w:t xml:space="preserve"> cited in Smith-Merry, 2017, Stanley </w:t>
      </w:r>
      <w:r w:rsidRPr="009800AB">
        <w:rPr>
          <w:i/>
        </w:rPr>
        <w:t>et al.,</w:t>
      </w:r>
      <w:r>
        <w:t xml:space="preserve"> 2019</w:t>
      </w:r>
    </w:p>
  </w:footnote>
  <w:footnote w:id="203">
    <w:p w14:paraId="391AD2A4" w14:textId="4612329A" w:rsidR="00452DFD" w:rsidRDefault="00452DFD">
      <w:pPr>
        <w:pStyle w:val="FootnoteText"/>
      </w:pPr>
      <w:r>
        <w:rPr>
          <w:rStyle w:val="FootnoteReference"/>
        </w:rPr>
        <w:footnoteRef/>
      </w:r>
      <w:r>
        <w:t xml:space="preserve"> Kramer </w:t>
      </w:r>
      <w:r w:rsidRPr="009800AB">
        <w:rPr>
          <w:i/>
        </w:rPr>
        <w:t>et al.,</w:t>
      </w:r>
      <w:r>
        <w:t xml:space="preserve"> 2011 cited in Di </w:t>
      </w:r>
      <w:proofErr w:type="spellStart"/>
      <w:r>
        <w:t>Lorito</w:t>
      </w:r>
      <w:proofErr w:type="spellEnd"/>
      <w:r w:rsidRPr="0008465E">
        <w:t xml:space="preserve"> </w:t>
      </w:r>
      <w:r w:rsidRPr="009800AB">
        <w:rPr>
          <w:i/>
        </w:rPr>
        <w:t>et al.,</w:t>
      </w:r>
      <w:r>
        <w:t xml:space="preserve"> 2</w:t>
      </w:r>
      <w:r w:rsidRPr="0008465E">
        <w:t>01</w:t>
      </w:r>
      <w:r>
        <w:t xml:space="preserve">8, </w:t>
      </w:r>
      <w:r w:rsidRPr="00401012">
        <w:t>Disability Wales, 2019</w:t>
      </w:r>
      <w:r>
        <w:t xml:space="preserve">, </w:t>
      </w:r>
      <w:proofErr w:type="spellStart"/>
      <w:r w:rsidRPr="00401012">
        <w:t>Nind</w:t>
      </w:r>
      <w:proofErr w:type="spellEnd"/>
      <w:r w:rsidRPr="00401012">
        <w:t>, 2017</w:t>
      </w:r>
      <w:r>
        <w:t xml:space="preserve">, </w:t>
      </w:r>
      <w:r w:rsidRPr="00401012">
        <w:t>Smit</w:t>
      </w:r>
      <w:r>
        <w:t>h</w:t>
      </w:r>
      <w:r w:rsidRPr="00401012">
        <w:t>-Merry, 2017</w:t>
      </w:r>
      <w:r>
        <w:t xml:space="preserve">, Stanley </w:t>
      </w:r>
      <w:r w:rsidRPr="009800AB">
        <w:rPr>
          <w:i/>
        </w:rPr>
        <w:t>et al.,</w:t>
      </w:r>
      <w:r>
        <w:t xml:space="preserve"> 2019, Vaughn </w:t>
      </w:r>
      <w:r w:rsidRPr="009800AB">
        <w:rPr>
          <w:i/>
        </w:rPr>
        <w:t>et al.,</w:t>
      </w:r>
      <w:r>
        <w:t xml:space="preserve"> 2019, </w:t>
      </w:r>
      <w:proofErr w:type="spellStart"/>
      <w:r w:rsidRPr="00401012">
        <w:t>Wo</w:t>
      </w:r>
      <w:r>
        <w:t>e</w:t>
      </w:r>
      <w:r w:rsidRPr="00401012">
        <w:t>lders</w:t>
      </w:r>
      <w:proofErr w:type="spellEnd"/>
      <w:r w:rsidRPr="00401012">
        <w:t xml:space="preserve"> </w:t>
      </w:r>
      <w:r w:rsidRPr="009800AB">
        <w:rPr>
          <w:i/>
        </w:rPr>
        <w:t>et al.,</w:t>
      </w:r>
      <w:r w:rsidRPr="00401012">
        <w:t xml:space="preserve"> 2015</w:t>
      </w:r>
    </w:p>
  </w:footnote>
  <w:footnote w:id="204">
    <w:p w14:paraId="1E8204AA" w14:textId="117B97C5" w:rsidR="00452DFD" w:rsidRDefault="00452DFD">
      <w:pPr>
        <w:pStyle w:val="FootnoteText"/>
      </w:pPr>
      <w:r>
        <w:rPr>
          <w:rStyle w:val="FootnoteReference"/>
        </w:rPr>
        <w:footnoteRef/>
      </w:r>
      <w:r>
        <w:t xml:space="preserve"> </w:t>
      </w:r>
      <w:proofErr w:type="spellStart"/>
      <w:r>
        <w:t>Duerell</w:t>
      </w:r>
      <w:proofErr w:type="spellEnd"/>
      <w:r>
        <w:t>, 2016</w:t>
      </w:r>
    </w:p>
  </w:footnote>
  <w:footnote w:id="205">
    <w:p w14:paraId="4A2F1D50" w14:textId="0C82783D" w:rsidR="00452DFD" w:rsidRDefault="00452DFD">
      <w:pPr>
        <w:pStyle w:val="FootnoteText"/>
      </w:pPr>
      <w:r>
        <w:rPr>
          <w:rStyle w:val="FootnoteReference"/>
        </w:rPr>
        <w:footnoteRef/>
      </w:r>
      <w:r>
        <w:t xml:space="preserve"> Spencer Gonzalez </w:t>
      </w:r>
      <w:r w:rsidRPr="009800AB">
        <w:rPr>
          <w:i/>
        </w:rPr>
        <w:t>et al.,</w:t>
      </w:r>
      <w:r>
        <w:t xml:space="preserve"> 2020</w:t>
      </w:r>
    </w:p>
  </w:footnote>
  <w:footnote w:id="206">
    <w:p w14:paraId="1B0B1549" w14:textId="33843C2A" w:rsidR="00452DFD" w:rsidRDefault="00452DFD">
      <w:pPr>
        <w:pStyle w:val="FootnoteText"/>
      </w:pPr>
      <w:r>
        <w:rPr>
          <w:rStyle w:val="FootnoteReference"/>
        </w:rPr>
        <w:footnoteRef/>
      </w:r>
      <w:r>
        <w:t xml:space="preserve"> Paul </w:t>
      </w:r>
      <w:r w:rsidRPr="009800AB">
        <w:rPr>
          <w:i/>
        </w:rPr>
        <w:t>et al.,</w:t>
      </w:r>
      <w:r>
        <w:t xml:space="preserve"> 2017, </w:t>
      </w:r>
      <w:proofErr w:type="spellStart"/>
      <w:r>
        <w:t>Strnadová</w:t>
      </w:r>
      <w:proofErr w:type="spellEnd"/>
      <w:r>
        <w:t xml:space="preserve"> </w:t>
      </w:r>
      <w:r w:rsidRPr="009800AB">
        <w:rPr>
          <w:i/>
        </w:rPr>
        <w:t>et al.,</w:t>
      </w:r>
      <w:r>
        <w:t xml:space="preserve"> 2016</w:t>
      </w:r>
    </w:p>
  </w:footnote>
  <w:footnote w:id="207">
    <w:p w14:paraId="48226103" w14:textId="26083F2C" w:rsidR="00452DFD" w:rsidRDefault="00452DFD">
      <w:pPr>
        <w:pStyle w:val="FootnoteText"/>
      </w:pPr>
      <w:r>
        <w:rPr>
          <w:rStyle w:val="FootnoteReference"/>
        </w:rPr>
        <w:footnoteRef/>
      </w:r>
      <w:r>
        <w:t xml:space="preserve"> e.g. </w:t>
      </w:r>
      <w:r w:rsidRPr="00615BAB">
        <w:t xml:space="preserve">Hancock </w:t>
      </w:r>
      <w:r w:rsidRPr="009800AB">
        <w:rPr>
          <w:i/>
        </w:rPr>
        <w:t>et al.,</w:t>
      </w:r>
      <w:r w:rsidRPr="00615BAB">
        <w:t xml:space="preserve"> 2012 cited in </w:t>
      </w:r>
      <w:r>
        <w:t>Smith-Merry</w:t>
      </w:r>
      <w:r w:rsidRPr="00615BAB">
        <w:t>, 2017</w:t>
      </w:r>
      <w:r>
        <w:t xml:space="preserve">, </w:t>
      </w:r>
      <w:r w:rsidRPr="00615BAB">
        <w:t xml:space="preserve">Kiernan </w:t>
      </w:r>
      <w:r w:rsidRPr="009800AB">
        <w:rPr>
          <w:i/>
        </w:rPr>
        <w:t>et al.,</w:t>
      </w:r>
      <w:r w:rsidRPr="00615BAB">
        <w:t xml:space="preserve"> 2009 in </w:t>
      </w:r>
      <w:proofErr w:type="spellStart"/>
      <w:r w:rsidRPr="00615BAB">
        <w:t>Tuffrey-Wijne</w:t>
      </w:r>
      <w:proofErr w:type="spellEnd"/>
      <w:r w:rsidRPr="00615BAB">
        <w:t xml:space="preserve"> </w:t>
      </w:r>
      <w:r w:rsidRPr="009800AB">
        <w:rPr>
          <w:i/>
        </w:rPr>
        <w:t>et al.,</w:t>
      </w:r>
      <w:r w:rsidRPr="00615BAB">
        <w:t xml:space="preserve"> 2010 </w:t>
      </w:r>
      <w:r>
        <w:t xml:space="preserve">cited </w:t>
      </w:r>
      <w:r w:rsidRPr="00615BAB">
        <w:t xml:space="preserve">in Smith-Merry </w:t>
      </w:r>
      <w:r w:rsidRPr="009800AB">
        <w:rPr>
          <w:i/>
        </w:rPr>
        <w:t>et al.,</w:t>
      </w:r>
      <w:r w:rsidRPr="00615BAB">
        <w:t xml:space="preserve"> 2017</w:t>
      </w:r>
    </w:p>
  </w:footnote>
  <w:footnote w:id="208">
    <w:p w14:paraId="5EB9DDD2" w14:textId="70CCF5A2" w:rsidR="00452DFD" w:rsidRDefault="00452DFD">
      <w:pPr>
        <w:pStyle w:val="FootnoteText"/>
      </w:pPr>
      <w:r>
        <w:rPr>
          <w:rStyle w:val="FootnoteReference"/>
        </w:rPr>
        <w:footnoteRef/>
      </w:r>
      <w:r>
        <w:t xml:space="preserve"> Anderson </w:t>
      </w:r>
      <w:r w:rsidRPr="009800AB">
        <w:rPr>
          <w:i/>
        </w:rPr>
        <w:t>et al.,</w:t>
      </w:r>
      <w:r>
        <w:t xml:space="preserve"> 2018, </w:t>
      </w:r>
      <w:proofErr w:type="spellStart"/>
      <w:r>
        <w:t>Barod</w:t>
      </w:r>
      <w:proofErr w:type="spellEnd"/>
      <w:r>
        <w:t xml:space="preserve"> Community Interest Company, 2019,</w:t>
      </w:r>
      <w:r>
        <w:rPr>
          <w:rStyle w:val="FootnoteReference"/>
        </w:rPr>
        <w:t xml:space="preserve"> </w:t>
      </w:r>
      <w:r>
        <w:t>Hollinrake, Spencer and Dix, 2019,</w:t>
      </w:r>
      <w:r w:rsidRPr="007957D5">
        <w:t xml:space="preserve"> Smith</w:t>
      </w:r>
      <w:r>
        <w:t>-Merry, 2017,</w:t>
      </w:r>
      <w:r w:rsidRPr="007957D5">
        <w:t xml:space="preserve"> </w:t>
      </w:r>
      <w:proofErr w:type="spellStart"/>
      <w:r>
        <w:t>Tilki</w:t>
      </w:r>
      <w:proofErr w:type="spellEnd"/>
      <w:r>
        <w:t xml:space="preserve">, </w:t>
      </w:r>
      <w:proofErr w:type="spellStart"/>
      <w:r w:rsidRPr="003D0FAE">
        <w:t>Palfreman</w:t>
      </w:r>
      <w:proofErr w:type="spellEnd"/>
      <w:r>
        <w:t xml:space="preserve"> </w:t>
      </w:r>
      <w:r w:rsidRPr="003D0FAE">
        <w:t>and Chowdhury</w:t>
      </w:r>
      <w:r>
        <w:t>,</w:t>
      </w:r>
      <w:r w:rsidRPr="003D0FAE">
        <w:t xml:space="preserve"> </w:t>
      </w:r>
      <w:r w:rsidRPr="007957D5">
        <w:t>2019</w:t>
      </w:r>
    </w:p>
  </w:footnote>
  <w:footnote w:id="209">
    <w:p w14:paraId="09C6535A" w14:textId="0B933D78" w:rsidR="00452DFD" w:rsidRDefault="00452DFD">
      <w:pPr>
        <w:pStyle w:val="FootnoteText"/>
      </w:pPr>
      <w:r>
        <w:rPr>
          <w:rStyle w:val="FootnoteReference"/>
        </w:rPr>
        <w:footnoteRef/>
      </w:r>
      <w:r>
        <w:t xml:space="preserve"> Hollinrake, Spencer and Dix, 2019</w:t>
      </w:r>
    </w:p>
  </w:footnote>
  <w:footnote w:id="210">
    <w:p w14:paraId="7F5C2516" w14:textId="4A09F693" w:rsidR="00452DFD" w:rsidRDefault="00452DFD">
      <w:pPr>
        <w:pStyle w:val="FootnoteText"/>
      </w:pPr>
      <w:r>
        <w:rPr>
          <w:rStyle w:val="FootnoteReference"/>
        </w:rPr>
        <w:footnoteRef/>
      </w:r>
      <w:r>
        <w:t xml:space="preserve"> </w:t>
      </w:r>
      <w:r w:rsidRPr="002130D2">
        <w:t>Bradbury-Jones and Taylor, 2015</w:t>
      </w:r>
      <w:r>
        <w:t xml:space="preserve"> cited</w:t>
      </w:r>
      <w:r w:rsidRPr="002130D2">
        <w:t xml:space="preserve"> in Burke </w:t>
      </w:r>
      <w:r w:rsidRPr="009800AB">
        <w:rPr>
          <w:i/>
        </w:rPr>
        <w:t>et al.,</w:t>
      </w:r>
      <w:r w:rsidRPr="002130D2">
        <w:t xml:space="preserve"> 2019</w:t>
      </w:r>
    </w:p>
  </w:footnote>
  <w:footnote w:id="211">
    <w:p w14:paraId="4D0645D3" w14:textId="35FB057D" w:rsidR="00452DFD" w:rsidRDefault="00452DFD">
      <w:pPr>
        <w:pStyle w:val="FootnoteText"/>
      </w:pPr>
      <w:r>
        <w:rPr>
          <w:rStyle w:val="FootnoteReference"/>
        </w:rPr>
        <w:footnoteRef/>
      </w:r>
      <w:r>
        <w:t xml:space="preserve"> Anderson </w:t>
      </w:r>
      <w:r w:rsidRPr="009800AB">
        <w:rPr>
          <w:i/>
        </w:rPr>
        <w:t>et al.,</w:t>
      </w:r>
      <w:r>
        <w:t xml:space="preserve"> 2018, Swarbrick </w:t>
      </w:r>
      <w:r w:rsidRPr="009800AB">
        <w:rPr>
          <w:i/>
        </w:rPr>
        <w:t>et al.,</w:t>
      </w:r>
      <w:r>
        <w:t xml:space="preserve"> 2019</w:t>
      </w:r>
    </w:p>
  </w:footnote>
  <w:footnote w:id="212">
    <w:p w14:paraId="0084BAE5" w14:textId="1489C188" w:rsidR="00452DFD" w:rsidRDefault="00452DFD">
      <w:pPr>
        <w:pStyle w:val="FootnoteText"/>
      </w:pPr>
      <w:r>
        <w:rPr>
          <w:rStyle w:val="FootnoteReference"/>
        </w:rPr>
        <w:footnoteRef/>
      </w:r>
      <w:r>
        <w:t xml:space="preserve"> Dewa </w:t>
      </w:r>
      <w:r w:rsidRPr="009800AB">
        <w:rPr>
          <w:i/>
        </w:rPr>
        <w:t>et al.,</w:t>
      </w:r>
      <w:r>
        <w:t xml:space="preserve"> 2020</w:t>
      </w:r>
    </w:p>
  </w:footnote>
  <w:footnote w:id="213">
    <w:p w14:paraId="61390F8D" w14:textId="7E862FEC" w:rsidR="00452DFD" w:rsidRDefault="00452DFD">
      <w:pPr>
        <w:pStyle w:val="FootnoteText"/>
      </w:pPr>
      <w:r>
        <w:rPr>
          <w:rStyle w:val="FootnoteReference"/>
        </w:rPr>
        <w:footnoteRef/>
      </w:r>
      <w:r>
        <w:t xml:space="preserve"> Burke </w:t>
      </w:r>
      <w:r w:rsidRPr="009800AB">
        <w:rPr>
          <w:i/>
        </w:rPr>
        <w:t>et al.,</w:t>
      </w:r>
      <w:r>
        <w:t xml:space="preserve"> 2019, </w:t>
      </w:r>
      <w:proofErr w:type="spellStart"/>
      <w:r>
        <w:t>Conder</w:t>
      </w:r>
      <w:proofErr w:type="spellEnd"/>
      <w:r>
        <w:t xml:space="preserve"> </w:t>
      </w:r>
      <w:r w:rsidRPr="009800AB">
        <w:rPr>
          <w:i/>
        </w:rPr>
        <w:t>et al.,</w:t>
      </w:r>
      <w:r>
        <w:t xml:space="preserve"> 2011 cited in Smith-Merry, 2017</w:t>
      </w:r>
    </w:p>
  </w:footnote>
  <w:footnote w:id="214">
    <w:p w14:paraId="3B1A018C" w14:textId="1A7E0CB5" w:rsidR="00452DFD" w:rsidRDefault="00452DFD">
      <w:pPr>
        <w:pStyle w:val="FootnoteText"/>
      </w:pPr>
      <w:r>
        <w:rPr>
          <w:rStyle w:val="FootnoteReference"/>
        </w:rPr>
        <w:footnoteRef/>
      </w:r>
      <w:r>
        <w:t xml:space="preserve"> </w:t>
      </w:r>
      <w:proofErr w:type="spellStart"/>
      <w:r>
        <w:t>Aldersley</w:t>
      </w:r>
      <w:proofErr w:type="spellEnd"/>
      <w:r>
        <w:t xml:space="preserve"> </w:t>
      </w:r>
      <w:r w:rsidRPr="009800AB">
        <w:rPr>
          <w:i/>
        </w:rPr>
        <w:t>et al.,</w:t>
      </w:r>
      <w:r>
        <w:t xml:space="preserve"> 2018, Chick </w:t>
      </w:r>
      <w:r w:rsidRPr="009800AB">
        <w:rPr>
          <w:i/>
        </w:rPr>
        <w:t>et al.,</w:t>
      </w:r>
      <w:r>
        <w:t xml:space="preserve"> 2018</w:t>
      </w:r>
    </w:p>
  </w:footnote>
  <w:footnote w:id="215">
    <w:p w14:paraId="7A742689" w14:textId="3236F628" w:rsidR="00452DFD" w:rsidRDefault="00452DFD">
      <w:pPr>
        <w:pStyle w:val="FootnoteText"/>
      </w:pPr>
      <w:r>
        <w:rPr>
          <w:rStyle w:val="FootnoteReference"/>
        </w:rPr>
        <w:footnoteRef/>
      </w:r>
      <w:r>
        <w:t xml:space="preserve"> Anderson </w:t>
      </w:r>
      <w:r w:rsidRPr="009800AB">
        <w:rPr>
          <w:i/>
        </w:rPr>
        <w:t>et al.,</w:t>
      </w:r>
      <w:r>
        <w:t xml:space="preserve"> 2018</w:t>
      </w:r>
    </w:p>
  </w:footnote>
  <w:footnote w:id="216">
    <w:p w14:paraId="15CF955C" w14:textId="480DA914" w:rsidR="00452DFD" w:rsidRDefault="00452DFD">
      <w:pPr>
        <w:pStyle w:val="FootnoteText"/>
      </w:pPr>
      <w:r>
        <w:rPr>
          <w:rStyle w:val="FootnoteReference"/>
        </w:rPr>
        <w:footnoteRef/>
      </w:r>
      <w:r>
        <w:t xml:space="preserve"> Anderson </w:t>
      </w:r>
      <w:r w:rsidRPr="009800AB">
        <w:rPr>
          <w:i/>
        </w:rPr>
        <w:t>et al.,</w:t>
      </w:r>
      <w:r>
        <w:t xml:space="preserve"> 2018</w:t>
      </w:r>
    </w:p>
  </w:footnote>
  <w:footnote w:id="217">
    <w:p w14:paraId="4ED3BD74" w14:textId="52B8C65B" w:rsidR="00452DFD" w:rsidRDefault="00452DFD">
      <w:pPr>
        <w:pStyle w:val="FootnoteText"/>
      </w:pPr>
      <w:r>
        <w:rPr>
          <w:rStyle w:val="FootnoteReference"/>
        </w:rPr>
        <w:footnoteRef/>
      </w:r>
      <w:r>
        <w:t xml:space="preserve"> Payne and Payne, 2004 cited in Hollinrake, Spencer and Dix, 2019</w:t>
      </w:r>
    </w:p>
  </w:footnote>
  <w:footnote w:id="218">
    <w:p w14:paraId="66860AA9" w14:textId="78837637" w:rsidR="00452DFD" w:rsidRDefault="00452DFD">
      <w:pPr>
        <w:pStyle w:val="FootnoteText"/>
      </w:pPr>
      <w:r>
        <w:rPr>
          <w:rStyle w:val="FootnoteReference"/>
        </w:rPr>
        <w:footnoteRef/>
      </w:r>
      <w:r>
        <w:t xml:space="preserve"> Hollinrake, Spencer and Dix, 2019</w:t>
      </w:r>
    </w:p>
  </w:footnote>
  <w:footnote w:id="219">
    <w:p w14:paraId="2D26BE15" w14:textId="4FCE0422" w:rsidR="00452DFD" w:rsidRDefault="00452DFD">
      <w:pPr>
        <w:pStyle w:val="FootnoteText"/>
      </w:pPr>
      <w:r>
        <w:rPr>
          <w:rStyle w:val="FootnoteReference"/>
        </w:rPr>
        <w:footnoteRef/>
      </w:r>
      <w:r>
        <w:t xml:space="preserve"> Smith-Merry, 2017</w:t>
      </w:r>
    </w:p>
  </w:footnote>
  <w:footnote w:id="220">
    <w:p w14:paraId="4438D949" w14:textId="437AE1D0"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221">
    <w:p w14:paraId="3E5BDE82" w14:textId="7ADCBFE4" w:rsidR="00452DFD" w:rsidRDefault="00452DFD">
      <w:pPr>
        <w:pStyle w:val="FootnoteText"/>
      </w:pPr>
      <w:r>
        <w:rPr>
          <w:rStyle w:val="FootnoteReference"/>
        </w:rPr>
        <w:footnoteRef/>
      </w:r>
      <w:r>
        <w:t xml:space="preserve"> Armstrong </w:t>
      </w:r>
      <w:r w:rsidRPr="009800AB">
        <w:rPr>
          <w:i/>
        </w:rPr>
        <w:t>et al.,</w:t>
      </w:r>
      <w:r>
        <w:t xml:space="preserve"> 2019, Fletcher Watson </w:t>
      </w:r>
      <w:r w:rsidRPr="009800AB">
        <w:rPr>
          <w:i/>
        </w:rPr>
        <w:t>et al.,</w:t>
      </w:r>
      <w:r>
        <w:t xml:space="preserve"> 2018, Gove </w:t>
      </w:r>
      <w:r w:rsidRPr="009800AB">
        <w:rPr>
          <w:i/>
        </w:rPr>
        <w:t>et al.,</w:t>
      </w:r>
      <w:r>
        <w:t xml:space="preserve"> 2017, Gove </w:t>
      </w:r>
      <w:r w:rsidRPr="00EB2E5F">
        <w:rPr>
          <w:i/>
        </w:rPr>
        <w:t>et al.,</w:t>
      </w:r>
      <w:r>
        <w:t xml:space="preserve"> 2018, O’Hara </w:t>
      </w:r>
      <w:r w:rsidRPr="009800AB">
        <w:rPr>
          <w:i/>
        </w:rPr>
        <w:t>et al.,</w:t>
      </w:r>
      <w:r>
        <w:t xml:space="preserve"> 2017, Vaughn </w:t>
      </w:r>
      <w:r w:rsidRPr="009800AB">
        <w:rPr>
          <w:i/>
        </w:rPr>
        <w:t>et al.,</w:t>
      </w:r>
      <w:r>
        <w:t xml:space="preserve"> 2019, Wolsey </w:t>
      </w:r>
      <w:r w:rsidRPr="009800AB">
        <w:rPr>
          <w:i/>
        </w:rPr>
        <w:t>et al.,</w:t>
      </w:r>
      <w:r>
        <w:t xml:space="preserve"> 2017</w:t>
      </w:r>
    </w:p>
  </w:footnote>
  <w:footnote w:id="222">
    <w:p w14:paraId="1AD68CCD" w14:textId="5E01B93E" w:rsidR="00452DFD" w:rsidRDefault="00452DFD">
      <w:pPr>
        <w:pStyle w:val="FootnoteText"/>
      </w:pPr>
      <w:r>
        <w:rPr>
          <w:rStyle w:val="FootnoteReference"/>
        </w:rPr>
        <w:footnoteRef/>
      </w:r>
      <w:r>
        <w:t xml:space="preserve"> Wolsey </w:t>
      </w:r>
      <w:r w:rsidRPr="009800AB">
        <w:rPr>
          <w:i/>
        </w:rPr>
        <w:t>et al.,</w:t>
      </w:r>
      <w:r>
        <w:t xml:space="preserve"> 2017</w:t>
      </w:r>
    </w:p>
  </w:footnote>
  <w:footnote w:id="223">
    <w:p w14:paraId="13C3113E" w14:textId="58DD05E7" w:rsidR="00452DFD" w:rsidRDefault="00452DFD">
      <w:pPr>
        <w:pStyle w:val="FootnoteText"/>
      </w:pPr>
      <w:r>
        <w:rPr>
          <w:rStyle w:val="FootnoteReference"/>
        </w:rPr>
        <w:footnoteRef/>
      </w:r>
      <w:r>
        <w:t xml:space="preserve"> Ní </w:t>
      </w:r>
      <w:proofErr w:type="spellStart"/>
      <w:r>
        <w:t>Shé</w:t>
      </w:r>
      <w:proofErr w:type="spellEnd"/>
      <w:r>
        <w:t xml:space="preserve"> </w:t>
      </w:r>
      <w:r w:rsidRPr="009800AB">
        <w:rPr>
          <w:i/>
        </w:rPr>
        <w:t>et al.,</w:t>
      </w:r>
      <w:r>
        <w:t xml:space="preserve"> 2020, Stack and McDonald, 2018</w:t>
      </w:r>
    </w:p>
  </w:footnote>
  <w:footnote w:id="224">
    <w:p w14:paraId="1526BFBF" w14:textId="2AD36C90" w:rsidR="00452DFD" w:rsidRDefault="00452DFD">
      <w:pPr>
        <w:pStyle w:val="FootnoteText"/>
      </w:pPr>
      <w:r>
        <w:rPr>
          <w:rStyle w:val="FootnoteReference"/>
        </w:rPr>
        <w:footnoteRef/>
      </w:r>
      <w:r>
        <w:t xml:space="preserve"> </w:t>
      </w:r>
      <w:proofErr w:type="spellStart"/>
      <w:r w:rsidRPr="00CA2163">
        <w:t>Barod</w:t>
      </w:r>
      <w:proofErr w:type="spellEnd"/>
      <w:r w:rsidRPr="00CA2163">
        <w:t xml:space="preserve"> Community Interest Company</w:t>
      </w:r>
      <w:r>
        <w:t xml:space="preserve">, 2019, </w:t>
      </w:r>
      <w:proofErr w:type="spellStart"/>
      <w:r>
        <w:t>Chown</w:t>
      </w:r>
      <w:proofErr w:type="spellEnd"/>
      <w:r>
        <w:t xml:space="preserve"> </w:t>
      </w:r>
      <w:r w:rsidRPr="009800AB">
        <w:rPr>
          <w:i/>
        </w:rPr>
        <w:t>et al.,</w:t>
      </w:r>
      <w:r>
        <w:t xml:space="preserve"> 2017, McConnell </w:t>
      </w:r>
      <w:r w:rsidRPr="009800AB">
        <w:rPr>
          <w:i/>
        </w:rPr>
        <w:t>et al.,</w:t>
      </w:r>
      <w:r>
        <w:t xml:space="preserve"> 2019, Partners 2 writing collective, 2020</w:t>
      </w:r>
    </w:p>
  </w:footnote>
  <w:footnote w:id="225">
    <w:p w14:paraId="1678DF93" w14:textId="61FCC844" w:rsidR="00452DFD" w:rsidRDefault="00452DFD">
      <w:pPr>
        <w:pStyle w:val="FootnoteText"/>
      </w:pPr>
      <w:r>
        <w:rPr>
          <w:rStyle w:val="FootnoteReference"/>
        </w:rPr>
        <w:footnoteRef/>
      </w:r>
      <w:r>
        <w:t xml:space="preserve"> </w:t>
      </w:r>
      <w:r w:rsidRPr="000479BF">
        <w:t>Campus Engage, 2017</w:t>
      </w:r>
      <w:r>
        <w:t xml:space="preserve">, </w:t>
      </w:r>
      <w:proofErr w:type="spellStart"/>
      <w:r>
        <w:t>Frankena</w:t>
      </w:r>
      <w:proofErr w:type="spellEnd"/>
      <w:r>
        <w:t xml:space="preserve"> </w:t>
      </w:r>
      <w:r w:rsidRPr="00185C11">
        <w:rPr>
          <w:i/>
        </w:rPr>
        <w:t xml:space="preserve">et al. </w:t>
      </w:r>
      <w:r>
        <w:t xml:space="preserve">2015, Haya </w:t>
      </w:r>
      <w:proofErr w:type="spellStart"/>
      <w:r>
        <w:t>Salmón</w:t>
      </w:r>
      <w:proofErr w:type="spellEnd"/>
      <w:r>
        <w:t xml:space="preserve"> and Rojas </w:t>
      </w:r>
      <w:proofErr w:type="spellStart"/>
      <w:r>
        <w:t>Pernia</w:t>
      </w:r>
      <w:proofErr w:type="spellEnd"/>
      <w:r>
        <w:t xml:space="preserve">, 2021, , </w:t>
      </w:r>
      <w:proofErr w:type="spellStart"/>
      <w:r w:rsidRPr="00A95D88">
        <w:t>Tuffrey-Wijne</w:t>
      </w:r>
      <w:proofErr w:type="spellEnd"/>
      <w:r w:rsidRPr="00A95D88">
        <w:t xml:space="preserve"> and Butler, 2010</w:t>
      </w:r>
      <w:r>
        <w:t xml:space="preserve"> cited in Smith-Merry, 2017, </w:t>
      </w:r>
      <w:proofErr w:type="spellStart"/>
      <w:r>
        <w:t>Troya</w:t>
      </w:r>
      <w:proofErr w:type="spellEnd"/>
      <w:r>
        <w:t xml:space="preserve"> </w:t>
      </w:r>
      <w:r w:rsidRPr="009800AB">
        <w:rPr>
          <w:i/>
        </w:rPr>
        <w:t>et al.,</w:t>
      </w:r>
      <w:r>
        <w:t xml:space="preserve"> 2019</w:t>
      </w:r>
    </w:p>
  </w:footnote>
  <w:footnote w:id="226">
    <w:p w14:paraId="70B37C9B" w14:textId="0821BA69" w:rsidR="00452DFD" w:rsidRDefault="00452DFD">
      <w:pPr>
        <w:pStyle w:val="FootnoteText"/>
      </w:pPr>
      <w:r>
        <w:rPr>
          <w:rStyle w:val="FootnoteReference"/>
        </w:rPr>
        <w:footnoteRef/>
      </w:r>
      <w:r>
        <w:t xml:space="preserve"> Mann and </w:t>
      </w:r>
      <w:r w:rsidRPr="00B57CC8">
        <w:rPr>
          <w:rFonts w:cs="Calibri"/>
          <w:color w:val="000000"/>
          <w:szCs w:val="26"/>
          <w:lang w:eastAsia="en-IE"/>
        </w:rPr>
        <w:t>Hung, 2018</w:t>
      </w:r>
      <w:r>
        <w:rPr>
          <w:rFonts w:cs="Calibri"/>
          <w:color w:val="000000"/>
          <w:szCs w:val="26"/>
          <w:lang w:eastAsia="en-IE"/>
        </w:rPr>
        <w:t>, p. 22-23</w:t>
      </w:r>
    </w:p>
  </w:footnote>
  <w:footnote w:id="227">
    <w:p w14:paraId="5334E28C" w14:textId="02EE4297"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 Dewa </w:t>
      </w:r>
      <w:r w:rsidRPr="009800AB">
        <w:rPr>
          <w:i/>
        </w:rPr>
        <w:t>et al.,</w:t>
      </w:r>
      <w:r>
        <w:t xml:space="preserve"> 2020, </w:t>
      </w:r>
      <w:proofErr w:type="spellStart"/>
      <w:r>
        <w:t>Bertilsdotter</w:t>
      </w:r>
      <w:proofErr w:type="spellEnd"/>
      <w:r>
        <w:t xml:space="preserve"> Rosqvist </w:t>
      </w:r>
      <w:r w:rsidRPr="009800AB">
        <w:rPr>
          <w:i/>
        </w:rPr>
        <w:t>et al.,</w:t>
      </w:r>
      <w:r>
        <w:t xml:space="preserve"> 2019, </w:t>
      </w:r>
    </w:p>
  </w:footnote>
  <w:footnote w:id="228">
    <w:p w14:paraId="0F7701E2" w14:textId="2885AF98" w:rsidR="00452DFD" w:rsidRDefault="00452DFD">
      <w:pPr>
        <w:pStyle w:val="FootnoteText"/>
      </w:pPr>
      <w:r>
        <w:rPr>
          <w:rStyle w:val="FootnoteReference"/>
        </w:rPr>
        <w:footnoteRef/>
      </w:r>
      <w:r>
        <w:t xml:space="preserve"> Callus, 2019, </w:t>
      </w:r>
      <w:proofErr w:type="spellStart"/>
      <w:r>
        <w:t>Pellicano</w:t>
      </w:r>
      <w:proofErr w:type="spellEnd"/>
      <w:r>
        <w:t xml:space="preserve"> </w:t>
      </w:r>
      <w:r w:rsidRPr="009800AB">
        <w:rPr>
          <w:i/>
        </w:rPr>
        <w:t>et al.,</w:t>
      </w:r>
      <w:r>
        <w:t xml:space="preserve"> 2019 </w:t>
      </w:r>
    </w:p>
  </w:footnote>
  <w:footnote w:id="229">
    <w:p w14:paraId="4B4C61B2" w14:textId="5121E262" w:rsidR="00452DFD" w:rsidRDefault="00452DFD">
      <w:pPr>
        <w:pStyle w:val="FootnoteText"/>
      </w:pPr>
      <w:r>
        <w:rPr>
          <w:rStyle w:val="FootnoteReference"/>
        </w:rPr>
        <w:footnoteRef/>
      </w:r>
      <w:r>
        <w:t xml:space="preserve"> Wolsey </w:t>
      </w:r>
      <w:r w:rsidRPr="009800AB">
        <w:rPr>
          <w:i/>
        </w:rPr>
        <w:t>et al.,</w:t>
      </w:r>
      <w:r>
        <w:t xml:space="preserve"> 2017</w:t>
      </w:r>
    </w:p>
  </w:footnote>
  <w:footnote w:id="230">
    <w:p w14:paraId="4ECD33A4" w14:textId="634750EC" w:rsidR="00452DFD" w:rsidRDefault="00452DFD">
      <w:pPr>
        <w:pStyle w:val="FootnoteText"/>
      </w:pPr>
      <w:r>
        <w:rPr>
          <w:rStyle w:val="FootnoteReference"/>
        </w:rPr>
        <w:footnoteRef/>
      </w:r>
      <w:r>
        <w:t xml:space="preserve"> </w:t>
      </w:r>
      <w:proofErr w:type="spellStart"/>
      <w:r>
        <w:t>Barod</w:t>
      </w:r>
      <w:proofErr w:type="spellEnd"/>
      <w:r>
        <w:t xml:space="preserve"> Community Interest Company, 2019, Wolsey </w:t>
      </w:r>
      <w:r w:rsidRPr="009800AB">
        <w:rPr>
          <w:i/>
        </w:rPr>
        <w:t>et al.,</w:t>
      </w:r>
      <w:r>
        <w:t xml:space="preserve"> 2017</w:t>
      </w:r>
    </w:p>
  </w:footnote>
  <w:footnote w:id="231">
    <w:p w14:paraId="0A65E3B5" w14:textId="713FB1A2" w:rsidR="00452DFD" w:rsidRDefault="00452DFD">
      <w:pPr>
        <w:pStyle w:val="FootnoteText"/>
      </w:pPr>
      <w:r>
        <w:rPr>
          <w:rStyle w:val="FootnoteReference"/>
        </w:rPr>
        <w:footnoteRef/>
      </w:r>
      <w:r>
        <w:t xml:space="preserve"> Callus 2019, </w:t>
      </w:r>
      <w:proofErr w:type="spellStart"/>
      <w:r>
        <w:t>Woelders</w:t>
      </w:r>
      <w:proofErr w:type="spellEnd"/>
      <w:r>
        <w:t xml:space="preserve"> </w:t>
      </w:r>
      <w:r w:rsidRPr="009800AB">
        <w:rPr>
          <w:i/>
        </w:rPr>
        <w:t>et al.,</w:t>
      </w:r>
      <w:r>
        <w:t xml:space="preserve"> 2015</w:t>
      </w:r>
    </w:p>
  </w:footnote>
  <w:footnote w:id="232">
    <w:p w14:paraId="6D58F15F" w14:textId="44A5C3A9" w:rsidR="00452DFD" w:rsidRDefault="00452DFD">
      <w:pPr>
        <w:pStyle w:val="FootnoteText"/>
      </w:pPr>
      <w:r>
        <w:rPr>
          <w:rStyle w:val="FootnoteReference"/>
        </w:rPr>
        <w:footnoteRef/>
      </w:r>
      <w:r>
        <w:t xml:space="preserve"> </w:t>
      </w:r>
      <w:r w:rsidRPr="00DB3460">
        <w:t xml:space="preserve">Cameron </w:t>
      </w:r>
      <w:r w:rsidRPr="009800AB">
        <w:rPr>
          <w:i/>
        </w:rPr>
        <w:t>et al.,</w:t>
      </w:r>
      <w:r w:rsidRPr="00DB3460">
        <w:t xml:space="preserve"> 2019</w:t>
      </w:r>
      <w:r>
        <w:t xml:space="preserve">, </w:t>
      </w:r>
      <w:proofErr w:type="spellStart"/>
      <w:r w:rsidRPr="00DB3460">
        <w:t>Walmsley</w:t>
      </w:r>
      <w:proofErr w:type="spellEnd"/>
      <w:r w:rsidRPr="00DB3460">
        <w:t xml:space="preserve"> and Johnson, 2003</w:t>
      </w:r>
      <w:r>
        <w:t xml:space="preserve"> cited</w:t>
      </w:r>
      <w:r w:rsidRPr="00DB3460">
        <w:t xml:space="preserve"> in </w:t>
      </w:r>
      <w:proofErr w:type="spellStart"/>
      <w:r w:rsidRPr="00DB3460">
        <w:t>Nind</w:t>
      </w:r>
      <w:proofErr w:type="spellEnd"/>
      <w:r w:rsidRPr="00DB3460">
        <w:t xml:space="preserve">, 2017 </w:t>
      </w:r>
    </w:p>
  </w:footnote>
  <w:footnote w:id="233">
    <w:p w14:paraId="645F1C37" w14:textId="71D94C68"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 p. 6</w:t>
      </w:r>
    </w:p>
  </w:footnote>
  <w:footnote w:id="234">
    <w:p w14:paraId="36CCA911" w14:textId="189177F6" w:rsidR="00452DFD" w:rsidRDefault="00452DFD">
      <w:pPr>
        <w:pStyle w:val="FootnoteText"/>
      </w:pPr>
      <w:r>
        <w:rPr>
          <w:rStyle w:val="FootnoteReference"/>
        </w:rPr>
        <w:footnoteRef/>
      </w:r>
      <w:r>
        <w:t xml:space="preserve"> </w:t>
      </w:r>
      <w:proofErr w:type="spellStart"/>
      <w:r>
        <w:t>Troya</w:t>
      </w:r>
      <w:proofErr w:type="spellEnd"/>
      <w:r>
        <w:t xml:space="preserve"> </w:t>
      </w:r>
      <w:r w:rsidRPr="009800AB">
        <w:rPr>
          <w:i/>
        </w:rPr>
        <w:t>et al.,</w:t>
      </w:r>
      <w:r>
        <w:t xml:space="preserve"> 2019</w:t>
      </w:r>
    </w:p>
  </w:footnote>
  <w:footnote w:id="235">
    <w:p w14:paraId="60866EEA" w14:textId="3A89F829" w:rsidR="00452DFD" w:rsidRDefault="00452DFD">
      <w:pPr>
        <w:pStyle w:val="FootnoteText"/>
      </w:pPr>
      <w:r>
        <w:rPr>
          <w:rStyle w:val="FootnoteReference"/>
        </w:rPr>
        <w:footnoteRef/>
      </w:r>
      <w:r>
        <w:t xml:space="preserve"> Banks </w:t>
      </w:r>
      <w:r w:rsidRPr="009800AB">
        <w:rPr>
          <w:i/>
        </w:rPr>
        <w:t>et al.,</w:t>
      </w:r>
      <w:r>
        <w:t xml:space="preserve"> 2013 cited in Mann and Hung, 2018</w:t>
      </w:r>
    </w:p>
  </w:footnote>
  <w:footnote w:id="236">
    <w:p w14:paraId="726A1DF2" w14:textId="750B7470" w:rsidR="00452DFD" w:rsidRDefault="00452DFD">
      <w:pPr>
        <w:pStyle w:val="FootnoteText"/>
      </w:pPr>
      <w:r>
        <w:rPr>
          <w:rStyle w:val="FootnoteReference"/>
        </w:rPr>
        <w:footnoteRef/>
      </w:r>
      <w:r>
        <w:t xml:space="preserve"> Burke </w:t>
      </w:r>
      <w:r w:rsidRPr="009800AB">
        <w:rPr>
          <w:i/>
        </w:rPr>
        <w:t>et al.,</w:t>
      </w:r>
      <w:r>
        <w:t xml:space="preserve"> 2019</w:t>
      </w:r>
    </w:p>
  </w:footnote>
  <w:footnote w:id="237">
    <w:p w14:paraId="08E02F93" w14:textId="241F3E39" w:rsidR="00452DFD" w:rsidRDefault="00452DFD">
      <w:pPr>
        <w:pStyle w:val="FootnoteText"/>
      </w:pPr>
      <w:r>
        <w:rPr>
          <w:rStyle w:val="FootnoteReference"/>
        </w:rPr>
        <w:footnoteRef/>
      </w:r>
      <w:r>
        <w:t xml:space="preserve"> </w:t>
      </w:r>
      <w:r w:rsidRPr="00CB5F52">
        <w:t xml:space="preserve">Street and Herts 2005 cited in Bailey </w:t>
      </w:r>
      <w:r w:rsidRPr="009800AB">
        <w:rPr>
          <w:i/>
        </w:rPr>
        <w:t>et al.,</w:t>
      </w:r>
      <w:r>
        <w:t xml:space="preserve"> 2015, </w:t>
      </w:r>
      <w:proofErr w:type="spellStart"/>
      <w:r>
        <w:t>Lwembe</w:t>
      </w:r>
      <w:proofErr w:type="spellEnd"/>
      <w:r>
        <w:t xml:space="preserve"> </w:t>
      </w:r>
      <w:r w:rsidRPr="009800AB">
        <w:rPr>
          <w:i/>
        </w:rPr>
        <w:t>et al.,</w:t>
      </w:r>
      <w:r>
        <w:t xml:space="preserve"> 2017 cited in O’Brien, </w:t>
      </w:r>
      <w:proofErr w:type="spellStart"/>
      <w:r>
        <w:t>Fossey</w:t>
      </w:r>
      <w:proofErr w:type="spellEnd"/>
      <w:r>
        <w:t xml:space="preserve"> and Palmer, 2021, Swarbrick </w:t>
      </w:r>
      <w:r w:rsidRPr="009800AB">
        <w:rPr>
          <w:i/>
        </w:rPr>
        <w:t>et al.,</w:t>
      </w:r>
      <w:r>
        <w:t xml:space="preserve"> 2019</w:t>
      </w:r>
    </w:p>
  </w:footnote>
  <w:footnote w:id="238">
    <w:p w14:paraId="51C6F5D1" w14:textId="208A9336" w:rsidR="00452DFD" w:rsidRDefault="00452DFD">
      <w:pPr>
        <w:pStyle w:val="FootnoteText"/>
      </w:pPr>
      <w:r>
        <w:rPr>
          <w:rStyle w:val="FootnoteReference"/>
        </w:rPr>
        <w:footnoteRef/>
      </w:r>
      <w:r>
        <w:t xml:space="preserve"> Gove </w:t>
      </w:r>
      <w:r w:rsidRPr="009800AB">
        <w:rPr>
          <w:i/>
        </w:rPr>
        <w:t>et al.,</w:t>
      </w:r>
      <w:r>
        <w:t xml:space="preserve"> 2018</w:t>
      </w:r>
    </w:p>
  </w:footnote>
  <w:footnote w:id="239">
    <w:p w14:paraId="131483DB" w14:textId="118483D7" w:rsidR="00452DFD" w:rsidRDefault="00452DFD">
      <w:pPr>
        <w:pStyle w:val="FootnoteText"/>
      </w:pPr>
      <w:r>
        <w:rPr>
          <w:rStyle w:val="FootnoteReference"/>
        </w:rPr>
        <w:footnoteRef/>
      </w:r>
      <w:r>
        <w:t xml:space="preserve"> </w:t>
      </w:r>
      <w:proofErr w:type="spellStart"/>
      <w:r>
        <w:t>Strdanová</w:t>
      </w:r>
      <w:proofErr w:type="spellEnd"/>
      <w:r>
        <w:t xml:space="preserve"> </w:t>
      </w:r>
      <w:r w:rsidRPr="009800AB">
        <w:rPr>
          <w:i/>
        </w:rPr>
        <w:t>et al.,</w:t>
      </w:r>
      <w:r w:rsidRPr="00971639">
        <w:t xml:space="preserve"> 2016</w:t>
      </w:r>
    </w:p>
  </w:footnote>
  <w:footnote w:id="240">
    <w:p w14:paraId="29C528A4" w14:textId="7B0D7DA8" w:rsidR="00452DFD" w:rsidRDefault="00452DFD">
      <w:pPr>
        <w:pStyle w:val="FootnoteText"/>
      </w:pPr>
      <w:r>
        <w:rPr>
          <w:rStyle w:val="FootnoteReference"/>
        </w:rPr>
        <w:footnoteRef/>
      </w:r>
      <w:r>
        <w:t xml:space="preserve"> Cooper, </w:t>
      </w:r>
      <w:proofErr w:type="spellStart"/>
      <w:r>
        <w:t>Gillmore</w:t>
      </w:r>
      <w:proofErr w:type="spellEnd"/>
      <w:r>
        <w:t xml:space="preserve"> and Hogg, 2016</w:t>
      </w:r>
    </w:p>
  </w:footnote>
  <w:footnote w:id="241">
    <w:p w14:paraId="4D966D1B" w14:textId="34C409BB" w:rsidR="00452DFD" w:rsidRDefault="00452DFD">
      <w:pPr>
        <w:pStyle w:val="FootnoteText"/>
      </w:pPr>
      <w:r>
        <w:rPr>
          <w:rStyle w:val="FootnoteReference"/>
        </w:rPr>
        <w:footnoteRef/>
      </w:r>
      <w:r>
        <w:t xml:space="preserve"> Brady </w:t>
      </w:r>
      <w:r w:rsidRPr="009800AB">
        <w:rPr>
          <w:i/>
        </w:rPr>
        <w:t>et al.,</w:t>
      </w:r>
      <w:r>
        <w:t xml:space="preserve"> 2019</w:t>
      </w:r>
    </w:p>
  </w:footnote>
  <w:footnote w:id="242">
    <w:p w14:paraId="5EA083FD" w14:textId="6669173C" w:rsidR="00452DFD" w:rsidRDefault="00452DFD">
      <w:pPr>
        <w:pStyle w:val="FootnoteText"/>
      </w:pPr>
      <w:r>
        <w:rPr>
          <w:rStyle w:val="FootnoteReference"/>
        </w:rPr>
        <w:footnoteRef/>
      </w:r>
      <w:r>
        <w:t xml:space="preserve"> </w:t>
      </w:r>
      <w:r w:rsidRPr="009B0E79">
        <w:t xml:space="preserve">Grayson </w:t>
      </w:r>
      <w:r w:rsidRPr="009800AB">
        <w:rPr>
          <w:i/>
        </w:rPr>
        <w:t>et al.,</w:t>
      </w:r>
      <w:r w:rsidRPr="009B0E79">
        <w:t xml:space="preserve"> 2013</w:t>
      </w:r>
      <w:r>
        <w:t xml:space="preserve"> cited in Smith-Merry, 2017</w:t>
      </w:r>
    </w:p>
  </w:footnote>
  <w:footnote w:id="243">
    <w:p w14:paraId="5B2010C0" w14:textId="58E97876" w:rsidR="00452DFD" w:rsidRDefault="00452DFD">
      <w:pPr>
        <w:pStyle w:val="FootnoteText"/>
      </w:pPr>
      <w:r>
        <w:rPr>
          <w:rStyle w:val="FootnoteReference"/>
        </w:rPr>
        <w:footnoteRef/>
      </w:r>
      <w:r>
        <w:t xml:space="preserve"> </w:t>
      </w:r>
      <w:r w:rsidRPr="009B0E79">
        <w:t xml:space="preserve">Hancock </w:t>
      </w:r>
      <w:r w:rsidRPr="009800AB">
        <w:rPr>
          <w:i/>
        </w:rPr>
        <w:t>et al.,</w:t>
      </w:r>
      <w:r w:rsidRPr="009B0E79">
        <w:t xml:space="preserve"> 2012</w:t>
      </w:r>
      <w:r>
        <w:t xml:space="preserve"> cited in Smith-Merry, 2017</w:t>
      </w:r>
    </w:p>
  </w:footnote>
  <w:footnote w:id="244">
    <w:p w14:paraId="3B4CFA1F" w14:textId="6A5A78BF" w:rsidR="00452DFD" w:rsidRDefault="00452DFD">
      <w:pPr>
        <w:pStyle w:val="FootnoteText"/>
      </w:pPr>
      <w:r>
        <w:rPr>
          <w:rStyle w:val="FootnoteReference"/>
        </w:rPr>
        <w:footnoteRef/>
      </w:r>
      <w:r>
        <w:t xml:space="preserve"> Northway,</w:t>
      </w:r>
      <w:r w:rsidRPr="00D727FE">
        <w:t xml:space="preserve"> Howarth and Evans</w:t>
      </w:r>
      <w:r>
        <w:t>,</w:t>
      </w:r>
      <w:r w:rsidRPr="00D727FE">
        <w:t xml:space="preserve"> </w:t>
      </w:r>
      <w:r>
        <w:t xml:space="preserve">2015, </w:t>
      </w:r>
      <w:r w:rsidRPr="00C8185D">
        <w:t xml:space="preserve">Lincoln </w:t>
      </w:r>
      <w:r w:rsidRPr="009800AB">
        <w:rPr>
          <w:i/>
        </w:rPr>
        <w:t>et al.,</w:t>
      </w:r>
      <w:r w:rsidRPr="00C8185D">
        <w:t xml:space="preserve"> 2015</w:t>
      </w:r>
      <w:r>
        <w:t xml:space="preserve"> cited in Smith-Merry, 2017, </w:t>
      </w:r>
      <w:proofErr w:type="spellStart"/>
      <w:r>
        <w:t>Wadman</w:t>
      </w:r>
      <w:proofErr w:type="spellEnd"/>
      <w:r>
        <w:t xml:space="preserve"> </w:t>
      </w:r>
      <w:r w:rsidRPr="009800AB">
        <w:rPr>
          <w:i/>
        </w:rPr>
        <w:t>et al.,</w:t>
      </w:r>
      <w:r>
        <w:t xml:space="preserve"> 2019</w:t>
      </w:r>
    </w:p>
  </w:footnote>
  <w:footnote w:id="245">
    <w:p w14:paraId="24527C1E" w14:textId="29C2681C" w:rsidR="00452DFD" w:rsidRDefault="00452DFD">
      <w:pPr>
        <w:pStyle w:val="FootnoteText"/>
      </w:pPr>
      <w:r>
        <w:rPr>
          <w:rStyle w:val="FootnoteReference"/>
        </w:rPr>
        <w:footnoteRef/>
      </w:r>
      <w:r>
        <w:t xml:space="preserve"> </w:t>
      </w:r>
      <w:r w:rsidRPr="00D60365">
        <w:t xml:space="preserve">St. John </w:t>
      </w:r>
      <w:r w:rsidRPr="009800AB">
        <w:rPr>
          <w:i/>
        </w:rPr>
        <w:t>et al.,</w:t>
      </w:r>
      <w:r>
        <w:t xml:space="preserve"> </w:t>
      </w:r>
      <w:r w:rsidRPr="00D60365">
        <w:t>2018</w:t>
      </w:r>
      <w:r>
        <w:t xml:space="preserve">, </w:t>
      </w:r>
      <w:proofErr w:type="spellStart"/>
      <w:r>
        <w:t>Strnadová</w:t>
      </w:r>
      <w:proofErr w:type="spellEnd"/>
      <w:r>
        <w:t xml:space="preserve"> </w:t>
      </w:r>
      <w:r w:rsidRPr="009800AB">
        <w:rPr>
          <w:i/>
        </w:rPr>
        <w:t>et al.,</w:t>
      </w:r>
      <w:r>
        <w:t xml:space="preserve"> 2016</w:t>
      </w:r>
    </w:p>
  </w:footnote>
  <w:footnote w:id="246">
    <w:p w14:paraId="0A9884FB" w14:textId="1E44914E" w:rsidR="00452DFD" w:rsidRDefault="00452DFD">
      <w:pPr>
        <w:pStyle w:val="FootnoteText"/>
      </w:pPr>
      <w:r>
        <w:rPr>
          <w:rStyle w:val="FootnoteReference"/>
        </w:rPr>
        <w:footnoteRef/>
      </w:r>
      <w:r>
        <w:t xml:space="preserve"> IRN, 2019</w:t>
      </w:r>
    </w:p>
  </w:footnote>
  <w:footnote w:id="247">
    <w:p w14:paraId="771F9A3C" w14:textId="5F97D297" w:rsidR="00452DFD" w:rsidRDefault="00452DFD">
      <w:pPr>
        <w:pStyle w:val="FootnoteText"/>
      </w:pPr>
      <w:r>
        <w:rPr>
          <w:rStyle w:val="FootnoteReference"/>
        </w:rPr>
        <w:footnoteRef/>
      </w:r>
      <w:r>
        <w:t xml:space="preserve"> </w:t>
      </w:r>
      <w:proofErr w:type="spellStart"/>
      <w:r>
        <w:t>Wadman</w:t>
      </w:r>
      <w:proofErr w:type="spellEnd"/>
      <w:r>
        <w:t xml:space="preserve"> </w:t>
      </w:r>
      <w:r w:rsidRPr="009800AB">
        <w:rPr>
          <w:i/>
        </w:rPr>
        <w:t>et al.,</w:t>
      </w:r>
      <w:r>
        <w:t xml:space="preserve"> 2019</w:t>
      </w:r>
    </w:p>
  </w:footnote>
  <w:footnote w:id="248">
    <w:p w14:paraId="134E1E0C" w14:textId="5CAF5B3B" w:rsidR="00452DFD" w:rsidRDefault="00452DFD">
      <w:pPr>
        <w:pStyle w:val="FootnoteText"/>
      </w:pPr>
      <w:r>
        <w:rPr>
          <w:rStyle w:val="FootnoteReference"/>
        </w:rPr>
        <w:footnoteRef/>
      </w:r>
      <w:r>
        <w:t xml:space="preserve"> Northway, Howarth and Evans, 2015</w:t>
      </w:r>
    </w:p>
  </w:footnote>
  <w:footnote w:id="249">
    <w:p w14:paraId="6AC4A3F1" w14:textId="0142E2AF" w:rsidR="00452DFD" w:rsidRDefault="00452DFD">
      <w:pPr>
        <w:pStyle w:val="FootnoteText"/>
      </w:pPr>
      <w:r>
        <w:rPr>
          <w:rStyle w:val="FootnoteReference"/>
        </w:rPr>
        <w:footnoteRef/>
      </w:r>
      <w:r>
        <w:t xml:space="preserve"> IRN, 2019, Northway, Howarth and Evans, 2015, Riches, O’Brien and CDS Inclusive Research Network, 2020,</w:t>
      </w:r>
      <w:r w:rsidRPr="00AD265A">
        <w:t xml:space="preserve"> </w:t>
      </w:r>
      <w:r>
        <w:t>Vega Cordova 2020</w:t>
      </w:r>
    </w:p>
  </w:footnote>
  <w:footnote w:id="250">
    <w:p w14:paraId="0616D1AC" w14:textId="2604A16D" w:rsidR="00452DFD" w:rsidRDefault="00452DFD">
      <w:pPr>
        <w:pStyle w:val="FootnoteText"/>
      </w:pPr>
      <w:r>
        <w:rPr>
          <w:rStyle w:val="FootnoteReference"/>
        </w:rPr>
        <w:footnoteRef/>
      </w:r>
      <w:r>
        <w:t xml:space="preserve"> </w:t>
      </w:r>
      <w:r w:rsidRPr="00613400">
        <w:t>IRN, 2019</w:t>
      </w:r>
    </w:p>
  </w:footnote>
  <w:footnote w:id="251">
    <w:p w14:paraId="74931706" w14:textId="3CBCAAA1" w:rsidR="00452DFD" w:rsidRDefault="00452DFD">
      <w:pPr>
        <w:pStyle w:val="FootnoteText"/>
      </w:pPr>
      <w:r>
        <w:rPr>
          <w:rStyle w:val="FootnoteReference"/>
        </w:rPr>
        <w:footnoteRef/>
      </w:r>
      <w:r>
        <w:t xml:space="preserve"> Northway, Howarth and Evans, 2015</w:t>
      </w:r>
    </w:p>
  </w:footnote>
  <w:footnote w:id="252">
    <w:p w14:paraId="34F593DC" w14:textId="3BE0CDD8" w:rsidR="00452DFD" w:rsidRDefault="00452DFD">
      <w:pPr>
        <w:pStyle w:val="FootnoteText"/>
      </w:pPr>
      <w:r>
        <w:rPr>
          <w:rStyle w:val="FootnoteReference"/>
        </w:rPr>
        <w:footnoteRef/>
      </w:r>
      <w:r>
        <w:t xml:space="preserve"> Riches, O’Brien and CDS Inclusive Research Network, 2020, </w:t>
      </w:r>
      <w:proofErr w:type="spellStart"/>
      <w:r>
        <w:t>Strnadová</w:t>
      </w:r>
      <w:proofErr w:type="spellEnd"/>
      <w:r>
        <w:t xml:space="preserve"> </w:t>
      </w:r>
      <w:r w:rsidRPr="009800AB">
        <w:rPr>
          <w:i/>
        </w:rPr>
        <w:t>et al.,</w:t>
      </w:r>
      <w:r>
        <w:t xml:space="preserve"> 2016</w:t>
      </w:r>
    </w:p>
  </w:footnote>
  <w:footnote w:id="253">
    <w:p w14:paraId="69719C92" w14:textId="45AF8F62" w:rsidR="00452DFD" w:rsidRDefault="00452DFD">
      <w:pPr>
        <w:pStyle w:val="FootnoteText"/>
      </w:pPr>
      <w:r>
        <w:rPr>
          <w:rStyle w:val="FootnoteReference"/>
        </w:rPr>
        <w:footnoteRef/>
      </w:r>
      <w:r>
        <w:t xml:space="preserve"> </w:t>
      </w:r>
      <w:proofErr w:type="spellStart"/>
      <w:r>
        <w:t>Mawn</w:t>
      </w:r>
      <w:proofErr w:type="spellEnd"/>
      <w:r>
        <w:t xml:space="preserve"> </w:t>
      </w:r>
      <w:r w:rsidRPr="009800AB">
        <w:rPr>
          <w:i/>
        </w:rPr>
        <w:t>et al.,</w:t>
      </w:r>
      <w:r>
        <w:t xml:space="preserve"> 2015, Ní </w:t>
      </w:r>
      <w:proofErr w:type="spellStart"/>
      <w:r>
        <w:t>Shé</w:t>
      </w:r>
      <w:proofErr w:type="spellEnd"/>
      <w:r w:rsidRPr="007C76C4">
        <w:t xml:space="preserve"> </w:t>
      </w:r>
      <w:r w:rsidRPr="009800AB">
        <w:rPr>
          <w:i/>
        </w:rPr>
        <w:t>et al.,</w:t>
      </w:r>
      <w:r>
        <w:t xml:space="preserve"> </w:t>
      </w:r>
      <w:r w:rsidRPr="007C76C4">
        <w:t>2020</w:t>
      </w:r>
      <w:r>
        <w:t>,</w:t>
      </w:r>
      <w:r w:rsidRPr="004F5375">
        <w:t xml:space="preserve"> Paul </w:t>
      </w:r>
      <w:r w:rsidRPr="009800AB">
        <w:rPr>
          <w:i/>
        </w:rPr>
        <w:t>et al.,</w:t>
      </w:r>
      <w:r>
        <w:t xml:space="preserve"> </w:t>
      </w:r>
      <w:r w:rsidRPr="004F5375">
        <w:t>2017</w:t>
      </w:r>
      <w:r>
        <w:t xml:space="preserve">, Rojas </w:t>
      </w:r>
      <w:proofErr w:type="spellStart"/>
      <w:r>
        <w:t>Pernia</w:t>
      </w:r>
      <w:proofErr w:type="spellEnd"/>
      <w:r>
        <w:t xml:space="preserve"> and Haya </w:t>
      </w:r>
      <w:proofErr w:type="spellStart"/>
      <w:r>
        <w:t>Salmón</w:t>
      </w:r>
      <w:proofErr w:type="spellEnd"/>
      <w:r>
        <w:t>, 2021</w:t>
      </w:r>
    </w:p>
  </w:footnote>
  <w:footnote w:id="254">
    <w:p w14:paraId="113E14D8" w14:textId="192BF6FC" w:rsidR="00452DFD" w:rsidRDefault="00452DFD">
      <w:pPr>
        <w:pStyle w:val="FootnoteText"/>
      </w:pPr>
      <w:r>
        <w:rPr>
          <w:rStyle w:val="FootnoteReference"/>
        </w:rPr>
        <w:footnoteRef/>
      </w:r>
      <w:r>
        <w:t xml:space="preserve"> </w:t>
      </w:r>
      <w:r w:rsidRPr="000479BF">
        <w:t>Campus Engage, 2017</w:t>
      </w:r>
    </w:p>
  </w:footnote>
  <w:footnote w:id="255">
    <w:p w14:paraId="2BC238AD" w14:textId="715C73BB" w:rsidR="00452DFD" w:rsidRDefault="00452DFD">
      <w:pPr>
        <w:pStyle w:val="FootnoteText"/>
      </w:pPr>
      <w:r>
        <w:rPr>
          <w:rStyle w:val="FootnoteReference"/>
        </w:rPr>
        <w:footnoteRef/>
      </w:r>
      <w:r>
        <w:t xml:space="preserve"> </w:t>
      </w:r>
      <w:proofErr w:type="spellStart"/>
      <w:r>
        <w:t>Nind</w:t>
      </w:r>
      <w:proofErr w:type="spellEnd"/>
      <w:r>
        <w:t>, 2017</w:t>
      </w:r>
    </w:p>
  </w:footnote>
  <w:footnote w:id="256">
    <w:p w14:paraId="1305D43E" w14:textId="41FAD7D2" w:rsidR="00452DFD" w:rsidRDefault="00452DFD">
      <w:pPr>
        <w:pStyle w:val="FootnoteText"/>
      </w:pPr>
      <w:r>
        <w:rPr>
          <w:rStyle w:val="FootnoteReference"/>
        </w:rPr>
        <w:footnoteRef/>
      </w:r>
      <w:r>
        <w:t xml:space="preserve"> </w:t>
      </w:r>
      <w:proofErr w:type="spellStart"/>
      <w:r>
        <w:t>Beighton</w:t>
      </w:r>
      <w:proofErr w:type="spellEnd"/>
      <w:r>
        <w:t xml:space="preserve"> </w:t>
      </w:r>
      <w:r w:rsidRPr="009800AB">
        <w:rPr>
          <w:i/>
        </w:rPr>
        <w:t>et al.,</w:t>
      </w:r>
      <w:r>
        <w:t xml:space="preserve"> 2019, </w:t>
      </w:r>
      <w:r w:rsidRPr="006C185E">
        <w:t>Domecq</w:t>
      </w:r>
      <w:r>
        <w:t xml:space="preserve"> </w:t>
      </w:r>
      <w:r w:rsidRPr="009800AB">
        <w:rPr>
          <w:i/>
        </w:rPr>
        <w:t>et al.,</w:t>
      </w:r>
      <w:r>
        <w:t xml:space="preserve"> 2013 cited </w:t>
      </w:r>
      <w:r w:rsidRPr="006C185E">
        <w:t xml:space="preserve">in </w:t>
      </w:r>
      <w:proofErr w:type="spellStart"/>
      <w:r w:rsidRPr="006C185E">
        <w:t>Breault</w:t>
      </w:r>
      <w:proofErr w:type="spellEnd"/>
      <w:r w:rsidRPr="006C185E">
        <w:t xml:space="preserve"> </w:t>
      </w:r>
      <w:r w:rsidRPr="009800AB">
        <w:rPr>
          <w:i/>
        </w:rPr>
        <w:t>et al.,</w:t>
      </w:r>
      <w:r>
        <w:t xml:space="preserve"> </w:t>
      </w:r>
      <w:r w:rsidRPr="006C185E">
        <w:t>2018b</w:t>
      </w:r>
      <w:r>
        <w:t xml:space="preserve">, Hibbard and Greene, 2013 cited </w:t>
      </w:r>
      <w:r w:rsidRPr="006C185E">
        <w:t xml:space="preserve">in </w:t>
      </w:r>
      <w:proofErr w:type="spellStart"/>
      <w:r w:rsidRPr="006C185E">
        <w:t>Breault</w:t>
      </w:r>
      <w:proofErr w:type="spellEnd"/>
      <w:r w:rsidRPr="006C185E">
        <w:t xml:space="preserve"> </w:t>
      </w:r>
      <w:r w:rsidRPr="009800AB">
        <w:rPr>
          <w:i/>
        </w:rPr>
        <w:t>et al.,</w:t>
      </w:r>
      <w:r>
        <w:t xml:space="preserve"> </w:t>
      </w:r>
      <w:r w:rsidRPr="006C185E">
        <w:t>2018b</w:t>
      </w:r>
      <w:r>
        <w:t xml:space="preserve">, </w:t>
      </w:r>
      <w:r w:rsidRPr="006C185E">
        <w:t>Burke</w:t>
      </w:r>
      <w:r w:rsidRPr="00553C8D">
        <w:t xml:space="preserve"> </w:t>
      </w:r>
      <w:r w:rsidRPr="009800AB">
        <w:rPr>
          <w:i/>
        </w:rPr>
        <w:t>et al.,</w:t>
      </w:r>
      <w:r>
        <w:t xml:space="preserve"> </w:t>
      </w:r>
      <w:r w:rsidRPr="00553C8D">
        <w:t>2003</w:t>
      </w:r>
      <w:r>
        <w:t xml:space="preserve"> cited in Di </w:t>
      </w:r>
      <w:proofErr w:type="spellStart"/>
      <w:r>
        <w:t>Lorito</w:t>
      </w:r>
      <w:proofErr w:type="spellEnd"/>
      <w:r>
        <w:t xml:space="preserve"> </w:t>
      </w:r>
      <w:r w:rsidRPr="009800AB">
        <w:rPr>
          <w:i/>
        </w:rPr>
        <w:t>et al.,</w:t>
      </w:r>
      <w:r>
        <w:t xml:space="preserve"> 2018, Paul </w:t>
      </w:r>
      <w:r w:rsidRPr="009800AB">
        <w:rPr>
          <w:i/>
        </w:rPr>
        <w:t>et al.,</w:t>
      </w:r>
      <w:r>
        <w:t xml:space="preserve"> 2017</w:t>
      </w:r>
    </w:p>
  </w:footnote>
  <w:footnote w:id="257">
    <w:p w14:paraId="2468177E" w14:textId="75297697" w:rsidR="00452DFD" w:rsidRDefault="00452DFD">
      <w:pPr>
        <w:pStyle w:val="FootnoteText"/>
      </w:pPr>
      <w:r>
        <w:rPr>
          <w:rStyle w:val="FootnoteReference"/>
        </w:rPr>
        <w:footnoteRef/>
      </w:r>
      <w:r>
        <w:t xml:space="preserve"> </w:t>
      </w:r>
      <w:proofErr w:type="spellStart"/>
      <w:r>
        <w:t>Nicolaidis</w:t>
      </w:r>
      <w:proofErr w:type="spellEnd"/>
      <w:r>
        <w:t xml:space="preserve"> </w:t>
      </w:r>
      <w:r w:rsidRPr="009800AB">
        <w:rPr>
          <w:i/>
        </w:rPr>
        <w:t>et al.,</w:t>
      </w:r>
      <w:r>
        <w:t xml:space="preserve"> 2019</w:t>
      </w:r>
    </w:p>
  </w:footnote>
  <w:footnote w:id="258">
    <w:p w14:paraId="7221BC8E" w14:textId="5923F4E0" w:rsidR="00452DFD" w:rsidRDefault="00452DFD">
      <w:pPr>
        <w:pStyle w:val="FootnoteText"/>
      </w:pPr>
      <w:r>
        <w:rPr>
          <w:rStyle w:val="FootnoteReference"/>
        </w:rPr>
        <w:footnoteRef/>
      </w:r>
      <w:r>
        <w:t xml:space="preserve"> IRN, 2019, </w:t>
      </w:r>
      <w:proofErr w:type="spellStart"/>
      <w:r>
        <w:t>Nind</w:t>
      </w:r>
      <w:proofErr w:type="spellEnd"/>
      <w:r>
        <w:t xml:space="preserve"> 2017</w:t>
      </w:r>
    </w:p>
  </w:footnote>
  <w:footnote w:id="259">
    <w:p w14:paraId="23628615" w14:textId="07590FCB" w:rsidR="00452DFD" w:rsidRDefault="00452DFD">
      <w:pPr>
        <w:pStyle w:val="FootnoteText"/>
      </w:pPr>
      <w:r>
        <w:rPr>
          <w:rStyle w:val="FootnoteReference"/>
        </w:rPr>
        <w:footnoteRef/>
      </w:r>
      <w:r>
        <w:t xml:space="preserve"> Anderson </w:t>
      </w:r>
      <w:r w:rsidRPr="009800AB">
        <w:rPr>
          <w:i/>
        </w:rPr>
        <w:t>et al.,</w:t>
      </w:r>
      <w:r>
        <w:t xml:space="preserve"> 2018,</w:t>
      </w:r>
      <w:r w:rsidRPr="00726D7F">
        <w:t xml:space="preserve"> </w:t>
      </w:r>
      <w:r w:rsidRPr="00D34327">
        <w:t xml:space="preserve">O’Hara </w:t>
      </w:r>
      <w:r w:rsidRPr="009800AB">
        <w:rPr>
          <w:i/>
        </w:rPr>
        <w:t>et al.,</w:t>
      </w:r>
      <w:r>
        <w:t xml:space="preserve"> 2017</w:t>
      </w:r>
    </w:p>
  </w:footnote>
  <w:footnote w:id="260">
    <w:p w14:paraId="199D7047" w14:textId="4E333FD8" w:rsidR="00452DFD" w:rsidRDefault="00452DFD">
      <w:pPr>
        <w:pStyle w:val="FootnoteText"/>
      </w:pPr>
      <w:r>
        <w:rPr>
          <w:rStyle w:val="FootnoteReference"/>
        </w:rPr>
        <w:footnoteRef/>
      </w:r>
      <w:r>
        <w:t xml:space="preserve"> IRN, 2019</w:t>
      </w:r>
    </w:p>
  </w:footnote>
  <w:footnote w:id="261">
    <w:p w14:paraId="653004D8" w14:textId="2C44396E" w:rsidR="00452DFD" w:rsidRDefault="00452DFD">
      <w:pPr>
        <w:pStyle w:val="FootnoteText"/>
      </w:pPr>
      <w:r>
        <w:rPr>
          <w:rStyle w:val="FootnoteReference"/>
        </w:rPr>
        <w:footnoteRef/>
      </w:r>
      <w:r>
        <w:t xml:space="preserve"> IRN, 2019</w:t>
      </w:r>
    </w:p>
  </w:footnote>
  <w:footnote w:id="262">
    <w:p w14:paraId="41CE4EAA" w14:textId="24014B18" w:rsidR="00452DFD" w:rsidRDefault="00452DFD">
      <w:pPr>
        <w:pStyle w:val="FootnoteText"/>
      </w:pPr>
      <w:r>
        <w:rPr>
          <w:rStyle w:val="FootnoteReference"/>
        </w:rPr>
        <w:footnoteRef/>
      </w:r>
      <w:r>
        <w:t xml:space="preserve"> IRN, 2019</w:t>
      </w:r>
    </w:p>
  </w:footnote>
  <w:footnote w:id="263">
    <w:p w14:paraId="30447071" w14:textId="14905AF2" w:rsidR="00452DFD" w:rsidRDefault="00452DFD">
      <w:pPr>
        <w:pStyle w:val="FootnoteText"/>
      </w:pPr>
      <w:r>
        <w:rPr>
          <w:rStyle w:val="FootnoteReference"/>
        </w:rPr>
        <w:footnoteRef/>
      </w:r>
      <w:r>
        <w:t xml:space="preserve"> </w:t>
      </w:r>
      <w:r>
        <w:rPr>
          <w:lang w:eastAsia="en-IE"/>
        </w:rPr>
        <w:t xml:space="preserve">Gove </w:t>
      </w:r>
      <w:r w:rsidRPr="009800AB">
        <w:rPr>
          <w:i/>
          <w:lang w:eastAsia="en-IE"/>
        </w:rPr>
        <w:t>et al.,</w:t>
      </w:r>
      <w:r>
        <w:rPr>
          <w:lang w:eastAsia="en-IE"/>
        </w:rPr>
        <w:t xml:space="preserve"> 2017</w:t>
      </w:r>
    </w:p>
  </w:footnote>
  <w:footnote w:id="264">
    <w:p w14:paraId="2E7C66BC" w14:textId="6427AD7F" w:rsidR="00452DFD" w:rsidRDefault="00452DFD">
      <w:pPr>
        <w:pStyle w:val="FootnoteText"/>
      </w:pPr>
      <w:r>
        <w:rPr>
          <w:rStyle w:val="FootnoteReference"/>
        </w:rPr>
        <w:footnoteRef/>
      </w:r>
      <w:r>
        <w:t xml:space="preserve"> </w:t>
      </w:r>
      <w:r>
        <w:rPr>
          <w:lang w:eastAsia="en-IE"/>
        </w:rPr>
        <w:t xml:space="preserve">Kirby, 2004 cited in Bailey </w:t>
      </w:r>
      <w:r w:rsidRPr="009800AB">
        <w:rPr>
          <w:i/>
          <w:lang w:eastAsia="en-IE"/>
        </w:rPr>
        <w:t>et al.,</w:t>
      </w:r>
      <w:r>
        <w:rPr>
          <w:lang w:eastAsia="en-IE"/>
        </w:rPr>
        <w:t xml:space="preserve"> 2015, Shaw </w:t>
      </w:r>
      <w:r w:rsidRPr="009800AB">
        <w:rPr>
          <w:i/>
          <w:lang w:eastAsia="en-IE"/>
        </w:rPr>
        <w:t>et al.,</w:t>
      </w:r>
      <w:r>
        <w:rPr>
          <w:lang w:eastAsia="en-IE"/>
        </w:rPr>
        <w:t xml:space="preserve"> 2011 cited in Bailey </w:t>
      </w:r>
      <w:r w:rsidRPr="009800AB">
        <w:rPr>
          <w:i/>
          <w:lang w:eastAsia="en-IE"/>
        </w:rPr>
        <w:t>et al.,</w:t>
      </w:r>
      <w:r>
        <w:rPr>
          <w:lang w:eastAsia="en-IE"/>
        </w:rPr>
        <w:t xml:space="preserve"> 2015</w:t>
      </w:r>
    </w:p>
  </w:footnote>
  <w:footnote w:id="265">
    <w:p w14:paraId="4C56BC04" w14:textId="414276FA" w:rsidR="00452DFD" w:rsidRDefault="00452DFD">
      <w:pPr>
        <w:pStyle w:val="FootnoteText"/>
      </w:pPr>
      <w:r>
        <w:rPr>
          <w:rStyle w:val="FootnoteReference"/>
        </w:rPr>
        <w:footnoteRef/>
      </w:r>
      <w:r>
        <w:t xml:space="preserve"> </w:t>
      </w:r>
      <w:r>
        <w:rPr>
          <w:lang w:eastAsia="en-IE"/>
        </w:rPr>
        <w:t>Northway, Howarth and Evans, 2015</w:t>
      </w:r>
    </w:p>
  </w:footnote>
  <w:footnote w:id="266">
    <w:p w14:paraId="070C6A6C" w14:textId="41CFFA21" w:rsidR="00452DFD" w:rsidRDefault="00452DFD" w:rsidP="00DB5669">
      <w:pPr>
        <w:pStyle w:val="FootnoteText"/>
      </w:pPr>
      <w:r>
        <w:rPr>
          <w:rStyle w:val="FootnoteReference"/>
        </w:rPr>
        <w:footnoteRef/>
      </w:r>
      <w:r>
        <w:t xml:space="preserve"> </w:t>
      </w:r>
      <w:r>
        <w:rPr>
          <w:lang w:eastAsia="en-IE"/>
        </w:rPr>
        <w:t>Campus Engage, an Irish initiative dedicated to supporting civic and community engagement in all aspects of higher education institutions, made a number of recommendations for funders that can be found in Appendix B.</w:t>
      </w:r>
    </w:p>
  </w:footnote>
  <w:footnote w:id="267">
    <w:p w14:paraId="6272504A" w14:textId="1BB76631" w:rsidR="00452DFD" w:rsidRDefault="00452DFD">
      <w:pPr>
        <w:pStyle w:val="FootnoteText"/>
      </w:pPr>
      <w:r>
        <w:rPr>
          <w:rStyle w:val="FootnoteReference"/>
        </w:rPr>
        <w:footnoteRef/>
      </w:r>
      <w:r>
        <w:t xml:space="preserve"> </w:t>
      </w:r>
      <w:r>
        <w:rPr>
          <w:lang w:eastAsia="en-IE"/>
        </w:rPr>
        <w:t>Campus Engage, 2017</w:t>
      </w:r>
    </w:p>
  </w:footnote>
  <w:footnote w:id="268">
    <w:p w14:paraId="081742BE" w14:textId="108041E1" w:rsidR="00452DFD" w:rsidRDefault="00452DFD">
      <w:pPr>
        <w:pStyle w:val="FootnoteText"/>
      </w:pPr>
      <w:r>
        <w:rPr>
          <w:rStyle w:val="FootnoteReference"/>
        </w:rPr>
        <w:footnoteRef/>
      </w:r>
      <w:r>
        <w:t xml:space="preserve"> </w:t>
      </w:r>
      <w:r>
        <w:rPr>
          <w:rFonts w:cs="Calibri"/>
          <w:color w:val="000000"/>
          <w:szCs w:val="26"/>
        </w:rPr>
        <w:t xml:space="preserve">Ní </w:t>
      </w:r>
      <w:proofErr w:type="spellStart"/>
      <w:r>
        <w:rPr>
          <w:rFonts w:cs="Calibri"/>
          <w:color w:val="000000"/>
          <w:szCs w:val="26"/>
        </w:rPr>
        <w:t>Shé</w:t>
      </w:r>
      <w:proofErr w:type="spellEnd"/>
      <w:r>
        <w:rPr>
          <w:rFonts w:cs="Calibri"/>
          <w:color w:val="000000"/>
          <w:szCs w:val="26"/>
        </w:rPr>
        <w:t xml:space="preserve"> </w:t>
      </w:r>
      <w:r w:rsidRPr="009800AB">
        <w:rPr>
          <w:rFonts w:cs="Calibri"/>
          <w:i/>
          <w:color w:val="000000"/>
          <w:szCs w:val="26"/>
        </w:rPr>
        <w:t>et al.,</w:t>
      </w:r>
      <w:r>
        <w:rPr>
          <w:rFonts w:cs="Calibri"/>
          <w:color w:val="000000"/>
          <w:szCs w:val="26"/>
        </w:rPr>
        <w:t xml:space="preserve"> 2019</w:t>
      </w:r>
    </w:p>
  </w:footnote>
  <w:footnote w:id="269">
    <w:p w14:paraId="054628AD" w14:textId="01FCDDBC" w:rsidR="00452DFD" w:rsidRDefault="00452DFD">
      <w:pPr>
        <w:pStyle w:val="FootnoteText"/>
      </w:pPr>
      <w:r>
        <w:rPr>
          <w:rStyle w:val="FootnoteReference"/>
        </w:rPr>
        <w:footnoteRef/>
      </w:r>
      <w:r>
        <w:t xml:space="preserve"> </w:t>
      </w:r>
      <w:r>
        <w:rPr>
          <w:rFonts w:cs="Calibri"/>
          <w:color w:val="000000"/>
          <w:szCs w:val="26"/>
        </w:rPr>
        <w:t xml:space="preserve">Dewa </w:t>
      </w:r>
      <w:r w:rsidRPr="009800AB">
        <w:rPr>
          <w:rFonts w:cs="Calibri"/>
          <w:i/>
          <w:color w:val="000000"/>
          <w:szCs w:val="26"/>
        </w:rPr>
        <w:t>et al.,</w:t>
      </w:r>
      <w:r>
        <w:rPr>
          <w:rFonts w:cs="Calibri"/>
          <w:color w:val="000000"/>
          <w:szCs w:val="26"/>
        </w:rPr>
        <w:t xml:space="preserve"> 2020</w:t>
      </w:r>
    </w:p>
  </w:footnote>
  <w:footnote w:id="270">
    <w:p w14:paraId="56A191A0" w14:textId="12F63F19" w:rsidR="00452DFD" w:rsidRDefault="00452DFD">
      <w:pPr>
        <w:pStyle w:val="FootnoteText"/>
      </w:pPr>
      <w:r>
        <w:rPr>
          <w:rStyle w:val="FootnoteReference"/>
        </w:rPr>
        <w:footnoteRef/>
      </w:r>
      <w:r>
        <w:t xml:space="preserve"> </w:t>
      </w:r>
      <w:r>
        <w:rPr>
          <w:rFonts w:cs="Calibri"/>
          <w:color w:val="000000"/>
          <w:szCs w:val="26"/>
        </w:rPr>
        <w:t xml:space="preserve">Campus Engage, 2017, Ní </w:t>
      </w:r>
      <w:proofErr w:type="spellStart"/>
      <w:r>
        <w:rPr>
          <w:rFonts w:cs="Calibri"/>
          <w:color w:val="000000"/>
          <w:szCs w:val="26"/>
        </w:rPr>
        <w:t>Shé</w:t>
      </w:r>
      <w:proofErr w:type="spellEnd"/>
      <w:r>
        <w:rPr>
          <w:rFonts w:cs="Calibri"/>
          <w:color w:val="000000"/>
          <w:szCs w:val="26"/>
        </w:rPr>
        <w:t xml:space="preserve"> </w:t>
      </w:r>
      <w:r w:rsidRPr="009800AB">
        <w:rPr>
          <w:rFonts w:cs="Calibri"/>
          <w:i/>
          <w:color w:val="000000"/>
          <w:szCs w:val="26"/>
        </w:rPr>
        <w:t>et al.,</w:t>
      </w:r>
      <w:r>
        <w:rPr>
          <w:rFonts w:cs="Calibri"/>
          <w:color w:val="000000"/>
          <w:szCs w:val="26"/>
        </w:rPr>
        <w:t xml:space="preserve"> 2019</w:t>
      </w:r>
    </w:p>
  </w:footnote>
  <w:footnote w:id="271">
    <w:p w14:paraId="5C2DEA87" w14:textId="4376239E" w:rsidR="00452DFD" w:rsidRDefault="00452DFD">
      <w:pPr>
        <w:pStyle w:val="FootnoteText"/>
      </w:pPr>
      <w:r>
        <w:rPr>
          <w:rStyle w:val="FootnoteReference"/>
        </w:rPr>
        <w:footnoteRef/>
      </w:r>
      <w:r>
        <w:t xml:space="preserve"> </w:t>
      </w:r>
      <w:r>
        <w:rPr>
          <w:rFonts w:cs="Calibri"/>
          <w:color w:val="000000"/>
          <w:szCs w:val="26"/>
        </w:rPr>
        <w:t xml:space="preserve">Ní </w:t>
      </w:r>
      <w:proofErr w:type="spellStart"/>
      <w:r>
        <w:rPr>
          <w:rFonts w:cs="Calibri"/>
          <w:color w:val="000000"/>
          <w:szCs w:val="26"/>
        </w:rPr>
        <w:t>Shé</w:t>
      </w:r>
      <w:proofErr w:type="spellEnd"/>
      <w:r>
        <w:rPr>
          <w:rFonts w:cs="Calibri"/>
          <w:color w:val="000000"/>
          <w:szCs w:val="26"/>
        </w:rPr>
        <w:t xml:space="preserve"> </w:t>
      </w:r>
      <w:r w:rsidRPr="009800AB">
        <w:rPr>
          <w:rFonts w:cs="Calibri"/>
          <w:i/>
          <w:color w:val="000000"/>
          <w:szCs w:val="26"/>
        </w:rPr>
        <w:t>et al.,</w:t>
      </w:r>
      <w:r>
        <w:rPr>
          <w:rFonts w:cs="Calibri"/>
          <w:color w:val="000000"/>
          <w:szCs w:val="26"/>
        </w:rPr>
        <w:t xml:space="preserve"> 2019</w:t>
      </w:r>
    </w:p>
  </w:footnote>
  <w:footnote w:id="272">
    <w:p w14:paraId="268C1005" w14:textId="4FFA93A4" w:rsidR="00452DFD" w:rsidRDefault="00452DFD">
      <w:pPr>
        <w:pStyle w:val="FootnoteText"/>
      </w:pPr>
      <w:r>
        <w:rPr>
          <w:rStyle w:val="FootnoteReference"/>
        </w:rPr>
        <w:footnoteRef/>
      </w:r>
      <w:r>
        <w:t xml:space="preserve"> </w:t>
      </w:r>
      <w:r>
        <w:rPr>
          <w:lang w:eastAsia="en-IE"/>
        </w:rPr>
        <w:t>Disability Wales, 2019</w:t>
      </w:r>
    </w:p>
  </w:footnote>
  <w:footnote w:id="273">
    <w:p w14:paraId="7B7EB617" w14:textId="1EA3B177" w:rsidR="00452DFD" w:rsidRDefault="00452DFD">
      <w:pPr>
        <w:pStyle w:val="FootnoteText"/>
      </w:pPr>
      <w:r>
        <w:rPr>
          <w:rStyle w:val="FootnoteReference"/>
        </w:rPr>
        <w:footnoteRef/>
      </w:r>
      <w:r>
        <w:t xml:space="preserve"> </w:t>
      </w:r>
      <w:r>
        <w:rPr>
          <w:lang w:eastAsia="en-IE"/>
        </w:rPr>
        <w:t xml:space="preserve">Gove </w:t>
      </w:r>
      <w:r w:rsidRPr="009800AB">
        <w:rPr>
          <w:i/>
          <w:lang w:eastAsia="en-IE"/>
        </w:rPr>
        <w:t>et al.,</w:t>
      </w:r>
      <w:r>
        <w:rPr>
          <w:lang w:eastAsia="en-IE"/>
        </w:rPr>
        <w:t xml:space="preserve"> 2018, </w:t>
      </w:r>
      <w:r>
        <w:rPr>
          <w:rFonts w:cs="Calibri"/>
          <w:color w:val="000000"/>
          <w:szCs w:val="26"/>
        </w:rPr>
        <w:t xml:space="preserve">Ní </w:t>
      </w:r>
      <w:proofErr w:type="spellStart"/>
      <w:r>
        <w:rPr>
          <w:rFonts w:cs="Calibri"/>
          <w:color w:val="000000"/>
          <w:szCs w:val="26"/>
        </w:rPr>
        <w:t>Shé</w:t>
      </w:r>
      <w:proofErr w:type="spellEnd"/>
      <w:r>
        <w:rPr>
          <w:rFonts w:cs="Calibri"/>
          <w:color w:val="000000"/>
          <w:szCs w:val="26"/>
        </w:rPr>
        <w:t xml:space="preserve"> </w:t>
      </w:r>
      <w:r w:rsidRPr="009800AB">
        <w:rPr>
          <w:rFonts w:cs="Calibri"/>
          <w:i/>
          <w:color w:val="000000"/>
          <w:szCs w:val="26"/>
        </w:rPr>
        <w:t>et al.,</w:t>
      </w:r>
      <w:r>
        <w:rPr>
          <w:rFonts w:cs="Calibri"/>
          <w:color w:val="000000"/>
          <w:szCs w:val="26"/>
        </w:rPr>
        <w:t xml:space="preserve"> 2019, </w:t>
      </w:r>
    </w:p>
  </w:footnote>
  <w:footnote w:id="274">
    <w:p w14:paraId="1674DE79" w14:textId="4BF042B2" w:rsidR="00452DFD" w:rsidRDefault="00452DFD">
      <w:pPr>
        <w:pStyle w:val="FootnoteText"/>
      </w:pPr>
      <w:r>
        <w:rPr>
          <w:rStyle w:val="FootnoteReference"/>
        </w:rPr>
        <w:footnoteRef/>
      </w:r>
      <w:r>
        <w:t xml:space="preserve"> </w:t>
      </w:r>
      <w:r w:rsidRPr="002F5481">
        <w:rPr>
          <w:rFonts w:cs="Calibri"/>
          <w:color w:val="000000"/>
          <w:szCs w:val="26"/>
        </w:rPr>
        <w:t xml:space="preserve">Plumb </w:t>
      </w:r>
      <w:r w:rsidRPr="009800AB">
        <w:rPr>
          <w:rFonts w:cs="Calibri"/>
          <w:i/>
          <w:color w:val="000000"/>
          <w:szCs w:val="26"/>
        </w:rPr>
        <w:t>et al.,</w:t>
      </w:r>
      <w:r>
        <w:rPr>
          <w:rFonts w:cs="Calibri"/>
          <w:color w:val="000000"/>
          <w:szCs w:val="26"/>
        </w:rPr>
        <w:t xml:space="preserve"> </w:t>
      </w:r>
      <w:r w:rsidRPr="002F5481">
        <w:rPr>
          <w:rFonts w:cs="Calibri"/>
          <w:color w:val="000000"/>
          <w:szCs w:val="26"/>
        </w:rPr>
        <w:t xml:space="preserve">2004 </w:t>
      </w:r>
      <w:r>
        <w:rPr>
          <w:rFonts w:cs="Calibri"/>
          <w:color w:val="000000"/>
          <w:szCs w:val="26"/>
        </w:rPr>
        <w:t xml:space="preserve">cited </w:t>
      </w:r>
      <w:r w:rsidRPr="002F5481">
        <w:rPr>
          <w:rFonts w:cs="Calibri"/>
          <w:color w:val="000000"/>
          <w:szCs w:val="26"/>
        </w:rPr>
        <w:t xml:space="preserve">in </w:t>
      </w:r>
      <w:r>
        <w:rPr>
          <w:rFonts w:cs="Calibri"/>
          <w:color w:val="000000"/>
          <w:szCs w:val="26"/>
        </w:rPr>
        <w:t>Northway, Howarth and Evans, 2015</w:t>
      </w:r>
    </w:p>
  </w:footnote>
  <w:footnote w:id="275">
    <w:p w14:paraId="78F51E78" w14:textId="00DC4A86" w:rsidR="00452DFD" w:rsidRDefault="00452DFD">
      <w:pPr>
        <w:pStyle w:val="FootnoteText"/>
      </w:pPr>
      <w:r>
        <w:rPr>
          <w:rStyle w:val="FootnoteReference"/>
        </w:rPr>
        <w:footnoteRef/>
      </w:r>
      <w:r>
        <w:t xml:space="preserve"> Ashcroft </w:t>
      </w:r>
      <w:r w:rsidRPr="009800AB">
        <w:rPr>
          <w:i/>
        </w:rPr>
        <w:t>et al.,</w:t>
      </w:r>
      <w:r>
        <w:t xml:space="preserve"> 2016, Dewa </w:t>
      </w:r>
      <w:r w:rsidRPr="009800AB">
        <w:rPr>
          <w:i/>
        </w:rPr>
        <w:t>et al.,</w:t>
      </w:r>
      <w:r>
        <w:t xml:space="preserve"> 2020, IRN, 2019, </w:t>
      </w:r>
      <w:proofErr w:type="spellStart"/>
      <w:r>
        <w:t>Morbey</w:t>
      </w:r>
      <w:proofErr w:type="spellEnd"/>
      <w:r>
        <w:t xml:space="preserve"> </w:t>
      </w:r>
      <w:r w:rsidRPr="009800AB">
        <w:rPr>
          <w:i/>
        </w:rPr>
        <w:t>et al.,</w:t>
      </w:r>
      <w:r>
        <w:t xml:space="preserve"> 2019, </w:t>
      </w:r>
      <w:proofErr w:type="spellStart"/>
      <w:r>
        <w:t>Nind</w:t>
      </w:r>
      <w:proofErr w:type="spellEnd"/>
      <w:r>
        <w:t xml:space="preserve"> </w:t>
      </w:r>
      <w:r w:rsidRPr="009800AB">
        <w:rPr>
          <w:i/>
        </w:rPr>
        <w:t>et al.,</w:t>
      </w:r>
      <w:r>
        <w:t xml:space="preserve"> 2017, O’Hara </w:t>
      </w:r>
      <w:r w:rsidRPr="009800AB">
        <w:rPr>
          <w:i/>
        </w:rPr>
        <w:t>et al.,</w:t>
      </w:r>
      <w:r>
        <w:t xml:space="preserve"> 2017, Van </w:t>
      </w:r>
      <w:proofErr w:type="spellStart"/>
      <w:r>
        <w:t>Schelven</w:t>
      </w:r>
      <w:proofErr w:type="spellEnd"/>
      <w:r>
        <w:t xml:space="preserve"> </w:t>
      </w:r>
      <w:r w:rsidRPr="009800AB">
        <w:rPr>
          <w:i/>
        </w:rPr>
        <w:t>et al.,</w:t>
      </w:r>
      <w:r>
        <w:t xml:space="preserve"> 2020a,</w:t>
      </w:r>
      <w:r w:rsidRPr="00EF3148">
        <w:t xml:space="preserve"> </w:t>
      </w:r>
      <w:r>
        <w:t xml:space="preserve">Vega Cordova </w:t>
      </w:r>
      <w:r w:rsidRPr="009800AB">
        <w:rPr>
          <w:i/>
        </w:rPr>
        <w:t>et al.,</w:t>
      </w:r>
      <w:r>
        <w:t xml:space="preserve"> 2020,</w:t>
      </w:r>
    </w:p>
  </w:footnote>
  <w:footnote w:id="276">
    <w:p w14:paraId="142A4677" w14:textId="2B613559" w:rsidR="00452DFD" w:rsidRDefault="00452DFD">
      <w:pPr>
        <w:pStyle w:val="FootnoteText"/>
      </w:pPr>
      <w:r>
        <w:rPr>
          <w:rStyle w:val="FootnoteReference"/>
        </w:rPr>
        <w:footnoteRef/>
      </w:r>
      <w:r>
        <w:t xml:space="preserve"> </w:t>
      </w:r>
      <w:r w:rsidRPr="007B6DBA">
        <w:t xml:space="preserve">Gove </w:t>
      </w:r>
      <w:r w:rsidRPr="009800AB">
        <w:rPr>
          <w:i/>
        </w:rPr>
        <w:t>et al.,</w:t>
      </w:r>
      <w:r>
        <w:t xml:space="preserve"> </w:t>
      </w:r>
      <w:r w:rsidRPr="007B6DBA">
        <w:t>2017</w:t>
      </w:r>
      <w:r>
        <w:t xml:space="preserve">, </w:t>
      </w:r>
      <w:proofErr w:type="spellStart"/>
      <w:r w:rsidRPr="007B6DBA">
        <w:t>Gratton</w:t>
      </w:r>
      <w:proofErr w:type="spellEnd"/>
      <w:r w:rsidRPr="007B6DBA">
        <w:t xml:space="preserve"> </w:t>
      </w:r>
      <w:r w:rsidRPr="009800AB">
        <w:rPr>
          <w:i/>
        </w:rPr>
        <w:t>et al.,</w:t>
      </w:r>
      <w:r>
        <w:t xml:space="preserve"> </w:t>
      </w:r>
      <w:r w:rsidRPr="007B6DBA">
        <w:t>20</w:t>
      </w:r>
      <w:r>
        <w:t xml:space="preserve">20, </w:t>
      </w:r>
      <w:proofErr w:type="spellStart"/>
      <w:r>
        <w:t>Morbey</w:t>
      </w:r>
      <w:proofErr w:type="spellEnd"/>
      <w:r>
        <w:t xml:space="preserve"> </w:t>
      </w:r>
      <w:r w:rsidRPr="009800AB">
        <w:rPr>
          <w:i/>
        </w:rPr>
        <w:t>et al.,</w:t>
      </w:r>
      <w:r>
        <w:t xml:space="preserve"> 2019, Townsend </w:t>
      </w:r>
      <w:r w:rsidRPr="009800AB">
        <w:rPr>
          <w:i/>
        </w:rPr>
        <w:t>et al.,</w:t>
      </w:r>
      <w:r>
        <w:t xml:space="preserve"> 2000 cited in </w:t>
      </w:r>
      <w:proofErr w:type="spellStart"/>
      <w:r>
        <w:t>Sangill</w:t>
      </w:r>
      <w:proofErr w:type="spellEnd"/>
      <w:r>
        <w:t xml:space="preserve"> </w:t>
      </w:r>
      <w:r w:rsidRPr="009800AB">
        <w:rPr>
          <w:i/>
        </w:rPr>
        <w:t>et al.,</w:t>
      </w:r>
      <w:r>
        <w:t xml:space="preserve"> 2019</w:t>
      </w:r>
    </w:p>
  </w:footnote>
  <w:footnote w:id="277">
    <w:p w14:paraId="6DB7608B" w14:textId="54393A2D" w:rsidR="00452DFD" w:rsidRDefault="00452DFD">
      <w:pPr>
        <w:pStyle w:val="FootnoteText"/>
      </w:pPr>
      <w:r>
        <w:rPr>
          <w:rStyle w:val="FootnoteReference"/>
        </w:rPr>
        <w:footnoteRef/>
      </w:r>
      <w:r>
        <w:t xml:space="preserve"> </w:t>
      </w:r>
      <w:proofErr w:type="spellStart"/>
      <w:r w:rsidRPr="004B76A2">
        <w:t>Veinot</w:t>
      </w:r>
      <w:proofErr w:type="spellEnd"/>
      <w:r w:rsidRPr="004B76A2">
        <w:t xml:space="preserve"> </w:t>
      </w:r>
      <w:r w:rsidRPr="009800AB">
        <w:rPr>
          <w:i/>
        </w:rPr>
        <w:t>et al.,</w:t>
      </w:r>
      <w:r>
        <w:t xml:space="preserve"> </w:t>
      </w:r>
      <w:r w:rsidRPr="004B76A2">
        <w:t>2006</w:t>
      </w:r>
      <w:r>
        <w:t xml:space="preserve"> cited </w:t>
      </w:r>
      <w:r w:rsidRPr="002877BE">
        <w:t xml:space="preserve">in Bailey </w:t>
      </w:r>
      <w:r w:rsidRPr="009800AB">
        <w:rPr>
          <w:i/>
        </w:rPr>
        <w:t>et al.,</w:t>
      </w:r>
      <w:r>
        <w:t xml:space="preserve"> </w:t>
      </w:r>
      <w:r w:rsidRPr="002877BE">
        <w:t>2015</w:t>
      </w:r>
      <w:r>
        <w:t xml:space="preserve">, </w:t>
      </w:r>
      <w:proofErr w:type="spellStart"/>
      <w:r w:rsidRPr="00CA2163">
        <w:t>Barod</w:t>
      </w:r>
      <w:proofErr w:type="spellEnd"/>
      <w:r w:rsidRPr="00CA2163">
        <w:t xml:space="preserve"> Community Interest Company</w:t>
      </w:r>
      <w:r w:rsidRPr="00493C2C">
        <w:t>, 2019</w:t>
      </w:r>
      <w:r>
        <w:t xml:space="preserve">, Burke </w:t>
      </w:r>
      <w:r w:rsidRPr="009800AB">
        <w:rPr>
          <w:i/>
        </w:rPr>
        <w:t>et al.,</w:t>
      </w:r>
      <w:r>
        <w:t xml:space="preserve"> 2019</w:t>
      </w:r>
      <w:r w:rsidRPr="002877BE">
        <w:t>,</w:t>
      </w:r>
      <w:r>
        <w:t xml:space="preserve"> Rojas </w:t>
      </w:r>
      <w:proofErr w:type="spellStart"/>
      <w:r>
        <w:t>Pernia</w:t>
      </w:r>
      <w:proofErr w:type="spellEnd"/>
      <w:r>
        <w:t xml:space="preserve"> and Haya </w:t>
      </w:r>
      <w:proofErr w:type="spellStart"/>
      <w:r>
        <w:t>Salmón</w:t>
      </w:r>
      <w:proofErr w:type="spellEnd"/>
      <w:r>
        <w:t>, 2020</w:t>
      </w:r>
    </w:p>
  </w:footnote>
  <w:footnote w:id="278">
    <w:p w14:paraId="70871F8C" w14:textId="7F3B13D9"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279">
    <w:p w14:paraId="7E675D11" w14:textId="6D17577F"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w:t>
      </w:r>
    </w:p>
  </w:footnote>
  <w:footnote w:id="280">
    <w:p w14:paraId="50F3C341" w14:textId="7E566225"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w:t>
      </w:r>
    </w:p>
  </w:footnote>
  <w:footnote w:id="281">
    <w:p w14:paraId="104C2D12" w14:textId="47A29D69"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282">
    <w:p w14:paraId="7AE1D6D1" w14:textId="21A52298" w:rsidR="00452DFD" w:rsidRDefault="00452DFD">
      <w:pPr>
        <w:pStyle w:val="FootnoteText"/>
      </w:pPr>
      <w:r>
        <w:rPr>
          <w:rStyle w:val="FootnoteReference"/>
        </w:rPr>
        <w:footnoteRef/>
      </w:r>
      <w:r>
        <w:t xml:space="preserve"> Di </w:t>
      </w:r>
      <w:proofErr w:type="spellStart"/>
      <w:r>
        <w:t>Lorito</w:t>
      </w:r>
      <w:proofErr w:type="spellEnd"/>
      <w:r>
        <w:t xml:space="preserve"> </w:t>
      </w:r>
      <w:r w:rsidRPr="009800AB">
        <w:rPr>
          <w:i/>
        </w:rPr>
        <w:t>et al.,</w:t>
      </w:r>
      <w:r>
        <w:t xml:space="preserve"> 2017, Haya </w:t>
      </w:r>
      <w:proofErr w:type="spellStart"/>
      <w:r>
        <w:t>Salmón</w:t>
      </w:r>
      <w:proofErr w:type="spellEnd"/>
      <w:r>
        <w:t xml:space="preserve"> and Rojas </w:t>
      </w:r>
      <w:proofErr w:type="spellStart"/>
      <w:r>
        <w:t>Pernia</w:t>
      </w:r>
      <w:proofErr w:type="spellEnd"/>
      <w:r>
        <w:t>, 2021</w:t>
      </w:r>
    </w:p>
  </w:footnote>
  <w:footnote w:id="283">
    <w:p w14:paraId="0721D46E" w14:textId="510460DB" w:rsidR="00452DFD" w:rsidRDefault="00452DFD">
      <w:pPr>
        <w:pStyle w:val="FootnoteText"/>
      </w:pPr>
      <w:r>
        <w:rPr>
          <w:rStyle w:val="FootnoteReference"/>
        </w:rPr>
        <w:footnoteRef/>
      </w:r>
      <w:r>
        <w:t xml:space="preserve"> Hollinrake, Spencer and Dix, 2019</w:t>
      </w:r>
    </w:p>
  </w:footnote>
  <w:footnote w:id="284">
    <w:p w14:paraId="5C42573C" w14:textId="4A006529" w:rsidR="00452DFD" w:rsidRDefault="00452DFD">
      <w:pPr>
        <w:pStyle w:val="FootnoteText"/>
      </w:pPr>
      <w:r>
        <w:rPr>
          <w:rStyle w:val="FootnoteReference"/>
        </w:rPr>
        <w:footnoteRef/>
      </w:r>
      <w:r>
        <w:t xml:space="preserve"> Schwartz and Durkin, 2020</w:t>
      </w:r>
    </w:p>
  </w:footnote>
  <w:footnote w:id="285">
    <w:p w14:paraId="517C1ECC" w14:textId="0817C693" w:rsidR="00452DFD" w:rsidRDefault="00452DFD">
      <w:pPr>
        <w:pStyle w:val="FootnoteText"/>
      </w:pPr>
      <w:r>
        <w:rPr>
          <w:rStyle w:val="FootnoteReference"/>
        </w:rPr>
        <w:footnoteRef/>
      </w:r>
      <w:r>
        <w:t xml:space="preserve"> </w:t>
      </w:r>
      <w:r w:rsidRPr="00E317D7">
        <w:t>Drill Report, 2018</w:t>
      </w:r>
    </w:p>
  </w:footnote>
  <w:footnote w:id="286">
    <w:p w14:paraId="02F70334" w14:textId="72EC4EC8" w:rsidR="00452DFD" w:rsidRDefault="00452DFD">
      <w:pPr>
        <w:pStyle w:val="FootnoteText"/>
      </w:pPr>
      <w:r>
        <w:rPr>
          <w:rStyle w:val="FootnoteReference"/>
        </w:rPr>
        <w:footnoteRef/>
      </w:r>
      <w:r>
        <w:t xml:space="preserve"> </w:t>
      </w:r>
      <w:r w:rsidRPr="00E34E4F">
        <w:t xml:space="preserve">St John </w:t>
      </w:r>
      <w:r w:rsidRPr="009800AB">
        <w:rPr>
          <w:i/>
        </w:rPr>
        <w:t>et al.,</w:t>
      </w:r>
      <w:r>
        <w:t xml:space="preserve"> </w:t>
      </w:r>
      <w:r w:rsidRPr="00E34E4F">
        <w:t>2018</w:t>
      </w:r>
    </w:p>
  </w:footnote>
  <w:footnote w:id="287">
    <w:p w14:paraId="3F4ED918" w14:textId="518F7103" w:rsidR="00452DFD" w:rsidRDefault="00452DFD">
      <w:pPr>
        <w:pStyle w:val="FootnoteText"/>
      </w:pPr>
      <w:r>
        <w:rPr>
          <w:rStyle w:val="FootnoteReference"/>
        </w:rPr>
        <w:footnoteRef/>
      </w:r>
      <w:r>
        <w:t xml:space="preserve"> </w:t>
      </w:r>
      <w:proofErr w:type="spellStart"/>
      <w:r w:rsidRPr="00E34E4F">
        <w:t>Mogensen</w:t>
      </w:r>
      <w:proofErr w:type="spellEnd"/>
      <w:r>
        <w:t>,</w:t>
      </w:r>
      <w:r w:rsidRPr="00E34E4F">
        <w:t xml:space="preserve"> 2010 cited in Bailey </w:t>
      </w:r>
      <w:r w:rsidRPr="009800AB">
        <w:rPr>
          <w:i/>
        </w:rPr>
        <w:t>et al.,</w:t>
      </w:r>
      <w:r>
        <w:t xml:space="preserve"> </w:t>
      </w:r>
      <w:r w:rsidRPr="00E34E4F">
        <w:t>2015</w:t>
      </w:r>
      <w:r>
        <w:t xml:space="preserve">, </w:t>
      </w:r>
      <w:r w:rsidRPr="00E34E4F">
        <w:t>Morris</w:t>
      </w:r>
      <w:r>
        <w:t>,</w:t>
      </w:r>
      <w:r w:rsidRPr="00E34E4F">
        <w:t xml:space="preserve"> 2003</w:t>
      </w:r>
      <w:r w:rsidRPr="002B31A3">
        <w:t xml:space="preserve"> </w:t>
      </w:r>
      <w:r w:rsidRPr="00E34E4F">
        <w:t xml:space="preserve">cited in Bailey </w:t>
      </w:r>
      <w:r w:rsidRPr="009800AB">
        <w:rPr>
          <w:i/>
        </w:rPr>
        <w:t>et al.,</w:t>
      </w:r>
      <w:r>
        <w:t xml:space="preserve"> </w:t>
      </w:r>
      <w:r w:rsidRPr="00E34E4F">
        <w:t>2015</w:t>
      </w:r>
    </w:p>
  </w:footnote>
  <w:footnote w:id="288">
    <w:p w14:paraId="71DD1EE7" w14:textId="3402F829" w:rsidR="00452DFD" w:rsidRDefault="00452DFD">
      <w:pPr>
        <w:pStyle w:val="FootnoteText"/>
      </w:pPr>
      <w:r>
        <w:rPr>
          <w:rStyle w:val="FootnoteReference"/>
        </w:rPr>
        <w:footnoteRef/>
      </w:r>
      <w:r>
        <w:t xml:space="preserve"> </w:t>
      </w:r>
      <w:r w:rsidRPr="00E34E4F">
        <w:t xml:space="preserve">St John </w:t>
      </w:r>
      <w:r w:rsidRPr="009800AB">
        <w:rPr>
          <w:i/>
        </w:rPr>
        <w:t>et al.,</w:t>
      </w:r>
      <w:r>
        <w:t xml:space="preserve"> </w:t>
      </w:r>
      <w:r w:rsidRPr="00E34E4F">
        <w:t xml:space="preserve">2018, </w:t>
      </w:r>
      <w:r>
        <w:t xml:space="preserve">Waite, Poland and </w:t>
      </w:r>
      <w:proofErr w:type="spellStart"/>
      <w:r>
        <w:t>Charlesworth</w:t>
      </w:r>
      <w:proofErr w:type="spellEnd"/>
      <w:r>
        <w:t>, 2019</w:t>
      </w:r>
    </w:p>
  </w:footnote>
  <w:footnote w:id="289">
    <w:p w14:paraId="333554DB" w14:textId="6F573EA2" w:rsidR="00452DFD" w:rsidRDefault="00452DFD">
      <w:pPr>
        <w:pStyle w:val="FootnoteText"/>
      </w:pPr>
      <w:r>
        <w:rPr>
          <w:rStyle w:val="FootnoteReference"/>
        </w:rPr>
        <w:footnoteRef/>
      </w:r>
      <w:r>
        <w:t xml:space="preserve"> </w:t>
      </w:r>
      <w:r w:rsidRPr="0063032A">
        <w:t xml:space="preserve">Once commenced, the Assisted Decision Making (Capacity) Act (ADM) 2015 will abolish the current system of </w:t>
      </w:r>
      <w:proofErr w:type="spellStart"/>
      <w:r w:rsidRPr="0063032A">
        <w:t>wardship</w:t>
      </w:r>
      <w:proofErr w:type="spellEnd"/>
      <w:r w:rsidRPr="0063032A">
        <w:t xml:space="preserve"> (legal guardianship) for adults in Ireland. Instead, people who need assistance or support to make particular decisions may appoint, or be appointed, a decision-making support. A tiered system of support will be introduced, ranging from the lowest level of support, a Decision-Making Assistant, who assists a decision-maker, to a middle level of support, a Co-Decision-Maker, who makes decision jointly with the decision-maker, to a high level of support, a Decision-Making Representative, who is appointed by the Court and given authority to make specific decisions on behalf of a person. At all stages of this new support system, the will and preferences of the relevant person must be at the centre of all decisions. Decisions will no longer be made in ‘the best interests’ of the relevant person, and they must be empowered and supported to be involved in all decisions relevant to their lives. The Assisted Decision-Making (Capacity) Act 2015 is currently awaiting the enactment of amending legislation, and should be commenced in Q4 of 2022. </w:t>
      </w:r>
      <w:r>
        <w:t xml:space="preserve"> </w:t>
      </w:r>
    </w:p>
  </w:footnote>
  <w:footnote w:id="290">
    <w:p w14:paraId="072F690E" w14:textId="122C4918" w:rsidR="00452DFD" w:rsidRDefault="00452DFD">
      <w:pPr>
        <w:pStyle w:val="FootnoteText"/>
      </w:pPr>
      <w:r>
        <w:rPr>
          <w:rStyle w:val="FootnoteReference"/>
        </w:rPr>
        <w:footnoteRef/>
      </w:r>
      <w:r>
        <w:t xml:space="preserve"> </w:t>
      </w:r>
      <w:proofErr w:type="spellStart"/>
      <w:r>
        <w:t>Nicolaidis</w:t>
      </w:r>
      <w:proofErr w:type="spellEnd"/>
      <w:r>
        <w:t xml:space="preserve"> </w:t>
      </w:r>
      <w:r w:rsidRPr="009800AB">
        <w:rPr>
          <w:i/>
        </w:rPr>
        <w:t>et al.,</w:t>
      </w:r>
      <w:r>
        <w:t xml:space="preserve"> 2019</w:t>
      </w:r>
    </w:p>
  </w:footnote>
  <w:footnote w:id="291">
    <w:p w14:paraId="6DF5638C" w14:textId="4BC69C3F" w:rsidR="00452DFD" w:rsidRDefault="00452DFD">
      <w:pPr>
        <w:pStyle w:val="FootnoteText"/>
      </w:pPr>
      <w:r>
        <w:rPr>
          <w:rStyle w:val="FootnoteReference"/>
        </w:rPr>
        <w:footnoteRef/>
      </w:r>
      <w:r>
        <w:t xml:space="preserve"> Powers </w:t>
      </w:r>
      <w:r w:rsidRPr="009800AB">
        <w:rPr>
          <w:i/>
        </w:rPr>
        <w:t>et al.,</w:t>
      </w:r>
      <w:r>
        <w:t xml:space="preserve"> 2017</w:t>
      </w:r>
    </w:p>
  </w:footnote>
  <w:footnote w:id="292">
    <w:p w14:paraId="77F7A93F" w14:textId="2857B188" w:rsidR="00452DFD" w:rsidRDefault="00452DFD">
      <w:pPr>
        <w:pStyle w:val="FootnoteText"/>
      </w:pPr>
      <w:r>
        <w:rPr>
          <w:rStyle w:val="FootnoteReference"/>
        </w:rPr>
        <w:footnoteRef/>
      </w:r>
      <w:r>
        <w:t xml:space="preserve"> Anderson </w:t>
      </w:r>
      <w:r w:rsidRPr="009800AB">
        <w:rPr>
          <w:i/>
        </w:rPr>
        <w:t>et al.,</w:t>
      </w:r>
      <w:r>
        <w:t xml:space="preserve"> 2018, Dewa </w:t>
      </w:r>
      <w:r w:rsidRPr="009800AB">
        <w:rPr>
          <w:i/>
        </w:rPr>
        <w:t>et al.,</w:t>
      </w:r>
      <w:r>
        <w:t xml:space="preserve"> 2020, Disability Wales, 2019, </w:t>
      </w:r>
      <w:proofErr w:type="spellStart"/>
      <w:r>
        <w:t>Frankena</w:t>
      </w:r>
      <w:proofErr w:type="spellEnd"/>
      <w:r>
        <w:t xml:space="preserve"> </w:t>
      </w:r>
      <w:r w:rsidRPr="009800AB">
        <w:rPr>
          <w:i/>
        </w:rPr>
        <w:t>et al.,</w:t>
      </w:r>
      <w:r>
        <w:t xml:space="preserve"> 2019a, King </w:t>
      </w:r>
      <w:r w:rsidRPr="009800AB">
        <w:rPr>
          <w:i/>
        </w:rPr>
        <w:t>et al.,</w:t>
      </w:r>
      <w:r>
        <w:t xml:space="preserve"> 2019, Kramer </w:t>
      </w:r>
      <w:r w:rsidRPr="009800AB">
        <w:rPr>
          <w:i/>
        </w:rPr>
        <w:t>et al.,</w:t>
      </w:r>
      <w:r>
        <w:t xml:space="preserve"> 2018</w:t>
      </w:r>
    </w:p>
  </w:footnote>
  <w:footnote w:id="293">
    <w:p w14:paraId="4B3139DC" w14:textId="6FD65D91" w:rsidR="00452DFD" w:rsidRDefault="00452DFD">
      <w:pPr>
        <w:pStyle w:val="FootnoteText"/>
      </w:pPr>
      <w:r>
        <w:rPr>
          <w:rStyle w:val="FootnoteReference"/>
        </w:rPr>
        <w:footnoteRef/>
      </w:r>
      <w:r>
        <w:t xml:space="preserve"> Butler </w:t>
      </w:r>
      <w:r w:rsidRPr="009800AB">
        <w:rPr>
          <w:i/>
        </w:rPr>
        <w:t>et al.,</w:t>
      </w:r>
      <w:r>
        <w:t xml:space="preserve"> 2020, Dewa </w:t>
      </w:r>
      <w:r w:rsidRPr="009800AB">
        <w:rPr>
          <w:i/>
        </w:rPr>
        <w:t>et al.,</w:t>
      </w:r>
      <w:r>
        <w:t xml:space="preserve"> 2020</w:t>
      </w:r>
    </w:p>
  </w:footnote>
  <w:footnote w:id="294">
    <w:p w14:paraId="02452F0C" w14:textId="641C7574" w:rsidR="00452DFD" w:rsidRDefault="00452DFD">
      <w:pPr>
        <w:pStyle w:val="FootnoteText"/>
      </w:pPr>
      <w:r>
        <w:rPr>
          <w:rStyle w:val="FootnoteReference"/>
        </w:rPr>
        <w:footnoteRef/>
      </w:r>
      <w:r>
        <w:t xml:space="preserve"> Butler </w:t>
      </w:r>
      <w:r w:rsidRPr="009800AB">
        <w:rPr>
          <w:i/>
        </w:rPr>
        <w:t>et al.,</w:t>
      </w:r>
      <w:r>
        <w:t xml:space="preserve"> 2020, Dewa </w:t>
      </w:r>
      <w:r w:rsidRPr="009800AB">
        <w:rPr>
          <w:i/>
        </w:rPr>
        <w:t>et al.,</w:t>
      </w:r>
      <w:r>
        <w:t xml:space="preserve"> 2020, Rojas </w:t>
      </w:r>
      <w:proofErr w:type="spellStart"/>
      <w:r>
        <w:t>Pernia</w:t>
      </w:r>
      <w:proofErr w:type="spellEnd"/>
      <w:r>
        <w:t xml:space="preserve"> and Haya </w:t>
      </w:r>
      <w:proofErr w:type="spellStart"/>
      <w:r>
        <w:t>Salmón</w:t>
      </w:r>
      <w:proofErr w:type="spellEnd"/>
      <w:r>
        <w:t xml:space="preserve"> 2020</w:t>
      </w:r>
    </w:p>
  </w:footnote>
  <w:footnote w:id="295">
    <w:p w14:paraId="714C523F" w14:textId="368AE6A0" w:rsidR="00452DFD" w:rsidRDefault="00452DFD">
      <w:pPr>
        <w:pStyle w:val="FootnoteText"/>
      </w:pPr>
      <w:r>
        <w:rPr>
          <w:rStyle w:val="FootnoteReference"/>
        </w:rPr>
        <w:footnoteRef/>
      </w:r>
      <w:r>
        <w:t xml:space="preserve"> St John </w:t>
      </w:r>
      <w:r w:rsidRPr="009800AB">
        <w:rPr>
          <w:i/>
        </w:rPr>
        <w:t>et al.,</w:t>
      </w:r>
      <w:r>
        <w:t xml:space="preserve"> 2018, studies considered by </w:t>
      </w:r>
      <w:proofErr w:type="spellStart"/>
      <w:r>
        <w:t>Frankena</w:t>
      </w:r>
      <w:proofErr w:type="spellEnd"/>
      <w:r>
        <w:t xml:space="preserve"> </w:t>
      </w:r>
      <w:r w:rsidRPr="009800AB">
        <w:rPr>
          <w:i/>
        </w:rPr>
        <w:t>et al.,</w:t>
      </w:r>
      <w:r>
        <w:t xml:space="preserve"> 2019c</w:t>
      </w:r>
    </w:p>
  </w:footnote>
  <w:footnote w:id="296">
    <w:p w14:paraId="0B4F97DA" w14:textId="7DD7B4D9" w:rsidR="00452DFD" w:rsidRDefault="00452DFD">
      <w:pPr>
        <w:pStyle w:val="FootnoteText"/>
      </w:pPr>
      <w:r>
        <w:rPr>
          <w:rStyle w:val="FootnoteReference"/>
        </w:rPr>
        <w:footnoteRef/>
      </w:r>
      <w:r>
        <w:t xml:space="preserve"> Studies considered by </w:t>
      </w:r>
      <w:proofErr w:type="spellStart"/>
      <w:r>
        <w:t>Frankena</w:t>
      </w:r>
      <w:proofErr w:type="spellEnd"/>
      <w:r>
        <w:t xml:space="preserve"> </w:t>
      </w:r>
      <w:r w:rsidRPr="009800AB">
        <w:rPr>
          <w:i/>
        </w:rPr>
        <w:t>et al.,</w:t>
      </w:r>
      <w:r>
        <w:t xml:space="preserve"> 2019c, </w:t>
      </w:r>
      <w:r w:rsidRPr="006A1CEE">
        <w:rPr>
          <w:rFonts w:cs="Calibri"/>
          <w:bCs/>
          <w:color w:val="000000"/>
          <w:lang w:eastAsia="en-IE"/>
        </w:rPr>
        <w:t xml:space="preserve">Vega Cordova </w:t>
      </w:r>
      <w:r w:rsidRPr="009800AB">
        <w:rPr>
          <w:rFonts w:cs="Calibri"/>
          <w:bCs/>
          <w:i/>
          <w:color w:val="000000"/>
          <w:lang w:eastAsia="en-IE"/>
        </w:rPr>
        <w:t>et al.,</w:t>
      </w:r>
      <w:r>
        <w:rPr>
          <w:rFonts w:cs="Calibri"/>
          <w:bCs/>
          <w:color w:val="000000"/>
          <w:lang w:eastAsia="en-IE"/>
        </w:rPr>
        <w:t xml:space="preserve"> 2</w:t>
      </w:r>
      <w:r w:rsidRPr="006A1CEE">
        <w:rPr>
          <w:rFonts w:cs="Calibri"/>
          <w:bCs/>
          <w:color w:val="000000"/>
          <w:lang w:eastAsia="en-IE"/>
        </w:rPr>
        <w:t>020</w:t>
      </w:r>
    </w:p>
  </w:footnote>
  <w:footnote w:id="297">
    <w:p w14:paraId="47A4CD84" w14:textId="17FD1FC7" w:rsidR="00452DFD" w:rsidRDefault="00452DFD">
      <w:pPr>
        <w:pStyle w:val="FootnoteText"/>
      </w:pPr>
      <w:r>
        <w:rPr>
          <w:rStyle w:val="FootnoteReference"/>
        </w:rPr>
        <w:footnoteRef/>
      </w:r>
      <w:r>
        <w:t xml:space="preserve"> Studies considered by </w:t>
      </w:r>
      <w:proofErr w:type="spellStart"/>
      <w:r>
        <w:t>Frankena</w:t>
      </w:r>
      <w:proofErr w:type="spellEnd"/>
      <w:r>
        <w:t xml:space="preserve"> </w:t>
      </w:r>
      <w:r w:rsidRPr="009800AB">
        <w:rPr>
          <w:i/>
        </w:rPr>
        <w:t>et al.,</w:t>
      </w:r>
      <w:r>
        <w:t xml:space="preserve"> 2019c</w:t>
      </w:r>
    </w:p>
  </w:footnote>
  <w:footnote w:id="298">
    <w:p w14:paraId="15A78A03" w14:textId="2333FA20" w:rsidR="00452DFD" w:rsidRDefault="00452DFD">
      <w:pPr>
        <w:pStyle w:val="FootnoteText"/>
      </w:pPr>
      <w:r>
        <w:rPr>
          <w:rStyle w:val="FootnoteReference"/>
        </w:rPr>
        <w:footnoteRef/>
      </w:r>
      <w:r>
        <w:t xml:space="preserve"> Burke </w:t>
      </w:r>
      <w:r w:rsidRPr="009800AB">
        <w:rPr>
          <w:i/>
        </w:rPr>
        <w:t>et al.,</w:t>
      </w:r>
      <w:r>
        <w:t xml:space="preserve"> 2019</w:t>
      </w:r>
    </w:p>
  </w:footnote>
  <w:footnote w:id="299">
    <w:p w14:paraId="697086B6" w14:textId="287E71AC" w:rsidR="00452DFD" w:rsidRDefault="00452DFD">
      <w:pPr>
        <w:pStyle w:val="FootnoteText"/>
      </w:pPr>
      <w:r>
        <w:rPr>
          <w:rStyle w:val="FootnoteReference"/>
        </w:rPr>
        <w:footnoteRef/>
      </w:r>
      <w:r>
        <w:t xml:space="preserve"> Herron, Priest and Read, 2015</w:t>
      </w:r>
    </w:p>
  </w:footnote>
  <w:footnote w:id="300">
    <w:p w14:paraId="041B0258" w14:textId="2392E8FF" w:rsidR="00452DFD" w:rsidRDefault="00452DFD">
      <w:pPr>
        <w:pStyle w:val="FootnoteText"/>
      </w:pPr>
      <w:r>
        <w:rPr>
          <w:rStyle w:val="FootnoteReference"/>
        </w:rPr>
        <w:footnoteRef/>
      </w:r>
      <w:r>
        <w:t xml:space="preserve"> Herron, Priest and Read, 2015</w:t>
      </w:r>
    </w:p>
  </w:footnote>
  <w:footnote w:id="301">
    <w:p w14:paraId="2CD6669C" w14:textId="5831712E" w:rsidR="00452DFD" w:rsidRDefault="00452DFD">
      <w:pPr>
        <w:pStyle w:val="FootnoteText"/>
      </w:pPr>
      <w:r>
        <w:rPr>
          <w:rStyle w:val="FootnoteReference"/>
        </w:rPr>
        <w:footnoteRef/>
      </w:r>
      <w:r>
        <w:t xml:space="preserve"> </w:t>
      </w:r>
      <w:r w:rsidRPr="0057458D">
        <w:t xml:space="preserve">Burke </w:t>
      </w:r>
      <w:r w:rsidRPr="009800AB">
        <w:rPr>
          <w:i/>
        </w:rPr>
        <w:t>et al.,</w:t>
      </w:r>
      <w:r>
        <w:t xml:space="preserve"> 2019,</w:t>
      </w:r>
      <w:r w:rsidRPr="0057458D">
        <w:t xml:space="preserve"> Fletcher-Watson </w:t>
      </w:r>
      <w:r w:rsidRPr="009800AB">
        <w:rPr>
          <w:i/>
        </w:rPr>
        <w:t>et al.,</w:t>
      </w:r>
      <w:r>
        <w:t xml:space="preserve"> 2018</w:t>
      </w:r>
    </w:p>
  </w:footnote>
  <w:footnote w:id="302">
    <w:p w14:paraId="121C2FBF" w14:textId="6F366114" w:rsidR="00452DFD" w:rsidRDefault="00452DFD">
      <w:pPr>
        <w:pStyle w:val="FootnoteText"/>
      </w:pPr>
      <w:r>
        <w:rPr>
          <w:rStyle w:val="FootnoteReference"/>
        </w:rPr>
        <w:footnoteRef/>
      </w:r>
      <w:r>
        <w:t xml:space="preserve"> </w:t>
      </w:r>
      <w:r w:rsidRPr="00232E8E">
        <w:t xml:space="preserve">Paul </w:t>
      </w:r>
      <w:r w:rsidRPr="009800AB">
        <w:rPr>
          <w:i/>
        </w:rPr>
        <w:t>et al.,</w:t>
      </w:r>
      <w:r>
        <w:t xml:space="preserve"> </w:t>
      </w:r>
      <w:r w:rsidRPr="00232E8E">
        <w:t>2017</w:t>
      </w:r>
    </w:p>
  </w:footnote>
  <w:footnote w:id="303">
    <w:p w14:paraId="54365EE1" w14:textId="256408BB" w:rsidR="00452DFD" w:rsidRDefault="00452DFD">
      <w:pPr>
        <w:pStyle w:val="FootnoteText"/>
      </w:pPr>
      <w:r>
        <w:rPr>
          <w:rStyle w:val="FootnoteReference"/>
        </w:rPr>
        <w:footnoteRef/>
      </w:r>
      <w:r>
        <w:t xml:space="preserve"> </w:t>
      </w:r>
      <w:r w:rsidRPr="00232E8E">
        <w:t xml:space="preserve">Ashcroft </w:t>
      </w:r>
      <w:r w:rsidRPr="009800AB">
        <w:rPr>
          <w:i/>
        </w:rPr>
        <w:t>et al.,</w:t>
      </w:r>
      <w:r>
        <w:t xml:space="preserve"> 2016</w:t>
      </w:r>
    </w:p>
  </w:footnote>
  <w:footnote w:id="304">
    <w:p w14:paraId="2B7C77AF" w14:textId="21E30A59" w:rsidR="00452DFD" w:rsidRDefault="00452DFD">
      <w:pPr>
        <w:pStyle w:val="FootnoteText"/>
      </w:pPr>
      <w:r>
        <w:rPr>
          <w:rStyle w:val="FootnoteReference"/>
        </w:rPr>
        <w:footnoteRef/>
      </w:r>
      <w:r>
        <w:t xml:space="preserve"> </w:t>
      </w:r>
      <w:proofErr w:type="spellStart"/>
      <w:r>
        <w:rPr>
          <w:lang w:eastAsia="en-IE"/>
        </w:rPr>
        <w:t>Frankena</w:t>
      </w:r>
      <w:proofErr w:type="spellEnd"/>
      <w:r>
        <w:rPr>
          <w:lang w:eastAsia="en-IE"/>
        </w:rPr>
        <w:t xml:space="preserve"> </w:t>
      </w:r>
      <w:r w:rsidRPr="009800AB">
        <w:rPr>
          <w:i/>
          <w:lang w:eastAsia="en-IE"/>
        </w:rPr>
        <w:t>et al.,</w:t>
      </w:r>
      <w:r>
        <w:rPr>
          <w:lang w:eastAsia="en-IE"/>
        </w:rPr>
        <w:t xml:space="preserve"> 2019a, Joss </w:t>
      </w:r>
      <w:r w:rsidRPr="009800AB">
        <w:rPr>
          <w:i/>
          <w:lang w:eastAsia="en-IE"/>
        </w:rPr>
        <w:t>et al.,</w:t>
      </w:r>
      <w:r>
        <w:rPr>
          <w:lang w:eastAsia="en-IE"/>
        </w:rPr>
        <w:t xml:space="preserve"> 2016, </w:t>
      </w:r>
      <w:r w:rsidRPr="00A824B6">
        <w:rPr>
          <w:lang w:eastAsia="en-IE"/>
        </w:rPr>
        <w:t xml:space="preserve">Stevenson </w:t>
      </w:r>
      <w:r>
        <w:rPr>
          <w:lang w:eastAsia="en-IE"/>
        </w:rPr>
        <w:t>and</w:t>
      </w:r>
      <w:r w:rsidRPr="00A824B6">
        <w:rPr>
          <w:lang w:eastAsia="en-IE"/>
        </w:rPr>
        <w:t xml:space="preserve"> Taylor, 2019</w:t>
      </w:r>
    </w:p>
  </w:footnote>
  <w:footnote w:id="305">
    <w:p w14:paraId="0963A7D9" w14:textId="01F2067C" w:rsidR="00452DFD" w:rsidRDefault="00452DFD">
      <w:pPr>
        <w:pStyle w:val="FootnoteText"/>
      </w:pPr>
      <w:r>
        <w:rPr>
          <w:rStyle w:val="FootnoteReference"/>
        </w:rPr>
        <w:footnoteRef/>
      </w:r>
      <w:r>
        <w:t xml:space="preserve"> </w:t>
      </w:r>
      <w:proofErr w:type="spellStart"/>
      <w:r w:rsidRPr="00232E8E">
        <w:t>Wolesley</w:t>
      </w:r>
      <w:proofErr w:type="spellEnd"/>
      <w:r w:rsidRPr="00232E8E">
        <w:t xml:space="preserve"> </w:t>
      </w:r>
      <w:r w:rsidRPr="009800AB">
        <w:rPr>
          <w:i/>
        </w:rPr>
        <w:t>et al.,</w:t>
      </w:r>
      <w:r>
        <w:t xml:space="preserve"> </w:t>
      </w:r>
      <w:r w:rsidRPr="00232E8E">
        <w:t>2017</w:t>
      </w:r>
    </w:p>
  </w:footnote>
  <w:footnote w:id="306">
    <w:p w14:paraId="6ED907F8" w14:textId="4AD096C6" w:rsidR="00452DFD" w:rsidRDefault="00452DFD">
      <w:pPr>
        <w:pStyle w:val="FootnoteText"/>
      </w:pPr>
      <w:r>
        <w:rPr>
          <w:rStyle w:val="FootnoteReference"/>
        </w:rPr>
        <w:footnoteRef/>
      </w:r>
      <w:r>
        <w:t xml:space="preserve"> Dewa </w:t>
      </w:r>
      <w:r w:rsidRPr="009800AB">
        <w:rPr>
          <w:i/>
        </w:rPr>
        <w:t>et al.,</w:t>
      </w:r>
      <w:r>
        <w:t xml:space="preserve"> 2020</w:t>
      </w:r>
    </w:p>
  </w:footnote>
  <w:footnote w:id="307">
    <w:p w14:paraId="570A1586" w14:textId="1D9E0CA9" w:rsidR="00452DFD" w:rsidRDefault="00452DFD">
      <w:pPr>
        <w:pStyle w:val="FootnoteText"/>
      </w:pPr>
      <w:r>
        <w:rPr>
          <w:rStyle w:val="FootnoteReference"/>
        </w:rPr>
        <w:footnoteRef/>
      </w:r>
      <w:r>
        <w:t xml:space="preserve"> </w:t>
      </w:r>
      <w:r w:rsidRPr="00232E8E">
        <w:t xml:space="preserve">Kelly </w:t>
      </w:r>
      <w:r>
        <w:t>and</w:t>
      </w:r>
      <w:r w:rsidRPr="00232E8E">
        <w:t xml:space="preserve"> </w:t>
      </w:r>
      <w:proofErr w:type="spellStart"/>
      <w:r w:rsidRPr="00232E8E">
        <w:t>Pich</w:t>
      </w:r>
      <w:proofErr w:type="spellEnd"/>
      <w:r w:rsidRPr="00232E8E">
        <w:t>, 2014</w:t>
      </w:r>
      <w:r>
        <w:t xml:space="preserve"> cited in O’Brien, </w:t>
      </w:r>
      <w:proofErr w:type="spellStart"/>
      <w:r>
        <w:t>Fossey</w:t>
      </w:r>
      <w:proofErr w:type="spellEnd"/>
      <w:r>
        <w:t xml:space="preserve"> and Palmer, 2021, </w:t>
      </w:r>
      <w:r w:rsidRPr="00232E8E">
        <w:t xml:space="preserve">Kurtz </w:t>
      </w:r>
      <w:r>
        <w:t>and</w:t>
      </w:r>
      <w:r w:rsidRPr="00232E8E">
        <w:t xml:space="preserve"> Street, 2006</w:t>
      </w:r>
      <w:r>
        <w:t xml:space="preserve"> cited in O’Brien, </w:t>
      </w:r>
      <w:proofErr w:type="spellStart"/>
      <w:r>
        <w:t>Fossey</w:t>
      </w:r>
      <w:proofErr w:type="spellEnd"/>
      <w:r>
        <w:t xml:space="preserve"> and Palmer, 2021,</w:t>
      </w:r>
      <w:r w:rsidRPr="00232E8E">
        <w:t xml:space="preserve"> Thomas </w:t>
      </w:r>
      <w:r w:rsidRPr="009800AB">
        <w:rPr>
          <w:i/>
        </w:rPr>
        <w:t>et al.,</w:t>
      </w:r>
      <w:r>
        <w:t xml:space="preserve"> </w:t>
      </w:r>
      <w:r w:rsidRPr="00232E8E">
        <w:t>2006</w:t>
      </w:r>
      <w:r>
        <w:t xml:space="preserve"> cited</w:t>
      </w:r>
      <w:r w:rsidRPr="00232E8E">
        <w:t xml:space="preserve"> in </w:t>
      </w:r>
      <w:r>
        <w:t xml:space="preserve">O’Brien, </w:t>
      </w:r>
      <w:proofErr w:type="spellStart"/>
      <w:r>
        <w:t>Fossey</w:t>
      </w:r>
      <w:proofErr w:type="spellEnd"/>
      <w:r>
        <w:t xml:space="preserve"> and Palmer, 2021</w:t>
      </w:r>
    </w:p>
  </w:footnote>
  <w:footnote w:id="308">
    <w:p w14:paraId="23376089" w14:textId="027983CE" w:rsidR="00452DFD" w:rsidRDefault="00452DFD">
      <w:pPr>
        <w:pStyle w:val="FootnoteText"/>
      </w:pPr>
      <w:r>
        <w:rPr>
          <w:rStyle w:val="FootnoteReference"/>
        </w:rPr>
        <w:footnoteRef/>
      </w:r>
      <w:r>
        <w:t xml:space="preserve"> </w:t>
      </w:r>
      <w:proofErr w:type="spellStart"/>
      <w:r>
        <w:t>Lwembe</w:t>
      </w:r>
      <w:proofErr w:type="spellEnd"/>
      <w:r>
        <w:t xml:space="preserve"> </w:t>
      </w:r>
      <w:r w:rsidRPr="009800AB">
        <w:rPr>
          <w:i/>
        </w:rPr>
        <w:t>et al.,</w:t>
      </w:r>
      <w:r>
        <w:t xml:space="preserve"> </w:t>
      </w:r>
      <w:r w:rsidRPr="00232E8E">
        <w:t>2017</w:t>
      </w:r>
      <w:r>
        <w:t xml:space="preserve"> cited</w:t>
      </w:r>
      <w:r w:rsidRPr="00232E8E">
        <w:t xml:space="preserve"> in </w:t>
      </w:r>
      <w:r>
        <w:t xml:space="preserve">O’Brien, </w:t>
      </w:r>
      <w:proofErr w:type="spellStart"/>
      <w:r>
        <w:t>Fossey</w:t>
      </w:r>
      <w:proofErr w:type="spellEnd"/>
      <w:r>
        <w:t xml:space="preserve"> and Palmer, 2021</w:t>
      </w:r>
    </w:p>
  </w:footnote>
  <w:footnote w:id="309">
    <w:p w14:paraId="3AEF2E0D" w14:textId="19FE5966" w:rsidR="00452DFD" w:rsidRDefault="00452DFD">
      <w:pPr>
        <w:pStyle w:val="FootnoteText"/>
      </w:pPr>
      <w:r>
        <w:rPr>
          <w:rStyle w:val="FootnoteReference"/>
        </w:rPr>
        <w:footnoteRef/>
      </w:r>
      <w:r>
        <w:t xml:space="preserve"> </w:t>
      </w:r>
      <w:r w:rsidRPr="007201EE">
        <w:t xml:space="preserve">Stevenson, 2010 in </w:t>
      </w:r>
      <w:proofErr w:type="spellStart"/>
      <w:r w:rsidRPr="007201EE">
        <w:t>Frankena</w:t>
      </w:r>
      <w:proofErr w:type="spellEnd"/>
      <w:r w:rsidRPr="007201EE">
        <w:t xml:space="preserve"> </w:t>
      </w:r>
      <w:r w:rsidRPr="009800AB">
        <w:rPr>
          <w:i/>
        </w:rPr>
        <w:t>et al.,</w:t>
      </w:r>
      <w:r>
        <w:t xml:space="preserve"> </w:t>
      </w:r>
      <w:r w:rsidRPr="00D22CA7">
        <w:t>2015</w:t>
      </w:r>
    </w:p>
  </w:footnote>
  <w:footnote w:id="310">
    <w:p w14:paraId="18A001AF" w14:textId="02B1E1F9" w:rsidR="00452DFD" w:rsidRDefault="00452DFD">
      <w:pPr>
        <w:pStyle w:val="FootnoteText"/>
      </w:pPr>
      <w:r>
        <w:rPr>
          <w:rStyle w:val="FootnoteReference"/>
        </w:rPr>
        <w:footnoteRef/>
      </w:r>
      <w:r>
        <w:t xml:space="preserve"> </w:t>
      </w:r>
      <w:r>
        <w:rPr>
          <w:rFonts w:cs="Calibri"/>
          <w:color w:val="000000"/>
          <w:lang w:eastAsia="en-IE"/>
        </w:rPr>
        <w:t xml:space="preserve">Clarke </w:t>
      </w:r>
      <w:r w:rsidRPr="009800AB">
        <w:rPr>
          <w:rFonts w:cs="Calibri"/>
          <w:i/>
          <w:color w:val="000000"/>
          <w:lang w:eastAsia="en-IE"/>
        </w:rPr>
        <w:t>et al.,</w:t>
      </w:r>
      <w:r>
        <w:rPr>
          <w:rFonts w:cs="Calibri"/>
          <w:color w:val="000000"/>
          <w:lang w:eastAsia="en-IE"/>
        </w:rPr>
        <w:t xml:space="preserve"> 2018 cited in</w:t>
      </w:r>
      <w:r w:rsidRPr="0057458D">
        <w:rPr>
          <w:rFonts w:cs="Calibri"/>
          <w:color w:val="000000"/>
          <w:lang w:eastAsia="en-IE"/>
        </w:rPr>
        <w:t xml:space="preserve"> </w:t>
      </w:r>
      <w:r>
        <w:rPr>
          <w:rFonts w:cs="Calibri"/>
          <w:color w:val="000000"/>
          <w:lang w:eastAsia="en-IE"/>
        </w:rPr>
        <w:t>Burton, Ogden, and Cooper, 2019, Stevenson and Taylor, 2019 cited in</w:t>
      </w:r>
      <w:r w:rsidRPr="0057458D">
        <w:rPr>
          <w:rFonts w:cs="Calibri"/>
          <w:color w:val="000000"/>
          <w:lang w:eastAsia="en-IE"/>
        </w:rPr>
        <w:t xml:space="preserve"> </w:t>
      </w:r>
      <w:r>
        <w:rPr>
          <w:rFonts w:cs="Calibri"/>
          <w:color w:val="000000"/>
          <w:lang w:eastAsia="en-IE"/>
        </w:rPr>
        <w:t>Burton, Ogden, and Cooper, 2019</w:t>
      </w:r>
    </w:p>
  </w:footnote>
  <w:footnote w:id="311">
    <w:p w14:paraId="626A4B24" w14:textId="39957AD3" w:rsidR="00452DFD" w:rsidRDefault="00452DFD">
      <w:pPr>
        <w:pStyle w:val="FootnoteText"/>
      </w:pPr>
      <w:r>
        <w:rPr>
          <w:rStyle w:val="FootnoteReference"/>
        </w:rPr>
        <w:footnoteRef/>
      </w:r>
      <w:r>
        <w:t xml:space="preserve"> </w:t>
      </w:r>
      <w:proofErr w:type="spellStart"/>
      <w:r>
        <w:t>Nind</w:t>
      </w:r>
      <w:proofErr w:type="spellEnd"/>
      <w:r>
        <w:t>, 2017</w:t>
      </w:r>
    </w:p>
  </w:footnote>
  <w:footnote w:id="312">
    <w:p w14:paraId="30D0FD10" w14:textId="1701612B" w:rsidR="00452DFD" w:rsidRDefault="00452DFD">
      <w:pPr>
        <w:pStyle w:val="FootnoteText"/>
      </w:pPr>
      <w:r>
        <w:rPr>
          <w:rStyle w:val="FootnoteReference"/>
        </w:rPr>
        <w:footnoteRef/>
      </w:r>
      <w:r>
        <w:t xml:space="preserve"> </w:t>
      </w:r>
      <w:r>
        <w:rPr>
          <w:szCs w:val="26"/>
        </w:rPr>
        <w:t xml:space="preserve">Di </w:t>
      </w:r>
      <w:proofErr w:type="spellStart"/>
      <w:r>
        <w:rPr>
          <w:szCs w:val="26"/>
        </w:rPr>
        <w:t>Lorito</w:t>
      </w:r>
      <w:proofErr w:type="spellEnd"/>
      <w:r>
        <w:rPr>
          <w:szCs w:val="26"/>
        </w:rPr>
        <w:t xml:space="preserve"> </w:t>
      </w:r>
      <w:r w:rsidRPr="009800AB">
        <w:rPr>
          <w:i/>
          <w:szCs w:val="26"/>
        </w:rPr>
        <w:t>et al.,</w:t>
      </w:r>
      <w:r>
        <w:rPr>
          <w:szCs w:val="26"/>
        </w:rPr>
        <w:t xml:space="preserve"> 2018, </w:t>
      </w:r>
      <w:proofErr w:type="spellStart"/>
      <w:r>
        <w:rPr>
          <w:lang w:eastAsia="en-IE"/>
        </w:rPr>
        <w:t>Embregts</w:t>
      </w:r>
      <w:proofErr w:type="spellEnd"/>
      <w:r>
        <w:rPr>
          <w:lang w:eastAsia="en-IE"/>
        </w:rPr>
        <w:t xml:space="preserve"> </w:t>
      </w:r>
      <w:r w:rsidRPr="009800AB">
        <w:rPr>
          <w:i/>
          <w:lang w:eastAsia="en-IE"/>
        </w:rPr>
        <w:t>et al.,</w:t>
      </w:r>
      <w:r>
        <w:rPr>
          <w:lang w:eastAsia="en-IE"/>
        </w:rPr>
        <w:t xml:space="preserve"> 2018</w:t>
      </w:r>
      <w:r>
        <w:rPr>
          <w:szCs w:val="26"/>
        </w:rPr>
        <w:t xml:space="preserve">, Fletcher Watson </w:t>
      </w:r>
      <w:r w:rsidRPr="009800AB">
        <w:rPr>
          <w:i/>
          <w:szCs w:val="26"/>
        </w:rPr>
        <w:t>et al.,</w:t>
      </w:r>
      <w:r>
        <w:rPr>
          <w:szCs w:val="26"/>
        </w:rPr>
        <w:t xml:space="preserve"> 2018, </w:t>
      </w:r>
      <w:proofErr w:type="spellStart"/>
      <w:r>
        <w:rPr>
          <w:szCs w:val="26"/>
        </w:rPr>
        <w:t>Frankena</w:t>
      </w:r>
      <w:proofErr w:type="spellEnd"/>
      <w:r>
        <w:rPr>
          <w:szCs w:val="26"/>
        </w:rPr>
        <w:t xml:space="preserve"> </w:t>
      </w:r>
      <w:r w:rsidRPr="009800AB">
        <w:rPr>
          <w:i/>
          <w:szCs w:val="26"/>
        </w:rPr>
        <w:t>et al.,</w:t>
      </w:r>
      <w:r>
        <w:rPr>
          <w:szCs w:val="26"/>
        </w:rPr>
        <w:t xml:space="preserve"> 2019a,</w:t>
      </w:r>
      <w:r w:rsidRPr="00205197">
        <w:rPr>
          <w:szCs w:val="26"/>
        </w:rPr>
        <w:t xml:space="preserve"> Gove </w:t>
      </w:r>
      <w:r w:rsidRPr="009800AB">
        <w:rPr>
          <w:i/>
          <w:szCs w:val="26"/>
        </w:rPr>
        <w:t>et al.,</w:t>
      </w:r>
      <w:r>
        <w:rPr>
          <w:szCs w:val="26"/>
        </w:rPr>
        <w:t xml:space="preserve"> 2</w:t>
      </w:r>
      <w:r w:rsidRPr="00205197">
        <w:rPr>
          <w:szCs w:val="26"/>
        </w:rPr>
        <w:t>018</w:t>
      </w:r>
      <w:r>
        <w:rPr>
          <w:szCs w:val="26"/>
        </w:rPr>
        <w:t xml:space="preserve">, Ní </w:t>
      </w:r>
      <w:proofErr w:type="spellStart"/>
      <w:r>
        <w:rPr>
          <w:szCs w:val="26"/>
        </w:rPr>
        <w:t>Shé</w:t>
      </w:r>
      <w:proofErr w:type="spellEnd"/>
      <w:r>
        <w:rPr>
          <w:szCs w:val="26"/>
        </w:rPr>
        <w:t xml:space="preserve"> </w:t>
      </w:r>
      <w:r w:rsidRPr="009800AB">
        <w:rPr>
          <w:i/>
          <w:szCs w:val="26"/>
        </w:rPr>
        <w:t>et al.,</w:t>
      </w:r>
      <w:r>
        <w:rPr>
          <w:szCs w:val="26"/>
        </w:rPr>
        <w:t xml:space="preserve"> 2019, </w:t>
      </w:r>
      <w:proofErr w:type="spellStart"/>
      <w:r>
        <w:rPr>
          <w:szCs w:val="26"/>
        </w:rPr>
        <w:t>Nicolaidis</w:t>
      </w:r>
      <w:proofErr w:type="spellEnd"/>
      <w:r>
        <w:rPr>
          <w:szCs w:val="26"/>
        </w:rPr>
        <w:t xml:space="preserve"> </w:t>
      </w:r>
      <w:r w:rsidRPr="009800AB">
        <w:rPr>
          <w:i/>
          <w:szCs w:val="26"/>
        </w:rPr>
        <w:t>et al.,</w:t>
      </w:r>
      <w:r>
        <w:rPr>
          <w:szCs w:val="26"/>
        </w:rPr>
        <w:t xml:space="preserve"> 2019, Roberts </w:t>
      </w:r>
      <w:r w:rsidRPr="009800AB">
        <w:rPr>
          <w:i/>
          <w:szCs w:val="26"/>
        </w:rPr>
        <w:t>et al.,</w:t>
      </w:r>
      <w:r>
        <w:rPr>
          <w:szCs w:val="26"/>
        </w:rPr>
        <w:t xml:space="preserve"> 2020, Smith-Merry, 2017, Smith-Merry, no date, Roberts </w:t>
      </w:r>
      <w:r w:rsidRPr="009800AB">
        <w:rPr>
          <w:i/>
          <w:szCs w:val="26"/>
        </w:rPr>
        <w:t>et al.,</w:t>
      </w:r>
      <w:r>
        <w:rPr>
          <w:szCs w:val="26"/>
        </w:rPr>
        <w:t xml:space="preserve"> 2020</w:t>
      </w:r>
    </w:p>
  </w:footnote>
  <w:footnote w:id="313">
    <w:p w14:paraId="244A06E6" w14:textId="6C565A99" w:rsidR="00452DFD" w:rsidRDefault="00452DFD">
      <w:pPr>
        <w:pStyle w:val="FootnoteText"/>
      </w:pPr>
      <w:r>
        <w:rPr>
          <w:rStyle w:val="FootnoteReference"/>
        </w:rPr>
        <w:footnoteRef/>
      </w:r>
      <w:r>
        <w:t xml:space="preserve"> Williams </w:t>
      </w:r>
      <w:r w:rsidRPr="009800AB">
        <w:rPr>
          <w:i/>
        </w:rPr>
        <w:t>et al.,</w:t>
      </w:r>
      <w:r>
        <w:t xml:space="preserve"> 2020. P. 11</w:t>
      </w:r>
    </w:p>
  </w:footnote>
  <w:footnote w:id="314">
    <w:p w14:paraId="6712920F" w14:textId="358067B2" w:rsidR="00452DFD" w:rsidRDefault="00452DFD">
      <w:pPr>
        <w:pStyle w:val="FootnoteText"/>
      </w:pPr>
      <w:r>
        <w:rPr>
          <w:rStyle w:val="FootnoteReference"/>
        </w:rPr>
        <w:footnoteRef/>
      </w:r>
      <w:r>
        <w:t xml:space="preserve"> </w:t>
      </w:r>
      <w:proofErr w:type="spellStart"/>
      <w:r>
        <w:t>Pellicano</w:t>
      </w:r>
      <w:proofErr w:type="spellEnd"/>
      <w:r>
        <w:t xml:space="preserve"> </w:t>
      </w:r>
      <w:r w:rsidRPr="009800AB">
        <w:rPr>
          <w:i/>
        </w:rPr>
        <w:t>et al.,</w:t>
      </w:r>
      <w:r>
        <w:t xml:space="preserve"> 2019</w:t>
      </w:r>
    </w:p>
  </w:footnote>
  <w:footnote w:id="315">
    <w:p w14:paraId="42372896" w14:textId="43B75F18" w:rsidR="00452DFD" w:rsidRDefault="00452DFD">
      <w:pPr>
        <w:pStyle w:val="FootnoteText"/>
      </w:pPr>
      <w:r>
        <w:rPr>
          <w:rStyle w:val="FootnoteReference"/>
        </w:rPr>
        <w:footnoteRef/>
      </w:r>
      <w:r>
        <w:t xml:space="preserve"> </w:t>
      </w:r>
      <w:r>
        <w:rPr>
          <w:szCs w:val="26"/>
        </w:rPr>
        <w:t>Smith-Merry, no date</w:t>
      </w:r>
    </w:p>
  </w:footnote>
  <w:footnote w:id="316">
    <w:p w14:paraId="6C1A4EBD" w14:textId="7945012F" w:rsidR="00452DFD" w:rsidRDefault="00452DFD">
      <w:pPr>
        <w:pStyle w:val="FootnoteText"/>
      </w:pPr>
      <w:r>
        <w:rPr>
          <w:rStyle w:val="FootnoteReference"/>
        </w:rPr>
        <w:footnoteRef/>
      </w:r>
      <w:r>
        <w:t xml:space="preserve"> Williams, 1999 cited</w:t>
      </w:r>
      <w:r w:rsidRPr="00B86FFD">
        <w:t xml:space="preserve"> </w:t>
      </w:r>
      <w:r w:rsidRPr="00AF12A6">
        <w:t xml:space="preserve">in Di </w:t>
      </w:r>
      <w:proofErr w:type="spellStart"/>
      <w:r w:rsidRPr="00AF12A6">
        <w:t>Lorito</w:t>
      </w:r>
      <w:proofErr w:type="spellEnd"/>
      <w:r w:rsidRPr="00AF12A6">
        <w:t xml:space="preserve"> </w:t>
      </w:r>
      <w:r w:rsidRPr="009800AB">
        <w:rPr>
          <w:i/>
        </w:rPr>
        <w:t>et al.,</w:t>
      </w:r>
      <w:r w:rsidRPr="00AF12A6">
        <w:t xml:space="preserve"> 2018</w:t>
      </w:r>
    </w:p>
  </w:footnote>
  <w:footnote w:id="317">
    <w:p w14:paraId="4D1F983D" w14:textId="01F34E4A" w:rsidR="00452DFD" w:rsidRDefault="00452DFD">
      <w:pPr>
        <w:pStyle w:val="FootnoteText"/>
      </w:pPr>
      <w:r>
        <w:rPr>
          <w:rStyle w:val="FootnoteReference"/>
        </w:rPr>
        <w:footnoteRef/>
      </w:r>
      <w:r>
        <w:t xml:space="preserve"> </w:t>
      </w:r>
      <w:r>
        <w:rPr>
          <w:szCs w:val="26"/>
        </w:rPr>
        <w:t xml:space="preserve">Fletcher Watson </w:t>
      </w:r>
      <w:r w:rsidRPr="009800AB">
        <w:rPr>
          <w:i/>
          <w:szCs w:val="26"/>
        </w:rPr>
        <w:t>et al.,</w:t>
      </w:r>
      <w:r>
        <w:rPr>
          <w:szCs w:val="26"/>
        </w:rPr>
        <w:t xml:space="preserve"> 2018, p. 7</w:t>
      </w:r>
    </w:p>
  </w:footnote>
  <w:footnote w:id="318">
    <w:p w14:paraId="7C5CE647" w14:textId="09CDB4F3" w:rsidR="00452DFD" w:rsidRDefault="00452DFD">
      <w:pPr>
        <w:pStyle w:val="FootnoteText"/>
      </w:pPr>
      <w:r>
        <w:rPr>
          <w:rStyle w:val="FootnoteReference"/>
        </w:rPr>
        <w:footnoteRef/>
      </w:r>
      <w:r>
        <w:t xml:space="preserve"> </w:t>
      </w:r>
      <w:r w:rsidRPr="007D777B">
        <w:t xml:space="preserve">Anderson </w:t>
      </w:r>
      <w:r w:rsidRPr="009800AB">
        <w:rPr>
          <w:i/>
        </w:rPr>
        <w:t>et al.,</w:t>
      </w:r>
      <w:r>
        <w:t xml:space="preserve"> 2</w:t>
      </w:r>
      <w:r w:rsidRPr="007D777B">
        <w:t>019, Lightfoot</w:t>
      </w:r>
      <w:r>
        <w:t xml:space="preserve"> and </w:t>
      </w:r>
      <w:proofErr w:type="spellStart"/>
      <w:r w:rsidRPr="0077012A">
        <w:t>Sloper</w:t>
      </w:r>
      <w:proofErr w:type="spellEnd"/>
      <w:r>
        <w:t>,</w:t>
      </w:r>
      <w:r w:rsidRPr="0077012A">
        <w:t xml:space="preserve"> 2003</w:t>
      </w:r>
      <w:r>
        <w:t xml:space="preserve"> cited in Bailey </w:t>
      </w:r>
      <w:r w:rsidRPr="009800AB">
        <w:rPr>
          <w:i/>
        </w:rPr>
        <w:t>et al.,</w:t>
      </w:r>
      <w:r>
        <w:t xml:space="preserve"> 2015,</w:t>
      </w:r>
      <w:r w:rsidRPr="0077012A">
        <w:t xml:space="preserve"> VIPER</w:t>
      </w:r>
      <w:r>
        <w:t>,</w:t>
      </w:r>
      <w:r w:rsidRPr="0077012A">
        <w:t xml:space="preserve"> 2</w:t>
      </w:r>
      <w:r>
        <w:t xml:space="preserve">013 cited in Bailey </w:t>
      </w:r>
      <w:r w:rsidRPr="009800AB">
        <w:rPr>
          <w:i/>
        </w:rPr>
        <w:t>et al.,</w:t>
      </w:r>
      <w:r>
        <w:t xml:space="preserve"> 2015, </w:t>
      </w:r>
      <w:proofErr w:type="spellStart"/>
      <w:r w:rsidRPr="007B19ED">
        <w:t>Litherland</w:t>
      </w:r>
      <w:proofErr w:type="spellEnd"/>
      <w:r>
        <w:t xml:space="preserve"> </w:t>
      </w:r>
      <w:r w:rsidRPr="009800AB">
        <w:rPr>
          <w:i/>
        </w:rPr>
        <w:t>et al.,</w:t>
      </w:r>
      <w:r>
        <w:t xml:space="preserve"> 2018 cited in Burton, Ogden, and Cooper, 2019, </w:t>
      </w:r>
      <w:proofErr w:type="spellStart"/>
      <w:r>
        <w:t>Parveen</w:t>
      </w:r>
      <w:proofErr w:type="spellEnd"/>
      <w:r>
        <w:t xml:space="preserve"> </w:t>
      </w:r>
      <w:r w:rsidRPr="009800AB">
        <w:rPr>
          <w:i/>
        </w:rPr>
        <w:t>et al.,</w:t>
      </w:r>
      <w:r>
        <w:t xml:space="preserve"> 2018 cited in Burton, Ogden, and Cooper, 2019, </w:t>
      </w:r>
      <w:r w:rsidRPr="00FB16F5">
        <w:t xml:space="preserve">Rapaport </w:t>
      </w:r>
      <w:r w:rsidRPr="00FB16F5">
        <w:rPr>
          <w:i/>
        </w:rPr>
        <w:t>et al.,</w:t>
      </w:r>
      <w:r w:rsidRPr="00FB16F5">
        <w:t xml:space="preserve"> 2018</w:t>
      </w:r>
      <w:r>
        <w:t xml:space="preserve"> cited in Burton, Ogden, and Cooper, 2019, Butler </w:t>
      </w:r>
      <w:r w:rsidRPr="009800AB">
        <w:rPr>
          <w:i/>
        </w:rPr>
        <w:t>et al.,</w:t>
      </w:r>
      <w:r>
        <w:t xml:space="preserve"> 2020,</w:t>
      </w:r>
      <w:r w:rsidRPr="007D777B">
        <w:t xml:space="preserve"> </w:t>
      </w:r>
      <w:r>
        <w:t xml:space="preserve">Callus, 2019, Dewa </w:t>
      </w:r>
      <w:r w:rsidRPr="009800AB">
        <w:rPr>
          <w:i/>
        </w:rPr>
        <w:t>et al.,</w:t>
      </w:r>
      <w:r>
        <w:t xml:space="preserve"> 2020,</w:t>
      </w:r>
      <w:r w:rsidRPr="0051426F">
        <w:t xml:space="preserve"> </w:t>
      </w:r>
      <w:r>
        <w:t xml:space="preserve">Evans </w:t>
      </w:r>
      <w:r w:rsidRPr="009800AB">
        <w:rPr>
          <w:i/>
        </w:rPr>
        <w:t>et al.,</w:t>
      </w:r>
      <w:r>
        <w:t xml:space="preserve"> 2019, </w:t>
      </w:r>
      <w:proofErr w:type="spellStart"/>
      <w:r>
        <w:t>Giebel</w:t>
      </w:r>
      <w:proofErr w:type="spellEnd"/>
      <w:r>
        <w:t xml:space="preserve"> </w:t>
      </w:r>
      <w:r w:rsidRPr="009800AB">
        <w:rPr>
          <w:i/>
        </w:rPr>
        <w:t>et al.,</w:t>
      </w:r>
      <w:r>
        <w:t xml:space="preserve"> 2019, Gove </w:t>
      </w:r>
      <w:r w:rsidRPr="009800AB">
        <w:rPr>
          <w:i/>
        </w:rPr>
        <w:t>et al.,</w:t>
      </w:r>
      <w:r>
        <w:t xml:space="preserve"> 2017, Jennings </w:t>
      </w:r>
      <w:r w:rsidRPr="009800AB">
        <w:rPr>
          <w:i/>
        </w:rPr>
        <w:t>et al.,</w:t>
      </w:r>
      <w:r>
        <w:t xml:space="preserve"> 2018, Mathews, Marshall </w:t>
      </w:r>
      <w:r w:rsidRPr="00C06A47">
        <w:t>and Wilkinson</w:t>
      </w:r>
      <w:r>
        <w:t xml:space="preserve">, 2020, Mathias </w:t>
      </w:r>
      <w:r w:rsidRPr="009800AB">
        <w:rPr>
          <w:i/>
        </w:rPr>
        <w:t>et al.,</w:t>
      </w:r>
      <w:r>
        <w:t xml:space="preserve"> 2019, </w:t>
      </w:r>
      <w:proofErr w:type="spellStart"/>
      <w:r>
        <w:t>Morbey</w:t>
      </w:r>
      <w:proofErr w:type="spellEnd"/>
      <w:r>
        <w:t xml:space="preserve"> </w:t>
      </w:r>
      <w:r w:rsidRPr="009800AB">
        <w:rPr>
          <w:i/>
        </w:rPr>
        <w:t>et al.,</w:t>
      </w:r>
      <w:r>
        <w:t xml:space="preserve"> 2019, Munro </w:t>
      </w:r>
      <w:r w:rsidRPr="009800AB">
        <w:rPr>
          <w:i/>
        </w:rPr>
        <w:t>et al.,</w:t>
      </w:r>
      <w:r>
        <w:t xml:space="preserve"> 2018, Northway, Howarth and Evans, 2015,</w:t>
      </w:r>
      <w:r w:rsidRPr="0077012A">
        <w:t xml:space="preserve"> </w:t>
      </w:r>
      <w:r>
        <w:t xml:space="preserve">Schwartz and Durkin, 2020, </w:t>
      </w:r>
      <w:proofErr w:type="spellStart"/>
      <w:r>
        <w:t>Varkonyi</w:t>
      </w:r>
      <w:proofErr w:type="spellEnd"/>
      <w:r>
        <w:t>-Sep, Cross and Howarth, 2017,</w:t>
      </w:r>
      <w:r w:rsidRPr="0077012A">
        <w:t xml:space="preserve"> </w:t>
      </w:r>
      <w:proofErr w:type="spellStart"/>
      <w:r w:rsidRPr="007D777B">
        <w:t>Vlot</w:t>
      </w:r>
      <w:proofErr w:type="spellEnd"/>
      <w:r w:rsidRPr="007D777B">
        <w:t xml:space="preserve">-van </w:t>
      </w:r>
      <w:proofErr w:type="spellStart"/>
      <w:r w:rsidRPr="007D777B">
        <w:t>Anrooij</w:t>
      </w:r>
      <w:proofErr w:type="spellEnd"/>
      <w:r w:rsidRPr="007D777B">
        <w:t xml:space="preserve"> </w:t>
      </w:r>
      <w:r w:rsidRPr="009800AB">
        <w:rPr>
          <w:i/>
        </w:rPr>
        <w:t>et al.,</w:t>
      </w:r>
      <w:r>
        <w:t xml:space="preserve"> 2</w:t>
      </w:r>
      <w:r w:rsidRPr="007D777B">
        <w:t xml:space="preserve">018, </w:t>
      </w:r>
      <w:r>
        <w:t xml:space="preserve">Williams </w:t>
      </w:r>
      <w:r w:rsidRPr="009800AB">
        <w:rPr>
          <w:i/>
        </w:rPr>
        <w:t>et al.,</w:t>
      </w:r>
      <w:r>
        <w:t xml:space="preserve"> 2020, </w:t>
      </w:r>
      <w:r w:rsidRPr="00233B05">
        <w:t xml:space="preserve">Young, </w:t>
      </w:r>
      <w:r>
        <w:t>Ferguson-Coleman and Keady, 2018</w:t>
      </w:r>
    </w:p>
  </w:footnote>
  <w:footnote w:id="319">
    <w:p w14:paraId="1D890031" w14:textId="25488625" w:rsidR="00452DFD" w:rsidRDefault="00452DFD">
      <w:pPr>
        <w:pStyle w:val="FootnoteText"/>
      </w:pPr>
      <w:r>
        <w:rPr>
          <w:rStyle w:val="FootnoteReference"/>
        </w:rPr>
        <w:footnoteRef/>
      </w:r>
      <w:r>
        <w:t xml:space="preserve"> Anderson </w:t>
      </w:r>
      <w:r w:rsidRPr="009800AB">
        <w:rPr>
          <w:i/>
        </w:rPr>
        <w:t>et al.,</w:t>
      </w:r>
      <w:r>
        <w:t xml:space="preserve"> 2019, Ashcroft </w:t>
      </w:r>
      <w:r w:rsidRPr="009800AB">
        <w:rPr>
          <w:i/>
        </w:rPr>
        <w:t>et al.,</w:t>
      </w:r>
      <w:r>
        <w:t xml:space="preserve"> 2016, </w:t>
      </w:r>
      <w:proofErr w:type="spellStart"/>
      <w:r w:rsidRPr="007B19ED">
        <w:t>Litherland</w:t>
      </w:r>
      <w:proofErr w:type="spellEnd"/>
      <w:r>
        <w:t xml:space="preserve"> </w:t>
      </w:r>
      <w:r w:rsidRPr="009800AB">
        <w:rPr>
          <w:i/>
        </w:rPr>
        <w:t>et al.,</w:t>
      </w:r>
      <w:r>
        <w:t xml:space="preserve"> 2018, cited in Burton, Ogden, and Cooper, 2019, </w:t>
      </w:r>
      <w:proofErr w:type="spellStart"/>
      <w:r>
        <w:t>Parveen</w:t>
      </w:r>
      <w:proofErr w:type="spellEnd"/>
      <w:r>
        <w:t xml:space="preserve"> </w:t>
      </w:r>
      <w:r w:rsidRPr="009800AB">
        <w:rPr>
          <w:i/>
        </w:rPr>
        <w:t>et al.,</w:t>
      </w:r>
      <w:r>
        <w:t xml:space="preserve"> 2018 cited in Burton, Ogden, and Cooper, 2019, </w:t>
      </w:r>
      <w:r w:rsidRPr="00FB16F5">
        <w:t xml:space="preserve">Rapaport </w:t>
      </w:r>
      <w:r w:rsidRPr="00FB16F5">
        <w:rPr>
          <w:i/>
        </w:rPr>
        <w:t>et al.,</w:t>
      </w:r>
      <w:r w:rsidRPr="00FB16F5">
        <w:t xml:space="preserve"> 2018</w:t>
      </w:r>
      <w:r>
        <w:t xml:space="preserve"> cited in Burton, Ogden, and Cooper, 2019, Faulkner </w:t>
      </w:r>
      <w:r w:rsidRPr="009800AB">
        <w:rPr>
          <w:i/>
        </w:rPr>
        <w:t>et al.,</w:t>
      </w:r>
      <w:r>
        <w:t xml:space="preserve"> 2019, </w:t>
      </w:r>
      <w:proofErr w:type="spellStart"/>
      <w:r>
        <w:t>Giebel</w:t>
      </w:r>
      <w:proofErr w:type="spellEnd"/>
      <w:r>
        <w:t xml:space="preserve"> </w:t>
      </w:r>
      <w:r w:rsidRPr="009800AB">
        <w:rPr>
          <w:i/>
        </w:rPr>
        <w:t>et al.,</w:t>
      </w:r>
      <w:r>
        <w:t xml:space="preserve"> 2019, Herron, Priest and Read, 2015, Mathews, Marshall and Wilkinson, 2020, </w:t>
      </w:r>
      <w:proofErr w:type="spellStart"/>
      <w:r>
        <w:t>Moule</w:t>
      </w:r>
      <w:proofErr w:type="spellEnd"/>
      <w:r>
        <w:t xml:space="preserve"> </w:t>
      </w:r>
      <w:r w:rsidRPr="009800AB">
        <w:rPr>
          <w:i/>
        </w:rPr>
        <w:t>et al.,</w:t>
      </w:r>
      <w:r>
        <w:t xml:space="preserve"> 2016, O’Hara </w:t>
      </w:r>
      <w:r w:rsidRPr="009800AB">
        <w:rPr>
          <w:i/>
        </w:rPr>
        <w:t>et al.,</w:t>
      </w:r>
      <w:r>
        <w:t xml:space="preserve"> 2017, Schwartz and Durkin, 2020, </w:t>
      </w:r>
      <w:proofErr w:type="spellStart"/>
      <w:r>
        <w:t>Troya</w:t>
      </w:r>
      <w:proofErr w:type="spellEnd"/>
      <w:r>
        <w:t xml:space="preserve"> </w:t>
      </w:r>
      <w:r w:rsidRPr="009800AB">
        <w:rPr>
          <w:i/>
        </w:rPr>
        <w:t>et al.,</w:t>
      </w:r>
      <w:r>
        <w:t xml:space="preserve"> 2019, </w:t>
      </w:r>
      <w:proofErr w:type="spellStart"/>
      <w:r>
        <w:t>Varkonyi</w:t>
      </w:r>
      <w:proofErr w:type="spellEnd"/>
      <w:r>
        <w:t>-Sep, Cross and Howarth, 2017</w:t>
      </w:r>
    </w:p>
  </w:footnote>
  <w:footnote w:id="320">
    <w:p w14:paraId="1995FEA2" w14:textId="1ED9EC05" w:rsidR="00452DFD" w:rsidRDefault="00452DFD">
      <w:pPr>
        <w:pStyle w:val="FootnoteText"/>
      </w:pPr>
      <w:r>
        <w:rPr>
          <w:rStyle w:val="FootnoteReference"/>
        </w:rPr>
        <w:footnoteRef/>
      </w:r>
      <w:r>
        <w:t xml:space="preserve"> Anderson </w:t>
      </w:r>
      <w:r w:rsidRPr="009800AB">
        <w:rPr>
          <w:i/>
        </w:rPr>
        <w:t>et al.,</w:t>
      </w:r>
      <w:r>
        <w:t xml:space="preserve"> 2019, Munro </w:t>
      </w:r>
      <w:r w:rsidRPr="009800AB">
        <w:rPr>
          <w:i/>
        </w:rPr>
        <w:t>et al.,</w:t>
      </w:r>
      <w:r>
        <w:t xml:space="preserve"> 2018</w:t>
      </w:r>
    </w:p>
  </w:footnote>
  <w:footnote w:id="321">
    <w:p w14:paraId="25AD897C" w14:textId="2009AEE9" w:rsidR="00452DFD" w:rsidRDefault="00452DFD">
      <w:pPr>
        <w:pStyle w:val="FootnoteText"/>
      </w:pPr>
      <w:r>
        <w:rPr>
          <w:rStyle w:val="FootnoteReference"/>
        </w:rPr>
        <w:footnoteRef/>
      </w:r>
      <w:r>
        <w:t xml:space="preserve"> </w:t>
      </w:r>
      <w:proofErr w:type="spellStart"/>
      <w:r>
        <w:t>Morbey</w:t>
      </w:r>
      <w:proofErr w:type="spellEnd"/>
      <w:r>
        <w:t xml:space="preserve"> </w:t>
      </w:r>
      <w:r w:rsidRPr="009800AB">
        <w:rPr>
          <w:i/>
        </w:rPr>
        <w:t>et al.,</w:t>
      </w:r>
      <w:r>
        <w:t xml:space="preserve"> 2019</w:t>
      </w:r>
    </w:p>
  </w:footnote>
  <w:footnote w:id="322">
    <w:p w14:paraId="31736FAA" w14:textId="73353CAF" w:rsidR="00452DFD" w:rsidRDefault="00452DFD">
      <w:pPr>
        <w:pStyle w:val="FootnoteText"/>
      </w:pPr>
      <w:r>
        <w:rPr>
          <w:rStyle w:val="FootnoteReference"/>
        </w:rPr>
        <w:footnoteRef/>
      </w:r>
      <w:r>
        <w:t xml:space="preserve"> Evans </w:t>
      </w:r>
      <w:r w:rsidRPr="009800AB">
        <w:rPr>
          <w:i/>
        </w:rPr>
        <w:t>et al.,</w:t>
      </w:r>
      <w:r>
        <w:t xml:space="preserve"> 2019, Faulkner </w:t>
      </w:r>
      <w:r w:rsidRPr="009800AB">
        <w:rPr>
          <w:i/>
        </w:rPr>
        <w:t>et al.,</w:t>
      </w:r>
      <w:r>
        <w:t xml:space="preserve"> 2019</w:t>
      </w:r>
    </w:p>
  </w:footnote>
  <w:footnote w:id="323">
    <w:p w14:paraId="1CE08B31" w14:textId="57D3113E" w:rsidR="00452DFD" w:rsidRDefault="00452DFD">
      <w:pPr>
        <w:pStyle w:val="FootnoteText"/>
      </w:pPr>
      <w:r>
        <w:rPr>
          <w:rStyle w:val="FootnoteReference"/>
        </w:rPr>
        <w:footnoteRef/>
      </w:r>
      <w:r>
        <w:t xml:space="preserve"> Faulkner </w:t>
      </w:r>
      <w:r w:rsidRPr="009800AB">
        <w:rPr>
          <w:i/>
        </w:rPr>
        <w:t>et al.,</w:t>
      </w:r>
      <w:r>
        <w:t xml:space="preserve"> 2019, Herron, Priest and Read, 2015</w:t>
      </w:r>
    </w:p>
  </w:footnote>
  <w:footnote w:id="324">
    <w:p w14:paraId="33EE45DB" w14:textId="171C789D" w:rsidR="00452DFD" w:rsidRDefault="00452DFD">
      <w:pPr>
        <w:pStyle w:val="FootnoteText"/>
      </w:pPr>
      <w:r>
        <w:rPr>
          <w:rStyle w:val="FootnoteReference"/>
        </w:rPr>
        <w:footnoteRef/>
      </w:r>
      <w:r>
        <w:t xml:space="preserve"> See </w:t>
      </w:r>
      <w:hyperlink r:id="rId1" w:history="1">
        <w:r w:rsidRPr="00486ADA">
          <w:rPr>
            <w:rStyle w:val="Hyperlink"/>
          </w:rPr>
          <w:t>https://www.invo.org.uk/wp-content/uploads/2016/05/INVOLVE-internal-payment-policy-2016-final-1.pdf</w:t>
        </w:r>
      </w:hyperlink>
      <w:r>
        <w:t xml:space="preserve"> and </w:t>
      </w:r>
      <w:hyperlink r:id="rId2" w:history="1">
        <w:r w:rsidRPr="00486ADA">
          <w:rPr>
            <w:rStyle w:val="Hyperlink"/>
          </w:rPr>
          <w:t>https://www.nihr.ac.uk/documents/payment-guidance-for-researchers-and-professionals/27392</w:t>
        </w:r>
      </w:hyperlink>
      <w:r>
        <w:t xml:space="preserve"> </w:t>
      </w:r>
    </w:p>
  </w:footnote>
  <w:footnote w:id="325">
    <w:p w14:paraId="43DCA294" w14:textId="724B14E0" w:rsidR="00452DFD" w:rsidRDefault="00452DFD">
      <w:pPr>
        <w:pStyle w:val="FootnoteText"/>
      </w:pPr>
      <w:r>
        <w:rPr>
          <w:rStyle w:val="FootnoteReference"/>
        </w:rPr>
        <w:footnoteRef/>
      </w:r>
      <w:r>
        <w:t xml:space="preserve"> </w:t>
      </w:r>
      <w:proofErr w:type="spellStart"/>
      <w:r>
        <w:t>Morbey</w:t>
      </w:r>
      <w:proofErr w:type="spellEnd"/>
      <w:r>
        <w:t xml:space="preserve"> </w:t>
      </w:r>
      <w:r w:rsidRPr="009800AB">
        <w:rPr>
          <w:i/>
        </w:rPr>
        <w:t>et al.,</w:t>
      </w:r>
      <w:r>
        <w:t xml:space="preserve"> 2019, Munro </w:t>
      </w:r>
      <w:r w:rsidRPr="009800AB">
        <w:rPr>
          <w:i/>
        </w:rPr>
        <w:t>et al.,</w:t>
      </w:r>
      <w:r>
        <w:t xml:space="preserve"> 2018, </w:t>
      </w:r>
      <w:proofErr w:type="spellStart"/>
      <w:r>
        <w:t>Varkonyi</w:t>
      </w:r>
      <w:proofErr w:type="spellEnd"/>
      <w:r>
        <w:t>-Sep, Cross and Howarth, 2017</w:t>
      </w:r>
    </w:p>
  </w:footnote>
  <w:footnote w:id="326">
    <w:p w14:paraId="5F091A1C" w14:textId="3EF0AFA5" w:rsidR="00452DFD" w:rsidRDefault="00452DFD">
      <w:pPr>
        <w:pStyle w:val="FootnoteText"/>
      </w:pPr>
      <w:r>
        <w:rPr>
          <w:rStyle w:val="FootnoteReference"/>
        </w:rPr>
        <w:footnoteRef/>
      </w:r>
      <w:r>
        <w:t xml:space="preserve"> </w:t>
      </w:r>
      <w:r w:rsidRPr="007201EE">
        <w:rPr>
          <w:lang w:eastAsia="en-IE"/>
        </w:rPr>
        <w:t xml:space="preserve">Ní </w:t>
      </w:r>
      <w:proofErr w:type="spellStart"/>
      <w:r w:rsidRPr="007201EE">
        <w:rPr>
          <w:lang w:eastAsia="en-IE"/>
        </w:rPr>
        <w:t>Shé</w:t>
      </w:r>
      <w:proofErr w:type="spellEnd"/>
      <w:r w:rsidRPr="007201EE">
        <w:rPr>
          <w:lang w:eastAsia="en-IE"/>
        </w:rPr>
        <w:t xml:space="preserve"> </w:t>
      </w:r>
      <w:r w:rsidRPr="009800AB">
        <w:rPr>
          <w:i/>
          <w:lang w:eastAsia="en-IE"/>
        </w:rPr>
        <w:t>et al.,</w:t>
      </w:r>
      <w:r>
        <w:rPr>
          <w:lang w:eastAsia="en-IE"/>
        </w:rPr>
        <w:t xml:space="preserve"> </w:t>
      </w:r>
      <w:r w:rsidRPr="007201EE">
        <w:rPr>
          <w:lang w:eastAsia="en-IE"/>
        </w:rPr>
        <w:t>201</w:t>
      </w:r>
      <w:r>
        <w:rPr>
          <w:lang w:eastAsia="en-IE"/>
        </w:rPr>
        <w:t>9</w:t>
      </w:r>
    </w:p>
  </w:footnote>
  <w:footnote w:id="327">
    <w:p w14:paraId="372BFA64" w14:textId="420874B5" w:rsidR="00452DFD" w:rsidRDefault="00452DFD">
      <w:pPr>
        <w:pStyle w:val="FootnoteText"/>
      </w:pPr>
      <w:r>
        <w:rPr>
          <w:rStyle w:val="FootnoteReference"/>
        </w:rPr>
        <w:footnoteRef/>
      </w:r>
      <w:r>
        <w:t xml:space="preserve"> </w:t>
      </w:r>
      <w:r>
        <w:rPr>
          <w:lang w:eastAsia="en-IE"/>
        </w:rPr>
        <w:t>Smith-Merry, no date</w:t>
      </w:r>
    </w:p>
  </w:footnote>
  <w:footnote w:id="328">
    <w:p w14:paraId="7CE39C53" w14:textId="7A500DAB" w:rsidR="00452DFD" w:rsidRDefault="00452DFD">
      <w:pPr>
        <w:pStyle w:val="FootnoteText"/>
      </w:pPr>
      <w:r>
        <w:rPr>
          <w:rStyle w:val="FootnoteReference"/>
        </w:rPr>
        <w:footnoteRef/>
      </w:r>
      <w:r>
        <w:t xml:space="preserve"> </w:t>
      </w:r>
      <w:r>
        <w:rPr>
          <w:lang w:eastAsia="en-IE"/>
        </w:rPr>
        <w:t xml:space="preserve">Gove </w:t>
      </w:r>
      <w:r w:rsidRPr="009800AB">
        <w:rPr>
          <w:i/>
          <w:lang w:eastAsia="en-IE"/>
        </w:rPr>
        <w:t>et al.,</w:t>
      </w:r>
      <w:r>
        <w:rPr>
          <w:lang w:eastAsia="en-IE"/>
        </w:rPr>
        <w:t xml:space="preserve"> 2017, Gove </w:t>
      </w:r>
      <w:r w:rsidRPr="009800AB">
        <w:rPr>
          <w:i/>
          <w:lang w:eastAsia="en-IE"/>
        </w:rPr>
        <w:t>et al.,</w:t>
      </w:r>
      <w:r>
        <w:rPr>
          <w:lang w:eastAsia="en-IE"/>
        </w:rPr>
        <w:t xml:space="preserve"> 2018</w:t>
      </w:r>
    </w:p>
  </w:footnote>
  <w:footnote w:id="329">
    <w:p w14:paraId="29117C92" w14:textId="4281DAE2" w:rsidR="00452DFD" w:rsidRDefault="00452DFD">
      <w:pPr>
        <w:pStyle w:val="FootnoteText"/>
      </w:pPr>
      <w:r>
        <w:rPr>
          <w:rStyle w:val="FootnoteReference"/>
        </w:rPr>
        <w:footnoteRef/>
      </w:r>
      <w:r>
        <w:t xml:space="preserve"> </w:t>
      </w:r>
      <w:r>
        <w:rPr>
          <w:lang w:eastAsia="en-IE"/>
        </w:rPr>
        <w:t xml:space="preserve">Armstrong </w:t>
      </w:r>
      <w:r w:rsidRPr="009800AB">
        <w:rPr>
          <w:i/>
          <w:lang w:eastAsia="en-IE"/>
        </w:rPr>
        <w:t>et al.,</w:t>
      </w:r>
      <w:r>
        <w:rPr>
          <w:lang w:eastAsia="en-IE"/>
        </w:rPr>
        <w:t xml:space="preserve"> 2019, </w:t>
      </w:r>
      <w:r w:rsidRPr="0077012A">
        <w:t>Lightfoot</w:t>
      </w:r>
      <w:r>
        <w:t xml:space="preserve"> and </w:t>
      </w:r>
      <w:proofErr w:type="spellStart"/>
      <w:r w:rsidRPr="0077012A">
        <w:t>Sloper</w:t>
      </w:r>
      <w:proofErr w:type="spellEnd"/>
      <w:r>
        <w:t>,</w:t>
      </w:r>
      <w:r w:rsidRPr="0077012A">
        <w:t xml:space="preserve"> 2003</w:t>
      </w:r>
      <w:r>
        <w:t xml:space="preserve"> cited in Bailey </w:t>
      </w:r>
      <w:r w:rsidRPr="009800AB">
        <w:rPr>
          <w:i/>
        </w:rPr>
        <w:t>et al.,</w:t>
      </w:r>
      <w:r>
        <w:t xml:space="preserve"> 2015, </w:t>
      </w:r>
      <w:r w:rsidRPr="0077012A">
        <w:t>VIPER</w:t>
      </w:r>
      <w:r>
        <w:t>,</w:t>
      </w:r>
      <w:r w:rsidRPr="0077012A">
        <w:t xml:space="preserve"> 2</w:t>
      </w:r>
      <w:r>
        <w:t xml:space="preserve">013 cited in Bailey </w:t>
      </w:r>
      <w:r w:rsidRPr="009800AB">
        <w:rPr>
          <w:i/>
        </w:rPr>
        <w:t>et al.,</w:t>
      </w:r>
      <w:r>
        <w:t xml:space="preserve"> 2015, </w:t>
      </w:r>
      <w:proofErr w:type="spellStart"/>
      <w:r>
        <w:t>Giebel</w:t>
      </w:r>
      <w:proofErr w:type="spellEnd"/>
      <w:r>
        <w:t xml:space="preserve"> </w:t>
      </w:r>
      <w:r w:rsidRPr="009800AB">
        <w:rPr>
          <w:i/>
        </w:rPr>
        <w:t>et al.,</w:t>
      </w:r>
      <w:r>
        <w:t xml:space="preserve"> 2019, </w:t>
      </w:r>
      <w:proofErr w:type="spellStart"/>
      <w:r>
        <w:rPr>
          <w:lang w:eastAsia="en-IE"/>
        </w:rPr>
        <w:t>Strnadová</w:t>
      </w:r>
      <w:proofErr w:type="spellEnd"/>
      <w:r>
        <w:rPr>
          <w:lang w:eastAsia="en-IE"/>
        </w:rPr>
        <w:t xml:space="preserve"> </w:t>
      </w:r>
      <w:r w:rsidRPr="009800AB">
        <w:rPr>
          <w:i/>
          <w:lang w:eastAsia="en-IE"/>
        </w:rPr>
        <w:t>et al.,</w:t>
      </w:r>
      <w:r>
        <w:rPr>
          <w:lang w:eastAsia="en-IE"/>
        </w:rPr>
        <w:t xml:space="preserve"> 2016, </w:t>
      </w:r>
      <w:proofErr w:type="spellStart"/>
      <w:r>
        <w:t>Troya</w:t>
      </w:r>
      <w:proofErr w:type="spellEnd"/>
      <w:r>
        <w:t xml:space="preserve"> </w:t>
      </w:r>
      <w:r w:rsidRPr="009800AB">
        <w:rPr>
          <w:i/>
        </w:rPr>
        <w:t>et al.,</w:t>
      </w:r>
      <w:r>
        <w:t xml:space="preserve"> 2019, </w:t>
      </w:r>
      <w:proofErr w:type="spellStart"/>
      <w:r>
        <w:rPr>
          <w:lang w:eastAsia="en-IE"/>
        </w:rPr>
        <w:t>Vlot</w:t>
      </w:r>
      <w:proofErr w:type="spellEnd"/>
      <w:r>
        <w:rPr>
          <w:lang w:eastAsia="en-IE"/>
        </w:rPr>
        <w:t xml:space="preserve">-van </w:t>
      </w:r>
      <w:proofErr w:type="spellStart"/>
      <w:r>
        <w:rPr>
          <w:lang w:eastAsia="en-IE"/>
        </w:rPr>
        <w:t>Anrooij</w:t>
      </w:r>
      <w:proofErr w:type="spellEnd"/>
      <w:r>
        <w:rPr>
          <w:lang w:eastAsia="en-IE"/>
        </w:rPr>
        <w:t xml:space="preserve"> </w:t>
      </w:r>
      <w:r w:rsidRPr="009800AB">
        <w:rPr>
          <w:i/>
          <w:lang w:eastAsia="en-IE"/>
        </w:rPr>
        <w:t>et al.,</w:t>
      </w:r>
      <w:r>
        <w:rPr>
          <w:lang w:eastAsia="en-IE"/>
        </w:rPr>
        <w:t xml:space="preserve"> 2018, </w:t>
      </w:r>
      <w:r>
        <w:t xml:space="preserve">Williams </w:t>
      </w:r>
      <w:r w:rsidRPr="009800AB">
        <w:rPr>
          <w:i/>
        </w:rPr>
        <w:t>et al.,</w:t>
      </w:r>
      <w:r>
        <w:t xml:space="preserve"> 2020</w:t>
      </w:r>
    </w:p>
  </w:footnote>
  <w:footnote w:id="330">
    <w:p w14:paraId="760ECB5A" w14:textId="40F6817C" w:rsidR="00452DFD" w:rsidRDefault="00452DFD">
      <w:pPr>
        <w:pStyle w:val="FootnoteText"/>
      </w:pPr>
      <w:r>
        <w:rPr>
          <w:rStyle w:val="FootnoteReference"/>
        </w:rPr>
        <w:footnoteRef/>
      </w:r>
      <w:r>
        <w:t xml:space="preserve"> Anderson </w:t>
      </w:r>
      <w:r w:rsidRPr="009800AB">
        <w:rPr>
          <w:i/>
        </w:rPr>
        <w:t>et al.,</w:t>
      </w:r>
      <w:r>
        <w:t xml:space="preserve"> 2019, </w:t>
      </w:r>
      <w:proofErr w:type="spellStart"/>
      <w:r w:rsidRPr="00CA2163">
        <w:t>Barod</w:t>
      </w:r>
      <w:proofErr w:type="spellEnd"/>
      <w:r w:rsidRPr="00CA2163">
        <w:t xml:space="preserve"> Community Interest Company</w:t>
      </w:r>
      <w:r>
        <w:t xml:space="preserve">, 2019, Disability Wales, 2019, </w:t>
      </w:r>
      <w:proofErr w:type="spellStart"/>
      <w:r>
        <w:rPr>
          <w:lang w:eastAsia="en-IE"/>
        </w:rPr>
        <w:t>Frankena</w:t>
      </w:r>
      <w:proofErr w:type="spellEnd"/>
      <w:r>
        <w:rPr>
          <w:lang w:eastAsia="en-IE"/>
        </w:rPr>
        <w:t xml:space="preserve"> </w:t>
      </w:r>
      <w:r w:rsidRPr="009800AB">
        <w:rPr>
          <w:i/>
          <w:lang w:eastAsia="en-IE"/>
        </w:rPr>
        <w:t>et al.,</w:t>
      </w:r>
      <w:r>
        <w:rPr>
          <w:lang w:eastAsia="en-IE"/>
        </w:rPr>
        <w:t xml:space="preserve"> 2019a, Van </w:t>
      </w:r>
      <w:proofErr w:type="spellStart"/>
      <w:r>
        <w:rPr>
          <w:lang w:eastAsia="en-IE"/>
        </w:rPr>
        <w:t>Schelven</w:t>
      </w:r>
      <w:proofErr w:type="spellEnd"/>
      <w:r>
        <w:rPr>
          <w:lang w:eastAsia="en-IE"/>
        </w:rPr>
        <w:t xml:space="preserve"> </w:t>
      </w:r>
      <w:r w:rsidRPr="009800AB">
        <w:rPr>
          <w:i/>
          <w:lang w:eastAsia="en-IE"/>
        </w:rPr>
        <w:t>et al.,</w:t>
      </w:r>
      <w:r>
        <w:rPr>
          <w:lang w:eastAsia="en-IE"/>
        </w:rPr>
        <w:t xml:space="preserve"> 2020b, </w:t>
      </w:r>
      <w:r>
        <w:t xml:space="preserve">Vaughn </w:t>
      </w:r>
      <w:r w:rsidRPr="009800AB">
        <w:rPr>
          <w:i/>
        </w:rPr>
        <w:t>et al.,</w:t>
      </w:r>
      <w:r>
        <w:t xml:space="preserve"> 2019</w:t>
      </w:r>
    </w:p>
  </w:footnote>
  <w:footnote w:id="331">
    <w:p w14:paraId="6F251615" w14:textId="6F86D8C8" w:rsidR="00452DFD" w:rsidRDefault="00452DFD">
      <w:pPr>
        <w:pStyle w:val="FootnoteText"/>
      </w:pPr>
      <w:r>
        <w:rPr>
          <w:rStyle w:val="FootnoteReference"/>
        </w:rPr>
        <w:footnoteRef/>
      </w:r>
      <w:r>
        <w:t xml:space="preserve"> </w:t>
      </w:r>
      <w:proofErr w:type="spellStart"/>
      <w:r w:rsidRPr="00CA2163">
        <w:rPr>
          <w:lang w:eastAsia="en-IE"/>
        </w:rPr>
        <w:t>Barod</w:t>
      </w:r>
      <w:proofErr w:type="spellEnd"/>
      <w:r w:rsidRPr="00CA2163">
        <w:rPr>
          <w:lang w:eastAsia="en-IE"/>
        </w:rPr>
        <w:t xml:space="preserve"> Community Interest Company</w:t>
      </w:r>
      <w:r>
        <w:rPr>
          <w:lang w:eastAsia="en-IE"/>
        </w:rPr>
        <w:t>, 2019,</w:t>
      </w:r>
      <w:r w:rsidRPr="00063AD0">
        <w:t xml:space="preserve"> </w:t>
      </w:r>
      <w:proofErr w:type="spellStart"/>
      <w:r>
        <w:rPr>
          <w:lang w:eastAsia="en-IE"/>
        </w:rPr>
        <w:t>Frankena</w:t>
      </w:r>
      <w:proofErr w:type="spellEnd"/>
      <w:r>
        <w:rPr>
          <w:lang w:eastAsia="en-IE"/>
        </w:rPr>
        <w:t xml:space="preserve"> </w:t>
      </w:r>
      <w:r w:rsidRPr="009800AB">
        <w:rPr>
          <w:i/>
          <w:lang w:eastAsia="en-IE"/>
        </w:rPr>
        <w:t>et al.,</w:t>
      </w:r>
      <w:r>
        <w:rPr>
          <w:lang w:eastAsia="en-IE"/>
        </w:rPr>
        <w:t xml:space="preserve"> 2015, Smith-Merry, 2017, Smith-Merry, no date,</w:t>
      </w:r>
      <w:r w:rsidRPr="00A11D57">
        <w:rPr>
          <w:lang w:eastAsia="en-IE"/>
        </w:rPr>
        <w:t xml:space="preserve"> </w:t>
      </w:r>
      <w:r w:rsidRPr="00063AD0">
        <w:rPr>
          <w:lang w:eastAsia="en-IE"/>
        </w:rPr>
        <w:t xml:space="preserve">Van </w:t>
      </w:r>
      <w:proofErr w:type="spellStart"/>
      <w:r w:rsidRPr="00063AD0">
        <w:rPr>
          <w:lang w:eastAsia="en-IE"/>
        </w:rPr>
        <w:t>Schelven</w:t>
      </w:r>
      <w:proofErr w:type="spellEnd"/>
      <w:r w:rsidRPr="00063AD0">
        <w:rPr>
          <w:lang w:eastAsia="en-IE"/>
        </w:rPr>
        <w:t xml:space="preserve"> </w:t>
      </w:r>
      <w:r w:rsidRPr="009800AB">
        <w:rPr>
          <w:i/>
          <w:lang w:eastAsia="en-IE"/>
        </w:rPr>
        <w:t>et al.,</w:t>
      </w:r>
      <w:r>
        <w:rPr>
          <w:lang w:eastAsia="en-IE"/>
        </w:rPr>
        <w:t xml:space="preserve"> 2</w:t>
      </w:r>
      <w:r w:rsidRPr="00063AD0">
        <w:rPr>
          <w:lang w:eastAsia="en-IE"/>
        </w:rPr>
        <w:t>020b</w:t>
      </w:r>
    </w:p>
  </w:footnote>
  <w:footnote w:id="332">
    <w:p w14:paraId="17612D94" w14:textId="20CC1B6D" w:rsidR="00452DFD" w:rsidRDefault="00452DFD">
      <w:pPr>
        <w:pStyle w:val="FootnoteText"/>
      </w:pPr>
      <w:r>
        <w:rPr>
          <w:rStyle w:val="FootnoteReference"/>
        </w:rPr>
        <w:footnoteRef/>
      </w:r>
      <w:r>
        <w:t xml:space="preserve"> Anderson </w:t>
      </w:r>
      <w:r w:rsidRPr="009800AB">
        <w:rPr>
          <w:i/>
        </w:rPr>
        <w:t>et al.,</w:t>
      </w:r>
      <w:r>
        <w:t xml:space="preserve"> 2019</w:t>
      </w:r>
    </w:p>
  </w:footnote>
  <w:footnote w:id="333">
    <w:p w14:paraId="44DB1B4B" w14:textId="1E6A2774" w:rsidR="00452DFD" w:rsidRDefault="00452DFD">
      <w:pPr>
        <w:pStyle w:val="FootnoteText"/>
      </w:pPr>
      <w:r>
        <w:rPr>
          <w:rStyle w:val="FootnoteReference"/>
        </w:rPr>
        <w:footnoteRef/>
      </w:r>
      <w:r>
        <w:t xml:space="preserve"> </w:t>
      </w:r>
      <w:proofErr w:type="spellStart"/>
      <w:r w:rsidRPr="00CA2163">
        <w:t>Barod</w:t>
      </w:r>
      <w:proofErr w:type="spellEnd"/>
      <w:r w:rsidRPr="00CA2163">
        <w:t xml:space="preserve"> Community Interest Company</w:t>
      </w:r>
      <w:r>
        <w:t>, 2019</w:t>
      </w:r>
    </w:p>
  </w:footnote>
  <w:footnote w:id="334">
    <w:p w14:paraId="7343F572" w14:textId="5D6F110A" w:rsidR="00452DFD" w:rsidRDefault="00452DFD">
      <w:pPr>
        <w:pStyle w:val="FootnoteText"/>
      </w:pPr>
      <w:r>
        <w:rPr>
          <w:rStyle w:val="FootnoteReference"/>
        </w:rPr>
        <w:footnoteRef/>
      </w:r>
      <w:r>
        <w:t xml:space="preserve"> Fletcher Watson </w:t>
      </w:r>
      <w:r w:rsidRPr="009800AB">
        <w:rPr>
          <w:i/>
        </w:rPr>
        <w:t>et al.,</w:t>
      </w:r>
      <w:r>
        <w:t xml:space="preserve"> 2018</w:t>
      </w:r>
    </w:p>
  </w:footnote>
  <w:footnote w:id="335">
    <w:p w14:paraId="1C11E2D6" w14:textId="243A5963" w:rsidR="00452DFD" w:rsidRDefault="00452DFD">
      <w:pPr>
        <w:pStyle w:val="FootnoteText"/>
      </w:pPr>
      <w:r>
        <w:rPr>
          <w:rStyle w:val="FootnoteReference"/>
        </w:rPr>
        <w:footnoteRef/>
      </w:r>
      <w:r>
        <w:t xml:space="preserve"> Chick </w:t>
      </w:r>
      <w:r w:rsidRPr="009800AB">
        <w:rPr>
          <w:i/>
        </w:rPr>
        <w:t>et al.,</w:t>
      </w:r>
      <w:r>
        <w:t xml:space="preserve"> 2018, Disability Wales, 2019, IRN, 2019, King </w:t>
      </w:r>
      <w:r w:rsidRPr="009800AB">
        <w:rPr>
          <w:i/>
        </w:rPr>
        <w:t>et al.,</w:t>
      </w:r>
      <w:r>
        <w:t xml:space="preserve"> 2019, O’Hara </w:t>
      </w:r>
      <w:r w:rsidRPr="009800AB">
        <w:rPr>
          <w:i/>
        </w:rPr>
        <w:t>et al.,</w:t>
      </w:r>
      <w:r>
        <w:t xml:space="preserve"> 2017</w:t>
      </w:r>
    </w:p>
  </w:footnote>
  <w:footnote w:id="336">
    <w:p w14:paraId="51608DC0" w14:textId="1B362F70" w:rsidR="00452DFD" w:rsidRDefault="00452DFD">
      <w:pPr>
        <w:pStyle w:val="FootnoteText"/>
      </w:pPr>
      <w:r>
        <w:rPr>
          <w:rStyle w:val="FootnoteReference"/>
        </w:rPr>
        <w:footnoteRef/>
      </w:r>
      <w:r>
        <w:t xml:space="preserve"> Gove </w:t>
      </w:r>
      <w:r w:rsidRPr="009800AB">
        <w:rPr>
          <w:i/>
        </w:rPr>
        <w:t>et al.,</w:t>
      </w:r>
      <w:r>
        <w:t xml:space="preserve"> 2017, Gove </w:t>
      </w:r>
      <w:r w:rsidRPr="009800AB">
        <w:rPr>
          <w:i/>
        </w:rPr>
        <w:t>et al.,</w:t>
      </w:r>
      <w:r>
        <w:t xml:space="preserve"> 2018, </w:t>
      </w:r>
      <w:proofErr w:type="spellStart"/>
      <w:r>
        <w:t>Nicolaidis</w:t>
      </w:r>
      <w:proofErr w:type="spellEnd"/>
      <w:r>
        <w:t xml:space="preserve"> </w:t>
      </w:r>
      <w:r w:rsidRPr="009800AB">
        <w:rPr>
          <w:i/>
        </w:rPr>
        <w:t>et al.,</w:t>
      </w:r>
      <w:r>
        <w:t xml:space="preserve"> 2019</w:t>
      </w:r>
    </w:p>
  </w:footnote>
  <w:footnote w:id="337">
    <w:p w14:paraId="5CB1C689" w14:textId="13A4056A" w:rsidR="00452DFD" w:rsidRDefault="00452DFD">
      <w:pPr>
        <w:pStyle w:val="FootnoteText"/>
      </w:pPr>
      <w:r>
        <w:rPr>
          <w:rStyle w:val="FootnoteReference"/>
        </w:rPr>
        <w:footnoteRef/>
      </w:r>
      <w:r>
        <w:t xml:space="preserve"> </w:t>
      </w:r>
      <w:r w:rsidRPr="007C3375">
        <w:t>Campus Engage, 2017,</w:t>
      </w:r>
      <w:r>
        <w:t xml:space="preserve"> Gove </w:t>
      </w:r>
      <w:r w:rsidRPr="009800AB">
        <w:rPr>
          <w:i/>
        </w:rPr>
        <w:t>et al.,</w:t>
      </w:r>
      <w:r>
        <w:t xml:space="preserve"> 2017, Gove </w:t>
      </w:r>
      <w:r w:rsidRPr="00950169">
        <w:rPr>
          <w:i/>
        </w:rPr>
        <w:t>et al.,</w:t>
      </w:r>
      <w:r>
        <w:t xml:space="preserve"> 2018</w:t>
      </w:r>
      <w:r w:rsidRPr="00603BDA">
        <w:t xml:space="preserve"> </w:t>
      </w:r>
    </w:p>
  </w:footnote>
  <w:footnote w:id="338">
    <w:p w14:paraId="675F59D8" w14:textId="554BC911" w:rsidR="00452DFD" w:rsidRDefault="00452DFD">
      <w:pPr>
        <w:pStyle w:val="FootnoteText"/>
      </w:pPr>
      <w:r>
        <w:rPr>
          <w:rStyle w:val="FootnoteReference"/>
        </w:rPr>
        <w:footnoteRef/>
      </w:r>
      <w:r>
        <w:t xml:space="preserve"> Gove </w:t>
      </w:r>
      <w:r w:rsidRPr="009800AB">
        <w:rPr>
          <w:i/>
        </w:rPr>
        <w:t>et al.,</w:t>
      </w:r>
      <w:r>
        <w:t xml:space="preserve"> 2018, Roberts </w:t>
      </w:r>
      <w:r w:rsidRPr="009800AB">
        <w:rPr>
          <w:i/>
        </w:rPr>
        <w:t>et al.,</w:t>
      </w:r>
      <w:r>
        <w:t xml:space="preserve"> 2020</w:t>
      </w:r>
    </w:p>
  </w:footnote>
  <w:footnote w:id="339">
    <w:p w14:paraId="1DFEB522" w14:textId="48FCCF5A" w:rsidR="00452DFD" w:rsidRDefault="00452DFD">
      <w:pPr>
        <w:pStyle w:val="FootnoteText"/>
      </w:pPr>
      <w:r>
        <w:rPr>
          <w:rStyle w:val="FootnoteReference"/>
        </w:rPr>
        <w:footnoteRef/>
      </w:r>
      <w:r>
        <w:t xml:space="preserve"> </w:t>
      </w:r>
      <w:r w:rsidRPr="0057458D">
        <w:rPr>
          <w:lang w:eastAsia="en-IE"/>
        </w:rPr>
        <w:t xml:space="preserve">Miah </w:t>
      </w:r>
      <w:r w:rsidRPr="009800AB">
        <w:rPr>
          <w:i/>
          <w:lang w:eastAsia="en-IE"/>
        </w:rPr>
        <w:t>et al.,</w:t>
      </w:r>
      <w:r>
        <w:rPr>
          <w:lang w:eastAsia="en-IE"/>
        </w:rPr>
        <w:t xml:space="preserve"> 2019, </w:t>
      </w:r>
      <w:proofErr w:type="spellStart"/>
      <w:r>
        <w:rPr>
          <w:lang w:eastAsia="en-IE"/>
        </w:rPr>
        <w:t>Morbey</w:t>
      </w:r>
      <w:proofErr w:type="spellEnd"/>
      <w:r w:rsidRPr="0057458D">
        <w:rPr>
          <w:lang w:eastAsia="en-IE"/>
        </w:rPr>
        <w:t xml:space="preserve"> </w:t>
      </w:r>
      <w:r w:rsidRPr="009800AB">
        <w:rPr>
          <w:i/>
          <w:lang w:eastAsia="en-IE"/>
        </w:rPr>
        <w:t>et al.,</w:t>
      </w:r>
      <w:r>
        <w:rPr>
          <w:lang w:eastAsia="en-IE"/>
        </w:rPr>
        <w:t xml:space="preserve"> 2019</w:t>
      </w:r>
    </w:p>
  </w:footnote>
  <w:footnote w:id="340">
    <w:p w14:paraId="133782B7" w14:textId="0F524AEB" w:rsidR="00452DFD" w:rsidRDefault="00452DFD">
      <w:pPr>
        <w:pStyle w:val="FootnoteText"/>
      </w:pPr>
      <w:r>
        <w:rPr>
          <w:rStyle w:val="FootnoteReference"/>
        </w:rPr>
        <w:footnoteRef/>
      </w:r>
      <w:r>
        <w:t xml:space="preserve"> </w:t>
      </w:r>
      <w:proofErr w:type="spellStart"/>
      <w:r w:rsidRPr="001C4085">
        <w:t>Bigby</w:t>
      </w:r>
      <w:proofErr w:type="spellEnd"/>
      <w:r w:rsidRPr="001C4085">
        <w:t xml:space="preserve"> and </w:t>
      </w:r>
      <w:proofErr w:type="spellStart"/>
      <w:r w:rsidRPr="001C4085">
        <w:t>Frawley</w:t>
      </w:r>
      <w:proofErr w:type="spellEnd"/>
      <w:r w:rsidRPr="001C4085">
        <w:t>, 2010, p.</w:t>
      </w:r>
      <w:r>
        <w:t xml:space="preserve"> </w:t>
      </w:r>
      <w:r w:rsidRPr="001C4085">
        <w:t>60</w:t>
      </w:r>
      <w:r>
        <w:t xml:space="preserve"> cited </w:t>
      </w:r>
      <w:r w:rsidRPr="001C4085">
        <w:t>in Smith-Merry, 2017</w:t>
      </w:r>
    </w:p>
  </w:footnote>
  <w:footnote w:id="341">
    <w:p w14:paraId="5F2E14F1" w14:textId="49EFD965" w:rsidR="00452DFD" w:rsidRDefault="00452DFD">
      <w:pPr>
        <w:pStyle w:val="FootnoteText"/>
      </w:pPr>
      <w:r>
        <w:rPr>
          <w:rStyle w:val="FootnoteReference"/>
        </w:rPr>
        <w:footnoteRef/>
      </w:r>
      <w:r>
        <w:t xml:space="preserve"> Ní </w:t>
      </w:r>
      <w:proofErr w:type="spellStart"/>
      <w:r>
        <w:t>Shé</w:t>
      </w:r>
      <w:proofErr w:type="spellEnd"/>
      <w:r>
        <w:t xml:space="preserve"> </w:t>
      </w:r>
      <w:r w:rsidRPr="009800AB">
        <w:rPr>
          <w:i/>
        </w:rPr>
        <w:t>et al.,</w:t>
      </w:r>
      <w:r>
        <w:t xml:space="preserve"> 2020, Walsh </w:t>
      </w:r>
      <w:r w:rsidRPr="009800AB">
        <w:rPr>
          <w:i/>
        </w:rPr>
        <w:t>et al.,</w:t>
      </w:r>
      <w:r>
        <w:t xml:space="preserve"> 2018</w:t>
      </w:r>
    </w:p>
  </w:footnote>
  <w:footnote w:id="342">
    <w:p w14:paraId="08A63432" w14:textId="25620740" w:rsidR="00452DFD" w:rsidRDefault="00452DFD">
      <w:pPr>
        <w:pStyle w:val="FootnoteText"/>
      </w:pPr>
      <w:r>
        <w:rPr>
          <w:rStyle w:val="FootnoteReference"/>
        </w:rPr>
        <w:footnoteRef/>
      </w:r>
      <w:r>
        <w:t xml:space="preserve"> Vega Cordova </w:t>
      </w:r>
      <w:r w:rsidRPr="009800AB">
        <w:rPr>
          <w:i/>
        </w:rPr>
        <w:t>et al.,</w:t>
      </w:r>
      <w:r>
        <w:t xml:space="preserve"> 2020</w:t>
      </w:r>
    </w:p>
  </w:footnote>
  <w:footnote w:id="343">
    <w:p w14:paraId="056D67E3" w14:textId="3AA70D05" w:rsidR="00452DFD" w:rsidRDefault="00452DFD">
      <w:pPr>
        <w:pStyle w:val="FootnoteText"/>
      </w:pPr>
      <w:r>
        <w:rPr>
          <w:rStyle w:val="FootnoteReference"/>
        </w:rPr>
        <w:footnoteRef/>
      </w:r>
      <w:r>
        <w:t xml:space="preserve"> Disability Wales, 2019, Drill Report, 2018</w:t>
      </w:r>
    </w:p>
  </w:footnote>
  <w:footnote w:id="344">
    <w:p w14:paraId="5E7CFDC9" w14:textId="5DDB06CC" w:rsidR="00452DFD" w:rsidRDefault="00452DFD">
      <w:pPr>
        <w:pStyle w:val="FootnoteText"/>
      </w:pPr>
      <w:r>
        <w:rPr>
          <w:rStyle w:val="FootnoteReference"/>
        </w:rPr>
        <w:footnoteRef/>
      </w:r>
      <w:r>
        <w:t xml:space="preserve"> </w:t>
      </w:r>
      <w:proofErr w:type="spellStart"/>
      <w:r>
        <w:t>Gratton</w:t>
      </w:r>
      <w:proofErr w:type="spellEnd"/>
      <w:r>
        <w:t xml:space="preserve">, 2020, O’Hara </w:t>
      </w:r>
      <w:r w:rsidRPr="009800AB">
        <w:rPr>
          <w:i/>
        </w:rPr>
        <w:t>et al.,</w:t>
      </w:r>
      <w:r>
        <w:t xml:space="preserve"> 2017, Rojas </w:t>
      </w:r>
      <w:proofErr w:type="spellStart"/>
      <w:r>
        <w:t>Pernia</w:t>
      </w:r>
      <w:proofErr w:type="spellEnd"/>
      <w:r>
        <w:t xml:space="preserve"> </w:t>
      </w:r>
      <w:r w:rsidRPr="009800AB">
        <w:rPr>
          <w:i/>
        </w:rPr>
        <w:t>et al.,</w:t>
      </w:r>
      <w:r>
        <w:t xml:space="preserve"> 2020, Spencer Gonzalez </w:t>
      </w:r>
      <w:r w:rsidRPr="009800AB">
        <w:rPr>
          <w:i/>
        </w:rPr>
        <w:t>et al.,</w:t>
      </w:r>
      <w:r>
        <w:t xml:space="preserve"> 2020</w:t>
      </w:r>
    </w:p>
  </w:footnote>
  <w:footnote w:id="345">
    <w:p w14:paraId="71CB039A" w14:textId="7BB60A58" w:rsidR="00452DFD" w:rsidRDefault="00452DFD">
      <w:pPr>
        <w:pStyle w:val="FootnoteText"/>
      </w:pPr>
      <w:r>
        <w:rPr>
          <w:rStyle w:val="FootnoteReference"/>
        </w:rPr>
        <w:footnoteRef/>
      </w:r>
      <w:r>
        <w:t xml:space="preserve"> Disability Wales, 2019, Drill Report, 2018</w:t>
      </w:r>
    </w:p>
  </w:footnote>
  <w:footnote w:id="346">
    <w:p w14:paraId="423C9233" w14:textId="031B3811" w:rsidR="00452DFD" w:rsidRDefault="00452DFD">
      <w:pPr>
        <w:pStyle w:val="FootnoteText"/>
      </w:pPr>
      <w:r>
        <w:rPr>
          <w:rStyle w:val="FootnoteReference"/>
        </w:rPr>
        <w:footnoteRef/>
      </w:r>
      <w:r>
        <w:t xml:space="preserve"> Disability Wales, 2019</w:t>
      </w:r>
    </w:p>
  </w:footnote>
  <w:footnote w:id="347">
    <w:p w14:paraId="1BE330B3" w14:textId="2D967A3F"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 Green </w:t>
      </w:r>
      <w:r w:rsidRPr="009800AB">
        <w:rPr>
          <w:i/>
        </w:rPr>
        <w:t>et al.,</w:t>
      </w:r>
      <w:r>
        <w:t xml:space="preserve"> 2016,</w:t>
      </w:r>
      <w:r w:rsidRPr="00B21A36">
        <w:t xml:space="preserve"> </w:t>
      </w:r>
      <w:r>
        <w:t xml:space="preserve">Rojas </w:t>
      </w:r>
      <w:proofErr w:type="spellStart"/>
      <w:r>
        <w:t>Pernia</w:t>
      </w:r>
      <w:proofErr w:type="spellEnd"/>
      <w:r>
        <w:t xml:space="preserve"> </w:t>
      </w:r>
      <w:r w:rsidRPr="009800AB">
        <w:rPr>
          <w:i/>
        </w:rPr>
        <w:t>et al.,</w:t>
      </w:r>
      <w:r>
        <w:t xml:space="preserve"> 2020</w:t>
      </w:r>
    </w:p>
  </w:footnote>
  <w:footnote w:id="348">
    <w:p w14:paraId="0635D7F2" w14:textId="2972A8E2" w:rsidR="00452DFD" w:rsidRDefault="00452DFD">
      <w:pPr>
        <w:pStyle w:val="FootnoteText"/>
      </w:pPr>
      <w:r>
        <w:rPr>
          <w:rStyle w:val="FootnoteReference"/>
        </w:rPr>
        <w:footnoteRef/>
      </w:r>
      <w:r>
        <w:t xml:space="preserve"> Green </w:t>
      </w:r>
      <w:r w:rsidRPr="009800AB">
        <w:rPr>
          <w:i/>
        </w:rPr>
        <w:t>et al.,</w:t>
      </w:r>
      <w:r>
        <w:t xml:space="preserve"> 2016</w:t>
      </w:r>
    </w:p>
  </w:footnote>
  <w:footnote w:id="349">
    <w:p w14:paraId="4F004A21" w14:textId="35AA04A8" w:rsidR="00452DFD" w:rsidRDefault="00452DFD">
      <w:pPr>
        <w:pStyle w:val="FootnoteText"/>
      </w:pPr>
      <w:r>
        <w:rPr>
          <w:rStyle w:val="FootnoteReference"/>
        </w:rPr>
        <w:footnoteRef/>
      </w:r>
      <w:r>
        <w:t xml:space="preserve"> </w:t>
      </w:r>
      <w:proofErr w:type="spellStart"/>
      <w:r>
        <w:t>Breault</w:t>
      </w:r>
      <w:proofErr w:type="spellEnd"/>
      <w:r>
        <w:t xml:space="preserve"> </w:t>
      </w:r>
      <w:r w:rsidRPr="009800AB">
        <w:rPr>
          <w:i/>
        </w:rPr>
        <w:t>et al.,</w:t>
      </w:r>
      <w:r>
        <w:t xml:space="preserve"> 2018b, Burton, Ogden, and Cooper, 2019, Fletcher Watson </w:t>
      </w:r>
      <w:r w:rsidRPr="009800AB">
        <w:rPr>
          <w:i/>
        </w:rPr>
        <w:t>et al.,</w:t>
      </w:r>
      <w:r>
        <w:t xml:space="preserve"> 2018, O’Hara </w:t>
      </w:r>
      <w:r w:rsidRPr="009800AB">
        <w:rPr>
          <w:i/>
        </w:rPr>
        <w:t>et al.,</w:t>
      </w:r>
      <w:r>
        <w:t xml:space="preserve"> 2017, Rojas </w:t>
      </w:r>
      <w:proofErr w:type="spellStart"/>
      <w:r>
        <w:t>Pernia</w:t>
      </w:r>
      <w:proofErr w:type="spellEnd"/>
      <w:r>
        <w:t xml:space="preserve"> and Haya </w:t>
      </w:r>
      <w:proofErr w:type="spellStart"/>
      <w:r>
        <w:t>Salmón</w:t>
      </w:r>
      <w:proofErr w:type="spellEnd"/>
      <w:r>
        <w:t>, 2020</w:t>
      </w:r>
    </w:p>
  </w:footnote>
  <w:footnote w:id="350">
    <w:p w14:paraId="3E18FD7A" w14:textId="78F57BE0" w:rsidR="00452DFD" w:rsidRDefault="00452DFD">
      <w:pPr>
        <w:pStyle w:val="FootnoteText"/>
      </w:pPr>
      <w:r>
        <w:rPr>
          <w:rStyle w:val="FootnoteReference"/>
        </w:rPr>
        <w:footnoteRef/>
      </w:r>
      <w:r>
        <w:t xml:space="preserve"> O’Hara </w:t>
      </w:r>
      <w:r w:rsidRPr="009800AB">
        <w:rPr>
          <w:i/>
        </w:rPr>
        <w:t>et al.,</w:t>
      </w:r>
      <w:r>
        <w:t xml:space="preserve"> 2017</w:t>
      </w:r>
    </w:p>
  </w:footnote>
  <w:footnote w:id="351">
    <w:p w14:paraId="3CB26ED3" w14:textId="6A45E50B" w:rsidR="00452DFD" w:rsidRDefault="00452DFD">
      <w:pPr>
        <w:pStyle w:val="FootnoteText"/>
      </w:pPr>
      <w:r>
        <w:rPr>
          <w:rStyle w:val="FootnoteReference"/>
        </w:rPr>
        <w:footnoteRef/>
      </w:r>
      <w:r>
        <w:t xml:space="preserve"> Rojas </w:t>
      </w:r>
      <w:proofErr w:type="spellStart"/>
      <w:r>
        <w:t>Pernia</w:t>
      </w:r>
      <w:proofErr w:type="spellEnd"/>
      <w:r>
        <w:t xml:space="preserve"> and Haya </w:t>
      </w:r>
      <w:proofErr w:type="spellStart"/>
      <w:r>
        <w:t>Salmón</w:t>
      </w:r>
      <w:proofErr w:type="spellEnd"/>
      <w:r>
        <w:t>, 2020</w:t>
      </w:r>
    </w:p>
  </w:footnote>
  <w:footnote w:id="352">
    <w:p w14:paraId="40603AF6" w14:textId="5C62B37B"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w:t>
      </w:r>
    </w:p>
  </w:footnote>
  <w:footnote w:id="353">
    <w:p w14:paraId="5AF56271" w14:textId="12826EF0"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w:t>
      </w:r>
    </w:p>
  </w:footnote>
  <w:footnote w:id="354">
    <w:p w14:paraId="531F30D9" w14:textId="3CC1B55F" w:rsidR="00452DFD" w:rsidRDefault="00452DFD">
      <w:pPr>
        <w:pStyle w:val="FootnoteText"/>
      </w:pPr>
      <w:r>
        <w:rPr>
          <w:rStyle w:val="FootnoteReference"/>
        </w:rPr>
        <w:footnoteRef/>
      </w:r>
      <w:r>
        <w:t xml:space="preserve"> Di </w:t>
      </w:r>
      <w:proofErr w:type="spellStart"/>
      <w:r>
        <w:t>Lorito</w:t>
      </w:r>
      <w:proofErr w:type="spellEnd"/>
      <w:r>
        <w:t xml:space="preserve"> </w:t>
      </w:r>
      <w:r w:rsidRPr="009800AB">
        <w:rPr>
          <w:i/>
        </w:rPr>
        <w:t>et al.,</w:t>
      </w:r>
      <w:r>
        <w:t xml:space="preserve"> 2018, </w:t>
      </w:r>
      <w:proofErr w:type="spellStart"/>
      <w:r>
        <w:t>Frankena</w:t>
      </w:r>
      <w:proofErr w:type="spellEnd"/>
      <w:r>
        <w:t xml:space="preserve"> </w:t>
      </w:r>
      <w:r w:rsidRPr="009800AB">
        <w:rPr>
          <w:i/>
        </w:rPr>
        <w:t>et al.,</w:t>
      </w:r>
      <w:r>
        <w:t xml:space="preserve"> 2019a</w:t>
      </w:r>
    </w:p>
  </w:footnote>
  <w:footnote w:id="355">
    <w:p w14:paraId="7829ED99" w14:textId="3C129C2D" w:rsidR="00452DFD" w:rsidRDefault="00452DFD">
      <w:pPr>
        <w:pStyle w:val="FootnoteText"/>
      </w:pPr>
      <w:r>
        <w:rPr>
          <w:rStyle w:val="FootnoteReference"/>
        </w:rPr>
        <w:footnoteRef/>
      </w:r>
      <w:r>
        <w:t xml:space="preserve"> Gove </w:t>
      </w:r>
      <w:r w:rsidRPr="009800AB">
        <w:rPr>
          <w:i/>
        </w:rPr>
        <w:t>et al.,</w:t>
      </w:r>
      <w:r>
        <w:t xml:space="preserve"> 2017</w:t>
      </w:r>
    </w:p>
  </w:footnote>
  <w:footnote w:id="356">
    <w:p w14:paraId="7DBE2976" w14:textId="25B8B50B" w:rsidR="00452DFD" w:rsidRDefault="00452DFD">
      <w:pPr>
        <w:pStyle w:val="FootnoteText"/>
      </w:pPr>
      <w:r>
        <w:rPr>
          <w:rStyle w:val="FootnoteReference"/>
        </w:rPr>
        <w:footnoteRef/>
      </w:r>
      <w:r>
        <w:t xml:space="preserve"> Green </w:t>
      </w:r>
      <w:r w:rsidRPr="009800AB">
        <w:rPr>
          <w:i/>
        </w:rPr>
        <w:t>et al.,</w:t>
      </w:r>
      <w:r>
        <w:t xml:space="preserve"> 2016</w:t>
      </w:r>
    </w:p>
  </w:footnote>
  <w:footnote w:id="357">
    <w:p w14:paraId="6A74F41A" w14:textId="6E4BFC04" w:rsidR="00452DFD" w:rsidRDefault="00452DFD">
      <w:pPr>
        <w:pStyle w:val="FootnoteText"/>
      </w:pPr>
      <w:r>
        <w:rPr>
          <w:rStyle w:val="FootnoteReference"/>
        </w:rPr>
        <w:footnoteRef/>
      </w:r>
      <w:r>
        <w:t xml:space="preserve"> </w:t>
      </w:r>
      <w:r w:rsidRPr="007C3375">
        <w:t xml:space="preserve">Campus Engage, 2017, </w:t>
      </w:r>
      <w:proofErr w:type="spellStart"/>
      <w:r w:rsidRPr="007C3375">
        <w:t>Chown</w:t>
      </w:r>
      <w:proofErr w:type="spellEnd"/>
      <w:r>
        <w:t xml:space="preserve"> </w:t>
      </w:r>
      <w:r w:rsidRPr="009800AB">
        <w:rPr>
          <w:i/>
        </w:rPr>
        <w:t>et al.,</w:t>
      </w:r>
      <w:r>
        <w:t xml:space="preserve"> 2017, Ní </w:t>
      </w:r>
      <w:proofErr w:type="spellStart"/>
      <w:r>
        <w:t>Shé</w:t>
      </w:r>
      <w:proofErr w:type="spellEnd"/>
      <w:r>
        <w:t xml:space="preserve"> </w:t>
      </w:r>
      <w:r w:rsidRPr="009800AB">
        <w:rPr>
          <w:i/>
        </w:rPr>
        <w:t>et al.,</w:t>
      </w:r>
      <w:r>
        <w:t xml:space="preserve"> 2019, </w:t>
      </w:r>
      <w:proofErr w:type="spellStart"/>
      <w:r>
        <w:t>Nicolaidis</w:t>
      </w:r>
      <w:proofErr w:type="spellEnd"/>
      <w:r>
        <w:t xml:space="preserve"> </w:t>
      </w:r>
      <w:r w:rsidRPr="009800AB">
        <w:rPr>
          <w:i/>
        </w:rPr>
        <w:t>et al.,</w:t>
      </w:r>
      <w:r>
        <w:t xml:space="preserve"> 2019</w:t>
      </w:r>
    </w:p>
  </w:footnote>
  <w:footnote w:id="358">
    <w:p w14:paraId="7395A2D4" w14:textId="6B91076D" w:rsidR="00452DFD" w:rsidRDefault="00452DFD">
      <w:pPr>
        <w:pStyle w:val="FootnoteText"/>
      </w:pPr>
      <w:r>
        <w:rPr>
          <w:rStyle w:val="FootnoteReference"/>
        </w:rPr>
        <w:footnoteRef/>
      </w:r>
      <w:r>
        <w:t xml:space="preserve"> Fletcher Watson </w:t>
      </w:r>
      <w:r w:rsidRPr="009800AB">
        <w:rPr>
          <w:i/>
        </w:rPr>
        <w:t>et al.,</w:t>
      </w:r>
      <w:r>
        <w:t xml:space="preserve"> 2018, </w:t>
      </w:r>
      <w:proofErr w:type="spellStart"/>
      <w:r>
        <w:t>Frankena</w:t>
      </w:r>
      <w:proofErr w:type="spellEnd"/>
      <w:r>
        <w:t xml:space="preserve"> </w:t>
      </w:r>
      <w:r w:rsidRPr="009800AB">
        <w:rPr>
          <w:i/>
        </w:rPr>
        <w:t>et al.,</w:t>
      </w:r>
      <w:r>
        <w:t xml:space="preserve"> 2019a</w:t>
      </w:r>
    </w:p>
  </w:footnote>
  <w:footnote w:id="359">
    <w:p w14:paraId="206EC8B1" w14:textId="0AFFFDC0" w:rsidR="00452DFD" w:rsidRDefault="00452DFD">
      <w:pPr>
        <w:pStyle w:val="FootnoteText"/>
      </w:pPr>
      <w:r>
        <w:rPr>
          <w:rStyle w:val="FootnoteReference"/>
        </w:rPr>
        <w:footnoteRef/>
      </w:r>
      <w:r>
        <w:t xml:space="preserve"> </w:t>
      </w:r>
      <w:proofErr w:type="spellStart"/>
      <w:r>
        <w:t>Troya</w:t>
      </w:r>
      <w:proofErr w:type="spellEnd"/>
      <w:r>
        <w:t xml:space="preserve"> </w:t>
      </w:r>
      <w:r w:rsidRPr="009800AB">
        <w:rPr>
          <w:i/>
        </w:rPr>
        <w:t>et al.,</w:t>
      </w:r>
      <w:r>
        <w:t xml:space="preserve"> 2019</w:t>
      </w:r>
    </w:p>
  </w:footnote>
  <w:footnote w:id="360">
    <w:p w14:paraId="07949043" w14:textId="03545720" w:rsidR="00452DFD" w:rsidRDefault="00452DFD">
      <w:pPr>
        <w:pStyle w:val="FootnoteText"/>
      </w:pPr>
      <w:r>
        <w:rPr>
          <w:rStyle w:val="FootnoteReference"/>
        </w:rPr>
        <w:footnoteRef/>
      </w:r>
      <w:r>
        <w:t xml:space="preserve"> Green </w:t>
      </w:r>
      <w:r w:rsidRPr="009800AB">
        <w:rPr>
          <w:i/>
        </w:rPr>
        <w:t>et al.,</w:t>
      </w:r>
      <w:r>
        <w:t xml:space="preserve"> 2016, O’Hara </w:t>
      </w:r>
      <w:r w:rsidRPr="009800AB">
        <w:rPr>
          <w:i/>
        </w:rPr>
        <w:t>et al.,</w:t>
      </w:r>
      <w:r>
        <w:t xml:space="preserve"> 2017</w:t>
      </w:r>
    </w:p>
  </w:footnote>
  <w:footnote w:id="361">
    <w:p w14:paraId="00ED05C7" w14:textId="484AAB8C"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 Gove </w:t>
      </w:r>
      <w:r w:rsidRPr="009800AB">
        <w:rPr>
          <w:i/>
        </w:rPr>
        <w:t>et al.,</w:t>
      </w:r>
      <w:r>
        <w:t xml:space="preserve"> 2017, Gove </w:t>
      </w:r>
      <w:r w:rsidRPr="009800AB">
        <w:rPr>
          <w:i/>
        </w:rPr>
        <w:t>et al.,</w:t>
      </w:r>
      <w:r>
        <w:t xml:space="preserve"> 2018</w:t>
      </w:r>
    </w:p>
  </w:footnote>
  <w:footnote w:id="362">
    <w:p w14:paraId="213CA68E" w14:textId="715EE780" w:rsidR="00452DFD" w:rsidRDefault="00452DFD">
      <w:pPr>
        <w:pStyle w:val="FootnoteText"/>
      </w:pPr>
      <w:r>
        <w:rPr>
          <w:rStyle w:val="FootnoteReference"/>
        </w:rPr>
        <w:footnoteRef/>
      </w:r>
      <w:r>
        <w:t xml:space="preserve"> Brady </w:t>
      </w:r>
      <w:r w:rsidRPr="009800AB">
        <w:rPr>
          <w:i/>
        </w:rPr>
        <w:t>et al.,</w:t>
      </w:r>
      <w:r>
        <w:t xml:space="preserve"> 2019</w:t>
      </w:r>
    </w:p>
  </w:footnote>
  <w:footnote w:id="363">
    <w:p w14:paraId="5D0DB1F5" w14:textId="52ACF621" w:rsidR="00452DFD" w:rsidRDefault="00452DFD">
      <w:pPr>
        <w:pStyle w:val="FootnoteText"/>
      </w:pPr>
      <w:r>
        <w:rPr>
          <w:rStyle w:val="FootnoteReference"/>
        </w:rPr>
        <w:footnoteRef/>
      </w:r>
      <w:r>
        <w:t xml:space="preserve"> Di </w:t>
      </w:r>
      <w:proofErr w:type="spellStart"/>
      <w:r>
        <w:t>Lorito</w:t>
      </w:r>
      <w:proofErr w:type="spellEnd"/>
      <w:r>
        <w:t xml:space="preserve"> </w:t>
      </w:r>
      <w:r w:rsidRPr="009800AB">
        <w:rPr>
          <w:i/>
        </w:rPr>
        <w:t>et al.,</w:t>
      </w:r>
      <w:r>
        <w:t xml:space="preserve"> 2018, Gove </w:t>
      </w:r>
      <w:r w:rsidRPr="009800AB">
        <w:rPr>
          <w:i/>
        </w:rPr>
        <w:t>et al.,</w:t>
      </w:r>
      <w:r>
        <w:t xml:space="preserve"> 2017,</w:t>
      </w:r>
      <w:r w:rsidRPr="00B0674F">
        <w:t xml:space="preserve"> Green </w:t>
      </w:r>
      <w:r w:rsidRPr="009800AB">
        <w:rPr>
          <w:i/>
        </w:rPr>
        <w:t>et al.,</w:t>
      </w:r>
      <w:r w:rsidRPr="00B0674F">
        <w:t xml:space="preserve"> 2016, </w:t>
      </w:r>
      <w:r>
        <w:t xml:space="preserve">King </w:t>
      </w:r>
      <w:r w:rsidRPr="009800AB">
        <w:rPr>
          <w:i/>
        </w:rPr>
        <w:t>et al.,</w:t>
      </w:r>
      <w:r>
        <w:t xml:space="preserve"> 2019,</w:t>
      </w:r>
      <w:r w:rsidRPr="00B0674F">
        <w:t xml:space="preserve"> </w:t>
      </w:r>
      <w:proofErr w:type="spellStart"/>
      <w:r w:rsidRPr="00B0674F">
        <w:t>ImaYDiT</w:t>
      </w:r>
      <w:proofErr w:type="spellEnd"/>
      <w:r w:rsidRPr="00B0674F">
        <w:t xml:space="preserve">, 2018, </w:t>
      </w:r>
      <w:proofErr w:type="spellStart"/>
      <w:r>
        <w:t>Moule</w:t>
      </w:r>
      <w:proofErr w:type="spellEnd"/>
      <w:r>
        <w:t xml:space="preserve"> </w:t>
      </w:r>
      <w:r w:rsidRPr="009800AB">
        <w:rPr>
          <w:i/>
        </w:rPr>
        <w:t>et al.,</w:t>
      </w:r>
      <w:r>
        <w:t xml:space="preserve"> 2016, </w:t>
      </w:r>
      <w:proofErr w:type="spellStart"/>
      <w:r>
        <w:t>Nicolaidis</w:t>
      </w:r>
      <w:proofErr w:type="spellEnd"/>
      <w:r>
        <w:t xml:space="preserve"> </w:t>
      </w:r>
      <w:r w:rsidRPr="009800AB">
        <w:rPr>
          <w:i/>
        </w:rPr>
        <w:t>et al.,</w:t>
      </w:r>
      <w:r>
        <w:t xml:space="preserve"> 2019, </w:t>
      </w:r>
      <w:proofErr w:type="spellStart"/>
      <w:r>
        <w:t>Troya</w:t>
      </w:r>
      <w:proofErr w:type="spellEnd"/>
      <w:r>
        <w:t xml:space="preserve"> </w:t>
      </w:r>
      <w:r w:rsidRPr="009800AB">
        <w:rPr>
          <w:i/>
        </w:rPr>
        <w:t>et al.,</w:t>
      </w:r>
      <w:r>
        <w:t xml:space="preserve"> 2019</w:t>
      </w:r>
    </w:p>
  </w:footnote>
  <w:footnote w:id="364">
    <w:p w14:paraId="65F1AE81" w14:textId="6B68F9C5" w:rsidR="00452DFD" w:rsidRDefault="00452DFD">
      <w:pPr>
        <w:pStyle w:val="FootnoteText"/>
      </w:pPr>
      <w:r>
        <w:rPr>
          <w:rStyle w:val="FootnoteReference"/>
        </w:rPr>
        <w:footnoteRef/>
      </w:r>
      <w:r>
        <w:t xml:space="preserve"> Drill Report, 2018, </w:t>
      </w:r>
      <w:proofErr w:type="spellStart"/>
      <w:r>
        <w:t>Moule</w:t>
      </w:r>
      <w:proofErr w:type="spellEnd"/>
      <w:r>
        <w:t xml:space="preserve"> </w:t>
      </w:r>
      <w:r w:rsidRPr="009800AB">
        <w:rPr>
          <w:i/>
        </w:rPr>
        <w:t>et al.,</w:t>
      </w:r>
      <w:r>
        <w:t xml:space="preserve"> 2016, </w:t>
      </w:r>
      <w:proofErr w:type="spellStart"/>
      <w:r>
        <w:t>Nicolaidis</w:t>
      </w:r>
      <w:proofErr w:type="spellEnd"/>
      <w:r>
        <w:t xml:space="preserve"> </w:t>
      </w:r>
      <w:r w:rsidRPr="009800AB">
        <w:rPr>
          <w:i/>
        </w:rPr>
        <w:t>et al.,</w:t>
      </w:r>
      <w:r>
        <w:t xml:space="preserve"> 2019</w:t>
      </w:r>
    </w:p>
  </w:footnote>
  <w:footnote w:id="365">
    <w:p w14:paraId="2A9C44C7" w14:textId="1C11F41D" w:rsidR="00452DFD" w:rsidRDefault="00452DFD">
      <w:pPr>
        <w:pStyle w:val="FootnoteText"/>
      </w:pPr>
      <w:r>
        <w:rPr>
          <w:rStyle w:val="FootnoteReference"/>
        </w:rPr>
        <w:footnoteRef/>
      </w:r>
      <w:r>
        <w:t xml:space="preserve"> </w:t>
      </w:r>
      <w:r w:rsidRPr="00E939CC">
        <w:t>Ashcro</w:t>
      </w:r>
      <w:r>
        <w:t>f</w:t>
      </w:r>
      <w:r w:rsidRPr="00E939CC">
        <w:t xml:space="preserve">t </w:t>
      </w:r>
      <w:r w:rsidRPr="009800AB">
        <w:rPr>
          <w:i/>
        </w:rPr>
        <w:t>et al.,</w:t>
      </w:r>
      <w:r>
        <w:t xml:space="preserve"> 2016, Gove </w:t>
      </w:r>
      <w:r w:rsidRPr="009800AB">
        <w:rPr>
          <w:i/>
        </w:rPr>
        <w:t>et al.,</w:t>
      </w:r>
      <w:r>
        <w:t xml:space="preserve"> 2018,</w:t>
      </w:r>
      <w:r w:rsidRPr="001B03FB">
        <w:t xml:space="preserve"> </w:t>
      </w:r>
      <w:proofErr w:type="spellStart"/>
      <w:r w:rsidRPr="00E939CC">
        <w:t>Moule</w:t>
      </w:r>
      <w:proofErr w:type="spellEnd"/>
      <w:r w:rsidRPr="00E939CC">
        <w:t xml:space="preserve"> </w:t>
      </w:r>
      <w:r w:rsidRPr="009800AB">
        <w:rPr>
          <w:i/>
        </w:rPr>
        <w:t>et al.,</w:t>
      </w:r>
      <w:r>
        <w:t xml:space="preserve"> </w:t>
      </w:r>
      <w:r w:rsidRPr="00E939CC">
        <w:t>2016</w:t>
      </w:r>
    </w:p>
  </w:footnote>
  <w:footnote w:id="366">
    <w:p w14:paraId="09A0E7DE" w14:textId="273E6049" w:rsidR="00452DFD" w:rsidRDefault="00452DFD">
      <w:pPr>
        <w:pStyle w:val="FootnoteText"/>
      </w:pPr>
      <w:r>
        <w:rPr>
          <w:rStyle w:val="FootnoteReference"/>
        </w:rPr>
        <w:footnoteRef/>
      </w:r>
      <w:r>
        <w:t xml:space="preserve"> Mann and Hung, 2018, p. 18</w:t>
      </w:r>
    </w:p>
  </w:footnote>
  <w:footnote w:id="367">
    <w:p w14:paraId="212CF39D" w14:textId="03413DAE" w:rsidR="00452DFD" w:rsidRDefault="00452DFD">
      <w:pPr>
        <w:pStyle w:val="FootnoteText"/>
      </w:pPr>
      <w:r>
        <w:rPr>
          <w:rStyle w:val="FootnoteReference"/>
        </w:rPr>
        <w:footnoteRef/>
      </w:r>
      <w:r>
        <w:t xml:space="preserve"> </w:t>
      </w:r>
      <w:r w:rsidRPr="00E939CC">
        <w:t>Drill Report, 2018</w:t>
      </w:r>
    </w:p>
  </w:footnote>
  <w:footnote w:id="368">
    <w:p w14:paraId="65D756BC" w14:textId="21AD87B2" w:rsidR="00452DFD" w:rsidRDefault="00452DFD">
      <w:pPr>
        <w:pStyle w:val="FootnoteText"/>
      </w:pPr>
      <w:r>
        <w:rPr>
          <w:rStyle w:val="FootnoteReference"/>
        </w:rPr>
        <w:footnoteRef/>
      </w:r>
      <w:r>
        <w:t xml:space="preserve"> </w:t>
      </w:r>
      <w:proofErr w:type="spellStart"/>
      <w:r>
        <w:rPr>
          <w:lang w:eastAsia="en-IE"/>
        </w:rPr>
        <w:t>Frankena</w:t>
      </w:r>
      <w:proofErr w:type="spellEnd"/>
      <w:r>
        <w:rPr>
          <w:lang w:eastAsia="en-IE"/>
        </w:rPr>
        <w:t xml:space="preserve"> </w:t>
      </w:r>
      <w:r w:rsidRPr="009800AB">
        <w:rPr>
          <w:i/>
          <w:lang w:eastAsia="en-IE"/>
        </w:rPr>
        <w:t>et al.,</w:t>
      </w:r>
      <w:r>
        <w:rPr>
          <w:lang w:eastAsia="en-IE"/>
        </w:rPr>
        <w:t xml:space="preserve"> 2019a</w:t>
      </w:r>
    </w:p>
  </w:footnote>
  <w:footnote w:id="369">
    <w:p w14:paraId="75C2D37D" w14:textId="3BE59CE3" w:rsidR="00452DFD" w:rsidRDefault="00452DFD">
      <w:pPr>
        <w:pStyle w:val="FootnoteText"/>
      </w:pPr>
      <w:r>
        <w:rPr>
          <w:rStyle w:val="FootnoteReference"/>
        </w:rPr>
        <w:footnoteRef/>
      </w:r>
      <w:r>
        <w:t xml:space="preserve"> </w:t>
      </w:r>
      <w:r>
        <w:rPr>
          <w:lang w:eastAsia="en-IE"/>
        </w:rPr>
        <w:t xml:space="preserve">Brady </w:t>
      </w:r>
      <w:r w:rsidRPr="009800AB">
        <w:rPr>
          <w:i/>
          <w:lang w:eastAsia="en-IE"/>
        </w:rPr>
        <w:t>et al.,</w:t>
      </w:r>
      <w:r>
        <w:rPr>
          <w:lang w:eastAsia="en-IE"/>
        </w:rPr>
        <w:t xml:space="preserve"> 2019, Dewa </w:t>
      </w:r>
      <w:r w:rsidRPr="009800AB">
        <w:rPr>
          <w:i/>
          <w:lang w:eastAsia="en-IE"/>
        </w:rPr>
        <w:t>et al.,</w:t>
      </w:r>
      <w:r>
        <w:rPr>
          <w:lang w:eastAsia="en-IE"/>
        </w:rPr>
        <w:t xml:space="preserve"> 2020, Fitzgerald and Walsh, 2016, Hollinrake, Spencer and Dix, 2019, </w:t>
      </w:r>
      <w:proofErr w:type="spellStart"/>
      <w:r>
        <w:rPr>
          <w:lang w:eastAsia="en-IE"/>
        </w:rPr>
        <w:t>Bertilsdotter</w:t>
      </w:r>
      <w:proofErr w:type="spellEnd"/>
      <w:r>
        <w:rPr>
          <w:lang w:eastAsia="en-IE"/>
        </w:rPr>
        <w:t xml:space="preserve"> Rosqvist </w:t>
      </w:r>
      <w:r w:rsidRPr="009800AB">
        <w:rPr>
          <w:i/>
          <w:lang w:eastAsia="en-IE"/>
        </w:rPr>
        <w:t>et al.,</w:t>
      </w:r>
      <w:r>
        <w:rPr>
          <w:lang w:eastAsia="en-IE"/>
        </w:rPr>
        <w:t xml:space="preserve"> 2019</w:t>
      </w:r>
    </w:p>
  </w:footnote>
  <w:footnote w:id="370">
    <w:p w14:paraId="38342D92" w14:textId="3FEC1357" w:rsidR="00452DFD" w:rsidRDefault="00452DFD">
      <w:pPr>
        <w:pStyle w:val="FootnoteText"/>
      </w:pPr>
      <w:r>
        <w:rPr>
          <w:rStyle w:val="FootnoteReference"/>
        </w:rPr>
        <w:footnoteRef/>
      </w:r>
      <w:r>
        <w:t xml:space="preserve"> </w:t>
      </w:r>
      <w:r>
        <w:rPr>
          <w:lang w:eastAsia="en-IE"/>
        </w:rPr>
        <w:t>Burton, Ogden, and Cooper, 2019</w:t>
      </w:r>
    </w:p>
  </w:footnote>
  <w:footnote w:id="371">
    <w:p w14:paraId="438A237E" w14:textId="7248CA96" w:rsidR="00452DFD" w:rsidRDefault="00452DFD">
      <w:pPr>
        <w:pStyle w:val="FootnoteText"/>
      </w:pPr>
      <w:r>
        <w:rPr>
          <w:rStyle w:val="FootnoteReference"/>
        </w:rPr>
        <w:footnoteRef/>
      </w:r>
      <w:r>
        <w:t xml:space="preserve"> </w:t>
      </w:r>
      <w:r>
        <w:rPr>
          <w:lang w:eastAsia="en-IE"/>
        </w:rPr>
        <w:t xml:space="preserve">Brady </w:t>
      </w:r>
      <w:r w:rsidRPr="009800AB">
        <w:rPr>
          <w:i/>
          <w:lang w:eastAsia="en-IE"/>
        </w:rPr>
        <w:t>et al.,</w:t>
      </w:r>
      <w:r>
        <w:rPr>
          <w:lang w:eastAsia="en-IE"/>
        </w:rPr>
        <w:t xml:space="preserve"> 2019</w:t>
      </w:r>
    </w:p>
  </w:footnote>
  <w:footnote w:id="372">
    <w:p w14:paraId="25722768" w14:textId="6EDA1FAD" w:rsidR="00452DFD" w:rsidRDefault="00452DFD">
      <w:pPr>
        <w:pStyle w:val="FootnoteText"/>
      </w:pPr>
      <w:r>
        <w:rPr>
          <w:rStyle w:val="FootnoteReference"/>
        </w:rPr>
        <w:footnoteRef/>
      </w:r>
      <w:r>
        <w:t xml:space="preserve"> </w:t>
      </w:r>
      <w:proofErr w:type="spellStart"/>
      <w:r w:rsidRPr="0074058F">
        <w:rPr>
          <w:lang w:eastAsia="en-IE"/>
        </w:rPr>
        <w:t>Strnadov</w:t>
      </w:r>
      <w:r>
        <w:rPr>
          <w:lang w:eastAsia="en-IE"/>
        </w:rPr>
        <w:t>á</w:t>
      </w:r>
      <w:proofErr w:type="spellEnd"/>
      <w:r w:rsidRPr="0074058F">
        <w:rPr>
          <w:lang w:eastAsia="en-IE"/>
        </w:rPr>
        <w:t xml:space="preserve">, 2015 </w:t>
      </w:r>
      <w:r>
        <w:rPr>
          <w:lang w:eastAsia="en-IE"/>
        </w:rPr>
        <w:t>cited in Smith-Merry, 2017</w:t>
      </w:r>
    </w:p>
  </w:footnote>
  <w:footnote w:id="373">
    <w:p w14:paraId="59A00677" w14:textId="69866960" w:rsidR="00452DFD" w:rsidRDefault="00452DFD">
      <w:pPr>
        <w:pStyle w:val="FootnoteText"/>
      </w:pPr>
      <w:r>
        <w:rPr>
          <w:rStyle w:val="FootnoteReference"/>
        </w:rPr>
        <w:footnoteRef/>
      </w:r>
      <w:r>
        <w:t xml:space="preserve"> </w:t>
      </w:r>
      <w:proofErr w:type="spellStart"/>
      <w:r>
        <w:rPr>
          <w:lang w:eastAsia="en-IE"/>
        </w:rPr>
        <w:t>Embregts</w:t>
      </w:r>
      <w:proofErr w:type="spellEnd"/>
      <w:r>
        <w:rPr>
          <w:lang w:eastAsia="en-IE"/>
        </w:rPr>
        <w:t xml:space="preserve"> </w:t>
      </w:r>
      <w:r w:rsidRPr="009800AB">
        <w:rPr>
          <w:i/>
          <w:lang w:eastAsia="en-IE"/>
        </w:rPr>
        <w:t>et al.,</w:t>
      </w:r>
      <w:r>
        <w:rPr>
          <w:lang w:eastAsia="en-IE"/>
        </w:rPr>
        <w:t xml:space="preserve"> 2018</w:t>
      </w:r>
    </w:p>
  </w:footnote>
  <w:footnote w:id="374">
    <w:p w14:paraId="3369CEF1" w14:textId="3CC723A9" w:rsidR="00452DFD" w:rsidRDefault="00452DFD">
      <w:pPr>
        <w:pStyle w:val="FootnoteText"/>
      </w:pPr>
      <w:r>
        <w:rPr>
          <w:rStyle w:val="FootnoteReference"/>
        </w:rPr>
        <w:footnoteRef/>
      </w:r>
      <w:r>
        <w:t xml:space="preserve"> </w:t>
      </w:r>
      <w:proofErr w:type="spellStart"/>
      <w:r w:rsidRPr="00D146E4">
        <w:rPr>
          <w:lang w:eastAsia="en-IE"/>
        </w:rPr>
        <w:t>Strnadov</w:t>
      </w:r>
      <w:r>
        <w:rPr>
          <w:lang w:eastAsia="en-IE"/>
        </w:rPr>
        <w:t>á</w:t>
      </w:r>
      <w:proofErr w:type="spellEnd"/>
      <w:r w:rsidRPr="00D146E4">
        <w:rPr>
          <w:lang w:eastAsia="en-IE"/>
        </w:rPr>
        <w:t>, 2015</w:t>
      </w:r>
      <w:r>
        <w:rPr>
          <w:lang w:eastAsia="en-IE"/>
        </w:rPr>
        <w:t xml:space="preserve"> cited in Smith-Merry, 2017</w:t>
      </w:r>
    </w:p>
  </w:footnote>
  <w:footnote w:id="375">
    <w:p w14:paraId="410BCC1F" w14:textId="12C35AD4" w:rsidR="00452DFD" w:rsidRDefault="00452DFD">
      <w:pPr>
        <w:pStyle w:val="FootnoteText"/>
      </w:pPr>
      <w:r>
        <w:rPr>
          <w:rStyle w:val="FootnoteReference"/>
        </w:rPr>
        <w:footnoteRef/>
      </w:r>
      <w:r>
        <w:t xml:space="preserve"> Haya </w:t>
      </w:r>
      <w:proofErr w:type="spellStart"/>
      <w:r>
        <w:rPr>
          <w:lang w:eastAsia="en-IE"/>
        </w:rPr>
        <w:t>Salmón</w:t>
      </w:r>
      <w:proofErr w:type="spellEnd"/>
      <w:r>
        <w:rPr>
          <w:lang w:eastAsia="en-IE"/>
        </w:rPr>
        <w:t xml:space="preserve"> and Rojas </w:t>
      </w:r>
      <w:proofErr w:type="spellStart"/>
      <w:r>
        <w:rPr>
          <w:lang w:eastAsia="en-IE"/>
        </w:rPr>
        <w:t>Pernia</w:t>
      </w:r>
      <w:proofErr w:type="spellEnd"/>
      <w:r>
        <w:rPr>
          <w:lang w:eastAsia="en-IE"/>
        </w:rPr>
        <w:t>, 2021</w:t>
      </w:r>
    </w:p>
  </w:footnote>
  <w:footnote w:id="376">
    <w:p w14:paraId="361B5277" w14:textId="2EFD3D84" w:rsidR="00452DFD" w:rsidRDefault="00452DFD">
      <w:pPr>
        <w:pStyle w:val="FootnoteText"/>
      </w:pPr>
      <w:r>
        <w:rPr>
          <w:rStyle w:val="FootnoteReference"/>
        </w:rPr>
        <w:footnoteRef/>
      </w:r>
      <w:r>
        <w:t xml:space="preserve"> </w:t>
      </w:r>
      <w:r>
        <w:rPr>
          <w:lang w:eastAsia="en-IE"/>
        </w:rPr>
        <w:t xml:space="preserve">Joss </w:t>
      </w:r>
      <w:r w:rsidRPr="009800AB">
        <w:rPr>
          <w:i/>
          <w:lang w:eastAsia="en-IE"/>
        </w:rPr>
        <w:t>et al.,</w:t>
      </w:r>
      <w:r>
        <w:rPr>
          <w:lang w:eastAsia="en-IE"/>
        </w:rPr>
        <w:t xml:space="preserve"> 2016, </w:t>
      </w:r>
      <w:proofErr w:type="spellStart"/>
      <w:r>
        <w:rPr>
          <w:lang w:eastAsia="en-IE"/>
        </w:rPr>
        <w:t>Bertilsdotter</w:t>
      </w:r>
      <w:proofErr w:type="spellEnd"/>
      <w:r>
        <w:rPr>
          <w:lang w:eastAsia="en-IE"/>
        </w:rPr>
        <w:t xml:space="preserve"> Rosqvist </w:t>
      </w:r>
      <w:r w:rsidRPr="009800AB">
        <w:rPr>
          <w:i/>
          <w:lang w:eastAsia="en-IE"/>
        </w:rPr>
        <w:t>et al.,</w:t>
      </w:r>
      <w:r>
        <w:rPr>
          <w:lang w:eastAsia="en-IE"/>
        </w:rPr>
        <w:t xml:space="preserve"> 2019, Wolsey </w:t>
      </w:r>
      <w:r w:rsidRPr="009800AB">
        <w:rPr>
          <w:i/>
          <w:lang w:eastAsia="en-IE"/>
        </w:rPr>
        <w:t>et al.,</w:t>
      </w:r>
      <w:r>
        <w:rPr>
          <w:lang w:eastAsia="en-IE"/>
        </w:rPr>
        <w:t xml:space="preserve"> 2017</w:t>
      </w:r>
    </w:p>
  </w:footnote>
  <w:footnote w:id="377">
    <w:p w14:paraId="0DFF1562" w14:textId="1B0E9A6F" w:rsidR="00452DFD" w:rsidRDefault="00452DFD">
      <w:pPr>
        <w:pStyle w:val="FootnoteText"/>
      </w:pPr>
      <w:r>
        <w:rPr>
          <w:rStyle w:val="FootnoteReference"/>
        </w:rPr>
        <w:footnoteRef/>
      </w:r>
      <w:r>
        <w:t xml:space="preserve"> </w:t>
      </w:r>
      <w:proofErr w:type="spellStart"/>
      <w:r>
        <w:t>Bertilsdotter</w:t>
      </w:r>
      <w:proofErr w:type="spellEnd"/>
      <w:r>
        <w:t xml:space="preserve"> </w:t>
      </w:r>
      <w:r>
        <w:rPr>
          <w:lang w:eastAsia="en-IE"/>
        </w:rPr>
        <w:t xml:space="preserve">Rosqvist </w:t>
      </w:r>
      <w:r w:rsidRPr="009800AB">
        <w:rPr>
          <w:i/>
          <w:lang w:eastAsia="en-IE"/>
        </w:rPr>
        <w:t>et al.,</w:t>
      </w:r>
      <w:r>
        <w:rPr>
          <w:lang w:eastAsia="en-IE"/>
        </w:rPr>
        <w:t xml:space="preserve"> 2019</w:t>
      </w:r>
    </w:p>
  </w:footnote>
  <w:footnote w:id="378">
    <w:p w14:paraId="66ACD7C2" w14:textId="71621308" w:rsidR="00452DFD" w:rsidRDefault="00452DFD">
      <w:pPr>
        <w:pStyle w:val="FootnoteText"/>
      </w:pPr>
      <w:r>
        <w:rPr>
          <w:rStyle w:val="FootnoteReference"/>
        </w:rPr>
        <w:footnoteRef/>
      </w:r>
      <w:r>
        <w:t xml:space="preserve"> Vaughn </w:t>
      </w:r>
      <w:r w:rsidRPr="009800AB">
        <w:rPr>
          <w:i/>
        </w:rPr>
        <w:t>et al.,</w:t>
      </w:r>
      <w:r>
        <w:t xml:space="preserve"> 2019</w:t>
      </w:r>
    </w:p>
  </w:footnote>
  <w:footnote w:id="379">
    <w:p w14:paraId="37D6FC7C" w14:textId="223E7F1A" w:rsidR="00452DFD" w:rsidRDefault="00452DFD">
      <w:pPr>
        <w:pStyle w:val="FootnoteText"/>
      </w:pPr>
      <w:r>
        <w:rPr>
          <w:rStyle w:val="FootnoteReference"/>
        </w:rPr>
        <w:footnoteRef/>
      </w:r>
      <w:r>
        <w:t xml:space="preserve"> </w:t>
      </w:r>
      <w:r>
        <w:rPr>
          <w:lang w:eastAsia="en-IE"/>
        </w:rPr>
        <w:t xml:space="preserve">Di </w:t>
      </w:r>
      <w:proofErr w:type="spellStart"/>
      <w:r>
        <w:rPr>
          <w:lang w:eastAsia="en-IE"/>
        </w:rPr>
        <w:t>Lorito</w:t>
      </w:r>
      <w:proofErr w:type="spellEnd"/>
      <w:r>
        <w:rPr>
          <w:lang w:eastAsia="en-IE"/>
        </w:rPr>
        <w:t xml:space="preserve"> </w:t>
      </w:r>
      <w:r w:rsidRPr="009800AB">
        <w:rPr>
          <w:i/>
          <w:lang w:eastAsia="en-IE"/>
        </w:rPr>
        <w:t>et al.,</w:t>
      </w:r>
      <w:r>
        <w:rPr>
          <w:lang w:eastAsia="en-IE"/>
        </w:rPr>
        <w:t xml:space="preserve"> 2018</w:t>
      </w:r>
    </w:p>
  </w:footnote>
  <w:footnote w:id="380">
    <w:p w14:paraId="2B18A114" w14:textId="3014AD77" w:rsidR="00452DFD" w:rsidRDefault="00452DFD">
      <w:pPr>
        <w:pStyle w:val="FootnoteText"/>
      </w:pPr>
      <w:r>
        <w:rPr>
          <w:rStyle w:val="FootnoteReference"/>
        </w:rPr>
        <w:footnoteRef/>
      </w:r>
      <w:r>
        <w:t xml:space="preserve"> </w:t>
      </w:r>
      <w:proofErr w:type="spellStart"/>
      <w:r>
        <w:rPr>
          <w:lang w:eastAsia="en-IE"/>
        </w:rPr>
        <w:t>Embregts</w:t>
      </w:r>
      <w:proofErr w:type="spellEnd"/>
      <w:r>
        <w:rPr>
          <w:lang w:eastAsia="en-IE"/>
        </w:rPr>
        <w:t xml:space="preserve"> </w:t>
      </w:r>
      <w:r w:rsidRPr="009800AB">
        <w:rPr>
          <w:i/>
          <w:lang w:eastAsia="en-IE"/>
        </w:rPr>
        <w:t>et al.,</w:t>
      </w:r>
      <w:r>
        <w:rPr>
          <w:lang w:eastAsia="en-IE"/>
        </w:rPr>
        <w:t xml:space="preserve"> 2018</w:t>
      </w:r>
    </w:p>
  </w:footnote>
  <w:footnote w:id="381">
    <w:p w14:paraId="1C59EE5B" w14:textId="19A851C6" w:rsidR="00452DFD" w:rsidRDefault="00452DFD">
      <w:pPr>
        <w:pStyle w:val="FootnoteText"/>
      </w:pPr>
      <w:r>
        <w:rPr>
          <w:rStyle w:val="FootnoteReference"/>
        </w:rPr>
        <w:footnoteRef/>
      </w:r>
      <w:r>
        <w:t xml:space="preserve"> </w:t>
      </w:r>
      <w:proofErr w:type="spellStart"/>
      <w:r>
        <w:rPr>
          <w:lang w:eastAsia="en-IE"/>
        </w:rPr>
        <w:t>Embregts</w:t>
      </w:r>
      <w:proofErr w:type="spellEnd"/>
      <w:r>
        <w:rPr>
          <w:lang w:eastAsia="en-IE"/>
        </w:rPr>
        <w:t xml:space="preserve"> </w:t>
      </w:r>
      <w:r w:rsidRPr="009800AB">
        <w:rPr>
          <w:i/>
          <w:lang w:eastAsia="en-IE"/>
        </w:rPr>
        <w:t>et al.,</w:t>
      </w:r>
      <w:r>
        <w:rPr>
          <w:lang w:eastAsia="en-IE"/>
        </w:rPr>
        <w:t xml:space="preserve"> 2018</w:t>
      </w:r>
    </w:p>
  </w:footnote>
  <w:footnote w:id="382">
    <w:p w14:paraId="2248221B" w14:textId="1F0D7B3C" w:rsidR="00452DFD" w:rsidRDefault="00452DFD">
      <w:pPr>
        <w:pStyle w:val="FootnoteText"/>
      </w:pPr>
      <w:r>
        <w:rPr>
          <w:rStyle w:val="FootnoteReference"/>
        </w:rPr>
        <w:footnoteRef/>
      </w:r>
      <w:r>
        <w:t xml:space="preserve"> </w:t>
      </w:r>
      <w:r>
        <w:rPr>
          <w:lang w:eastAsia="en-IE"/>
        </w:rPr>
        <w:t xml:space="preserve">Wolsey </w:t>
      </w:r>
      <w:r w:rsidRPr="009800AB">
        <w:rPr>
          <w:i/>
          <w:lang w:eastAsia="en-IE"/>
        </w:rPr>
        <w:t>et al.,</w:t>
      </w:r>
      <w:r>
        <w:rPr>
          <w:lang w:eastAsia="en-IE"/>
        </w:rPr>
        <w:t xml:space="preserve"> 2017</w:t>
      </w:r>
    </w:p>
  </w:footnote>
  <w:footnote w:id="383">
    <w:p w14:paraId="52FC7598" w14:textId="5815BEC8" w:rsidR="00452DFD" w:rsidRDefault="00452DFD">
      <w:pPr>
        <w:pStyle w:val="FootnoteText"/>
      </w:pPr>
      <w:r>
        <w:rPr>
          <w:rStyle w:val="FootnoteReference"/>
        </w:rPr>
        <w:footnoteRef/>
      </w:r>
      <w:r>
        <w:t xml:space="preserve"> Rojas </w:t>
      </w:r>
      <w:proofErr w:type="spellStart"/>
      <w:r>
        <w:t>Pernia</w:t>
      </w:r>
      <w:proofErr w:type="spellEnd"/>
      <w:r>
        <w:t xml:space="preserve"> </w:t>
      </w:r>
      <w:r w:rsidRPr="009800AB">
        <w:rPr>
          <w:i/>
        </w:rPr>
        <w:t>et al.,</w:t>
      </w:r>
      <w:r>
        <w:t xml:space="preserve"> 2020, </w:t>
      </w:r>
      <w:proofErr w:type="spellStart"/>
      <w:r>
        <w:t>Scheffelaar</w:t>
      </w:r>
      <w:proofErr w:type="spellEnd"/>
      <w:r>
        <w:t xml:space="preserve"> </w:t>
      </w:r>
      <w:r w:rsidRPr="009800AB">
        <w:rPr>
          <w:i/>
        </w:rPr>
        <w:t>et al.,</w:t>
      </w:r>
      <w:r>
        <w:t xml:space="preserve"> 2019, Walsh </w:t>
      </w:r>
      <w:r w:rsidRPr="009800AB">
        <w:rPr>
          <w:i/>
        </w:rPr>
        <w:t>et al.,</w:t>
      </w:r>
      <w:r>
        <w:t xml:space="preserve"> 2018</w:t>
      </w:r>
    </w:p>
  </w:footnote>
  <w:footnote w:id="384">
    <w:p w14:paraId="6F9294C4" w14:textId="213426B3" w:rsidR="00452DFD" w:rsidRDefault="00452DFD">
      <w:pPr>
        <w:pStyle w:val="FootnoteText"/>
      </w:pPr>
      <w:r>
        <w:rPr>
          <w:rStyle w:val="FootnoteReference"/>
        </w:rPr>
        <w:footnoteRef/>
      </w:r>
      <w:r>
        <w:t xml:space="preserve"> </w:t>
      </w:r>
      <w:proofErr w:type="spellStart"/>
      <w:r>
        <w:t>Walmsley</w:t>
      </w:r>
      <w:proofErr w:type="spellEnd"/>
      <w:r>
        <w:t xml:space="preserve"> </w:t>
      </w:r>
      <w:r w:rsidRPr="009800AB">
        <w:rPr>
          <w:i/>
        </w:rPr>
        <w:t>et al.,</w:t>
      </w:r>
      <w:r>
        <w:t xml:space="preserve"> 2004 cited in </w:t>
      </w:r>
      <w:proofErr w:type="spellStart"/>
      <w:r>
        <w:t>Frankena</w:t>
      </w:r>
      <w:proofErr w:type="spellEnd"/>
      <w:r>
        <w:t xml:space="preserve"> </w:t>
      </w:r>
      <w:r w:rsidRPr="009800AB">
        <w:rPr>
          <w:i/>
        </w:rPr>
        <w:t>et al.,</w:t>
      </w:r>
      <w:r>
        <w:t xml:space="preserve"> 2015</w:t>
      </w:r>
    </w:p>
  </w:footnote>
  <w:footnote w:id="385">
    <w:p w14:paraId="096FB969" w14:textId="443A00B3" w:rsidR="00452DFD" w:rsidRDefault="00452DFD">
      <w:pPr>
        <w:pStyle w:val="FootnoteText"/>
      </w:pPr>
      <w:r>
        <w:rPr>
          <w:rStyle w:val="FootnoteReference"/>
        </w:rPr>
        <w:footnoteRef/>
      </w:r>
      <w:r>
        <w:t xml:space="preserve"> </w:t>
      </w:r>
      <w:r w:rsidRPr="0000418B">
        <w:t xml:space="preserve">Gove </w:t>
      </w:r>
      <w:r w:rsidRPr="009800AB">
        <w:rPr>
          <w:i/>
        </w:rPr>
        <w:t>et al.,</w:t>
      </w:r>
      <w:r>
        <w:t xml:space="preserve"> </w:t>
      </w:r>
      <w:r w:rsidRPr="0000418B">
        <w:t>2018</w:t>
      </w:r>
    </w:p>
  </w:footnote>
  <w:footnote w:id="386">
    <w:p w14:paraId="5ACDA507" w14:textId="3DA149BB" w:rsidR="00452DFD" w:rsidRDefault="00452DFD">
      <w:pPr>
        <w:pStyle w:val="FootnoteText"/>
      </w:pPr>
      <w:r>
        <w:rPr>
          <w:rStyle w:val="FootnoteReference"/>
        </w:rPr>
        <w:footnoteRef/>
      </w:r>
      <w:r>
        <w:t xml:space="preserve"> </w:t>
      </w:r>
      <w:r>
        <w:rPr>
          <w:lang w:eastAsia="en-IE"/>
        </w:rPr>
        <w:t xml:space="preserve">Vega Cordova </w:t>
      </w:r>
      <w:r w:rsidRPr="009800AB">
        <w:rPr>
          <w:i/>
          <w:lang w:eastAsia="en-IE"/>
        </w:rPr>
        <w:t>et al.,</w:t>
      </w:r>
      <w:r>
        <w:rPr>
          <w:lang w:eastAsia="en-IE"/>
        </w:rPr>
        <w:t xml:space="preserve"> 2020</w:t>
      </w:r>
      <w:r w:rsidRPr="00B81975">
        <w:rPr>
          <w:lang w:eastAsia="en-IE"/>
        </w:rPr>
        <w:t xml:space="preserve"> </w:t>
      </w:r>
    </w:p>
  </w:footnote>
  <w:footnote w:id="387">
    <w:p w14:paraId="783080DB" w14:textId="4F2532F5" w:rsidR="00452DFD" w:rsidRDefault="00452DFD">
      <w:pPr>
        <w:pStyle w:val="FootnoteText"/>
      </w:pPr>
      <w:r>
        <w:rPr>
          <w:rStyle w:val="FootnoteReference"/>
        </w:rPr>
        <w:footnoteRef/>
      </w:r>
      <w:r>
        <w:t xml:space="preserve"> </w:t>
      </w:r>
      <w:r>
        <w:rPr>
          <w:lang w:eastAsia="en-IE"/>
        </w:rPr>
        <w:t xml:space="preserve">Anderson </w:t>
      </w:r>
      <w:r w:rsidRPr="009800AB">
        <w:rPr>
          <w:i/>
          <w:lang w:eastAsia="en-IE"/>
        </w:rPr>
        <w:t>et al.,</w:t>
      </w:r>
      <w:r>
        <w:rPr>
          <w:lang w:eastAsia="en-IE"/>
        </w:rPr>
        <w:t xml:space="preserve"> 2018, Anderson </w:t>
      </w:r>
      <w:r w:rsidRPr="009800AB">
        <w:rPr>
          <w:i/>
          <w:lang w:eastAsia="en-IE"/>
        </w:rPr>
        <w:t>et al.,</w:t>
      </w:r>
      <w:r>
        <w:rPr>
          <w:lang w:eastAsia="en-IE"/>
        </w:rPr>
        <w:t xml:space="preserve"> 2019, Brady </w:t>
      </w:r>
      <w:r w:rsidRPr="009800AB">
        <w:rPr>
          <w:i/>
          <w:lang w:eastAsia="en-IE"/>
        </w:rPr>
        <w:t>et al.,</w:t>
      </w:r>
      <w:r>
        <w:rPr>
          <w:lang w:eastAsia="en-IE"/>
        </w:rPr>
        <w:t xml:space="preserve"> 2019, Walsh </w:t>
      </w:r>
      <w:r w:rsidRPr="009800AB">
        <w:rPr>
          <w:i/>
          <w:lang w:eastAsia="en-IE"/>
        </w:rPr>
        <w:t>et al.,</w:t>
      </w:r>
      <w:r>
        <w:rPr>
          <w:lang w:eastAsia="en-IE"/>
        </w:rPr>
        <w:t xml:space="preserve"> 2018</w:t>
      </w:r>
      <w:r w:rsidRPr="00B81975">
        <w:rPr>
          <w:lang w:eastAsia="en-IE"/>
        </w:rPr>
        <w:t xml:space="preserve"> </w:t>
      </w:r>
    </w:p>
  </w:footnote>
  <w:footnote w:id="388">
    <w:p w14:paraId="62904940" w14:textId="6CDFD25B" w:rsidR="00452DFD" w:rsidRDefault="00452DFD">
      <w:pPr>
        <w:pStyle w:val="FootnoteText"/>
      </w:pPr>
      <w:r>
        <w:rPr>
          <w:rStyle w:val="FootnoteReference"/>
        </w:rPr>
        <w:footnoteRef/>
      </w:r>
      <w:r>
        <w:t xml:space="preserve"> </w:t>
      </w:r>
      <w:r>
        <w:rPr>
          <w:lang w:eastAsia="en-IE"/>
        </w:rPr>
        <w:t xml:space="preserve">Anderson </w:t>
      </w:r>
      <w:r w:rsidRPr="009800AB">
        <w:rPr>
          <w:i/>
          <w:lang w:eastAsia="en-IE"/>
        </w:rPr>
        <w:t>et al.,</w:t>
      </w:r>
      <w:r>
        <w:rPr>
          <w:lang w:eastAsia="en-IE"/>
        </w:rPr>
        <w:t xml:space="preserve"> 2018, McCartan </w:t>
      </w:r>
      <w:r w:rsidRPr="009800AB">
        <w:rPr>
          <w:i/>
          <w:lang w:eastAsia="en-IE"/>
        </w:rPr>
        <w:t>et al.,</w:t>
      </w:r>
      <w:r>
        <w:rPr>
          <w:lang w:eastAsia="en-IE"/>
        </w:rPr>
        <w:t xml:space="preserve"> 2019, O’Hara </w:t>
      </w:r>
      <w:r w:rsidRPr="009800AB">
        <w:rPr>
          <w:i/>
          <w:lang w:eastAsia="en-IE"/>
        </w:rPr>
        <w:t>et al.,</w:t>
      </w:r>
      <w:r>
        <w:rPr>
          <w:lang w:eastAsia="en-IE"/>
        </w:rPr>
        <w:t xml:space="preserve"> 2017,</w:t>
      </w:r>
      <w:r w:rsidRPr="00B81975">
        <w:rPr>
          <w:lang w:eastAsia="en-IE"/>
        </w:rPr>
        <w:t xml:space="preserve"> </w:t>
      </w:r>
      <w:r>
        <w:rPr>
          <w:lang w:eastAsia="en-IE"/>
        </w:rPr>
        <w:t xml:space="preserve">Vega Cordova </w:t>
      </w:r>
      <w:r w:rsidRPr="009800AB">
        <w:rPr>
          <w:i/>
          <w:lang w:eastAsia="en-IE"/>
        </w:rPr>
        <w:t>et al.,</w:t>
      </w:r>
      <w:r>
        <w:rPr>
          <w:lang w:eastAsia="en-IE"/>
        </w:rPr>
        <w:t xml:space="preserve"> 2020</w:t>
      </w:r>
    </w:p>
  </w:footnote>
  <w:footnote w:id="389">
    <w:p w14:paraId="228985D7" w14:textId="4CB6C357" w:rsidR="00452DFD" w:rsidRDefault="00452DFD">
      <w:pPr>
        <w:pStyle w:val="FootnoteText"/>
      </w:pPr>
      <w:r>
        <w:rPr>
          <w:rStyle w:val="FootnoteReference"/>
        </w:rPr>
        <w:footnoteRef/>
      </w:r>
      <w:r>
        <w:t xml:space="preserve"> </w:t>
      </w:r>
      <w:proofErr w:type="spellStart"/>
      <w:r w:rsidRPr="00936DF5">
        <w:rPr>
          <w:lang w:eastAsia="en-IE"/>
        </w:rPr>
        <w:t>Aldersey</w:t>
      </w:r>
      <w:proofErr w:type="spellEnd"/>
      <w:r w:rsidRPr="00936DF5">
        <w:rPr>
          <w:lang w:eastAsia="en-IE"/>
        </w:rPr>
        <w:t xml:space="preserve"> </w:t>
      </w:r>
      <w:r w:rsidRPr="009800AB">
        <w:rPr>
          <w:i/>
          <w:lang w:eastAsia="en-IE"/>
        </w:rPr>
        <w:t>et al.,</w:t>
      </w:r>
      <w:r>
        <w:rPr>
          <w:lang w:eastAsia="en-IE"/>
        </w:rPr>
        <w:t xml:space="preserve"> 2</w:t>
      </w:r>
      <w:r w:rsidRPr="00936DF5">
        <w:rPr>
          <w:lang w:eastAsia="en-IE"/>
        </w:rPr>
        <w:t>018</w:t>
      </w:r>
    </w:p>
  </w:footnote>
  <w:footnote w:id="390">
    <w:p w14:paraId="109C60AF" w14:textId="70DBA286" w:rsidR="00452DFD" w:rsidRDefault="00452DFD">
      <w:pPr>
        <w:pStyle w:val="FootnoteText"/>
      </w:pPr>
      <w:r>
        <w:rPr>
          <w:rStyle w:val="FootnoteReference"/>
        </w:rPr>
        <w:footnoteRef/>
      </w:r>
      <w:r>
        <w:t xml:space="preserve"> </w:t>
      </w:r>
      <w:r w:rsidRPr="00636498">
        <w:rPr>
          <w:lang w:eastAsia="en-IE"/>
        </w:rPr>
        <w:t xml:space="preserve">Dewa </w:t>
      </w:r>
      <w:r w:rsidRPr="009800AB">
        <w:rPr>
          <w:i/>
          <w:lang w:eastAsia="en-IE"/>
        </w:rPr>
        <w:t>et al.,</w:t>
      </w:r>
      <w:r>
        <w:rPr>
          <w:lang w:eastAsia="en-IE"/>
        </w:rPr>
        <w:t xml:space="preserve"> 2020</w:t>
      </w:r>
    </w:p>
  </w:footnote>
  <w:footnote w:id="391">
    <w:p w14:paraId="5A39DF22" w14:textId="26F73486" w:rsidR="00452DFD" w:rsidRDefault="00452DFD">
      <w:pPr>
        <w:pStyle w:val="FootnoteText"/>
      </w:pPr>
      <w:r>
        <w:rPr>
          <w:rStyle w:val="FootnoteReference"/>
        </w:rPr>
        <w:footnoteRef/>
      </w:r>
      <w:r>
        <w:t xml:space="preserve"> </w:t>
      </w:r>
      <w:r>
        <w:rPr>
          <w:lang w:eastAsia="en-IE"/>
        </w:rPr>
        <w:t xml:space="preserve">Davidson </w:t>
      </w:r>
      <w:r w:rsidRPr="009800AB">
        <w:rPr>
          <w:i/>
          <w:lang w:eastAsia="en-IE"/>
        </w:rPr>
        <w:t>et al.,</w:t>
      </w:r>
      <w:r>
        <w:rPr>
          <w:lang w:eastAsia="en-IE"/>
        </w:rPr>
        <w:t xml:space="preserve"> 2018, McCartan </w:t>
      </w:r>
      <w:r w:rsidRPr="009800AB">
        <w:rPr>
          <w:i/>
          <w:lang w:eastAsia="en-IE"/>
        </w:rPr>
        <w:t>et al.,</w:t>
      </w:r>
      <w:r>
        <w:rPr>
          <w:lang w:eastAsia="en-IE"/>
        </w:rPr>
        <w:t xml:space="preserve"> 2019</w:t>
      </w:r>
    </w:p>
  </w:footnote>
  <w:footnote w:id="392">
    <w:p w14:paraId="1E34B682" w14:textId="13DA4E3F" w:rsidR="00452DFD" w:rsidRDefault="00452DFD">
      <w:pPr>
        <w:pStyle w:val="FootnoteText"/>
      </w:pPr>
      <w:r>
        <w:rPr>
          <w:rStyle w:val="FootnoteReference"/>
        </w:rPr>
        <w:footnoteRef/>
      </w:r>
      <w:r>
        <w:t xml:space="preserve"> </w:t>
      </w:r>
      <w:r>
        <w:rPr>
          <w:lang w:eastAsia="en-IE"/>
        </w:rPr>
        <w:t xml:space="preserve">Davidson </w:t>
      </w:r>
      <w:r w:rsidRPr="009800AB">
        <w:rPr>
          <w:i/>
          <w:lang w:eastAsia="en-IE"/>
        </w:rPr>
        <w:t>et al.,</w:t>
      </w:r>
      <w:r>
        <w:rPr>
          <w:lang w:eastAsia="en-IE"/>
        </w:rPr>
        <w:t xml:space="preserve"> 2018, McCartan </w:t>
      </w:r>
      <w:r w:rsidRPr="009800AB">
        <w:rPr>
          <w:i/>
          <w:lang w:eastAsia="en-IE"/>
        </w:rPr>
        <w:t>et al.,</w:t>
      </w:r>
      <w:r>
        <w:rPr>
          <w:lang w:eastAsia="en-IE"/>
        </w:rPr>
        <w:t xml:space="preserve"> 2019</w:t>
      </w:r>
    </w:p>
  </w:footnote>
  <w:footnote w:id="393">
    <w:p w14:paraId="28ECB270" w14:textId="31807C2E" w:rsidR="00452DFD" w:rsidRDefault="00452DFD">
      <w:pPr>
        <w:pStyle w:val="FootnoteText"/>
      </w:pPr>
      <w:r>
        <w:rPr>
          <w:rStyle w:val="FootnoteReference"/>
        </w:rPr>
        <w:footnoteRef/>
      </w:r>
      <w:r>
        <w:t xml:space="preserve"> </w:t>
      </w:r>
      <w:r>
        <w:rPr>
          <w:lang w:eastAsia="en-IE"/>
        </w:rPr>
        <w:t xml:space="preserve">Burke </w:t>
      </w:r>
      <w:r w:rsidRPr="009800AB">
        <w:rPr>
          <w:i/>
          <w:lang w:eastAsia="en-IE"/>
        </w:rPr>
        <w:t>et al.,</w:t>
      </w:r>
      <w:r>
        <w:rPr>
          <w:lang w:eastAsia="en-IE"/>
        </w:rPr>
        <w:t xml:space="preserve"> 2019</w:t>
      </w:r>
    </w:p>
  </w:footnote>
  <w:footnote w:id="394">
    <w:p w14:paraId="2DD852F8" w14:textId="7EB9CC73" w:rsidR="00452DFD" w:rsidRDefault="00452DFD">
      <w:pPr>
        <w:pStyle w:val="FootnoteText"/>
      </w:pPr>
      <w:r>
        <w:rPr>
          <w:rStyle w:val="FootnoteReference"/>
        </w:rPr>
        <w:footnoteRef/>
      </w:r>
      <w:r>
        <w:t xml:space="preserve"> </w:t>
      </w:r>
      <w:r w:rsidRPr="0034676C">
        <w:rPr>
          <w:lang w:eastAsia="en-IE"/>
        </w:rPr>
        <w:t xml:space="preserve">Northway </w:t>
      </w:r>
      <w:r w:rsidRPr="00185C11">
        <w:rPr>
          <w:i/>
          <w:lang w:eastAsia="en-IE"/>
        </w:rPr>
        <w:t xml:space="preserve">et al. </w:t>
      </w:r>
      <w:r w:rsidRPr="0034676C">
        <w:rPr>
          <w:lang w:eastAsia="en-IE"/>
        </w:rPr>
        <w:t>2013</w:t>
      </w:r>
      <w:r>
        <w:rPr>
          <w:lang w:eastAsia="en-IE"/>
        </w:rPr>
        <w:t xml:space="preserve"> cited </w:t>
      </w:r>
      <w:r w:rsidRPr="00277169">
        <w:rPr>
          <w:lang w:eastAsia="en-IE"/>
        </w:rPr>
        <w:t xml:space="preserve">in </w:t>
      </w:r>
      <w:r>
        <w:rPr>
          <w:lang w:eastAsia="en-IE"/>
        </w:rPr>
        <w:t>Smith-Merry, 2017,</w:t>
      </w:r>
      <w:r w:rsidRPr="007B640F">
        <w:rPr>
          <w:lang w:eastAsia="en-IE"/>
        </w:rPr>
        <w:t xml:space="preserve"> </w:t>
      </w:r>
      <w:r>
        <w:rPr>
          <w:lang w:eastAsia="en-IE"/>
        </w:rPr>
        <w:t xml:space="preserve">Smith-Merry, 2017, </w:t>
      </w:r>
      <w:proofErr w:type="spellStart"/>
      <w:r>
        <w:rPr>
          <w:lang w:eastAsia="en-IE"/>
        </w:rPr>
        <w:t>Woelders</w:t>
      </w:r>
      <w:proofErr w:type="spellEnd"/>
      <w:r>
        <w:rPr>
          <w:lang w:eastAsia="en-IE"/>
        </w:rPr>
        <w:t xml:space="preserve"> </w:t>
      </w:r>
      <w:r w:rsidRPr="009800AB">
        <w:rPr>
          <w:i/>
          <w:lang w:eastAsia="en-IE"/>
        </w:rPr>
        <w:t>et al.,</w:t>
      </w:r>
      <w:r>
        <w:rPr>
          <w:lang w:eastAsia="en-IE"/>
        </w:rPr>
        <w:t xml:space="preserve"> 2015</w:t>
      </w:r>
    </w:p>
  </w:footnote>
  <w:footnote w:id="395">
    <w:p w14:paraId="3DF84C59" w14:textId="455E9443" w:rsidR="00452DFD" w:rsidRDefault="00452DFD">
      <w:pPr>
        <w:pStyle w:val="FootnoteText"/>
      </w:pPr>
      <w:r>
        <w:rPr>
          <w:rStyle w:val="FootnoteReference"/>
        </w:rPr>
        <w:footnoteRef/>
      </w:r>
      <w:r>
        <w:t xml:space="preserve"> </w:t>
      </w:r>
      <w:r w:rsidRPr="001206FA">
        <w:rPr>
          <w:lang w:eastAsia="en-IE"/>
        </w:rPr>
        <w:t>Chapman</w:t>
      </w:r>
      <w:r>
        <w:rPr>
          <w:lang w:eastAsia="en-IE"/>
        </w:rPr>
        <w:t>,</w:t>
      </w:r>
      <w:r w:rsidRPr="001206FA">
        <w:rPr>
          <w:lang w:eastAsia="en-IE"/>
        </w:rPr>
        <w:t xml:space="preserve"> 2014 </w:t>
      </w:r>
      <w:r>
        <w:rPr>
          <w:lang w:eastAsia="en-IE"/>
        </w:rPr>
        <w:t xml:space="preserve">cited </w:t>
      </w:r>
      <w:r w:rsidRPr="001206FA">
        <w:rPr>
          <w:lang w:eastAsia="en-IE"/>
        </w:rPr>
        <w:t xml:space="preserve">in Di </w:t>
      </w:r>
      <w:proofErr w:type="spellStart"/>
      <w:r w:rsidRPr="001206FA">
        <w:rPr>
          <w:lang w:eastAsia="en-IE"/>
        </w:rPr>
        <w:t>Lorito</w:t>
      </w:r>
      <w:proofErr w:type="spellEnd"/>
      <w:r w:rsidRPr="001206FA">
        <w:rPr>
          <w:lang w:eastAsia="en-IE"/>
        </w:rPr>
        <w:t xml:space="preserve"> </w:t>
      </w:r>
      <w:r w:rsidRPr="009800AB">
        <w:rPr>
          <w:i/>
          <w:lang w:eastAsia="en-IE"/>
        </w:rPr>
        <w:t>et al.,</w:t>
      </w:r>
      <w:r>
        <w:rPr>
          <w:lang w:eastAsia="en-IE"/>
        </w:rPr>
        <w:t xml:space="preserve"> </w:t>
      </w:r>
      <w:r w:rsidRPr="001206FA">
        <w:rPr>
          <w:lang w:eastAsia="en-IE"/>
        </w:rPr>
        <w:t>2018</w:t>
      </w:r>
    </w:p>
  </w:footnote>
  <w:footnote w:id="396">
    <w:p w14:paraId="0A90C90B" w14:textId="0EA03FF0" w:rsidR="00452DFD" w:rsidRDefault="00452DFD">
      <w:pPr>
        <w:pStyle w:val="FootnoteText"/>
      </w:pPr>
      <w:r>
        <w:rPr>
          <w:rStyle w:val="FootnoteReference"/>
        </w:rPr>
        <w:footnoteRef/>
      </w:r>
      <w:r>
        <w:t xml:space="preserve"> </w:t>
      </w:r>
      <w:proofErr w:type="spellStart"/>
      <w:r w:rsidRPr="001206FA">
        <w:rPr>
          <w:lang w:eastAsia="en-IE"/>
        </w:rPr>
        <w:t>Chown</w:t>
      </w:r>
      <w:proofErr w:type="spellEnd"/>
      <w:r w:rsidRPr="001206FA">
        <w:rPr>
          <w:lang w:eastAsia="en-IE"/>
        </w:rPr>
        <w:t xml:space="preserve"> </w:t>
      </w:r>
      <w:r w:rsidRPr="009800AB">
        <w:rPr>
          <w:i/>
          <w:lang w:eastAsia="en-IE"/>
        </w:rPr>
        <w:t>et al.,</w:t>
      </w:r>
      <w:r>
        <w:rPr>
          <w:lang w:eastAsia="en-IE"/>
        </w:rPr>
        <w:t xml:space="preserve"> </w:t>
      </w:r>
      <w:r w:rsidRPr="001206FA">
        <w:rPr>
          <w:lang w:eastAsia="en-IE"/>
        </w:rPr>
        <w:t>2017</w:t>
      </w:r>
    </w:p>
  </w:footnote>
  <w:footnote w:id="397">
    <w:p w14:paraId="51CD69AE" w14:textId="01FCB212" w:rsidR="00452DFD" w:rsidRDefault="00452DFD">
      <w:pPr>
        <w:pStyle w:val="FootnoteText"/>
      </w:pPr>
      <w:r>
        <w:rPr>
          <w:rStyle w:val="FootnoteReference"/>
        </w:rPr>
        <w:footnoteRef/>
      </w:r>
      <w:r>
        <w:t xml:space="preserve"> </w:t>
      </w:r>
      <w:r w:rsidRPr="001206FA">
        <w:rPr>
          <w:lang w:eastAsia="en-IE"/>
        </w:rPr>
        <w:t>Chapman</w:t>
      </w:r>
      <w:r>
        <w:rPr>
          <w:lang w:eastAsia="en-IE"/>
        </w:rPr>
        <w:t>,</w:t>
      </w:r>
      <w:r w:rsidRPr="001206FA">
        <w:rPr>
          <w:lang w:eastAsia="en-IE"/>
        </w:rPr>
        <w:t xml:space="preserve"> 2014 </w:t>
      </w:r>
      <w:r>
        <w:rPr>
          <w:lang w:eastAsia="en-IE"/>
        </w:rPr>
        <w:t xml:space="preserve">cited </w:t>
      </w:r>
      <w:r w:rsidRPr="001206FA">
        <w:rPr>
          <w:lang w:eastAsia="en-IE"/>
        </w:rPr>
        <w:t>in</w:t>
      </w:r>
      <w:r>
        <w:rPr>
          <w:lang w:eastAsia="en-IE"/>
        </w:rPr>
        <w:t xml:space="preserve"> Di </w:t>
      </w:r>
      <w:proofErr w:type="spellStart"/>
      <w:r>
        <w:rPr>
          <w:lang w:eastAsia="en-IE"/>
        </w:rPr>
        <w:t>Lorito</w:t>
      </w:r>
      <w:proofErr w:type="spellEnd"/>
      <w:r>
        <w:rPr>
          <w:lang w:eastAsia="en-IE"/>
        </w:rPr>
        <w:t xml:space="preserve"> </w:t>
      </w:r>
      <w:r w:rsidRPr="009800AB">
        <w:rPr>
          <w:i/>
          <w:lang w:eastAsia="en-IE"/>
        </w:rPr>
        <w:t>et al.,</w:t>
      </w:r>
      <w:r>
        <w:rPr>
          <w:lang w:eastAsia="en-IE"/>
        </w:rPr>
        <w:t xml:space="preserve"> 2018).</w:t>
      </w:r>
    </w:p>
  </w:footnote>
  <w:footnote w:id="398">
    <w:p w14:paraId="0D249A4B" w14:textId="37D6D7FC" w:rsidR="00452DFD" w:rsidRDefault="00452DFD">
      <w:pPr>
        <w:pStyle w:val="FootnoteText"/>
      </w:pPr>
      <w:r>
        <w:rPr>
          <w:rStyle w:val="FootnoteReference"/>
        </w:rPr>
        <w:footnoteRef/>
      </w:r>
      <w:r>
        <w:t xml:space="preserve"> Anderson </w:t>
      </w:r>
      <w:r w:rsidRPr="009800AB">
        <w:rPr>
          <w:i/>
        </w:rPr>
        <w:t>et al.,</w:t>
      </w:r>
      <w:r>
        <w:t xml:space="preserve"> 2019</w:t>
      </w:r>
      <w:r>
        <w:rPr>
          <w:lang w:eastAsia="en-IE"/>
        </w:rPr>
        <w:t xml:space="preserve">, Burton, Ogden, and Cooper, 2019, Davidson </w:t>
      </w:r>
      <w:r w:rsidRPr="009800AB">
        <w:rPr>
          <w:i/>
          <w:lang w:eastAsia="en-IE"/>
        </w:rPr>
        <w:t>et al.,</w:t>
      </w:r>
      <w:r>
        <w:rPr>
          <w:lang w:eastAsia="en-IE"/>
        </w:rPr>
        <w:t xml:space="preserve"> 2018, Drill Report, 2018, </w:t>
      </w:r>
      <w:proofErr w:type="spellStart"/>
      <w:r>
        <w:rPr>
          <w:lang w:eastAsia="en-IE"/>
        </w:rPr>
        <w:t>Gratton</w:t>
      </w:r>
      <w:proofErr w:type="spellEnd"/>
      <w:r>
        <w:rPr>
          <w:lang w:eastAsia="en-IE"/>
        </w:rPr>
        <w:t xml:space="preserve">, 2020, Hollinrake, Spencer and Dix, 2019, </w:t>
      </w:r>
      <w:proofErr w:type="spellStart"/>
      <w:r>
        <w:rPr>
          <w:lang w:eastAsia="en-IE"/>
        </w:rPr>
        <w:t>ImaYDit</w:t>
      </w:r>
      <w:proofErr w:type="spellEnd"/>
      <w:r>
        <w:rPr>
          <w:lang w:eastAsia="en-IE"/>
        </w:rPr>
        <w:t xml:space="preserve">, 2018, IRN, 2019, McCartan </w:t>
      </w:r>
      <w:r w:rsidRPr="009800AB">
        <w:rPr>
          <w:i/>
          <w:lang w:eastAsia="en-IE"/>
        </w:rPr>
        <w:t>et al.,</w:t>
      </w:r>
      <w:r>
        <w:rPr>
          <w:lang w:eastAsia="en-IE"/>
        </w:rPr>
        <w:t xml:space="preserve"> 2019, Northway, Howarth and Evans, 2015,</w:t>
      </w:r>
      <w:r w:rsidRPr="00930635">
        <w:t xml:space="preserve"> </w:t>
      </w:r>
      <w:r>
        <w:t>Schwartz and Durkin, 2020,</w:t>
      </w:r>
      <w:r>
        <w:rPr>
          <w:lang w:eastAsia="en-IE"/>
        </w:rPr>
        <w:t xml:space="preserve"> St John </w:t>
      </w:r>
      <w:r w:rsidRPr="009800AB">
        <w:rPr>
          <w:i/>
          <w:lang w:eastAsia="en-IE"/>
        </w:rPr>
        <w:t>et al.,</w:t>
      </w:r>
      <w:r>
        <w:rPr>
          <w:lang w:eastAsia="en-IE"/>
        </w:rPr>
        <w:t xml:space="preserve"> 2018</w:t>
      </w:r>
    </w:p>
  </w:footnote>
  <w:footnote w:id="399">
    <w:p w14:paraId="1F51466E" w14:textId="142C60B2" w:rsidR="00452DFD" w:rsidRDefault="00452DFD">
      <w:pPr>
        <w:pStyle w:val="FootnoteText"/>
      </w:pPr>
      <w:r>
        <w:rPr>
          <w:rStyle w:val="FootnoteReference"/>
        </w:rPr>
        <w:footnoteRef/>
      </w:r>
      <w:r>
        <w:t xml:space="preserve"> </w:t>
      </w:r>
      <w:r w:rsidRPr="00A12B05">
        <w:rPr>
          <w:lang w:eastAsia="en-IE"/>
        </w:rPr>
        <w:t xml:space="preserve">Dewa </w:t>
      </w:r>
      <w:r w:rsidRPr="009800AB">
        <w:rPr>
          <w:i/>
          <w:lang w:eastAsia="en-IE"/>
        </w:rPr>
        <w:t>et al.,</w:t>
      </w:r>
      <w:r>
        <w:rPr>
          <w:lang w:eastAsia="en-IE"/>
        </w:rPr>
        <w:t xml:space="preserve"> </w:t>
      </w:r>
      <w:r w:rsidRPr="00A12B05">
        <w:rPr>
          <w:lang w:eastAsia="en-IE"/>
        </w:rPr>
        <w:t>2020</w:t>
      </w:r>
      <w:r>
        <w:rPr>
          <w:lang w:eastAsia="en-IE"/>
        </w:rPr>
        <w:t xml:space="preserve">, </w:t>
      </w:r>
      <w:r w:rsidRPr="00A12B05">
        <w:rPr>
          <w:lang w:eastAsia="en-IE"/>
        </w:rPr>
        <w:t xml:space="preserve">IRN, 2019, St John </w:t>
      </w:r>
      <w:r w:rsidRPr="009800AB">
        <w:rPr>
          <w:i/>
          <w:lang w:eastAsia="en-IE"/>
        </w:rPr>
        <w:t>et al.,</w:t>
      </w:r>
      <w:r>
        <w:rPr>
          <w:lang w:eastAsia="en-IE"/>
        </w:rPr>
        <w:t xml:space="preserve"> 2018</w:t>
      </w:r>
    </w:p>
  </w:footnote>
  <w:footnote w:id="400">
    <w:p w14:paraId="2722EDC3" w14:textId="7DA710E5" w:rsidR="00452DFD" w:rsidRDefault="00452DFD">
      <w:pPr>
        <w:pStyle w:val="FootnoteText"/>
      </w:pPr>
      <w:r>
        <w:rPr>
          <w:rStyle w:val="FootnoteReference"/>
        </w:rPr>
        <w:footnoteRef/>
      </w:r>
      <w:r>
        <w:t xml:space="preserve"> </w:t>
      </w:r>
      <w:r>
        <w:rPr>
          <w:lang w:eastAsia="en-IE"/>
        </w:rPr>
        <w:t xml:space="preserve">Armstrong </w:t>
      </w:r>
      <w:r w:rsidRPr="009800AB">
        <w:rPr>
          <w:i/>
          <w:lang w:eastAsia="en-IE"/>
        </w:rPr>
        <w:t>et al.,</w:t>
      </w:r>
      <w:r>
        <w:rPr>
          <w:lang w:eastAsia="en-IE"/>
        </w:rPr>
        <w:t xml:space="preserve"> 2019,</w:t>
      </w:r>
      <w:r w:rsidRPr="004743F0">
        <w:rPr>
          <w:lang w:eastAsia="en-IE"/>
        </w:rPr>
        <w:t xml:space="preserve"> </w:t>
      </w:r>
      <w:proofErr w:type="spellStart"/>
      <w:r>
        <w:t>Oksnebjerg</w:t>
      </w:r>
      <w:proofErr w:type="spellEnd"/>
      <w:r>
        <w:t xml:space="preserve"> </w:t>
      </w:r>
      <w:r w:rsidRPr="009800AB">
        <w:rPr>
          <w:i/>
        </w:rPr>
        <w:t>et al.,</w:t>
      </w:r>
      <w:r>
        <w:t xml:space="preserve"> 2018 cited </w:t>
      </w:r>
      <w:r w:rsidRPr="00325F0D">
        <w:rPr>
          <w:lang w:eastAsia="en-IE"/>
        </w:rPr>
        <w:t xml:space="preserve">in </w:t>
      </w:r>
      <w:r>
        <w:rPr>
          <w:lang w:eastAsia="en-IE"/>
        </w:rPr>
        <w:t xml:space="preserve">Burton, Ogden, and Cooper, 2019, </w:t>
      </w:r>
      <w:proofErr w:type="spellStart"/>
      <w:r>
        <w:rPr>
          <w:lang w:eastAsia="en-IE"/>
        </w:rPr>
        <w:t>Morbey</w:t>
      </w:r>
      <w:proofErr w:type="spellEnd"/>
      <w:r>
        <w:rPr>
          <w:lang w:eastAsia="en-IE"/>
        </w:rPr>
        <w:t xml:space="preserve"> </w:t>
      </w:r>
      <w:r w:rsidRPr="009800AB">
        <w:rPr>
          <w:i/>
          <w:lang w:eastAsia="en-IE"/>
        </w:rPr>
        <w:t>et al.,</w:t>
      </w:r>
      <w:r>
        <w:rPr>
          <w:lang w:eastAsia="en-IE"/>
        </w:rPr>
        <w:t xml:space="preserve"> 2019</w:t>
      </w:r>
    </w:p>
  </w:footnote>
  <w:footnote w:id="401">
    <w:p w14:paraId="3F12DC24" w14:textId="4EE0021F" w:rsidR="00452DFD" w:rsidRDefault="00452DFD">
      <w:pPr>
        <w:pStyle w:val="FootnoteText"/>
      </w:pPr>
      <w:r>
        <w:rPr>
          <w:rStyle w:val="FootnoteReference"/>
        </w:rPr>
        <w:footnoteRef/>
      </w:r>
      <w:r>
        <w:t xml:space="preserve"> </w:t>
      </w:r>
      <w:proofErr w:type="spellStart"/>
      <w:r>
        <w:rPr>
          <w:lang w:eastAsia="en-IE"/>
        </w:rPr>
        <w:t>Frankena</w:t>
      </w:r>
      <w:proofErr w:type="spellEnd"/>
      <w:r>
        <w:rPr>
          <w:lang w:eastAsia="en-IE"/>
        </w:rPr>
        <w:t xml:space="preserve"> </w:t>
      </w:r>
      <w:r w:rsidRPr="009800AB">
        <w:rPr>
          <w:i/>
          <w:lang w:eastAsia="en-IE"/>
        </w:rPr>
        <w:t>et al.,</w:t>
      </w:r>
      <w:r>
        <w:rPr>
          <w:lang w:eastAsia="en-IE"/>
        </w:rPr>
        <w:t xml:space="preserve"> 2019a, Gove </w:t>
      </w:r>
      <w:r w:rsidRPr="009800AB">
        <w:rPr>
          <w:i/>
          <w:lang w:eastAsia="en-IE"/>
        </w:rPr>
        <w:t>et al.,</w:t>
      </w:r>
      <w:r>
        <w:rPr>
          <w:lang w:eastAsia="en-IE"/>
        </w:rPr>
        <w:t xml:space="preserve"> 2017, </w:t>
      </w:r>
      <w:proofErr w:type="spellStart"/>
      <w:r>
        <w:rPr>
          <w:lang w:eastAsia="en-IE"/>
        </w:rPr>
        <w:t>Morbey</w:t>
      </w:r>
      <w:proofErr w:type="spellEnd"/>
      <w:r>
        <w:rPr>
          <w:lang w:eastAsia="en-IE"/>
        </w:rPr>
        <w:t xml:space="preserve"> </w:t>
      </w:r>
      <w:r w:rsidRPr="009800AB">
        <w:rPr>
          <w:i/>
          <w:lang w:eastAsia="en-IE"/>
        </w:rPr>
        <w:t>et al.,</w:t>
      </w:r>
      <w:r>
        <w:rPr>
          <w:lang w:eastAsia="en-IE"/>
        </w:rPr>
        <w:t xml:space="preserve"> 2019, Ní </w:t>
      </w:r>
      <w:proofErr w:type="spellStart"/>
      <w:r>
        <w:rPr>
          <w:lang w:eastAsia="en-IE"/>
        </w:rPr>
        <w:t>Shé</w:t>
      </w:r>
      <w:proofErr w:type="spellEnd"/>
      <w:r>
        <w:rPr>
          <w:lang w:eastAsia="en-IE"/>
        </w:rPr>
        <w:t xml:space="preserve"> </w:t>
      </w:r>
      <w:r w:rsidRPr="009800AB">
        <w:rPr>
          <w:i/>
          <w:lang w:eastAsia="en-IE"/>
        </w:rPr>
        <w:t>et al.,</w:t>
      </w:r>
      <w:r>
        <w:rPr>
          <w:lang w:eastAsia="en-IE"/>
        </w:rPr>
        <w:t xml:space="preserve"> 2019, Roberts </w:t>
      </w:r>
      <w:r w:rsidRPr="009800AB">
        <w:rPr>
          <w:i/>
          <w:lang w:eastAsia="en-IE"/>
        </w:rPr>
        <w:t>et al.,</w:t>
      </w:r>
      <w:r>
        <w:rPr>
          <w:lang w:eastAsia="en-IE"/>
        </w:rPr>
        <w:t xml:space="preserve"> 2020, Smith-Merry, 2017, Waite, Poland and </w:t>
      </w:r>
      <w:proofErr w:type="spellStart"/>
      <w:r>
        <w:rPr>
          <w:lang w:eastAsia="en-IE"/>
        </w:rPr>
        <w:t>Charlesworth</w:t>
      </w:r>
      <w:proofErr w:type="spellEnd"/>
      <w:r>
        <w:rPr>
          <w:lang w:eastAsia="en-IE"/>
        </w:rPr>
        <w:t>, 2019</w:t>
      </w:r>
    </w:p>
  </w:footnote>
  <w:footnote w:id="402">
    <w:p w14:paraId="25372FA3" w14:textId="48836022" w:rsidR="00452DFD" w:rsidRDefault="00452DFD">
      <w:pPr>
        <w:pStyle w:val="FootnoteText"/>
      </w:pPr>
      <w:r>
        <w:rPr>
          <w:rStyle w:val="FootnoteReference"/>
        </w:rPr>
        <w:footnoteRef/>
      </w:r>
      <w:r>
        <w:t xml:space="preserve"> Campus Engage, 2017</w:t>
      </w:r>
    </w:p>
  </w:footnote>
  <w:footnote w:id="403">
    <w:p w14:paraId="716B4BEE" w14:textId="37798A77" w:rsidR="00452DFD" w:rsidRDefault="00452DFD">
      <w:pPr>
        <w:pStyle w:val="FootnoteText"/>
      </w:pPr>
      <w:r>
        <w:rPr>
          <w:rStyle w:val="FootnoteReference"/>
        </w:rPr>
        <w:footnoteRef/>
      </w:r>
      <w:r>
        <w:t xml:space="preserve"> Campus Engage, 2017,</w:t>
      </w:r>
      <w:r w:rsidRPr="005C76E4">
        <w:t xml:space="preserve"> </w:t>
      </w:r>
      <w:r>
        <w:t xml:space="preserve">Ní </w:t>
      </w:r>
      <w:proofErr w:type="spellStart"/>
      <w:r>
        <w:t>Shé</w:t>
      </w:r>
      <w:proofErr w:type="spellEnd"/>
      <w:r>
        <w:t xml:space="preserve"> </w:t>
      </w:r>
      <w:r w:rsidRPr="009800AB">
        <w:rPr>
          <w:i/>
        </w:rPr>
        <w:t>et al.,</w:t>
      </w:r>
      <w:r>
        <w:t xml:space="preserve"> 2019,</w:t>
      </w:r>
    </w:p>
  </w:footnote>
  <w:footnote w:id="404">
    <w:p w14:paraId="43D256D9" w14:textId="50F0905D" w:rsidR="00452DFD" w:rsidRDefault="00452DFD">
      <w:pPr>
        <w:pStyle w:val="FootnoteText"/>
      </w:pPr>
      <w:r>
        <w:rPr>
          <w:rStyle w:val="FootnoteReference"/>
        </w:rPr>
        <w:footnoteRef/>
      </w:r>
      <w:r>
        <w:t xml:space="preserve"> Butler </w:t>
      </w:r>
      <w:r w:rsidRPr="009800AB">
        <w:rPr>
          <w:i/>
        </w:rPr>
        <w:t>et al.,</w:t>
      </w:r>
      <w:r>
        <w:t xml:space="preserve"> 2020</w:t>
      </w:r>
    </w:p>
  </w:footnote>
  <w:footnote w:id="405">
    <w:p w14:paraId="304AD218" w14:textId="08BB14B3" w:rsidR="00452DFD" w:rsidRDefault="00452DFD">
      <w:pPr>
        <w:pStyle w:val="FootnoteText"/>
      </w:pPr>
      <w:r>
        <w:rPr>
          <w:rStyle w:val="FootnoteReference"/>
        </w:rPr>
        <w:footnoteRef/>
      </w:r>
      <w:r>
        <w:t xml:space="preserve"> St John </w:t>
      </w:r>
      <w:r w:rsidRPr="009800AB">
        <w:rPr>
          <w:i/>
        </w:rPr>
        <w:t>et al.,</w:t>
      </w:r>
      <w:r>
        <w:t xml:space="preserve"> 2018</w:t>
      </w:r>
    </w:p>
  </w:footnote>
  <w:footnote w:id="406">
    <w:p w14:paraId="7A84AF64" w14:textId="313E2BC4" w:rsidR="00452DFD" w:rsidRDefault="00452DFD">
      <w:pPr>
        <w:pStyle w:val="FootnoteText"/>
      </w:pPr>
      <w:r>
        <w:rPr>
          <w:rStyle w:val="FootnoteReference"/>
        </w:rPr>
        <w:footnoteRef/>
      </w:r>
      <w:r>
        <w:t xml:space="preserve"> National Development Team for Inclusion, 2019</w:t>
      </w:r>
    </w:p>
  </w:footnote>
  <w:footnote w:id="407">
    <w:p w14:paraId="102B5D79" w14:textId="72514622" w:rsidR="00452DFD" w:rsidRDefault="00452DFD">
      <w:pPr>
        <w:pStyle w:val="FootnoteText"/>
      </w:pPr>
      <w:r>
        <w:rPr>
          <w:rStyle w:val="FootnoteReference"/>
        </w:rPr>
        <w:footnoteRef/>
      </w:r>
      <w:r>
        <w:t xml:space="preserve"> Drill Report, 2018</w:t>
      </w:r>
    </w:p>
  </w:footnote>
  <w:footnote w:id="408">
    <w:p w14:paraId="1891B688" w14:textId="629376CB" w:rsidR="00452DFD" w:rsidRDefault="00452DFD">
      <w:pPr>
        <w:pStyle w:val="FootnoteText"/>
      </w:pPr>
      <w:r>
        <w:rPr>
          <w:rStyle w:val="FootnoteReference"/>
        </w:rPr>
        <w:footnoteRef/>
      </w:r>
      <w:r>
        <w:t xml:space="preserve"> Smith-Merry, 2017</w:t>
      </w:r>
    </w:p>
  </w:footnote>
  <w:footnote w:id="409">
    <w:p w14:paraId="67E43A69" w14:textId="1A770379" w:rsidR="00452DFD" w:rsidRDefault="00452DFD">
      <w:pPr>
        <w:pStyle w:val="FootnoteText"/>
      </w:pPr>
      <w:r>
        <w:rPr>
          <w:rStyle w:val="FootnoteReference"/>
        </w:rPr>
        <w:footnoteRef/>
      </w:r>
      <w:r>
        <w:t xml:space="preserve"> Smith-Merry, 2017</w:t>
      </w:r>
    </w:p>
  </w:footnote>
  <w:footnote w:id="410">
    <w:p w14:paraId="705DCD41" w14:textId="3D1490DE" w:rsidR="00452DFD" w:rsidRDefault="00452DFD">
      <w:pPr>
        <w:pStyle w:val="FootnoteText"/>
      </w:pPr>
      <w:r>
        <w:rPr>
          <w:rStyle w:val="FootnoteReference"/>
        </w:rPr>
        <w:footnoteRef/>
      </w:r>
      <w:r>
        <w:t xml:space="preserve"> </w:t>
      </w:r>
      <w:r w:rsidRPr="0082767A">
        <w:t xml:space="preserve">Lincoln </w:t>
      </w:r>
      <w:r w:rsidRPr="009800AB">
        <w:rPr>
          <w:i/>
        </w:rPr>
        <w:t>et al.,</w:t>
      </w:r>
      <w:r>
        <w:t xml:space="preserve"> </w:t>
      </w:r>
      <w:r w:rsidRPr="0082767A">
        <w:t>2015</w:t>
      </w:r>
      <w:r>
        <w:t xml:space="preserve"> </w:t>
      </w:r>
      <w:r w:rsidRPr="0082767A">
        <w:t>cited in Smith-Merry, 2017</w:t>
      </w:r>
    </w:p>
  </w:footnote>
  <w:footnote w:id="411">
    <w:p w14:paraId="7896F0CA" w14:textId="520E6B05" w:rsidR="00452DFD" w:rsidRDefault="00452DFD">
      <w:pPr>
        <w:pStyle w:val="FootnoteText"/>
      </w:pPr>
      <w:r>
        <w:rPr>
          <w:rStyle w:val="FootnoteReference"/>
        </w:rPr>
        <w:footnoteRef/>
      </w:r>
      <w:r>
        <w:t xml:space="preserve"> Disability Wales 2019</w:t>
      </w:r>
    </w:p>
  </w:footnote>
  <w:footnote w:id="412">
    <w:p w14:paraId="2235CE24" w14:textId="6E0C2B81" w:rsidR="00452DFD" w:rsidRDefault="00452DFD">
      <w:pPr>
        <w:pStyle w:val="FootnoteText"/>
      </w:pPr>
      <w:r>
        <w:rPr>
          <w:rStyle w:val="FootnoteReference"/>
        </w:rPr>
        <w:footnoteRef/>
      </w:r>
      <w:r>
        <w:t xml:space="preserve"> </w:t>
      </w:r>
      <w:proofErr w:type="spellStart"/>
      <w:r w:rsidRPr="00FC43A4">
        <w:t>Abma</w:t>
      </w:r>
      <w:proofErr w:type="spellEnd"/>
      <w:r w:rsidRPr="00FC43A4">
        <w:t xml:space="preserve"> </w:t>
      </w:r>
      <w:r w:rsidRPr="009800AB">
        <w:rPr>
          <w:i/>
        </w:rPr>
        <w:t>et al.,</w:t>
      </w:r>
      <w:r>
        <w:t xml:space="preserve"> </w:t>
      </w:r>
      <w:r w:rsidRPr="00FC43A4">
        <w:t>2009</w:t>
      </w:r>
      <w:r>
        <w:t>,</w:t>
      </w:r>
      <w:r w:rsidRPr="00FC43A4">
        <w:t xml:space="preserve"> </w:t>
      </w:r>
      <w:r>
        <w:t xml:space="preserve">Hayes </w:t>
      </w:r>
      <w:r w:rsidRPr="009800AB">
        <w:rPr>
          <w:i/>
        </w:rPr>
        <w:t>et al.,</w:t>
      </w:r>
      <w:r>
        <w:t xml:space="preserve"> 2018 cited in Burton, Ogden, and Cooper, 2019, </w:t>
      </w:r>
      <w:proofErr w:type="spellStart"/>
      <w:r w:rsidRPr="00FC43A4">
        <w:t>Walmsley</w:t>
      </w:r>
      <w:proofErr w:type="spellEnd"/>
      <w:r w:rsidRPr="00FC43A4">
        <w:t xml:space="preserve"> </w:t>
      </w:r>
      <w:r w:rsidRPr="009800AB">
        <w:rPr>
          <w:i/>
        </w:rPr>
        <w:t>et al.,</w:t>
      </w:r>
      <w:r>
        <w:t xml:space="preserve"> </w:t>
      </w:r>
      <w:r w:rsidRPr="00FC43A4">
        <w:t>2004</w:t>
      </w:r>
      <w:r>
        <w:t xml:space="preserve"> cited </w:t>
      </w:r>
      <w:r w:rsidRPr="00FC43A4">
        <w:t xml:space="preserve">in </w:t>
      </w:r>
      <w:proofErr w:type="spellStart"/>
      <w:r w:rsidRPr="00FC43A4">
        <w:t>Frankena</w:t>
      </w:r>
      <w:proofErr w:type="spellEnd"/>
      <w:r w:rsidRPr="00FC43A4">
        <w:t xml:space="preserve"> </w:t>
      </w:r>
      <w:r w:rsidRPr="009800AB">
        <w:rPr>
          <w:i/>
        </w:rPr>
        <w:t>et al.,</w:t>
      </w:r>
      <w:r>
        <w:t xml:space="preserve"> </w:t>
      </w:r>
      <w:r w:rsidRPr="00FC43A4">
        <w:t>2015</w:t>
      </w:r>
    </w:p>
  </w:footnote>
  <w:footnote w:id="413">
    <w:p w14:paraId="75DE0101" w14:textId="54F3C870" w:rsidR="00452DFD" w:rsidRDefault="00452DFD">
      <w:pPr>
        <w:pStyle w:val="FootnoteText"/>
      </w:pPr>
      <w:r>
        <w:rPr>
          <w:rStyle w:val="FootnoteReference"/>
        </w:rPr>
        <w:footnoteRef/>
      </w:r>
      <w:r>
        <w:t xml:space="preserve"> </w:t>
      </w:r>
      <w:proofErr w:type="spellStart"/>
      <w:r w:rsidRPr="00173A68">
        <w:t>Nind</w:t>
      </w:r>
      <w:proofErr w:type="spellEnd"/>
      <w:r w:rsidRPr="00173A68">
        <w:t xml:space="preserve"> </w:t>
      </w:r>
      <w:r w:rsidRPr="009800AB">
        <w:rPr>
          <w:i/>
        </w:rPr>
        <w:t>et al.,</w:t>
      </w:r>
      <w:r w:rsidRPr="00173A68">
        <w:t xml:space="preserve"> 2015</w:t>
      </w:r>
      <w:r>
        <w:t xml:space="preserve"> cited in </w:t>
      </w:r>
      <w:proofErr w:type="spellStart"/>
      <w:r>
        <w:t>Nind</w:t>
      </w:r>
      <w:proofErr w:type="spellEnd"/>
      <w:r>
        <w:t>, 2017, p. 279</w:t>
      </w:r>
    </w:p>
  </w:footnote>
  <w:footnote w:id="414">
    <w:p w14:paraId="0F9B68B6" w14:textId="7818A8A0" w:rsidR="00452DFD" w:rsidRDefault="00452DFD">
      <w:pPr>
        <w:pStyle w:val="FootnoteText"/>
      </w:pPr>
      <w:r>
        <w:rPr>
          <w:rStyle w:val="FootnoteReference"/>
        </w:rPr>
        <w:footnoteRef/>
      </w:r>
      <w:r>
        <w:t xml:space="preserve"> </w:t>
      </w:r>
      <w:proofErr w:type="spellStart"/>
      <w:r>
        <w:rPr>
          <w:rFonts w:eastAsia="SimSun" w:cs="AdvTimes"/>
          <w:szCs w:val="26"/>
          <w:lang w:eastAsia="en-IE"/>
        </w:rPr>
        <w:t>Lushey</w:t>
      </w:r>
      <w:proofErr w:type="spellEnd"/>
      <w:r>
        <w:rPr>
          <w:rFonts w:eastAsia="SimSun" w:cs="AdvTimes"/>
          <w:szCs w:val="26"/>
          <w:lang w:eastAsia="en-IE"/>
        </w:rPr>
        <w:t xml:space="preserve"> and Munro, 2015 cited </w:t>
      </w:r>
      <w:r w:rsidRPr="00194F18">
        <w:rPr>
          <w:rFonts w:eastAsia="SimSun" w:cs="AdvTimes"/>
          <w:szCs w:val="26"/>
          <w:lang w:eastAsia="en-IE"/>
        </w:rPr>
        <w:t xml:space="preserve">in Burke </w:t>
      </w:r>
      <w:r w:rsidRPr="009800AB">
        <w:rPr>
          <w:rFonts w:eastAsia="SimSun" w:cs="AdvTimes"/>
          <w:i/>
          <w:szCs w:val="26"/>
          <w:lang w:eastAsia="en-IE"/>
        </w:rPr>
        <w:t>et al.,</w:t>
      </w:r>
      <w:r>
        <w:rPr>
          <w:rFonts w:eastAsia="SimSun" w:cs="AdvTimes"/>
          <w:szCs w:val="26"/>
          <w:lang w:eastAsia="en-IE"/>
        </w:rPr>
        <w:t xml:space="preserve"> 2018, Porter, 2016 cited </w:t>
      </w:r>
      <w:r w:rsidRPr="00194F18">
        <w:rPr>
          <w:rFonts w:eastAsia="SimSun" w:cs="AdvTimes"/>
          <w:szCs w:val="26"/>
          <w:lang w:eastAsia="en-IE"/>
        </w:rPr>
        <w:t xml:space="preserve">in Burke </w:t>
      </w:r>
      <w:r w:rsidRPr="009800AB">
        <w:rPr>
          <w:rFonts w:eastAsia="SimSun" w:cs="AdvTimes"/>
          <w:i/>
          <w:szCs w:val="26"/>
          <w:lang w:eastAsia="en-IE"/>
        </w:rPr>
        <w:t>et al.,</w:t>
      </w:r>
      <w:r>
        <w:rPr>
          <w:rFonts w:eastAsia="SimSun" w:cs="AdvTimes"/>
          <w:szCs w:val="26"/>
          <w:lang w:eastAsia="en-IE"/>
        </w:rPr>
        <w:t xml:space="preserve"> 2018,</w:t>
      </w:r>
      <w:r w:rsidRPr="000567B3">
        <w:t xml:space="preserve"> </w:t>
      </w:r>
      <w:r w:rsidRPr="000567B3">
        <w:rPr>
          <w:rFonts w:eastAsia="SimSun" w:cs="AdvTimes"/>
          <w:szCs w:val="26"/>
          <w:lang w:eastAsia="en-IE"/>
        </w:rPr>
        <w:t xml:space="preserve">Smith </w:t>
      </w:r>
      <w:r w:rsidRPr="009800AB">
        <w:rPr>
          <w:rFonts w:eastAsia="SimSun" w:cs="AdvTimes"/>
          <w:i/>
          <w:szCs w:val="26"/>
          <w:lang w:eastAsia="en-IE"/>
        </w:rPr>
        <w:t>et al.,</w:t>
      </w:r>
      <w:r>
        <w:rPr>
          <w:rFonts w:eastAsia="SimSun" w:cs="AdvTimes"/>
          <w:szCs w:val="26"/>
          <w:lang w:eastAsia="en-IE"/>
        </w:rPr>
        <w:t xml:space="preserve"> </w:t>
      </w:r>
      <w:r w:rsidRPr="000567B3">
        <w:rPr>
          <w:rFonts w:eastAsia="SimSun" w:cs="AdvTimes"/>
          <w:szCs w:val="26"/>
          <w:lang w:eastAsia="en-IE"/>
        </w:rPr>
        <w:t xml:space="preserve">2002, </w:t>
      </w:r>
      <w:r>
        <w:rPr>
          <w:rFonts w:eastAsia="SimSun" w:cs="AdvTimes"/>
          <w:szCs w:val="26"/>
          <w:lang w:eastAsia="en-IE"/>
        </w:rPr>
        <w:t xml:space="preserve">cited </w:t>
      </w:r>
      <w:r w:rsidRPr="00194F18">
        <w:rPr>
          <w:rFonts w:eastAsia="SimSun" w:cs="AdvTimes"/>
          <w:szCs w:val="26"/>
          <w:lang w:eastAsia="en-IE"/>
        </w:rPr>
        <w:t xml:space="preserve">in Burke </w:t>
      </w:r>
      <w:r w:rsidRPr="009800AB">
        <w:rPr>
          <w:rFonts w:eastAsia="SimSun" w:cs="AdvTimes"/>
          <w:i/>
          <w:szCs w:val="26"/>
          <w:lang w:eastAsia="en-IE"/>
        </w:rPr>
        <w:t>et al.,</w:t>
      </w:r>
      <w:r>
        <w:rPr>
          <w:rFonts w:eastAsia="SimSun" w:cs="AdvTimes"/>
          <w:szCs w:val="26"/>
          <w:lang w:eastAsia="en-IE"/>
        </w:rPr>
        <w:t xml:space="preserve"> 2018</w:t>
      </w:r>
    </w:p>
  </w:footnote>
  <w:footnote w:id="415">
    <w:p w14:paraId="55B3E6E0" w14:textId="000F790C" w:rsidR="00452DFD" w:rsidRDefault="00452DFD">
      <w:pPr>
        <w:pStyle w:val="FootnoteText"/>
      </w:pPr>
      <w:r>
        <w:rPr>
          <w:rStyle w:val="FootnoteReference"/>
        </w:rPr>
        <w:footnoteRef/>
      </w:r>
      <w:r>
        <w:t xml:space="preserve"> Disability Wales, 2019, </w:t>
      </w:r>
      <w:r w:rsidRPr="00821B0F">
        <w:t>Smith</w:t>
      </w:r>
      <w:r>
        <w:t>-Merry, no date</w:t>
      </w:r>
    </w:p>
  </w:footnote>
  <w:footnote w:id="416">
    <w:p w14:paraId="6D00ED9B" w14:textId="4DA4B737" w:rsidR="00452DFD" w:rsidRDefault="00452DFD">
      <w:pPr>
        <w:pStyle w:val="FootnoteText"/>
      </w:pPr>
      <w:r>
        <w:rPr>
          <w:rStyle w:val="FootnoteReference"/>
        </w:rPr>
        <w:footnoteRef/>
      </w:r>
      <w:r>
        <w:t xml:space="preserve"> </w:t>
      </w:r>
      <w:proofErr w:type="spellStart"/>
      <w:r>
        <w:t>Walmsley</w:t>
      </w:r>
      <w:proofErr w:type="spellEnd"/>
      <w:r>
        <w:t xml:space="preserve"> </w:t>
      </w:r>
      <w:r w:rsidRPr="009800AB">
        <w:rPr>
          <w:i/>
        </w:rPr>
        <w:t>et al.,</w:t>
      </w:r>
      <w:r>
        <w:t xml:space="preserve"> 2004 in </w:t>
      </w:r>
      <w:proofErr w:type="spellStart"/>
      <w:r>
        <w:t>Frankena</w:t>
      </w:r>
      <w:proofErr w:type="spellEnd"/>
      <w:r>
        <w:t xml:space="preserve"> </w:t>
      </w:r>
      <w:r w:rsidRPr="009800AB">
        <w:rPr>
          <w:i/>
        </w:rPr>
        <w:t>et al.,</w:t>
      </w:r>
      <w:r>
        <w:t xml:space="preserve"> 2015</w:t>
      </w:r>
    </w:p>
  </w:footnote>
  <w:footnote w:id="417">
    <w:p w14:paraId="38CC3CC1" w14:textId="2D0A7B55" w:rsidR="00452DFD" w:rsidRDefault="00452DFD">
      <w:pPr>
        <w:pStyle w:val="FootnoteText"/>
      </w:pPr>
      <w:r>
        <w:rPr>
          <w:rStyle w:val="FootnoteReference"/>
        </w:rPr>
        <w:footnoteRef/>
      </w:r>
      <w:r>
        <w:t xml:space="preserve"> </w:t>
      </w:r>
      <w:proofErr w:type="spellStart"/>
      <w:r w:rsidRPr="00821B0F">
        <w:t>Strd</w:t>
      </w:r>
      <w:r>
        <w:t>a</w:t>
      </w:r>
      <w:r w:rsidRPr="00821B0F">
        <w:t>nov</w:t>
      </w:r>
      <w:r>
        <w:t>á</w:t>
      </w:r>
      <w:proofErr w:type="spellEnd"/>
      <w:r w:rsidRPr="00821B0F">
        <w:t xml:space="preserve"> </w:t>
      </w:r>
      <w:r w:rsidRPr="009800AB">
        <w:rPr>
          <w:i/>
        </w:rPr>
        <w:t>et al.,</w:t>
      </w:r>
      <w:r w:rsidRPr="00821B0F">
        <w:t xml:space="preserve"> 2016</w:t>
      </w:r>
    </w:p>
  </w:footnote>
  <w:footnote w:id="418">
    <w:p w14:paraId="16DFEB40" w14:textId="1F654E25" w:rsidR="00452DFD" w:rsidRDefault="00452DFD">
      <w:pPr>
        <w:pStyle w:val="FootnoteText"/>
      </w:pPr>
      <w:r>
        <w:rPr>
          <w:rStyle w:val="FootnoteReference"/>
        </w:rPr>
        <w:footnoteRef/>
      </w:r>
      <w:r>
        <w:t xml:space="preserve"> Gove </w:t>
      </w:r>
      <w:r w:rsidRPr="009800AB">
        <w:rPr>
          <w:i/>
        </w:rPr>
        <w:t>et al.,</w:t>
      </w:r>
      <w:r>
        <w:t xml:space="preserve"> 2017</w:t>
      </w:r>
    </w:p>
  </w:footnote>
  <w:footnote w:id="419">
    <w:p w14:paraId="040A0E6A" w14:textId="56B628E7" w:rsidR="00452DFD" w:rsidRDefault="00452DFD" w:rsidP="007D01BD">
      <w:pPr>
        <w:pStyle w:val="FootnoteText"/>
      </w:pPr>
      <w:r>
        <w:rPr>
          <w:rStyle w:val="FootnoteReference"/>
        </w:rPr>
        <w:footnoteRef/>
      </w:r>
      <w:r>
        <w:t xml:space="preserve"> </w:t>
      </w:r>
      <w:r w:rsidRPr="00CB5790">
        <w:t xml:space="preserve">Fitzgerald </w:t>
      </w:r>
      <w:r>
        <w:t>and</w:t>
      </w:r>
      <w:r w:rsidRPr="00CB5790">
        <w:t xml:space="preserve"> Walsh</w:t>
      </w:r>
      <w:r>
        <w:t>,</w:t>
      </w:r>
      <w:r w:rsidRPr="00CB5790">
        <w:t xml:space="preserve"> </w:t>
      </w:r>
      <w:r>
        <w:t>2016, p. 12</w:t>
      </w:r>
    </w:p>
  </w:footnote>
  <w:footnote w:id="420">
    <w:p w14:paraId="768674D2" w14:textId="3A65A5C0" w:rsidR="00452DFD" w:rsidRDefault="00452DFD">
      <w:pPr>
        <w:pStyle w:val="FootnoteText"/>
      </w:pPr>
      <w:r>
        <w:rPr>
          <w:rStyle w:val="FootnoteReference"/>
        </w:rPr>
        <w:footnoteRef/>
      </w:r>
      <w:r>
        <w:t xml:space="preserve"> </w:t>
      </w:r>
      <w:proofErr w:type="spellStart"/>
      <w:r>
        <w:t>Breault</w:t>
      </w:r>
      <w:proofErr w:type="spellEnd"/>
      <w:r>
        <w:t xml:space="preserve"> </w:t>
      </w:r>
      <w:r w:rsidRPr="009800AB">
        <w:rPr>
          <w:i/>
        </w:rPr>
        <w:t>et al.,</w:t>
      </w:r>
      <w:r>
        <w:t xml:space="preserve"> 2018b, Burton, Ogden, and Cooper, 2019, Dewa </w:t>
      </w:r>
      <w:r w:rsidRPr="009800AB">
        <w:rPr>
          <w:i/>
        </w:rPr>
        <w:t>et al.,</w:t>
      </w:r>
      <w:r>
        <w:t xml:space="preserve"> 2020, </w:t>
      </w:r>
      <w:proofErr w:type="spellStart"/>
      <w:r>
        <w:t>Frankena</w:t>
      </w:r>
      <w:proofErr w:type="spellEnd"/>
      <w:r>
        <w:t xml:space="preserve"> </w:t>
      </w:r>
      <w:r w:rsidRPr="009800AB">
        <w:rPr>
          <w:i/>
        </w:rPr>
        <w:t>et al.,</w:t>
      </w:r>
      <w:r>
        <w:t xml:space="preserve"> 2015, </w:t>
      </w:r>
      <w:proofErr w:type="spellStart"/>
      <w:r>
        <w:t>Frankena</w:t>
      </w:r>
      <w:proofErr w:type="spellEnd"/>
      <w:r>
        <w:t xml:space="preserve"> </w:t>
      </w:r>
      <w:r w:rsidRPr="009800AB">
        <w:rPr>
          <w:i/>
        </w:rPr>
        <w:t>et al.,</w:t>
      </w:r>
      <w:r>
        <w:t xml:space="preserve"> 2019c, Howe 2017, National Development Team for Inclusion, 2019</w:t>
      </w:r>
    </w:p>
  </w:footnote>
  <w:footnote w:id="421">
    <w:p w14:paraId="14E7756A" w14:textId="3A2423FD" w:rsidR="00452DFD" w:rsidRDefault="00452DFD">
      <w:pPr>
        <w:pStyle w:val="FootnoteText"/>
      </w:pPr>
      <w:r>
        <w:rPr>
          <w:rStyle w:val="FootnoteReference"/>
        </w:rPr>
        <w:footnoteRef/>
      </w:r>
      <w:r>
        <w:t xml:space="preserve"> Burton, Ogden, and Cooper, 2019, Dewa </w:t>
      </w:r>
      <w:r w:rsidRPr="009800AB">
        <w:rPr>
          <w:i/>
        </w:rPr>
        <w:t>et al.,</w:t>
      </w:r>
      <w:r>
        <w:t xml:space="preserve"> 2020, </w:t>
      </w:r>
      <w:proofErr w:type="spellStart"/>
      <w:r>
        <w:t>Nicolaidis</w:t>
      </w:r>
      <w:proofErr w:type="spellEnd"/>
      <w:r>
        <w:t xml:space="preserve"> </w:t>
      </w:r>
      <w:r w:rsidRPr="009800AB">
        <w:rPr>
          <w:i/>
        </w:rPr>
        <w:t>et al.,</w:t>
      </w:r>
      <w:r>
        <w:t xml:space="preserve"> 2019, Partners2 Writing Collective, 2020, Waite, Poland and </w:t>
      </w:r>
      <w:proofErr w:type="spellStart"/>
      <w:r>
        <w:t>Charlesworth</w:t>
      </w:r>
      <w:proofErr w:type="spellEnd"/>
      <w:r>
        <w:t xml:space="preserve">, 2019, </w:t>
      </w:r>
    </w:p>
  </w:footnote>
  <w:footnote w:id="422">
    <w:p w14:paraId="38CE6E62" w14:textId="0A373FBC" w:rsidR="00452DFD" w:rsidRDefault="00452DFD">
      <w:pPr>
        <w:pStyle w:val="FootnoteText"/>
      </w:pPr>
      <w:r>
        <w:rPr>
          <w:rStyle w:val="FootnoteReference"/>
        </w:rPr>
        <w:footnoteRef/>
      </w:r>
      <w:r>
        <w:t xml:space="preserve"> O’Hara </w:t>
      </w:r>
      <w:r w:rsidRPr="009800AB">
        <w:rPr>
          <w:i/>
        </w:rPr>
        <w:t>et al.,</w:t>
      </w:r>
      <w:r>
        <w:t xml:space="preserve"> 2017</w:t>
      </w:r>
    </w:p>
  </w:footnote>
  <w:footnote w:id="423">
    <w:p w14:paraId="785AB1BA" w14:textId="59855D29" w:rsidR="00452DFD" w:rsidRDefault="00452DFD">
      <w:pPr>
        <w:pStyle w:val="FootnoteText"/>
      </w:pPr>
      <w:r>
        <w:rPr>
          <w:rStyle w:val="FootnoteReference"/>
        </w:rPr>
        <w:footnoteRef/>
      </w:r>
      <w:r>
        <w:t xml:space="preserve"> </w:t>
      </w:r>
      <w:proofErr w:type="spellStart"/>
      <w:r>
        <w:t>Nicolaidis</w:t>
      </w:r>
      <w:proofErr w:type="spellEnd"/>
      <w:r>
        <w:t xml:space="preserve"> </w:t>
      </w:r>
      <w:r w:rsidRPr="009800AB">
        <w:rPr>
          <w:i/>
        </w:rPr>
        <w:t>et al.,</w:t>
      </w:r>
      <w:r>
        <w:t xml:space="preserve"> 2019</w:t>
      </w:r>
    </w:p>
  </w:footnote>
  <w:footnote w:id="424">
    <w:p w14:paraId="2A607A44" w14:textId="09E3E9D3" w:rsidR="00452DFD" w:rsidRDefault="00452DFD">
      <w:pPr>
        <w:pStyle w:val="FootnoteText"/>
      </w:pPr>
      <w:r>
        <w:rPr>
          <w:rStyle w:val="FootnoteReference"/>
        </w:rPr>
        <w:footnoteRef/>
      </w:r>
      <w:r>
        <w:t xml:space="preserve"> Brady </w:t>
      </w:r>
      <w:r w:rsidRPr="009800AB">
        <w:rPr>
          <w:i/>
        </w:rPr>
        <w:t>et al.,</w:t>
      </w:r>
      <w:r>
        <w:t xml:space="preserve"> 2019, </w:t>
      </w:r>
      <w:proofErr w:type="spellStart"/>
      <w:r>
        <w:t>Parveen</w:t>
      </w:r>
      <w:proofErr w:type="spellEnd"/>
      <w:r>
        <w:t xml:space="preserve"> </w:t>
      </w:r>
      <w:r w:rsidRPr="009800AB">
        <w:rPr>
          <w:i/>
        </w:rPr>
        <w:t>et al.,</w:t>
      </w:r>
      <w:r>
        <w:t xml:space="preserve"> 2018, </w:t>
      </w:r>
      <w:proofErr w:type="spellStart"/>
      <w:r>
        <w:t>Troya</w:t>
      </w:r>
      <w:proofErr w:type="spellEnd"/>
      <w:r>
        <w:t xml:space="preserve"> </w:t>
      </w:r>
      <w:r w:rsidRPr="009800AB">
        <w:rPr>
          <w:i/>
        </w:rPr>
        <w:t>et al.,</w:t>
      </w:r>
      <w:r>
        <w:t xml:space="preserve"> 2019, Walsh </w:t>
      </w:r>
      <w:r w:rsidRPr="009800AB">
        <w:rPr>
          <w:i/>
        </w:rPr>
        <w:t>et al.,</w:t>
      </w:r>
      <w:r>
        <w:t xml:space="preserve"> 2018</w:t>
      </w:r>
    </w:p>
  </w:footnote>
  <w:footnote w:id="425">
    <w:p w14:paraId="75C2D76E" w14:textId="6AC7903F" w:rsidR="00452DFD" w:rsidRDefault="00452DFD">
      <w:pPr>
        <w:pStyle w:val="FootnoteText"/>
      </w:pPr>
      <w:r>
        <w:rPr>
          <w:rStyle w:val="FootnoteReference"/>
        </w:rPr>
        <w:footnoteRef/>
      </w:r>
      <w:r>
        <w:t xml:space="preserve"> O’Hara </w:t>
      </w:r>
      <w:r w:rsidRPr="009800AB">
        <w:rPr>
          <w:i/>
        </w:rPr>
        <w:t>et al.,</w:t>
      </w:r>
      <w:r>
        <w:t xml:space="preserve"> 2017</w:t>
      </w:r>
    </w:p>
  </w:footnote>
  <w:footnote w:id="426">
    <w:p w14:paraId="7B8C9EB3" w14:textId="2E1D7F32" w:rsidR="00452DFD" w:rsidRDefault="00452DFD">
      <w:pPr>
        <w:pStyle w:val="FootnoteText"/>
      </w:pPr>
      <w:r>
        <w:rPr>
          <w:rStyle w:val="FootnoteReference"/>
        </w:rPr>
        <w:footnoteRef/>
      </w:r>
      <w:r>
        <w:t xml:space="preserve"> </w:t>
      </w:r>
      <w:proofErr w:type="spellStart"/>
      <w:r>
        <w:t>Breault</w:t>
      </w:r>
      <w:proofErr w:type="spellEnd"/>
      <w:r>
        <w:t xml:space="preserve"> </w:t>
      </w:r>
      <w:r w:rsidRPr="009800AB">
        <w:rPr>
          <w:i/>
        </w:rPr>
        <w:t>et al.,</w:t>
      </w:r>
      <w:r>
        <w:t xml:space="preserve"> 2018b, </w:t>
      </w:r>
      <w:proofErr w:type="spellStart"/>
      <w:r>
        <w:t>Litherland</w:t>
      </w:r>
      <w:proofErr w:type="spellEnd"/>
      <w:r>
        <w:t xml:space="preserve"> </w:t>
      </w:r>
      <w:r w:rsidRPr="009800AB">
        <w:rPr>
          <w:i/>
        </w:rPr>
        <w:t>et al.,</w:t>
      </w:r>
      <w:r>
        <w:t xml:space="preserve"> 2018 cited in Burton, Ogden, and Cooper, 2019, Di </w:t>
      </w:r>
      <w:proofErr w:type="spellStart"/>
      <w:r>
        <w:t>Lorito</w:t>
      </w:r>
      <w:proofErr w:type="spellEnd"/>
      <w:r>
        <w:t xml:space="preserve"> </w:t>
      </w:r>
      <w:r w:rsidRPr="009800AB">
        <w:rPr>
          <w:i/>
        </w:rPr>
        <w:t>et al.,</w:t>
      </w:r>
      <w:r>
        <w:t xml:space="preserve"> 2018, Dewa </w:t>
      </w:r>
      <w:r w:rsidRPr="009800AB">
        <w:rPr>
          <w:i/>
        </w:rPr>
        <w:t>et al.,</w:t>
      </w:r>
      <w:r>
        <w:t xml:space="preserve"> 2020, </w:t>
      </w:r>
      <w:proofErr w:type="spellStart"/>
      <w:r>
        <w:t>Parveen</w:t>
      </w:r>
      <w:proofErr w:type="spellEnd"/>
      <w:r>
        <w:t xml:space="preserve"> </w:t>
      </w:r>
      <w:r w:rsidRPr="009800AB">
        <w:rPr>
          <w:i/>
        </w:rPr>
        <w:t>et al.,</w:t>
      </w:r>
      <w:r>
        <w:t xml:space="preserve"> 2018</w:t>
      </w:r>
    </w:p>
  </w:footnote>
  <w:footnote w:id="427">
    <w:p w14:paraId="3B65557D" w14:textId="74B7C0F5" w:rsidR="00452DFD" w:rsidRDefault="00452DFD">
      <w:pPr>
        <w:pStyle w:val="FootnoteText"/>
      </w:pPr>
      <w:r>
        <w:rPr>
          <w:rStyle w:val="FootnoteReference"/>
        </w:rPr>
        <w:footnoteRef/>
      </w:r>
      <w:r>
        <w:t xml:space="preserve"> Waite, Poland and </w:t>
      </w:r>
      <w:proofErr w:type="spellStart"/>
      <w:r>
        <w:t>Charlesworth</w:t>
      </w:r>
      <w:proofErr w:type="spellEnd"/>
      <w:r>
        <w:t>, 2019, p. 767</w:t>
      </w:r>
    </w:p>
  </w:footnote>
  <w:footnote w:id="428">
    <w:p w14:paraId="33C805C3" w14:textId="2D3742F1" w:rsidR="00452DFD" w:rsidRDefault="00452DFD">
      <w:pPr>
        <w:pStyle w:val="FootnoteText"/>
      </w:pPr>
      <w:r>
        <w:rPr>
          <w:rStyle w:val="FootnoteReference"/>
        </w:rPr>
        <w:footnoteRef/>
      </w:r>
      <w:r>
        <w:t xml:space="preserve"> Lightfoot and </w:t>
      </w:r>
      <w:proofErr w:type="spellStart"/>
      <w:r>
        <w:t>Sloper</w:t>
      </w:r>
      <w:proofErr w:type="spellEnd"/>
      <w:r>
        <w:t xml:space="preserve">, 2003 cited in Bailey </w:t>
      </w:r>
      <w:r w:rsidRPr="009800AB">
        <w:rPr>
          <w:i/>
        </w:rPr>
        <w:t>et al.,</w:t>
      </w:r>
      <w:r>
        <w:t xml:space="preserve"> 2016, </w:t>
      </w:r>
      <w:r w:rsidRPr="00BF2A78">
        <w:t>VIPER</w:t>
      </w:r>
      <w:r>
        <w:t>,</w:t>
      </w:r>
      <w:r w:rsidRPr="00BF2A78">
        <w:t xml:space="preserve"> 2013</w:t>
      </w:r>
      <w:r>
        <w:t xml:space="preserve"> cited in Bailey </w:t>
      </w:r>
      <w:r w:rsidRPr="009800AB">
        <w:rPr>
          <w:i/>
        </w:rPr>
        <w:t>et al.,</w:t>
      </w:r>
      <w:r>
        <w:t xml:space="preserve"> 2016, Schwartz </w:t>
      </w:r>
      <w:r w:rsidRPr="009800AB">
        <w:rPr>
          <w:i/>
        </w:rPr>
        <w:t>et al.,</w:t>
      </w:r>
      <w:r>
        <w:t xml:space="preserve"> 2020,</w:t>
      </w:r>
    </w:p>
  </w:footnote>
  <w:footnote w:id="429">
    <w:p w14:paraId="0A805988" w14:textId="7DDA889E" w:rsidR="00452DFD" w:rsidRDefault="00452DFD">
      <w:pPr>
        <w:pStyle w:val="FootnoteText"/>
      </w:pPr>
      <w:r>
        <w:rPr>
          <w:rStyle w:val="FootnoteReference"/>
        </w:rPr>
        <w:footnoteRef/>
      </w:r>
      <w:r>
        <w:t xml:space="preserve"> Gregory </w:t>
      </w:r>
      <w:r w:rsidRPr="009800AB">
        <w:rPr>
          <w:i/>
        </w:rPr>
        <w:t>et al.,</w:t>
      </w:r>
      <w:r>
        <w:t xml:space="preserve"> 2018 cited in Burton, Ogden, and Cooper, 2019, </w:t>
      </w:r>
      <w:proofErr w:type="spellStart"/>
      <w:r>
        <w:t>Litherland</w:t>
      </w:r>
      <w:proofErr w:type="spellEnd"/>
      <w:r>
        <w:t xml:space="preserve"> </w:t>
      </w:r>
      <w:r w:rsidRPr="00185C11">
        <w:rPr>
          <w:i/>
        </w:rPr>
        <w:t xml:space="preserve">et al. </w:t>
      </w:r>
      <w:r>
        <w:t xml:space="preserve">2018 cited in Burton, Ogden, and Cooper, 2019, </w:t>
      </w:r>
      <w:r w:rsidRPr="00AA7B16">
        <w:t xml:space="preserve">Rapaport </w:t>
      </w:r>
      <w:r w:rsidRPr="00AA7B16">
        <w:rPr>
          <w:i/>
        </w:rPr>
        <w:t>et al.,</w:t>
      </w:r>
      <w:r w:rsidRPr="00AA7B16">
        <w:t xml:space="preserve"> 2018, cited</w:t>
      </w:r>
      <w:r>
        <w:t xml:space="preserve"> in Burton, Ogden, and Cooper, 2019, Mann and Hung, 2018, </w:t>
      </w:r>
      <w:proofErr w:type="spellStart"/>
      <w:r w:rsidRPr="00EA0077">
        <w:t>Mayrhofer</w:t>
      </w:r>
      <w:proofErr w:type="spellEnd"/>
      <w:r w:rsidRPr="00EA0077">
        <w:t xml:space="preserve"> </w:t>
      </w:r>
      <w:r w:rsidRPr="00185C11">
        <w:rPr>
          <w:i/>
        </w:rPr>
        <w:t xml:space="preserve">et al. </w:t>
      </w:r>
      <w:r>
        <w:t xml:space="preserve">2018, </w:t>
      </w:r>
      <w:proofErr w:type="spellStart"/>
      <w:r>
        <w:t>Morbey</w:t>
      </w:r>
      <w:proofErr w:type="spellEnd"/>
      <w:r>
        <w:t xml:space="preserve"> </w:t>
      </w:r>
      <w:r w:rsidRPr="009800AB">
        <w:rPr>
          <w:i/>
        </w:rPr>
        <w:t>et al.,</w:t>
      </w:r>
      <w:r>
        <w:t xml:space="preserve"> 2019, Mann and Hung, 2018, </w:t>
      </w:r>
      <w:proofErr w:type="spellStart"/>
      <w:r w:rsidRPr="00EA0077">
        <w:t>Mayrhofer</w:t>
      </w:r>
      <w:proofErr w:type="spellEnd"/>
      <w:r w:rsidRPr="00EA0077">
        <w:t xml:space="preserve"> </w:t>
      </w:r>
      <w:r w:rsidRPr="00185C11">
        <w:rPr>
          <w:i/>
        </w:rPr>
        <w:t xml:space="preserve">et al. </w:t>
      </w:r>
      <w:r>
        <w:t xml:space="preserve">2018, </w:t>
      </w:r>
      <w:proofErr w:type="spellStart"/>
      <w:r>
        <w:t>Morbey</w:t>
      </w:r>
      <w:proofErr w:type="spellEnd"/>
      <w:r>
        <w:t xml:space="preserve"> </w:t>
      </w:r>
      <w:r w:rsidRPr="009800AB">
        <w:rPr>
          <w:i/>
        </w:rPr>
        <w:t>et al.,</w:t>
      </w:r>
      <w:r>
        <w:t xml:space="preserve"> 2019, Roberts </w:t>
      </w:r>
      <w:r w:rsidRPr="009800AB">
        <w:rPr>
          <w:i/>
        </w:rPr>
        <w:t>et al.,</w:t>
      </w:r>
      <w:r>
        <w:t xml:space="preserve"> 2020</w:t>
      </w:r>
    </w:p>
  </w:footnote>
  <w:footnote w:id="430">
    <w:p w14:paraId="4B842964" w14:textId="612D155F" w:rsidR="00452DFD" w:rsidRDefault="00452DFD">
      <w:pPr>
        <w:pStyle w:val="FootnoteText"/>
      </w:pPr>
      <w:r>
        <w:rPr>
          <w:rStyle w:val="FootnoteReference"/>
        </w:rPr>
        <w:footnoteRef/>
      </w:r>
      <w:r>
        <w:t xml:space="preserve"> </w:t>
      </w:r>
      <w:proofErr w:type="spellStart"/>
      <w:r>
        <w:t>Breault</w:t>
      </w:r>
      <w:proofErr w:type="spellEnd"/>
      <w:r>
        <w:t xml:space="preserve"> </w:t>
      </w:r>
      <w:r w:rsidRPr="009800AB">
        <w:rPr>
          <w:i/>
        </w:rPr>
        <w:t>et al.,</w:t>
      </w:r>
      <w:r>
        <w:t xml:space="preserve"> 2018b, </w:t>
      </w:r>
      <w:proofErr w:type="spellStart"/>
      <w:r>
        <w:t>ImaYDiT</w:t>
      </w:r>
      <w:proofErr w:type="spellEnd"/>
      <w:r>
        <w:t>, 2018</w:t>
      </w:r>
    </w:p>
  </w:footnote>
  <w:footnote w:id="431">
    <w:p w14:paraId="00A52B44" w14:textId="6BB75367" w:rsidR="00452DFD" w:rsidRDefault="00452DFD">
      <w:pPr>
        <w:pStyle w:val="FootnoteText"/>
      </w:pPr>
      <w:r>
        <w:rPr>
          <w:rStyle w:val="FootnoteReference"/>
        </w:rPr>
        <w:footnoteRef/>
      </w:r>
      <w:r>
        <w:t xml:space="preserve"> Stanley </w:t>
      </w:r>
      <w:r w:rsidRPr="009800AB">
        <w:rPr>
          <w:i/>
        </w:rPr>
        <w:t>et al.,</w:t>
      </w:r>
      <w:r>
        <w:t xml:space="preserve"> 2019, p. 1664</w:t>
      </w:r>
    </w:p>
  </w:footnote>
  <w:footnote w:id="432">
    <w:p w14:paraId="21C98C7E" w14:textId="4E7F10F7" w:rsidR="00452DFD" w:rsidRDefault="00452DFD">
      <w:pPr>
        <w:pStyle w:val="FootnoteText"/>
      </w:pPr>
      <w:r>
        <w:rPr>
          <w:rStyle w:val="FootnoteReference"/>
        </w:rPr>
        <w:footnoteRef/>
      </w:r>
      <w:r>
        <w:t xml:space="preserve"> </w:t>
      </w:r>
      <w:proofErr w:type="spellStart"/>
      <w:r w:rsidRPr="00A74660">
        <w:t>Brosnan</w:t>
      </w:r>
      <w:proofErr w:type="spellEnd"/>
      <w:r w:rsidRPr="00A74660">
        <w:t xml:space="preserve"> </w:t>
      </w:r>
      <w:r w:rsidRPr="009800AB">
        <w:rPr>
          <w:i/>
        </w:rPr>
        <w:t>et al.,</w:t>
      </w:r>
      <w:r>
        <w:t xml:space="preserve"> </w:t>
      </w:r>
      <w:r w:rsidRPr="00A74660">
        <w:t>2016</w:t>
      </w:r>
      <w:r>
        <w:t>,</w:t>
      </w:r>
      <w:r w:rsidRPr="00A74660">
        <w:t xml:space="preserve"> Stack </w:t>
      </w:r>
      <w:r>
        <w:t>and</w:t>
      </w:r>
      <w:r w:rsidRPr="00A74660">
        <w:t xml:space="preserve"> McDonald 2018</w:t>
      </w:r>
    </w:p>
  </w:footnote>
  <w:footnote w:id="433">
    <w:p w14:paraId="4216056B" w14:textId="283B19D2" w:rsidR="00452DFD" w:rsidRDefault="00452DFD">
      <w:pPr>
        <w:pStyle w:val="FootnoteText"/>
      </w:pPr>
      <w:r>
        <w:rPr>
          <w:rStyle w:val="FootnoteReference"/>
        </w:rPr>
        <w:footnoteRef/>
      </w:r>
      <w:r>
        <w:t xml:space="preserve"> </w:t>
      </w:r>
      <w:r w:rsidRPr="00A74660">
        <w:t xml:space="preserve">Ashcroft </w:t>
      </w:r>
      <w:r w:rsidRPr="009800AB">
        <w:rPr>
          <w:i/>
        </w:rPr>
        <w:t>et al.,</w:t>
      </w:r>
      <w:r>
        <w:t xml:space="preserve"> 2016, </w:t>
      </w:r>
      <w:proofErr w:type="spellStart"/>
      <w:r>
        <w:t>Charlesworth</w:t>
      </w:r>
      <w:proofErr w:type="spellEnd"/>
      <w:r>
        <w:t xml:space="preserve">, 2018, </w:t>
      </w:r>
      <w:r w:rsidRPr="00A74660">
        <w:t xml:space="preserve">Vaughn </w:t>
      </w:r>
      <w:r w:rsidRPr="009800AB">
        <w:rPr>
          <w:i/>
        </w:rPr>
        <w:t>et al.,</w:t>
      </w:r>
      <w:r>
        <w:t xml:space="preserve"> </w:t>
      </w:r>
      <w:r w:rsidRPr="00A74660">
        <w:t>2019</w:t>
      </w:r>
    </w:p>
  </w:footnote>
  <w:footnote w:id="434">
    <w:p w14:paraId="0C8C0481" w14:textId="3D715B93" w:rsidR="00452DFD" w:rsidRDefault="00452DFD">
      <w:pPr>
        <w:pStyle w:val="FootnoteText"/>
      </w:pPr>
      <w:r>
        <w:rPr>
          <w:rStyle w:val="FootnoteReference"/>
        </w:rPr>
        <w:footnoteRef/>
      </w:r>
      <w:r>
        <w:t xml:space="preserve"> </w:t>
      </w:r>
      <w:r w:rsidRPr="000479BF">
        <w:t>Campus Engage, 2017</w:t>
      </w:r>
      <w:r>
        <w:t xml:space="preserve">, Vaughn </w:t>
      </w:r>
      <w:r w:rsidRPr="009800AB">
        <w:rPr>
          <w:i/>
        </w:rPr>
        <w:t>et al.,</w:t>
      </w:r>
      <w:r>
        <w:t xml:space="preserve"> 2019, </w:t>
      </w:r>
    </w:p>
  </w:footnote>
  <w:footnote w:id="435">
    <w:p w14:paraId="789829CE" w14:textId="67AD9C85" w:rsidR="00452DFD" w:rsidRDefault="00452DFD">
      <w:pPr>
        <w:pStyle w:val="FootnoteText"/>
      </w:pPr>
      <w:r>
        <w:rPr>
          <w:rStyle w:val="FootnoteReference"/>
        </w:rPr>
        <w:footnoteRef/>
      </w:r>
      <w:r>
        <w:t xml:space="preserve"> </w:t>
      </w:r>
      <w:r w:rsidRPr="00DE7E40">
        <w:rPr>
          <w:lang w:eastAsia="en-IE"/>
        </w:rPr>
        <w:t>R1</w:t>
      </w:r>
      <w:r>
        <w:rPr>
          <w:lang w:eastAsia="en-IE"/>
        </w:rPr>
        <w:t xml:space="preserve"> in Waite, Poland and </w:t>
      </w:r>
      <w:proofErr w:type="spellStart"/>
      <w:r>
        <w:rPr>
          <w:lang w:eastAsia="en-IE"/>
        </w:rPr>
        <w:t>Charlesworth</w:t>
      </w:r>
      <w:proofErr w:type="spellEnd"/>
      <w:r>
        <w:rPr>
          <w:lang w:eastAsia="en-IE"/>
        </w:rPr>
        <w:t>, 2019, p. 763</w:t>
      </w:r>
    </w:p>
  </w:footnote>
  <w:footnote w:id="436">
    <w:p w14:paraId="5A9DE593" w14:textId="51408474" w:rsidR="00452DFD" w:rsidRDefault="00452DFD">
      <w:pPr>
        <w:pStyle w:val="FootnoteText"/>
      </w:pPr>
      <w:r>
        <w:rPr>
          <w:rStyle w:val="FootnoteReference"/>
        </w:rPr>
        <w:footnoteRef/>
      </w:r>
      <w:r>
        <w:t xml:space="preserve"> </w:t>
      </w:r>
      <w:r w:rsidRPr="00DF7438">
        <w:t xml:space="preserve">Bailey </w:t>
      </w:r>
      <w:r w:rsidRPr="009800AB">
        <w:rPr>
          <w:i/>
        </w:rPr>
        <w:t>et al.,</w:t>
      </w:r>
      <w:r>
        <w:t xml:space="preserve"> </w:t>
      </w:r>
      <w:r w:rsidRPr="00DF7438">
        <w:t>2015</w:t>
      </w:r>
      <w:r>
        <w:t xml:space="preserve">, </w:t>
      </w:r>
      <w:proofErr w:type="spellStart"/>
      <w:r w:rsidRPr="00DF7438">
        <w:t>Bigby</w:t>
      </w:r>
      <w:proofErr w:type="spellEnd"/>
      <w:r w:rsidRPr="00DF7438">
        <w:t xml:space="preserve"> </w:t>
      </w:r>
      <w:r w:rsidRPr="009800AB">
        <w:rPr>
          <w:i/>
        </w:rPr>
        <w:t>et al.,</w:t>
      </w:r>
      <w:r>
        <w:t xml:space="preserve"> </w:t>
      </w:r>
      <w:r w:rsidRPr="00DF7438">
        <w:t xml:space="preserve">2014a </w:t>
      </w:r>
      <w:r>
        <w:t xml:space="preserve">cited in </w:t>
      </w:r>
      <w:proofErr w:type="spellStart"/>
      <w:r>
        <w:t>Frankena</w:t>
      </w:r>
      <w:proofErr w:type="spellEnd"/>
      <w:r>
        <w:t xml:space="preserve"> </w:t>
      </w:r>
      <w:r w:rsidRPr="009800AB">
        <w:rPr>
          <w:i/>
        </w:rPr>
        <w:t>et al.,</w:t>
      </w:r>
      <w:r>
        <w:t xml:space="preserve"> 2015, </w:t>
      </w:r>
      <w:proofErr w:type="spellStart"/>
      <w:r>
        <w:t>Bigby</w:t>
      </w:r>
      <w:proofErr w:type="spellEnd"/>
      <w:r>
        <w:t xml:space="preserve"> </w:t>
      </w:r>
      <w:r w:rsidRPr="009800AB">
        <w:rPr>
          <w:i/>
        </w:rPr>
        <w:t>et al.,</w:t>
      </w:r>
      <w:r>
        <w:t xml:space="preserve"> </w:t>
      </w:r>
      <w:r w:rsidRPr="00DF7438">
        <w:t xml:space="preserve">2014b </w:t>
      </w:r>
      <w:r>
        <w:t>cited in</w:t>
      </w:r>
      <w:r w:rsidRPr="00DF7438">
        <w:t xml:space="preserve"> </w:t>
      </w:r>
      <w:proofErr w:type="spellStart"/>
      <w:r w:rsidRPr="00DF7438">
        <w:t>Frankena</w:t>
      </w:r>
      <w:proofErr w:type="spellEnd"/>
      <w:r w:rsidRPr="00DF7438">
        <w:t xml:space="preserve"> </w:t>
      </w:r>
      <w:r w:rsidRPr="009800AB">
        <w:rPr>
          <w:i/>
        </w:rPr>
        <w:t>et al.,</w:t>
      </w:r>
      <w:r>
        <w:t xml:space="preserve"> </w:t>
      </w:r>
      <w:r w:rsidRPr="00DF7438">
        <w:t>2015</w:t>
      </w:r>
    </w:p>
  </w:footnote>
  <w:footnote w:id="437">
    <w:p w14:paraId="0B817295" w14:textId="69786E35"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 </w:t>
      </w:r>
      <w:proofErr w:type="spellStart"/>
      <w:r>
        <w:t>Puyalto</w:t>
      </w:r>
      <w:proofErr w:type="spellEnd"/>
      <w:r>
        <w:t xml:space="preserve"> </w:t>
      </w:r>
      <w:r w:rsidRPr="009800AB">
        <w:rPr>
          <w:i/>
        </w:rPr>
        <w:t>et al.,</w:t>
      </w:r>
      <w:r>
        <w:t xml:space="preserve"> 2016, Stanley </w:t>
      </w:r>
      <w:r w:rsidRPr="009800AB">
        <w:rPr>
          <w:i/>
        </w:rPr>
        <w:t>et al.,</w:t>
      </w:r>
      <w:r>
        <w:t xml:space="preserve"> 2019, Werner-</w:t>
      </w:r>
      <w:proofErr w:type="spellStart"/>
      <w:r>
        <w:t>Seidler</w:t>
      </w:r>
      <w:proofErr w:type="spellEnd"/>
      <w:r>
        <w:t xml:space="preserve"> </w:t>
      </w:r>
      <w:r w:rsidRPr="009800AB">
        <w:rPr>
          <w:i/>
        </w:rPr>
        <w:t>et al.,</w:t>
      </w:r>
      <w:r>
        <w:t xml:space="preserve"> 2019, </w:t>
      </w:r>
      <w:proofErr w:type="spellStart"/>
      <w:r>
        <w:t>Woelders</w:t>
      </w:r>
      <w:proofErr w:type="spellEnd"/>
      <w:r>
        <w:t xml:space="preserve"> </w:t>
      </w:r>
      <w:r w:rsidRPr="009800AB">
        <w:rPr>
          <w:i/>
        </w:rPr>
        <w:t>et al.,</w:t>
      </w:r>
      <w:r>
        <w:t xml:space="preserve"> 2015</w:t>
      </w:r>
    </w:p>
  </w:footnote>
  <w:footnote w:id="438">
    <w:p w14:paraId="455E81E4" w14:textId="341C3B86" w:rsidR="00452DFD" w:rsidRDefault="00452DFD">
      <w:pPr>
        <w:pStyle w:val="FootnoteText"/>
      </w:pPr>
      <w:r>
        <w:rPr>
          <w:rStyle w:val="FootnoteReference"/>
        </w:rPr>
        <w:footnoteRef/>
      </w:r>
      <w:r>
        <w:t xml:space="preserve"> </w:t>
      </w:r>
      <w:r w:rsidRPr="00552095">
        <w:t>Drill Report, 2018</w:t>
      </w:r>
      <w:r>
        <w:t>,</w:t>
      </w:r>
      <w:r w:rsidRPr="00552095">
        <w:t xml:space="preserve"> </w:t>
      </w:r>
      <w:proofErr w:type="spellStart"/>
      <w:r w:rsidRPr="00552095">
        <w:t>Puyalto</w:t>
      </w:r>
      <w:proofErr w:type="spellEnd"/>
      <w:r w:rsidRPr="00552095">
        <w:t xml:space="preserve"> </w:t>
      </w:r>
      <w:r w:rsidRPr="009800AB">
        <w:rPr>
          <w:i/>
        </w:rPr>
        <w:t>et al.,</w:t>
      </w:r>
      <w:r>
        <w:t xml:space="preserve"> </w:t>
      </w:r>
      <w:r w:rsidRPr="00552095">
        <w:t>201</w:t>
      </w:r>
      <w:r>
        <w:t xml:space="preserve">6, </w:t>
      </w:r>
      <w:r w:rsidRPr="00552095">
        <w:t xml:space="preserve">Stanley </w:t>
      </w:r>
      <w:r w:rsidRPr="009800AB">
        <w:rPr>
          <w:i/>
        </w:rPr>
        <w:t>et al.,</w:t>
      </w:r>
      <w:r>
        <w:t xml:space="preserve"> </w:t>
      </w:r>
      <w:r w:rsidRPr="00552095">
        <w:t>2019</w:t>
      </w:r>
    </w:p>
  </w:footnote>
  <w:footnote w:id="439">
    <w:p w14:paraId="4F153F1F" w14:textId="25D61BE7" w:rsidR="00452DFD" w:rsidRDefault="00452DFD">
      <w:pPr>
        <w:pStyle w:val="FootnoteText"/>
      </w:pPr>
      <w:r>
        <w:rPr>
          <w:rStyle w:val="FootnoteReference"/>
        </w:rPr>
        <w:footnoteRef/>
      </w:r>
      <w:r>
        <w:t xml:space="preserve"> </w:t>
      </w:r>
      <w:r w:rsidRPr="003F4EDB">
        <w:t>Smith-Merry, 2017</w:t>
      </w:r>
    </w:p>
  </w:footnote>
  <w:footnote w:id="440">
    <w:p w14:paraId="001D4821" w14:textId="65381246" w:rsidR="00452DFD" w:rsidRDefault="00452DFD">
      <w:pPr>
        <w:pStyle w:val="FootnoteText"/>
      </w:pPr>
      <w:r>
        <w:rPr>
          <w:rStyle w:val="FootnoteReference"/>
        </w:rPr>
        <w:footnoteRef/>
      </w:r>
      <w:r>
        <w:t xml:space="preserve"> Ashcroft </w:t>
      </w:r>
      <w:r w:rsidRPr="009800AB">
        <w:rPr>
          <w:i/>
        </w:rPr>
        <w:t>et al.,</w:t>
      </w:r>
      <w:r>
        <w:t xml:space="preserve"> 2016, IRN, 2019, </w:t>
      </w:r>
      <w:proofErr w:type="spellStart"/>
      <w:r>
        <w:t>Nicolaidis</w:t>
      </w:r>
      <w:proofErr w:type="spellEnd"/>
      <w:r>
        <w:t xml:space="preserve"> </w:t>
      </w:r>
      <w:r w:rsidRPr="009800AB">
        <w:rPr>
          <w:i/>
        </w:rPr>
        <w:t>et al.,</w:t>
      </w:r>
      <w:r>
        <w:t xml:space="preserve"> 2019, </w:t>
      </w:r>
      <w:proofErr w:type="spellStart"/>
      <w:r>
        <w:t>Woelder</w:t>
      </w:r>
      <w:proofErr w:type="spellEnd"/>
      <w:r>
        <w:t xml:space="preserve"> </w:t>
      </w:r>
      <w:r w:rsidRPr="009800AB">
        <w:rPr>
          <w:i/>
        </w:rPr>
        <w:t>et al.,</w:t>
      </w:r>
      <w:r>
        <w:t xml:space="preserve"> 2015</w:t>
      </w:r>
    </w:p>
  </w:footnote>
  <w:footnote w:id="441">
    <w:p w14:paraId="08A2E9E3" w14:textId="28A423F3" w:rsidR="00452DFD" w:rsidRDefault="00452DFD">
      <w:pPr>
        <w:pStyle w:val="FootnoteText"/>
      </w:pPr>
      <w:r>
        <w:rPr>
          <w:rStyle w:val="FootnoteReference"/>
        </w:rPr>
        <w:footnoteRef/>
      </w:r>
      <w:r>
        <w:t xml:space="preserve"> Armstrong </w:t>
      </w:r>
      <w:r w:rsidRPr="009800AB">
        <w:rPr>
          <w:i/>
        </w:rPr>
        <w:t>et al.,</w:t>
      </w:r>
      <w:r>
        <w:t xml:space="preserve"> 2019, Ashcroft </w:t>
      </w:r>
      <w:r w:rsidRPr="009800AB">
        <w:rPr>
          <w:i/>
        </w:rPr>
        <w:t>et al.,</w:t>
      </w:r>
      <w:r>
        <w:t xml:space="preserve"> 2016, </w:t>
      </w:r>
      <w:proofErr w:type="spellStart"/>
      <w:r>
        <w:t>Frankena</w:t>
      </w:r>
      <w:proofErr w:type="spellEnd"/>
      <w:r>
        <w:t xml:space="preserve"> </w:t>
      </w:r>
      <w:r w:rsidRPr="009800AB">
        <w:rPr>
          <w:i/>
        </w:rPr>
        <w:t>et al.,</w:t>
      </w:r>
      <w:r>
        <w:t xml:space="preserve"> 2015, King </w:t>
      </w:r>
      <w:r w:rsidRPr="009800AB">
        <w:rPr>
          <w:i/>
        </w:rPr>
        <w:t>et al.,</w:t>
      </w:r>
      <w:r>
        <w:t xml:space="preserve"> 2019</w:t>
      </w:r>
    </w:p>
  </w:footnote>
  <w:footnote w:id="442">
    <w:p w14:paraId="779EAC4B" w14:textId="39FED2EA" w:rsidR="00452DFD" w:rsidRDefault="00452DFD">
      <w:pPr>
        <w:pStyle w:val="FootnoteText"/>
      </w:pPr>
      <w:r>
        <w:rPr>
          <w:rStyle w:val="FootnoteReference"/>
        </w:rPr>
        <w:footnoteRef/>
      </w:r>
      <w:r>
        <w:t xml:space="preserve"> </w:t>
      </w:r>
      <w:proofErr w:type="spellStart"/>
      <w:r>
        <w:t>Moule</w:t>
      </w:r>
      <w:proofErr w:type="spellEnd"/>
      <w:r>
        <w:t xml:space="preserve"> </w:t>
      </w:r>
      <w:r w:rsidRPr="009800AB">
        <w:rPr>
          <w:i/>
        </w:rPr>
        <w:t>et al.,</w:t>
      </w:r>
      <w:r>
        <w:t xml:space="preserve"> 2016</w:t>
      </w:r>
    </w:p>
  </w:footnote>
  <w:footnote w:id="443">
    <w:p w14:paraId="4F123B37" w14:textId="7A60C098" w:rsidR="00452DFD" w:rsidRDefault="00452DFD">
      <w:pPr>
        <w:pStyle w:val="FootnoteText"/>
      </w:pPr>
      <w:r>
        <w:rPr>
          <w:rStyle w:val="FootnoteReference"/>
        </w:rPr>
        <w:footnoteRef/>
      </w:r>
      <w:r>
        <w:t xml:space="preserve"> Anderson </w:t>
      </w:r>
      <w:r w:rsidRPr="009800AB">
        <w:rPr>
          <w:i/>
        </w:rPr>
        <w:t>et al.,</w:t>
      </w:r>
      <w:r>
        <w:t xml:space="preserve"> 2018, Anderson </w:t>
      </w:r>
      <w:r w:rsidRPr="009800AB">
        <w:rPr>
          <w:i/>
        </w:rPr>
        <w:t>et al.,</w:t>
      </w:r>
      <w:r>
        <w:t xml:space="preserve"> 2019</w:t>
      </w:r>
    </w:p>
  </w:footnote>
  <w:footnote w:id="444">
    <w:p w14:paraId="7E2CDEBC" w14:textId="07355067" w:rsidR="00452DFD" w:rsidRDefault="00452DFD">
      <w:pPr>
        <w:pStyle w:val="FootnoteText"/>
      </w:pPr>
      <w:r>
        <w:rPr>
          <w:rStyle w:val="FootnoteReference"/>
        </w:rPr>
        <w:footnoteRef/>
      </w:r>
      <w:r>
        <w:t xml:space="preserve"> </w:t>
      </w:r>
      <w:proofErr w:type="spellStart"/>
      <w:r>
        <w:t>Nind</w:t>
      </w:r>
      <w:proofErr w:type="spellEnd"/>
      <w:r>
        <w:t xml:space="preserve"> </w:t>
      </w:r>
      <w:r w:rsidRPr="009800AB">
        <w:rPr>
          <w:i/>
        </w:rPr>
        <w:t>et al.,</w:t>
      </w:r>
      <w:r>
        <w:t xml:space="preserve"> 2017</w:t>
      </w:r>
    </w:p>
  </w:footnote>
  <w:footnote w:id="445">
    <w:p w14:paraId="624FE5BC" w14:textId="055B8691" w:rsidR="00452DFD" w:rsidRDefault="00452DFD">
      <w:pPr>
        <w:pStyle w:val="FootnoteText"/>
      </w:pPr>
      <w:r>
        <w:rPr>
          <w:rStyle w:val="FootnoteReference"/>
        </w:rPr>
        <w:footnoteRef/>
      </w:r>
      <w:r>
        <w:t xml:space="preserve"> </w:t>
      </w:r>
      <w:r w:rsidRPr="000276B1">
        <w:t xml:space="preserve">Anderson </w:t>
      </w:r>
      <w:r w:rsidRPr="009800AB">
        <w:rPr>
          <w:i/>
        </w:rPr>
        <w:t>et al.,</w:t>
      </w:r>
      <w:r>
        <w:t xml:space="preserve"> </w:t>
      </w:r>
      <w:r w:rsidRPr="000276B1">
        <w:t>2019</w:t>
      </w:r>
      <w:r>
        <w:t>,</w:t>
      </w:r>
      <w:r w:rsidRPr="000276B1">
        <w:t xml:space="preserve"> </w:t>
      </w:r>
      <w:proofErr w:type="spellStart"/>
      <w:r w:rsidRPr="00CA2163">
        <w:t>Barod</w:t>
      </w:r>
      <w:proofErr w:type="spellEnd"/>
      <w:r w:rsidRPr="00CA2163">
        <w:t xml:space="preserve"> Community Interest Company</w:t>
      </w:r>
      <w:r>
        <w:t>, 2019, Burton, Ogden, and Cooper, 2019,</w:t>
      </w:r>
      <w:r w:rsidRPr="000276B1">
        <w:t xml:space="preserve"> </w:t>
      </w:r>
      <w:r>
        <w:t>Schwartz</w:t>
      </w:r>
      <w:r w:rsidRPr="000276B1">
        <w:t xml:space="preserve"> </w:t>
      </w:r>
      <w:r>
        <w:t>and</w:t>
      </w:r>
      <w:r w:rsidRPr="000276B1">
        <w:t xml:space="preserve"> Durkin, 2020</w:t>
      </w:r>
    </w:p>
  </w:footnote>
  <w:footnote w:id="446">
    <w:p w14:paraId="2F80D264" w14:textId="539D9116" w:rsidR="00452DFD" w:rsidRDefault="00452DFD">
      <w:pPr>
        <w:pStyle w:val="FootnoteText"/>
      </w:pPr>
      <w:r>
        <w:rPr>
          <w:rStyle w:val="FootnoteReference"/>
        </w:rPr>
        <w:footnoteRef/>
      </w:r>
      <w:r>
        <w:t xml:space="preserve"> </w:t>
      </w:r>
      <w:proofErr w:type="spellStart"/>
      <w:r>
        <w:t>Troya</w:t>
      </w:r>
      <w:proofErr w:type="spellEnd"/>
      <w:r>
        <w:t xml:space="preserve"> </w:t>
      </w:r>
      <w:r w:rsidRPr="009800AB">
        <w:rPr>
          <w:i/>
        </w:rPr>
        <w:t>et al.,</w:t>
      </w:r>
      <w:r>
        <w:t xml:space="preserve"> 2019</w:t>
      </w:r>
    </w:p>
  </w:footnote>
  <w:footnote w:id="447">
    <w:p w14:paraId="3B1FEA7B" w14:textId="4FF046B4"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2015a, Swarbrick </w:t>
      </w:r>
      <w:r w:rsidRPr="009800AB">
        <w:rPr>
          <w:i/>
        </w:rPr>
        <w:t>et al.,</w:t>
      </w:r>
      <w:r>
        <w:t xml:space="preserve"> 2019</w:t>
      </w:r>
    </w:p>
  </w:footnote>
  <w:footnote w:id="448">
    <w:p w14:paraId="7A27EA4A" w14:textId="4E2671AC" w:rsidR="00452DFD" w:rsidRDefault="00452DFD">
      <w:pPr>
        <w:pStyle w:val="FootnoteText"/>
      </w:pPr>
      <w:r>
        <w:rPr>
          <w:rStyle w:val="FootnoteReference"/>
        </w:rPr>
        <w:footnoteRef/>
      </w:r>
      <w:r>
        <w:t xml:space="preserve"> Waite, Poland and </w:t>
      </w:r>
      <w:proofErr w:type="spellStart"/>
      <w:r>
        <w:t>Charlesworth</w:t>
      </w:r>
      <w:proofErr w:type="spellEnd"/>
      <w:r>
        <w:t>, 2019</w:t>
      </w:r>
    </w:p>
  </w:footnote>
  <w:footnote w:id="449">
    <w:p w14:paraId="3E2D97BE" w14:textId="2C360BFC" w:rsidR="00452DFD" w:rsidRDefault="00452DFD">
      <w:pPr>
        <w:pStyle w:val="FootnoteText"/>
      </w:pPr>
      <w:r>
        <w:rPr>
          <w:rStyle w:val="FootnoteReference"/>
        </w:rPr>
        <w:footnoteRef/>
      </w:r>
      <w:r>
        <w:t xml:space="preserve"> </w:t>
      </w:r>
      <w:proofErr w:type="spellStart"/>
      <w:r>
        <w:t>Nicolaidis</w:t>
      </w:r>
      <w:proofErr w:type="spellEnd"/>
      <w:r>
        <w:t xml:space="preserve"> </w:t>
      </w:r>
      <w:r w:rsidRPr="009800AB">
        <w:rPr>
          <w:i/>
        </w:rPr>
        <w:t>et al.,</w:t>
      </w:r>
      <w:r>
        <w:t xml:space="preserve"> 2019, Rojas </w:t>
      </w:r>
      <w:proofErr w:type="spellStart"/>
      <w:r>
        <w:t>Pernia</w:t>
      </w:r>
      <w:proofErr w:type="spellEnd"/>
      <w:r>
        <w:t xml:space="preserve"> and Haya </w:t>
      </w:r>
      <w:proofErr w:type="spellStart"/>
      <w:r>
        <w:t>Salmón</w:t>
      </w:r>
      <w:proofErr w:type="spellEnd"/>
      <w:r>
        <w:t>, 2020, Smith-Merry</w:t>
      </w:r>
      <w:r w:rsidRPr="00B61B4A">
        <w:t>, 2017</w:t>
      </w:r>
    </w:p>
  </w:footnote>
  <w:footnote w:id="450">
    <w:p w14:paraId="3770A0CE" w14:textId="4CA8BB57" w:rsidR="00452DFD" w:rsidRDefault="00452DFD">
      <w:pPr>
        <w:pStyle w:val="FootnoteText"/>
      </w:pPr>
      <w:r>
        <w:rPr>
          <w:rStyle w:val="FootnoteReference"/>
        </w:rPr>
        <w:footnoteRef/>
      </w:r>
      <w:r>
        <w:t xml:space="preserve"> Smith-Merry, no date</w:t>
      </w:r>
    </w:p>
  </w:footnote>
  <w:footnote w:id="451">
    <w:p w14:paraId="7C577558" w14:textId="0916F105" w:rsidR="00452DFD" w:rsidRDefault="00452DFD" w:rsidP="000257E9">
      <w:pPr>
        <w:pStyle w:val="FootnoteText"/>
      </w:pPr>
      <w:r>
        <w:rPr>
          <w:rStyle w:val="FootnoteReference"/>
        </w:rPr>
        <w:footnoteRef/>
      </w:r>
      <w:r>
        <w:t xml:space="preserve"> Talking Mats is an evidence-based communication tool developed by speech and language therapists which use visuals to enable communication. See </w:t>
      </w:r>
      <w:hyperlink r:id="rId3" w:history="1">
        <w:r w:rsidRPr="009F24E7">
          <w:rPr>
            <w:rStyle w:val="Hyperlink"/>
          </w:rPr>
          <w:t>https://www.talkingmats.com/</w:t>
        </w:r>
      </w:hyperlink>
      <w:r>
        <w:t xml:space="preserve"> </w:t>
      </w:r>
    </w:p>
  </w:footnote>
  <w:footnote w:id="452">
    <w:p w14:paraId="27C41812" w14:textId="4F2F8C99"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w:t>
      </w:r>
    </w:p>
  </w:footnote>
  <w:footnote w:id="453">
    <w:p w14:paraId="3A9E61F9" w14:textId="7FBC2A65" w:rsidR="00452DFD" w:rsidRDefault="00452DFD">
      <w:pPr>
        <w:pStyle w:val="FootnoteText"/>
      </w:pPr>
      <w:r>
        <w:rPr>
          <w:rStyle w:val="FootnoteReference"/>
        </w:rPr>
        <w:footnoteRef/>
      </w:r>
      <w:r>
        <w:t xml:space="preserve"> A structured process to facilitate effective and efficient communication and decision-making. Holding up one finger means “yay, I approve, do it!”, two fingers means “meh, I’m not thrilled but I’ll approve”, 3 fingers means “I am not sure, I need more information or discussion”,, 4 fingers means “I don’t like, I don’t approve it, but I can live with it”, five fingers means “I hate this so much that I can’t live with having my name associated with it” (</w:t>
      </w:r>
      <w:proofErr w:type="spellStart"/>
      <w:r>
        <w:t>Nicolaidis</w:t>
      </w:r>
      <w:proofErr w:type="spellEnd"/>
      <w:r>
        <w:t xml:space="preserve"> </w:t>
      </w:r>
      <w:r w:rsidRPr="009800AB">
        <w:rPr>
          <w:i/>
        </w:rPr>
        <w:t>et al.,</w:t>
      </w:r>
      <w:r>
        <w:t xml:space="preserve"> 2011).</w:t>
      </w:r>
    </w:p>
  </w:footnote>
  <w:footnote w:id="454">
    <w:p w14:paraId="3C048534" w14:textId="2F37DFA9"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455">
    <w:p w14:paraId="0D9AE2EA" w14:textId="5531CA55" w:rsidR="00452DFD" w:rsidRDefault="00452DFD">
      <w:pPr>
        <w:pStyle w:val="FootnoteText"/>
      </w:pPr>
      <w:r>
        <w:rPr>
          <w:rStyle w:val="FootnoteReference"/>
        </w:rPr>
        <w:footnoteRef/>
      </w:r>
      <w:r>
        <w:t xml:space="preserve"> Callus, 2019, </w:t>
      </w:r>
      <w:proofErr w:type="spellStart"/>
      <w:r>
        <w:t>Frankena</w:t>
      </w:r>
      <w:proofErr w:type="spellEnd"/>
      <w:r>
        <w:t xml:space="preserve"> </w:t>
      </w:r>
      <w:r w:rsidRPr="009800AB">
        <w:rPr>
          <w:i/>
        </w:rPr>
        <w:t>et al.,</w:t>
      </w:r>
      <w:r>
        <w:t xml:space="preserve"> 2019c</w:t>
      </w:r>
    </w:p>
  </w:footnote>
  <w:footnote w:id="456">
    <w:p w14:paraId="308CE378" w14:textId="1C02BBBE"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w:t>
      </w:r>
    </w:p>
  </w:footnote>
  <w:footnote w:id="457">
    <w:p w14:paraId="28D697F2" w14:textId="1ECAB86A"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w:t>
      </w:r>
    </w:p>
  </w:footnote>
  <w:footnote w:id="458">
    <w:p w14:paraId="1210DD44" w14:textId="522DE8C9"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459">
    <w:p w14:paraId="660D870E" w14:textId="5FAA6A09" w:rsidR="00452DFD" w:rsidRDefault="00452DFD">
      <w:pPr>
        <w:pStyle w:val="FootnoteText"/>
      </w:pPr>
      <w:r>
        <w:rPr>
          <w:rStyle w:val="FootnoteReference"/>
        </w:rPr>
        <w:footnoteRef/>
      </w:r>
      <w:r>
        <w:t xml:space="preserve"> </w:t>
      </w:r>
      <w:proofErr w:type="spellStart"/>
      <w:r>
        <w:t>Nind</w:t>
      </w:r>
      <w:proofErr w:type="spellEnd"/>
      <w:r>
        <w:t xml:space="preserve"> </w:t>
      </w:r>
      <w:r w:rsidRPr="009800AB">
        <w:rPr>
          <w:i/>
        </w:rPr>
        <w:t>et al.,</w:t>
      </w:r>
      <w:r>
        <w:t xml:space="preserve"> 2017</w:t>
      </w:r>
    </w:p>
  </w:footnote>
  <w:footnote w:id="460">
    <w:p w14:paraId="59C2CC1A" w14:textId="1252D160" w:rsidR="00452DFD" w:rsidRDefault="00452DFD">
      <w:pPr>
        <w:pStyle w:val="FootnoteText"/>
      </w:pPr>
      <w:r>
        <w:rPr>
          <w:rStyle w:val="FootnoteReference"/>
        </w:rPr>
        <w:footnoteRef/>
      </w:r>
      <w:r>
        <w:t xml:space="preserve"> </w:t>
      </w:r>
      <w:r w:rsidRPr="003E56DF">
        <w:rPr>
          <w:lang w:eastAsia="en-IE"/>
        </w:rPr>
        <w:t xml:space="preserve">Williams </w:t>
      </w:r>
      <w:r w:rsidRPr="009800AB">
        <w:rPr>
          <w:i/>
          <w:lang w:eastAsia="en-IE"/>
        </w:rPr>
        <w:t>et al.,</w:t>
      </w:r>
      <w:r>
        <w:rPr>
          <w:lang w:eastAsia="en-IE"/>
        </w:rPr>
        <w:t xml:space="preserve"> </w:t>
      </w:r>
      <w:r w:rsidRPr="003E56DF">
        <w:rPr>
          <w:lang w:eastAsia="en-IE"/>
        </w:rPr>
        <w:t>2020, p.</w:t>
      </w:r>
      <w:r>
        <w:rPr>
          <w:lang w:eastAsia="en-IE"/>
        </w:rPr>
        <w:t xml:space="preserve"> </w:t>
      </w:r>
      <w:r w:rsidRPr="003E56DF">
        <w:rPr>
          <w:lang w:eastAsia="en-IE"/>
        </w:rPr>
        <w:t>17</w:t>
      </w:r>
    </w:p>
  </w:footnote>
  <w:footnote w:id="461">
    <w:p w14:paraId="46600CA4" w14:textId="5CFEBD26" w:rsidR="00452DFD" w:rsidRDefault="00452DFD">
      <w:pPr>
        <w:pStyle w:val="FootnoteText"/>
      </w:pPr>
      <w:r>
        <w:rPr>
          <w:rStyle w:val="FootnoteReference"/>
        </w:rPr>
        <w:footnoteRef/>
      </w:r>
      <w:r>
        <w:t xml:space="preserve"> e.g. </w:t>
      </w:r>
      <w:proofErr w:type="spellStart"/>
      <w:r>
        <w:t>Durell</w:t>
      </w:r>
      <w:proofErr w:type="spellEnd"/>
      <w:r>
        <w:t xml:space="preserve"> </w:t>
      </w:r>
      <w:r w:rsidRPr="009800AB">
        <w:rPr>
          <w:i/>
        </w:rPr>
        <w:t>et al.,</w:t>
      </w:r>
      <w:r>
        <w:t xml:space="preserve"> 2016, Joss </w:t>
      </w:r>
      <w:r w:rsidRPr="009800AB">
        <w:rPr>
          <w:i/>
        </w:rPr>
        <w:t>et al.,</w:t>
      </w:r>
      <w:r>
        <w:t xml:space="preserve"> 2016, Kramer </w:t>
      </w:r>
      <w:r w:rsidRPr="009800AB">
        <w:rPr>
          <w:i/>
        </w:rPr>
        <w:t>et al.,</w:t>
      </w:r>
      <w:r>
        <w:t xml:space="preserve"> 2018, Vaughn </w:t>
      </w:r>
      <w:r w:rsidRPr="009800AB">
        <w:rPr>
          <w:i/>
        </w:rPr>
        <w:t>et al.,</w:t>
      </w:r>
      <w:r>
        <w:t xml:space="preserve"> 2019</w:t>
      </w:r>
    </w:p>
  </w:footnote>
  <w:footnote w:id="462">
    <w:p w14:paraId="204FF955" w14:textId="1BD193DC" w:rsidR="00452DFD" w:rsidRDefault="00452DFD">
      <w:pPr>
        <w:pStyle w:val="FootnoteText"/>
      </w:pPr>
      <w:r>
        <w:rPr>
          <w:rStyle w:val="FootnoteReference"/>
        </w:rPr>
        <w:footnoteRef/>
      </w:r>
      <w:r>
        <w:t xml:space="preserve"> Disability Wales, 2019, Vaughn </w:t>
      </w:r>
      <w:r w:rsidRPr="009800AB">
        <w:rPr>
          <w:i/>
        </w:rPr>
        <w:t>et al.,</w:t>
      </w:r>
      <w:r>
        <w:t xml:space="preserve"> 2019</w:t>
      </w:r>
    </w:p>
  </w:footnote>
  <w:footnote w:id="463">
    <w:p w14:paraId="2286D033" w14:textId="03534043" w:rsidR="00452DFD" w:rsidRDefault="00452DFD">
      <w:pPr>
        <w:pStyle w:val="FootnoteText"/>
      </w:pPr>
      <w:r>
        <w:rPr>
          <w:rStyle w:val="FootnoteReference"/>
        </w:rPr>
        <w:footnoteRef/>
      </w:r>
      <w:r>
        <w:t xml:space="preserve"> McConnell </w:t>
      </w:r>
      <w:r w:rsidRPr="009800AB">
        <w:rPr>
          <w:i/>
        </w:rPr>
        <w:t>et al.,</w:t>
      </w:r>
      <w:r>
        <w:t xml:space="preserve"> 2019</w:t>
      </w:r>
    </w:p>
  </w:footnote>
  <w:footnote w:id="464">
    <w:p w14:paraId="6B4E1531" w14:textId="2359A0C7" w:rsidR="00452DFD" w:rsidRDefault="00452DFD">
      <w:pPr>
        <w:pStyle w:val="FootnoteText"/>
      </w:pPr>
      <w:r>
        <w:rPr>
          <w:rStyle w:val="FootnoteReference"/>
        </w:rPr>
        <w:footnoteRef/>
      </w:r>
      <w:r>
        <w:t xml:space="preserve"> Dewa </w:t>
      </w:r>
      <w:r w:rsidRPr="009800AB">
        <w:rPr>
          <w:i/>
        </w:rPr>
        <w:t>et al.,</w:t>
      </w:r>
      <w:r>
        <w:t xml:space="preserve"> 2020</w:t>
      </w:r>
    </w:p>
  </w:footnote>
  <w:footnote w:id="465">
    <w:p w14:paraId="41905F94" w14:textId="2F4EDD0A" w:rsidR="00452DFD" w:rsidRDefault="00452DFD">
      <w:pPr>
        <w:pStyle w:val="FootnoteText"/>
      </w:pPr>
      <w:r>
        <w:rPr>
          <w:rStyle w:val="FootnoteReference"/>
        </w:rPr>
        <w:footnoteRef/>
      </w:r>
      <w:r>
        <w:t xml:space="preserve"> Rapaport </w:t>
      </w:r>
      <w:r w:rsidRPr="009800AB">
        <w:rPr>
          <w:i/>
        </w:rPr>
        <w:t>et al.,</w:t>
      </w:r>
      <w:r>
        <w:t xml:space="preserve"> 2018 cited in Burton, Ogden, and Cooper, 2019, </w:t>
      </w:r>
      <w:proofErr w:type="spellStart"/>
      <w:r>
        <w:t>Nicolaidis</w:t>
      </w:r>
      <w:proofErr w:type="spellEnd"/>
      <w:r>
        <w:t xml:space="preserve"> </w:t>
      </w:r>
      <w:r w:rsidRPr="009800AB">
        <w:rPr>
          <w:i/>
        </w:rPr>
        <w:t>et al.,</w:t>
      </w:r>
      <w:r>
        <w:t xml:space="preserve"> 2019, Partners</w:t>
      </w:r>
      <w:r w:rsidRPr="00FB0613">
        <w:t xml:space="preserve">2 </w:t>
      </w:r>
      <w:r>
        <w:t xml:space="preserve">Writing Collective, 2020, </w:t>
      </w:r>
      <w:proofErr w:type="spellStart"/>
      <w:r w:rsidRPr="00CC7325">
        <w:t>Dybwad</w:t>
      </w:r>
      <w:proofErr w:type="spellEnd"/>
      <w:r w:rsidRPr="00CC7325">
        <w:t xml:space="preserve"> and </w:t>
      </w:r>
      <w:proofErr w:type="spellStart"/>
      <w:r w:rsidRPr="00CC7325">
        <w:t>Bersani</w:t>
      </w:r>
      <w:proofErr w:type="spellEnd"/>
      <w:r w:rsidRPr="00CC7325">
        <w:t>, 1996,</w:t>
      </w:r>
      <w:r>
        <w:t xml:space="preserve"> cited in Powers </w:t>
      </w:r>
      <w:r w:rsidRPr="009800AB">
        <w:rPr>
          <w:i/>
        </w:rPr>
        <w:t>et al.,</w:t>
      </w:r>
      <w:r>
        <w:t xml:space="preserve"> 2017, Powers </w:t>
      </w:r>
      <w:r w:rsidRPr="009800AB">
        <w:rPr>
          <w:i/>
        </w:rPr>
        <w:t>et al.,</w:t>
      </w:r>
      <w:r>
        <w:t xml:space="preserve"> 2002 cited in Powers </w:t>
      </w:r>
      <w:r w:rsidRPr="009800AB">
        <w:rPr>
          <w:i/>
        </w:rPr>
        <w:t>et al.,</w:t>
      </w:r>
      <w:r>
        <w:t xml:space="preserve"> 2017, Townsend </w:t>
      </w:r>
      <w:r w:rsidRPr="009800AB">
        <w:rPr>
          <w:i/>
        </w:rPr>
        <w:t>et al.,</w:t>
      </w:r>
      <w:r>
        <w:t xml:space="preserve"> 2000 cited in </w:t>
      </w:r>
      <w:proofErr w:type="spellStart"/>
      <w:r>
        <w:t>Sangill</w:t>
      </w:r>
      <w:proofErr w:type="spellEnd"/>
      <w:r>
        <w:t xml:space="preserve"> </w:t>
      </w:r>
      <w:r w:rsidRPr="009800AB">
        <w:rPr>
          <w:i/>
        </w:rPr>
        <w:t>et al.,</w:t>
      </w:r>
      <w:r>
        <w:t xml:space="preserve"> 2019, Smith-Merry, 2017, Stanley </w:t>
      </w:r>
      <w:r w:rsidRPr="009800AB">
        <w:rPr>
          <w:i/>
        </w:rPr>
        <w:t>et al.,</w:t>
      </w:r>
      <w:r>
        <w:t xml:space="preserve"> </w:t>
      </w:r>
      <w:r w:rsidRPr="00FB0613">
        <w:t xml:space="preserve">2019, Van </w:t>
      </w:r>
      <w:proofErr w:type="spellStart"/>
      <w:r w:rsidRPr="00FB0613">
        <w:t>S</w:t>
      </w:r>
      <w:r>
        <w:t>che</w:t>
      </w:r>
      <w:r w:rsidRPr="00FB0613">
        <w:t>l</w:t>
      </w:r>
      <w:r>
        <w:t>v</w:t>
      </w:r>
      <w:r w:rsidRPr="00FB0613">
        <w:t>en</w:t>
      </w:r>
      <w:proofErr w:type="spellEnd"/>
      <w:r w:rsidRPr="00FB0613">
        <w:t xml:space="preserve"> </w:t>
      </w:r>
      <w:r w:rsidRPr="009800AB">
        <w:rPr>
          <w:i/>
        </w:rPr>
        <w:t>et al.,</w:t>
      </w:r>
      <w:r>
        <w:t xml:space="preserve"> </w:t>
      </w:r>
      <w:r w:rsidRPr="00FB0613">
        <w:t>2020</w:t>
      </w:r>
      <w:r>
        <w:t xml:space="preserve">a, </w:t>
      </w:r>
      <w:proofErr w:type="spellStart"/>
      <w:r>
        <w:t>Walmsley</w:t>
      </w:r>
      <w:proofErr w:type="spellEnd"/>
      <w:r>
        <w:t xml:space="preserve"> and Johnson, 2003 cited in </w:t>
      </w:r>
      <w:proofErr w:type="spellStart"/>
      <w:r>
        <w:t>Walmsley</w:t>
      </w:r>
      <w:proofErr w:type="spellEnd"/>
      <w:r>
        <w:t xml:space="preserve">, </w:t>
      </w:r>
      <w:proofErr w:type="spellStart"/>
      <w:r>
        <w:t>Strnadová</w:t>
      </w:r>
      <w:proofErr w:type="spellEnd"/>
      <w:r>
        <w:t xml:space="preserve"> and Johnson, 2018</w:t>
      </w:r>
    </w:p>
  </w:footnote>
  <w:footnote w:id="466">
    <w:p w14:paraId="0853FA55" w14:textId="6DDC96FC" w:rsidR="00452DFD" w:rsidRDefault="00452DFD">
      <w:pPr>
        <w:pStyle w:val="FootnoteText"/>
      </w:pPr>
      <w:r>
        <w:rPr>
          <w:rStyle w:val="FootnoteReference"/>
        </w:rPr>
        <w:footnoteRef/>
      </w:r>
      <w:r>
        <w:t xml:space="preserve"> e.g. Drill report, 2018, </w:t>
      </w:r>
      <w:proofErr w:type="spellStart"/>
      <w:r>
        <w:t>Durell</w:t>
      </w:r>
      <w:proofErr w:type="spellEnd"/>
      <w:r>
        <w:t>, 2016, Ellis, 2018</w:t>
      </w:r>
    </w:p>
  </w:footnote>
  <w:footnote w:id="467">
    <w:p w14:paraId="488BD1D6" w14:textId="0DB1F3EE" w:rsidR="00452DFD" w:rsidRDefault="00452DFD">
      <w:pPr>
        <w:pStyle w:val="FootnoteText"/>
      </w:pPr>
      <w:r>
        <w:rPr>
          <w:rStyle w:val="FootnoteReference"/>
        </w:rPr>
        <w:footnoteRef/>
      </w:r>
      <w:r>
        <w:t xml:space="preserve"> </w:t>
      </w:r>
      <w:r w:rsidRPr="0069142B">
        <w:t xml:space="preserve">Brady </w:t>
      </w:r>
      <w:r w:rsidRPr="009800AB">
        <w:rPr>
          <w:i/>
        </w:rPr>
        <w:t>et al.,</w:t>
      </w:r>
      <w:r>
        <w:t xml:space="preserve"> </w:t>
      </w:r>
      <w:r w:rsidRPr="0069142B">
        <w:t>2019</w:t>
      </w:r>
      <w:r>
        <w:t>,</w:t>
      </w:r>
      <w:r w:rsidRPr="0069142B">
        <w:t xml:space="preserve"> </w:t>
      </w:r>
      <w:r>
        <w:t xml:space="preserve">Di </w:t>
      </w:r>
      <w:proofErr w:type="spellStart"/>
      <w:r>
        <w:t>Lorito</w:t>
      </w:r>
      <w:proofErr w:type="spellEnd"/>
      <w:r>
        <w:t xml:space="preserve"> </w:t>
      </w:r>
      <w:r w:rsidRPr="009800AB">
        <w:rPr>
          <w:i/>
        </w:rPr>
        <w:t>et al.,</w:t>
      </w:r>
      <w:r>
        <w:t xml:space="preserve"> 2017, Haya </w:t>
      </w:r>
      <w:proofErr w:type="spellStart"/>
      <w:r w:rsidRPr="0069142B">
        <w:t>Salm</w:t>
      </w:r>
      <w:r>
        <w:t>ó</w:t>
      </w:r>
      <w:r w:rsidRPr="0069142B">
        <w:t>n</w:t>
      </w:r>
      <w:proofErr w:type="spellEnd"/>
      <w:r w:rsidRPr="0069142B">
        <w:t xml:space="preserve"> </w:t>
      </w:r>
      <w:r>
        <w:t>and</w:t>
      </w:r>
      <w:r w:rsidRPr="0069142B">
        <w:t xml:space="preserve"> </w:t>
      </w:r>
      <w:r>
        <w:t xml:space="preserve">Rojas </w:t>
      </w:r>
      <w:proofErr w:type="spellStart"/>
      <w:r w:rsidRPr="0069142B">
        <w:t>Pernia</w:t>
      </w:r>
      <w:proofErr w:type="spellEnd"/>
      <w:r w:rsidRPr="0069142B">
        <w:t>, 202</w:t>
      </w:r>
      <w:r>
        <w:t xml:space="preserve">1, </w:t>
      </w:r>
      <w:proofErr w:type="spellStart"/>
      <w:r w:rsidRPr="0069142B">
        <w:t>Nicolaidis</w:t>
      </w:r>
      <w:proofErr w:type="spellEnd"/>
      <w:r w:rsidRPr="0069142B">
        <w:t xml:space="preserve"> </w:t>
      </w:r>
      <w:r w:rsidRPr="009800AB">
        <w:rPr>
          <w:i/>
        </w:rPr>
        <w:t>et al.,</w:t>
      </w:r>
      <w:r>
        <w:t xml:space="preserve"> </w:t>
      </w:r>
      <w:r w:rsidRPr="0069142B">
        <w:t>2019</w:t>
      </w:r>
      <w:r>
        <w:t xml:space="preserve">, </w:t>
      </w:r>
      <w:r w:rsidRPr="0069142B">
        <w:t xml:space="preserve">Townsend </w:t>
      </w:r>
      <w:r w:rsidRPr="009800AB">
        <w:rPr>
          <w:i/>
        </w:rPr>
        <w:t>et al.,</w:t>
      </w:r>
      <w:r>
        <w:t xml:space="preserve"> </w:t>
      </w:r>
      <w:r w:rsidRPr="0069142B">
        <w:t xml:space="preserve">2000 </w:t>
      </w:r>
      <w:r>
        <w:t xml:space="preserve">cited </w:t>
      </w:r>
      <w:r w:rsidRPr="0069142B">
        <w:t xml:space="preserve">in </w:t>
      </w:r>
      <w:proofErr w:type="spellStart"/>
      <w:r w:rsidRPr="0069142B">
        <w:t>Sangill</w:t>
      </w:r>
      <w:proofErr w:type="spellEnd"/>
      <w:r w:rsidRPr="0069142B">
        <w:t xml:space="preserve"> </w:t>
      </w:r>
      <w:r w:rsidRPr="009800AB">
        <w:rPr>
          <w:i/>
        </w:rPr>
        <w:t>et al.,</w:t>
      </w:r>
      <w:r>
        <w:t xml:space="preserve"> </w:t>
      </w:r>
      <w:r w:rsidRPr="0069142B">
        <w:t>2019</w:t>
      </w:r>
    </w:p>
  </w:footnote>
  <w:footnote w:id="468">
    <w:p w14:paraId="26D78B35" w14:textId="0438A9A1" w:rsidR="00452DFD" w:rsidRDefault="00452DFD">
      <w:pPr>
        <w:pStyle w:val="FootnoteText"/>
      </w:pPr>
      <w:r>
        <w:rPr>
          <w:rStyle w:val="FootnoteReference"/>
        </w:rPr>
        <w:footnoteRef/>
      </w:r>
      <w:r>
        <w:t xml:space="preserve"> </w:t>
      </w:r>
      <w:proofErr w:type="spellStart"/>
      <w:r w:rsidRPr="0094722A">
        <w:t>Frankena</w:t>
      </w:r>
      <w:proofErr w:type="spellEnd"/>
      <w:r w:rsidRPr="0094722A">
        <w:t xml:space="preserve"> </w:t>
      </w:r>
      <w:r w:rsidRPr="009800AB">
        <w:rPr>
          <w:i/>
        </w:rPr>
        <w:t>et al.,</w:t>
      </w:r>
      <w:r>
        <w:t xml:space="preserve"> </w:t>
      </w:r>
      <w:r w:rsidRPr="0094722A">
        <w:t>2015</w:t>
      </w:r>
      <w:r>
        <w:t>,</w:t>
      </w:r>
      <w:r w:rsidRPr="0094722A">
        <w:t xml:space="preserve"> </w:t>
      </w:r>
      <w:r>
        <w:t xml:space="preserve">Green </w:t>
      </w:r>
      <w:r w:rsidRPr="009800AB">
        <w:rPr>
          <w:i/>
        </w:rPr>
        <w:t>et al.,</w:t>
      </w:r>
      <w:r>
        <w:t xml:space="preserve"> 2016,</w:t>
      </w:r>
      <w:r w:rsidRPr="00871EE7">
        <w:t xml:space="preserve"> </w:t>
      </w:r>
      <w:proofErr w:type="spellStart"/>
      <w:r>
        <w:t>Nicolaidis</w:t>
      </w:r>
      <w:proofErr w:type="spellEnd"/>
      <w:r>
        <w:t xml:space="preserve"> </w:t>
      </w:r>
      <w:r w:rsidRPr="009800AB">
        <w:rPr>
          <w:i/>
        </w:rPr>
        <w:t>et al.,</w:t>
      </w:r>
      <w:r>
        <w:t xml:space="preserve"> 2019, </w:t>
      </w:r>
      <w:proofErr w:type="spellStart"/>
      <w:r w:rsidRPr="0094722A">
        <w:t>Nind</w:t>
      </w:r>
      <w:proofErr w:type="spellEnd"/>
      <w:r w:rsidRPr="0094722A">
        <w:t xml:space="preserve"> </w:t>
      </w:r>
      <w:r w:rsidRPr="009800AB">
        <w:rPr>
          <w:i/>
        </w:rPr>
        <w:t>et al.,</w:t>
      </w:r>
      <w:r>
        <w:t xml:space="preserve"> </w:t>
      </w:r>
      <w:r w:rsidRPr="0094722A">
        <w:t>2017</w:t>
      </w:r>
      <w:r>
        <w:t>,</w:t>
      </w:r>
      <w:r w:rsidRPr="0094722A">
        <w:t xml:space="preserve"> </w:t>
      </w:r>
      <w:r>
        <w:t xml:space="preserve">Partners2 Writing Collective, 2020, Williams, Ponting and Ford, 2015, </w:t>
      </w:r>
      <w:proofErr w:type="spellStart"/>
      <w:r w:rsidRPr="0094722A">
        <w:t>Wolesley</w:t>
      </w:r>
      <w:proofErr w:type="spellEnd"/>
      <w:r w:rsidRPr="0094722A">
        <w:t xml:space="preserve"> </w:t>
      </w:r>
      <w:r w:rsidRPr="009800AB">
        <w:rPr>
          <w:i/>
        </w:rPr>
        <w:t>et al.,</w:t>
      </w:r>
      <w:r>
        <w:t xml:space="preserve"> </w:t>
      </w:r>
      <w:r w:rsidRPr="0094722A">
        <w:t>2017</w:t>
      </w:r>
    </w:p>
  </w:footnote>
  <w:footnote w:id="469">
    <w:p w14:paraId="4D241B6E" w14:textId="0951727D" w:rsidR="00452DFD" w:rsidRDefault="00452DFD">
      <w:pPr>
        <w:pStyle w:val="FootnoteText"/>
      </w:pPr>
      <w:r>
        <w:rPr>
          <w:rStyle w:val="FootnoteReference"/>
        </w:rPr>
        <w:footnoteRef/>
      </w:r>
      <w:r>
        <w:t xml:space="preserve"> </w:t>
      </w:r>
      <w:proofErr w:type="spellStart"/>
      <w:r w:rsidRPr="00576517">
        <w:t>Brosnan</w:t>
      </w:r>
      <w:proofErr w:type="spellEnd"/>
      <w:r w:rsidRPr="00576517">
        <w:t xml:space="preserve"> </w:t>
      </w:r>
      <w:r w:rsidRPr="009800AB">
        <w:rPr>
          <w:i/>
        </w:rPr>
        <w:t>et al.,</w:t>
      </w:r>
      <w:r>
        <w:t xml:space="preserve"> </w:t>
      </w:r>
      <w:r w:rsidRPr="00576517">
        <w:t>2016</w:t>
      </w:r>
    </w:p>
  </w:footnote>
  <w:footnote w:id="470">
    <w:p w14:paraId="717A5DA5" w14:textId="4A808425" w:rsidR="00452DFD" w:rsidRDefault="00452DFD">
      <w:pPr>
        <w:pStyle w:val="FootnoteText"/>
      </w:pPr>
      <w:r>
        <w:rPr>
          <w:rStyle w:val="FootnoteReference"/>
        </w:rPr>
        <w:footnoteRef/>
      </w:r>
      <w:r>
        <w:t xml:space="preserve"> </w:t>
      </w:r>
      <w:proofErr w:type="spellStart"/>
      <w:r w:rsidRPr="00B43BF6">
        <w:t>Strnadová</w:t>
      </w:r>
      <w:proofErr w:type="spellEnd"/>
      <w:r w:rsidRPr="00B43BF6">
        <w:t xml:space="preserve"> </w:t>
      </w:r>
      <w:r w:rsidRPr="009800AB">
        <w:rPr>
          <w:i/>
        </w:rPr>
        <w:t>et al.,</w:t>
      </w:r>
      <w:r>
        <w:t xml:space="preserve"> </w:t>
      </w:r>
      <w:r w:rsidRPr="00B43BF6">
        <w:t>2014 c</w:t>
      </w:r>
      <w:r>
        <w:t xml:space="preserve">ited in Di </w:t>
      </w:r>
      <w:proofErr w:type="spellStart"/>
      <w:r>
        <w:t>Lorito</w:t>
      </w:r>
      <w:proofErr w:type="spellEnd"/>
      <w:r>
        <w:t xml:space="preserve"> </w:t>
      </w:r>
      <w:r w:rsidRPr="009800AB">
        <w:rPr>
          <w:i/>
        </w:rPr>
        <w:t>et al.,</w:t>
      </w:r>
      <w:r>
        <w:t xml:space="preserve"> 2018, Bailey </w:t>
      </w:r>
      <w:r w:rsidRPr="009800AB">
        <w:rPr>
          <w:i/>
        </w:rPr>
        <w:t>et al.,</w:t>
      </w:r>
      <w:r>
        <w:t xml:space="preserve"> 2015</w:t>
      </w:r>
    </w:p>
  </w:footnote>
  <w:footnote w:id="471">
    <w:p w14:paraId="256029C6" w14:textId="735DB6CC" w:rsidR="00452DFD" w:rsidRDefault="00452DFD">
      <w:pPr>
        <w:pStyle w:val="FootnoteText"/>
      </w:pPr>
      <w:r>
        <w:rPr>
          <w:rStyle w:val="FootnoteReference"/>
        </w:rPr>
        <w:footnoteRef/>
      </w:r>
      <w:r>
        <w:t xml:space="preserve"> </w:t>
      </w:r>
      <w:proofErr w:type="spellStart"/>
      <w:r w:rsidRPr="00B43BF6">
        <w:t>Strnadová</w:t>
      </w:r>
      <w:proofErr w:type="spellEnd"/>
      <w:r w:rsidRPr="00B43BF6">
        <w:t xml:space="preserve"> </w:t>
      </w:r>
      <w:r w:rsidRPr="009800AB">
        <w:rPr>
          <w:i/>
        </w:rPr>
        <w:t>et al.,</w:t>
      </w:r>
      <w:r>
        <w:t xml:space="preserve"> </w:t>
      </w:r>
      <w:r w:rsidRPr="00B43BF6">
        <w:t>2014 c</w:t>
      </w:r>
      <w:r>
        <w:t xml:space="preserve">ited in Di </w:t>
      </w:r>
      <w:proofErr w:type="spellStart"/>
      <w:r>
        <w:t>Lorito</w:t>
      </w:r>
      <w:proofErr w:type="spellEnd"/>
      <w:r>
        <w:t xml:space="preserve"> </w:t>
      </w:r>
      <w:r w:rsidRPr="009800AB">
        <w:rPr>
          <w:i/>
        </w:rPr>
        <w:t>et al.,</w:t>
      </w:r>
      <w:r>
        <w:t xml:space="preserve"> 2018</w:t>
      </w:r>
    </w:p>
  </w:footnote>
  <w:footnote w:id="472">
    <w:p w14:paraId="2CA1F53B" w14:textId="294EC29D" w:rsidR="00452DFD" w:rsidRDefault="00452DFD">
      <w:pPr>
        <w:pStyle w:val="FootnoteText"/>
      </w:pPr>
      <w:r>
        <w:rPr>
          <w:rStyle w:val="FootnoteReference"/>
        </w:rPr>
        <w:footnoteRef/>
      </w:r>
      <w:r>
        <w:t xml:space="preserve"> </w:t>
      </w:r>
      <w:r w:rsidRPr="0069142B">
        <w:t xml:space="preserve">Williams </w:t>
      </w:r>
      <w:r w:rsidRPr="009800AB">
        <w:rPr>
          <w:i/>
        </w:rPr>
        <w:t>et al.,</w:t>
      </w:r>
      <w:r>
        <w:t xml:space="preserve"> </w:t>
      </w:r>
      <w:r w:rsidRPr="0069142B">
        <w:t xml:space="preserve">2005 in </w:t>
      </w:r>
      <w:r>
        <w:t>Williams, Ponting and Ford, 2015</w:t>
      </w:r>
    </w:p>
  </w:footnote>
  <w:footnote w:id="473">
    <w:p w14:paraId="0C1C253F" w14:textId="5DC76216" w:rsidR="00452DFD" w:rsidRDefault="00452DFD">
      <w:pPr>
        <w:pStyle w:val="FootnoteText"/>
      </w:pPr>
      <w:r>
        <w:rPr>
          <w:rStyle w:val="FootnoteReference"/>
        </w:rPr>
        <w:footnoteRef/>
      </w:r>
      <w:r>
        <w:t xml:space="preserve"> Ellis </w:t>
      </w:r>
      <w:r w:rsidRPr="009800AB">
        <w:rPr>
          <w:i/>
        </w:rPr>
        <w:t>et al.,</w:t>
      </w:r>
      <w:r>
        <w:t xml:space="preserve"> 2018, </w:t>
      </w:r>
      <w:proofErr w:type="spellStart"/>
      <w:r>
        <w:t>Franke</w:t>
      </w:r>
      <w:r w:rsidRPr="00180FF0">
        <w:t>na</w:t>
      </w:r>
      <w:proofErr w:type="spellEnd"/>
      <w:r w:rsidRPr="00180FF0">
        <w:t xml:space="preserve"> </w:t>
      </w:r>
      <w:r w:rsidRPr="009800AB">
        <w:rPr>
          <w:i/>
        </w:rPr>
        <w:t>et al.,</w:t>
      </w:r>
      <w:r>
        <w:t xml:space="preserve"> </w:t>
      </w:r>
      <w:r w:rsidRPr="00180FF0">
        <w:t>2015</w:t>
      </w:r>
      <w:r>
        <w:t>, Smith-Merry, 2017</w:t>
      </w:r>
    </w:p>
  </w:footnote>
  <w:footnote w:id="474">
    <w:p w14:paraId="17CAA1DB" w14:textId="4AB2C5ED" w:rsidR="00452DFD" w:rsidRDefault="00452DFD">
      <w:pPr>
        <w:pStyle w:val="FootnoteText"/>
      </w:pPr>
      <w:r>
        <w:rPr>
          <w:rStyle w:val="FootnoteReference"/>
        </w:rPr>
        <w:footnoteRef/>
      </w:r>
      <w:r>
        <w:t xml:space="preserve"> Bailey </w:t>
      </w:r>
      <w:r w:rsidRPr="009800AB">
        <w:rPr>
          <w:i/>
        </w:rPr>
        <w:t>et al.,</w:t>
      </w:r>
      <w:r>
        <w:t xml:space="preserve"> 2015</w:t>
      </w:r>
    </w:p>
  </w:footnote>
  <w:footnote w:id="475">
    <w:p w14:paraId="080DE1F7" w14:textId="3F16F712" w:rsidR="00452DFD" w:rsidRDefault="00452DFD" w:rsidP="00DB5669">
      <w:pPr>
        <w:pStyle w:val="FootnoteText"/>
      </w:pPr>
      <w:r>
        <w:rPr>
          <w:rStyle w:val="FootnoteReference"/>
        </w:rPr>
        <w:footnoteRef/>
      </w:r>
      <w:r>
        <w:t xml:space="preserve"> A structured process to facilitate effective and efficient communication and decision making. Holding up one finger means “yay, I approve, do it!”, two fingers means “meh, I’m not thrilled but I’ll approve”, 3 fingers means “I am not sure, I need more information or discussion”,, 4 fingers means “I don’t like, I don’t approve it, but I can live with it”, five fingers means “I hate this so much that I can’t live with having my name associated with it” (</w:t>
      </w:r>
      <w:proofErr w:type="spellStart"/>
      <w:r>
        <w:t>Nicolaidis</w:t>
      </w:r>
      <w:proofErr w:type="spellEnd"/>
      <w:r>
        <w:t xml:space="preserve"> </w:t>
      </w:r>
      <w:r w:rsidRPr="009800AB">
        <w:rPr>
          <w:i/>
        </w:rPr>
        <w:t>et al.,</w:t>
      </w:r>
      <w:r>
        <w:t xml:space="preserve"> 2011).</w:t>
      </w:r>
    </w:p>
  </w:footnote>
  <w:footnote w:id="476">
    <w:p w14:paraId="4806BD8E" w14:textId="45A6C44C" w:rsidR="00452DFD" w:rsidRDefault="00452DFD">
      <w:pPr>
        <w:pStyle w:val="FootnoteText"/>
      </w:pPr>
      <w:r>
        <w:rPr>
          <w:rStyle w:val="FootnoteReference"/>
        </w:rPr>
        <w:footnoteRef/>
      </w:r>
      <w:r>
        <w:t xml:space="preserve"> </w:t>
      </w:r>
      <w:proofErr w:type="spellStart"/>
      <w:r w:rsidRPr="00576517">
        <w:t>Nicolaidis</w:t>
      </w:r>
      <w:proofErr w:type="spellEnd"/>
      <w:r w:rsidRPr="00576517">
        <w:t xml:space="preserve"> </w:t>
      </w:r>
      <w:r w:rsidRPr="009800AB">
        <w:rPr>
          <w:i/>
        </w:rPr>
        <w:t>et al.,</w:t>
      </w:r>
      <w:r>
        <w:t xml:space="preserve"> </w:t>
      </w:r>
      <w:r w:rsidRPr="00576517">
        <w:t>2019</w:t>
      </w:r>
    </w:p>
  </w:footnote>
  <w:footnote w:id="477">
    <w:p w14:paraId="4D4DDEA4" w14:textId="7105E404" w:rsidR="00452DFD" w:rsidRDefault="00452DFD">
      <w:pPr>
        <w:pStyle w:val="FootnoteText"/>
      </w:pPr>
      <w:r>
        <w:rPr>
          <w:rStyle w:val="FootnoteReference"/>
        </w:rPr>
        <w:footnoteRef/>
      </w:r>
      <w:r>
        <w:t xml:space="preserve"> The Delphi process involves structured and repeated consultation and feedback with a group in order to reach consensus on a subject</w:t>
      </w:r>
    </w:p>
  </w:footnote>
  <w:footnote w:id="478">
    <w:p w14:paraId="5057D455" w14:textId="20F0C4B5" w:rsidR="00452DFD" w:rsidRDefault="00452DFD">
      <w:pPr>
        <w:pStyle w:val="FootnoteText"/>
      </w:pPr>
      <w:r>
        <w:rPr>
          <w:rStyle w:val="FootnoteReference"/>
        </w:rPr>
        <w:footnoteRef/>
      </w:r>
      <w:r>
        <w:t xml:space="preserve"> The Nominal Group Technique is a form of brainstorming in a small group, where ideas are shared and voted on or prioritised by the group</w:t>
      </w:r>
    </w:p>
  </w:footnote>
  <w:footnote w:id="479">
    <w:p w14:paraId="545CA7F6" w14:textId="023217F7" w:rsidR="00452DFD" w:rsidRDefault="00452DFD">
      <w:pPr>
        <w:pStyle w:val="FootnoteText"/>
      </w:pPr>
      <w:r>
        <w:rPr>
          <w:rStyle w:val="FootnoteReference"/>
        </w:rPr>
        <w:footnoteRef/>
      </w:r>
      <w:r>
        <w:t xml:space="preserve"> </w:t>
      </w:r>
      <w:proofErr w:type="spellStart"/>
      <w:r>
        <w:t>Charlesworth</w:t>
      </w:r>
      <w:proofErr w:type="spellEnd"/>
      <w:r>
        <w:t>, 2018</w:t>
      </w:r>
    </w:p>
  </w:footnote>
  <w:footnote w:id="480">
    <w:p w14:paraId="195FCDD4" w14:textId="17D23492" w:rsidR="00452DFD" w:rsidRDefault="00452DFD">
      <w:pPr>
        <w:pStyle w:val="FootnoteText"/>
      </w:pPr>
      <w:r>
        <w:rPr>
          <w:rStyle w:val="FootnoteReference"/>
        </w:rPr>
        <w:footnoteRef/>
      </w:r>
      <w:r>
        <w:t xml:space="preserve"> </w:t>
      </w:r>
      <w:r w:rsidRPr="0023446C">
        <w:t xml:space="preserve">Case 3 in </w:t>
      </w:r>
      <w:proofErr w:type="spellStart"/>
      <w:r w:rsidRPr="0023446C">
        <w:t>Frankena</w:t>
      </w:r>
      <w:proofErr w:type="spellEnd"/>
      <w:r w:rsidRPr="0023446C">
        <w:t xml:space="preserve"> </w:t>
      </w:r>
      <w:r w:rsidRPr="009800AB">
        <w:rPr>
          <w:i/>
        </w:rPr>
        <w:t>et al.,</w:t>
      </w:r>
      <w:r>
        <w:t xml:space="preserve"> 2019c</w:t>
      </w:r>
    </w:p>
  </w:footnote>
  <w:footnote w:id="481">
    <w:p w14:paraId="2C8451FB" w14:textId="52E0B766" w:rsidR="00452DFD" w:rsidRDefault="00452DFD">
      <w:pPr>
        <w:pStyle w:val="FootnoteText"/>
      </w:pPr>
      <w:r>
        <w:rPr>
          <w:rStyle w:val="FootnoteReference"/>
        </w:rPr>
        <w:footnoteRef/>
      </w:r>
      <w:r>
        <w:t xml:space="preserve"> Brady </w:t>
      </w:r>
      <w:r w:rsidRPr="009800AB">
        <w:rPr>
          <w:i/>
        </w:rPr>
        <w:t>et al.,</w:t>
      </w:r>
      <w:r>
        <w:t xml:space="preserve"> 2019, Fletcher Watson </w:t>
      </w:r>
      <w:r w:rsidRPr="009800AB">
        <w:rPr>
          <w:i/>
        </w:rPr>
        <w:t>et al.,</w:t>
      </w:r>
      <w:r>
        <w:t xml:space="preserve"> 2018, Green </w:t>
      </w:r>
      <w:r w:rsidRPr="009800AB">
        <w:rPr>
          <w:i/>
        </w:rPr>
        <w:t>et al.,</w:t>
      </w:r>
      <w:r>
        <w:t xml:space="preserve"> 2016, Ní </w:t>
      </w:r>
      <w:proofErr w:type="spellStart"/>
      <w:r>
        <w:t>Shé</w:t>
      </w:r>
      <w:proofErr w:type="spellEnd"/>
      <w:r>
        <w:t xml:space="preserve"> </w:t>
      </w:r>
      <w:r w:rsidRPr="009800AB">
        <w:rPr>
          <w:i/>
        </w:rPr>
        <w:t>et al.,</w:t>
      </w:r>
      <w:r>
        <w:t xml:space="preserve"> 2020,</w:t>
      </w:r>
      <w:r w:rsidRPr="00D2771A">
        <w:t xml:space="preserve"> </w:t>
      </w:r>
      <w:proofErr w:type="spellStart"/>
      <w:r>
        <w:t>Woelders</w:t>
      </w:r>
      <w:proofErr w:type="spellEnd"/>
      <w:r>
        <w:t xml:space="preserve"> </w:t>
      </w:r>
      <w:r w:rsidRPr="009800AB">
        <w:rPr>
          <w:i/>
        </w:rPr>
        <w:t>et al.,</w:t>
      </w:r>
      <w:r>
        <w:t xml:space="preserve"> 2015</w:t>
      </w:r>
    </w:p>
  </w:footnote>
  <w:footnote w:id="482">
    <w:p w14:paraId="1CAE3D22" w14:textId="3F43CBB4" w:rsidR="00452DFD" w:rsidRDefault="00452DFD">
      <w:pPr>
        <w:pStyle w:val="FootnoteText"/>
      </w:pPr>
      <w:r>
        <w:rPr>
          <w:rStyle w:val="FootnoteReference"/>
        </w:rPr>
        <w:footnoteRef/>
      </w:r>
      <w:r>
        <w:t xml:space="preserve"> Armstrong </w:t>
      </w:r>
      <w:r w:rsidRPr="009800AB">
        <w:rPr>
          <w:i/>
        </w:rPr>
        <w:t>et al.,</w:t>
      </w:r>
      <w:r>
        <w:t xml:space="preserve"> 2019, </w:t>
      </w:r>
      <w:proofErr w:type="spellStart"/>
      <w:r w:rsidRPr="009D2EEA">
        <w:t>Sloper</w:t>
      </w:r>
      <w:proofErr w:type="spellEnd"/>
      <w:r w:rsidRPr="009D2EEA">
        <w:t xml:space="preserve"> </w:t>
      </w:r>
      <w:r>
        <w:t>and</w:t>
      </w:r>
      <w:r w:rsidRPr="009D2EEA">
        <w:t xml:space="preserve"> Lightfoot 2003</w:t>
      </w:r>
      <w:r>
        <w:t xml:space="preserve"> cited in Bailey </w:t>
      </w:r>
      <w:r w:rsidRPr="009800AB">
        <w:rPr>
          <w:i/>
        </w:rPr>
        <w:t>et al.,</w:t>
      </w:r>
      <w:r>
        <w:t xml:space="preserve"> </w:t>
      </w:r>
      <w:r w:rsidRPr="00F72555">
        <w:t>2015</w:t>
      </w:r>
      <w:r>
        <w:t>,</w:t>
      </w:r>
      <w:r w:rsidRPr="00F72555">
        <w:t xml:space="preserve"> </w:t>
      </w:r>
      <w:proofErr w:type="spellStart"/>
      <w:r>
        <w:t>Frankena</w:t>
      </w:r>
      <w:proofErr w:type="spellEnd"/>
      <w:r>
        <w:t xml:space="preserve"> </w:t>
      </w:r>
      <w:r w:rsidRPr="009800AB">
        <w:rPr>
          <w:i/>
        </w:rPr>
        <w:t>et al.,</w:t>
      </w:r>
      <w:r>
        <w:t xml:space="preserve"> 2015, </w:t>
      </w:r>
      <w:r w:rsidRPr="00E939CC">
        <w:t>O’Ha</w:t>
      </w:r>
      <w:r>
        <w:t>r</w:t>
      </w:r>
      <w:r w:rsidRPr="00E939CC">
        <w:t xml:space="preserve">a </w:t>
      </w:r>
      <w:r w:rsidRPr="009800AB">
        <w:rPr>
          <w:i/>
        </w:rPr>
        <w:t>et al.,</w:t>
      </w:r>
      <w:r>
        <w:t xml:space="preserve"> 2</w:t>
      </w:r>
      <w:r w:rsidRPr="00E939CC">
        <w:t>017</w:t>
      </w:r>
      <w:r>
        <w:t>,</w:t>
      </w:r>
      <w:r w:rsidRPr="00E939CC">
        <w:t xml:space="preserve"> </w:t>
      </w:r>
      <w:proofErr w:type="spellStart"/>
      <w:r>
        <w:t>Tilki</w:t>
      </w:r>
      <w:proofErr w:type="spellEnd"/>
      <w:r>
        <w:t xml:space="preserve">, </w:t>
      </w:r>
      <w:proofErr w:type="spellStart"/>
      <w:r w:rsidRPr="003D0FAE">
        <w:t>Palfreman</w:t>
      </w:r>
      <w:proofErr w:type="spellEnd"/>
      <w:r>
        <w:t xml:space="preserve"> </w:t>
      </w:r>
      <w:r w:rsidRPr="003D0FAE">
        <w:t>and Chowdhury</w:t>
      </w:r>
      <w:r>
        <w:t>,</w:t>
      </w:r>
      <w:r w:rsidRPr="003D0FAE">
        <w:t xml:space="preserve"> </w:t>
      </w:r>
      <w:r w:rsidRPr="007957D5">
        <w:t>2019</w:t>
      </w:r>
      <w:r w:rsidRPr="00B80F36">
        <w:t>, Walsh</w:t>
      </w:r>
      <w:r>
        <w:t xml:space="preserve"> </w:t>
      </w:r>
      <w:r w:rsidRPr="009800AB">
        <w:rPr>
          <w:i/>
        </w:rPr>
        <w:t>et al.,</w:t>
      </w:r>
      <w:r>
        <w:t xml:space="preserve"> 2018,</w:t>
      </w:r>
      <w:r w:rsidRPr="00837A2E">
        <w:t xml:space="preserve"> </w:t>
      </w:r>
      <w:proofErr w:type="spellStart"/>
      <w:r w:rsidRPr="00E939CC">
        <w:t>Wo</w:t>
      </w:r>
      <w:r>
        <w:t>e</w:t>
      </w:r>
      <w:r w:rsidRPr="00E939CC">
        <w:t>lders</w:t>
      </w:r>
      <w:proofErr w:type="spellEnd"/>
      <w:r w:rsidRPr="00E939CC">
        <w:t xml:space="preserve"> </w:t>
      </w:r>
      <w:r w:rsidRPr="009800AB">
        <w:rPr>
          <w:i/>
        </w:rPr>
        <w:t>et al.,</w:t>
      </w:r>
      <w:r>
        <w:t xml:space="preserve"> </w:t>
      </w:r>
      <w:r w:rsidRPr="00E939CC">
        <w:t>2015</w:t>
      </w:r>
    </w:p>
  </w:footnote>
  <w:footnote w:id="483">
    <w:p w14:paraId="4184C1EF" w14:textId="6A961101" w:rsidR="00452DFD" w:rsidRDefault="00452DFD">
      <w:pPr>
        <w:pStyle w:val="FootnoteText"/>
      </w:pPr>
      <w:r>
        <w:rPr>
          <w:rStyle w:val="FootnoteReference"/>
        </w:rPr>
        <w:footnoteRef/>
      </w:r>
      <w:r>
        <w:t xml:space="preserve"> </w:t>
      </w:r>
      <w:proofErr w:type="spellStart"/>
      <w:r w:rsidRPr="009D2EEA">
        <w:t>Sloper</w:t>
      </w:r>
      <w:proofErr w:type="spellEnd"/>
      <w:r w:rsidRPr="009D2EEA">
        <w:t xml:space="preserve"> </w:t>
      </w:r>
      <w:r>
        <w:t>and</w:t>
      </w:r>
      <w:r w:rsidRPr="009D2EEA">
        <w:t xml:space="preserve"> Lightfoot 2003</w:t>
      </w:r>
      <w:r>
        <w:t xml:space="preserve"> cited in Bailey </w:t>
      </w:r>
      <w:r w:rsidRPr="009800AB">
        <w:rPr>
          <w:i/>
        </w:rPr>
        <w:t>et al.,</w:t>
      </w:r>
      <w:r>
        <w:t xml:space="preserve"> </w:t>
      </w:r>
      <w:r w:rsidRPr="00F72555">
        <w:t>2015</w:t>
      </w:r>
      <w:r>
        <w:t>,</w:t>
      </w:r>
      <w:r w:rsidRPr="00F72555">
        <w:t xml:space="preserve"> </w:t>
      </w:r>
      <w:r w:rsidRPr="00E939CC">
        <w:t>O’Ha</w:t>
      </w:r>
      <w:r>
        <w:t>r</w:t>
      </w:r>
      <w:r w:rsidRPr="00E939CC">
        <w:t xml:space="preserve">a </w:t>
      </w:r>
      <w:r w:rsidRPr="009800AB">
        <w:rPr>
          <w:i/>
        </w:rPr>
        <w:t>et al.,</w:t>
      </w:r>
      <w:r>
        <w:t xml:space="preserve"> 2</w:t>
      </w:r>
      <w:r w:rsidRPr="00E939CC">
        <w:t>017</w:t>
      </w:r>
      <w:r>
        <w:t>,</w:t>
      </w:r>
      <w:r w:rsidRPr="00E939CC">
        <w:t xml:space="preserve"> </w:t>
      </w:r>
      <w:proofErr w:type="spellStart"/>
      <w:r>
        <w:t>Tilki</w:t>
      </w:r>
      <w:proofErr w:type="spellEnd"/>
      <w:r>
        <w:t xml:space="preserve">, </w:t>
      </w:r>
      <w:proofErr w:type="spellStart"/>
      <w:r w:rsidRPr="003D0FAE">
        <w:t>Palfreman</w:t>
      </w:r>
      <w:proofErr w:type="spellEnd"/>
      <w:r>
        <w:t xml:space="preserve"> </w:t>
      </w:r>
      <w:r w:rsidRPr="003D0FAE">
        <w:t>and Chowdhury</w:t>
      </w:r>
      <w:r>
        <w:t>,</w:t>
      </w:r>
      <w:r w:rsidRPr="003D0FAE">
        <w:t xml:space="preserve"> </w:t>
      </w:r>
      <w:r w:rsidRPr="007957D5">
        <w:t>2019</w:t>
      </w:r>
      <w:r>
        <w:t xml:space="preserve">, </w:t>
      </w:r>
      <w:proofErr w:type="spellStart"/>
      <w:r w:rsidRPr="00E939CC">
        <w:t>Wo</w:t>
      </w:r>
      <w:r>
        <w:t>e</w:t>
      </w:r>
      <w:r w:rsidRPr="00E939CC">
        <w:t>lders</w:t>
      </w:r>
      <w:proofErr w:type="spellEnd"/>
      <w:r w:rsidRPr="00E939CC">
        <w:t xml:space="preserve"> </w:t>
      </w:r>
      <w:r w:rsidRPr="009800AB">
        <w:rPr>
          <w:i/>
        </w:rPr>
        <w:t>et al.,</w:t>
      </w:r>
      <w:r>
        <w:t xml:space="preserve"> </w:t>
      </w:r>
      <w:r w:rsidRPr="00E939CC">
        <w:t>2015</w:t>
      </w:r>
    </w:p>
  </w:footnote>
  <w:footnote w:id="484">
    <w:p w14:paraId="0E57ACE8" w14:textId="47CF834C" w:rsidR="00452DFD" w:rsidRDefault="00452DFD">
      <w:pPr>
        <w:pStyle w:val="FootnoteText"/>
      </w:pPr>
      <w:r>
        <w:rPr>
          <w:rStyle w:val="FootnoteReference"/>
        </w:rPr>
        <w:footnoteRef/>
      </w:r>
      <w:r>
        <w:t xml:space="preserve"> </w:t>
      </w:r>
      <w:proofErr w:type="spellStart"/>
      <w:r>
        <w:t>Woelders</w:t>
      </w:r>
      <w:proofErr w:type="spellEnd"/>
      <w:r>
        <w:t xml:space="preserve"> </w:t>
      </w:r>
      <w:r w:rsidRPr="009800AB">
        <w:rPr>
          <w:i/>
        </w:rPr>
        <w:t>et al.,</w:t>
      </w:r>
      <w:r>
        <w:t xml:space="preserve"> 2015</w:t>
      </w:r>
    </w:p>
  </w:footnote>
  <w:footnote w:id="485">
    <w:p w14:paraId="736BDD9D" w14:textId="5D41D120" w:rsidR="00452DFD" w:rsidRDefault="00452DFD">
      <w:pPr>
        <w:pStyle w:val="FootnoteText"/>
      </w:pPr>
      <w:r>
        <w:rPr>
          <w:rStyle w:val="FootnoteReference"/>
        </w:rPr>
        <w:footnoteRef/>
      </w:r>
      <w:r>
        <w:t xml:space="preserve"> </w:t>
      </w:r>
      <w:r w:rsidRPr="00E939CC">
        <w:t xml:space="preserve">Walsh </w:t>
      </w:r>
      <w:r w:rsidRPr="009800AB">
        <w:rPr>
          <w:i/>
        </w:rPr>
        <w:t>et al.,</w:t>
      </w:r>
      <w:r>
        <w:t xml:space="preserve"> </w:t>
      </w:r>
      <w:r w:rsidRPr="00E939CC">
        <w:t>2018</w:t>
      </w:r>
    </w:p>
  </w:footnote>
  <w:footnote w:id="486">
    <w:p w14:paraId="37DAF7AD" w14:textId="1D36C1E1" w:rsidR="00452DFD" w:rsidRDefault="00452DFD">
      <w:pPr>
        <w:pStyle w:val="FootnoteText"/>
      </w:pPr>
      <w:r>
        <w:rPr>
          <w:rStyle w:val="FootnoteReference"/>
        </w:rPr>
        <w:footnoteRef/>
      </w:r>
      <w:r>
        <w:t xml:space="preserve"> </w:t>
      </w:r>
      <w:r w:rsidRPr="00E939CC">
        <w:t xml:space="preserve">Brady </w:t>
      </w:r>
      <w:r w:rsidRPr="009800AB">
        <w:rPr>
          <w:i/>
        </w:rPr>
        <w:t>et al.,</w:t>
      </w:r>
      <w:r>
        <w:t xml:space="preserve"> </w:t>
      </w:r>
      <w:r w:rsidRPr="00E939CC">
        <w:t>2018</w:t>
      </w:r>
      <w:r>
        <w:t>, O’Har</w:t>
      </w:r>
      <w:r w:rsidRPr="00E939CC">
        <w:t xml:space="preserve">a </w:t>
      </w:r>
      <w:r w:rsidRPr="009800AB">
        <w:rPr>
          <w:i/>
        </w:rPr>
        <w:t>et al.,</w:t>
      </w:r>
      <w:r>
        <w:t xml:space="preserve"> </w:t>
      </w:r>
      <w:r w:rsidRPr="00E939CC">
        <w:t>2017</w:t>
      </w:r>
      <w:r>
        <w:t>,</w:t>
      </w:r>
      <w:r w:rsidRPr="00E939CC">
        <w:t xml:space="preserve"> Walsh </w:t>
      </w:r>
      <w:r w:rsidRPr="009800AB">
        <w:rPr>
          <w:i/>
        </w:rPr>
        <w:t>et al.,</w:t>
      </w:r>
      <w:r>
        <w:t xml:space="preserve"> </w:t>
      </w:r>
      <w:r w:rsidRPr="00E939CC">
        <w:t>2018</w:t>
      </w:r>
      <w:r>
        <w:t>,</w:t>
      </w:r>
      <w:r w:rsidRPr="00E939CC">
        <w:t xml:space="preserve"> </w:t>
      </w:r>
      <w:proofErr w:type="spellStart"/>
      <w:r w:rsidRPr="00E939CC">
        <w:t>Wo</w:t>
      </w:r>
      <w:r>
        <w:t>e</w:t>
      </w:r>
      <w:r w:rsidRPr="00E939CC">
        <w:t>lders</w:t>
      </w:r>
      <w:proofErr w:type="spellEnd"/>
      <w:r w:rsidRPr="00E939CC">
        <w:t xml:space="preserve"> </w:t>
      </w:r>
      <w:r w:rsidRPr="009800AB">
        <w:rPr>
          <w:i/>
        </w:rPr>
        <w:t>et al.,</w:t>
      </w:r>
      <w:r>
        <w:t xml:space="preserve"> 2015</w:t>
      </w:r>
    </w:p>
  </w:footnote>
  <w:footnote w:id="487">
    <w:p w14:paraId="2C36155A" w14:textId="4194A108" w:rsidR="00452DFD" w:rsidRDefault="00452DFD">
      <w:pPr>
        <w:pStyle w:val="FootnoteText"/>
      </w:pPr>
      <w:r>
        <w:rPr>
          <w:rStyle w:val="FootnoteReference"/>
        </w:rPr>
        <w:footnoteRef/>
      </w:r>
      <w:r>
        <w:t xml:space="preserve"> </w:t>
      </w:r>
      <w:proofErr w:type="spellStart"/>
      <w:r w:rsidRPr="00737FC7">
        <w:rPr>
          <w:rFonts w:cs="Calibri"/>
          <w:color w:val="000000"/>
          <w:lang w:eastAsia="en-IE"/>
        </w:rPr>
        <w:t>Litherland</w:t>
      </w:r>
      <w:proofErr w:type="spellEnd"/>
      <w:r w:rsidRPr="00737FC7">
        <w:rPr>
          <w:rFonts w:cs="Calibri"/>
          <w:color w:val="000000"/>
          <w:lang w:eastAsia="en-IE"/>
        </w:rPr>
        <w:t xml:space="preserve"> </w:t>
      </w:r>
      <w:r w:rsidRPr="009800AB">
        <w:rPr>
          <w:rFonts w:cs="Calibri"/>
          <w:i/>
          <w:color w:val="000000"/>
          <w:lang w:eastAsia="en-IE"/>
        </w:rPr>
        <w:t>et al.,</w:t>
      </w:r>
      <w:r w:rsidRPr="00737FC7">
        <w:rPr>
          <w:rFonts w:cs="Calibri"/>
          <w:color w:val="000000"/>
          <w:lang w:eastAsia="en-IE"/>
        </w:rPr>
        <w:t xml:space="preserve"> 2018 cited in </w:t>
      </w:r>
      <w:r>
        <w:rPr>
          <w:rFonts w:cs="Calibri"/>
          <w:color w:val="000000"/>
          <w:lang w:eastAsia="en-IE"/>
        </w:rPr>
        <w:t xml:space="preserve">Burton, Ogden, and Cooper, 2019, </w:t>
      </w:r>
      <w:r>
        <w:t xml:space="preserve">Rapaport </w:t>
      </w:r>
      <w:r w:rsidRPr="009800AB">
        <w:rPr>
          <w:i/>
        </w:rPr>
        <w:t>et al.,</w:t>
      </w:r>
      <w:r>
        <w:t xml:space="preserve"> 2018 </w:t>
      </w:r>
      <w:r w:rsidRPr="00737FC7">
        <w:rPr>
          <w:rFonts w:cs="Calibri"/>
          <w:color w:val="000000"/>
          <w:lang w:eastAsia="en-IE"/>
        </w:rPr>
        <w:t xml:space="preserve">cited in </w:t>
      </w:r>
      <w:r>
        <w:rPr>
          <w:rFonts w:cs="Calibri"/>
          <w:color w:val="000000"/>
          <w:lang w:eastAsia="en-IE"/>
        </w:rPr>
        <w:t>Burton, Ogden, and Cooper, 2019</w:t>
      </w:r>
    </w:p>
  </w:footnote>
  <w:footnote w:id="488">
    <w:p w14:paraId="26A3505E" w14:textId="6814C279" w:rsidR="00452DFD" w:rsidRDefault="00452DFD">
      <w:pPr>
        <w:pStyle w:val="FootnoteText"/>
      </w:pPr>
      <w:r>
        <w:rPr>
          <w:rStyle w:val="FootnoteReference"/>
        </w:rPr>
        <w:footnoteRef/>
      </w:r>
      <w:r>
        <w:t xml:space="preserve"> </w:t>
      </w:r>
      <w:proofErr w:type="spellStart"/>
      <w:r>
        <w:t>Breault</w:t>
      </w:r>
      <w:proofErr w:type="spellEnd"/>
      <w:r>
        <w:t xml:space="preserve"> </w:t>
      </w:r>
      <w:r w:rsidRPr="009800AB">
        <w:rPr>
          <w:i/>
        </w:rPr>
        <w:t>et al.,</w:t>
      </w:r>
      <w:r>
        <w:t xml:space="preserve"> 2018b</w:t>
      </w:r>
    </w:p>
  </w:footnote>
  <w:footnote w:id="489">
    <w:p w14:paraId="4B384FB0" w14:textId="5DE08378"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 Haya </w:t>
      </w:r>
      <w:proofErr w:type="spellStart"/>
      <w:r>
        <w:t>Salmón</w:t>
      </w:r>
      <w:proofErr w:type="spellEnd"/>
      <w:r>
        <w:t xml:space="preserve"> and Rojas </w:t>
      </w:r>
      <w:proofErr w:type="spellStart"/>
      <w:r>
        <w:t>Pernia</w:t>
      </w:r>
      <w:proofErr w:type="spellEnd"/>
      <w:r>
        <w:t>, 2021, Schwartz and Durkin, 2020</w:t>
      </w:r>
    </w:p>
  </w:footnote>
  <w:footnote w:id="490">
    <w:p w14:paraId="6437693A" w14:textId="1645E578" w:rsidR="00452DFD" w:rsidRDefault="00452DFD">
      <w:pPr>
        <w:pStyle w:val="FootnoteText"/>
      </w:pPr>
      <w:r>
        <w:rPr>
          <w:rStyle w:val="FootnoteReference"/>
        </w:rPr>
        <w:footnoteRef/>
      </w:r>
      <w:r>
        <w:t xml:space="preserve"> Evans </w:t>
      </w:r>
      <w:r w:rsidRPr="009800AB">
        <w:rPr>
          <w:i/>
        </w:rPr>
        <w:t>et al.,</w:t>
      </w:r>
      <w:r>
        <w:t xml:space="preserve"> 2019, </w:t>
      </w:r>
      <w:proofErr w:type="spellStart"/>
      <w:r>
        <w:t>Frankena</w:t>
      </w:r>
      <w:proofErr w:type="spellEnd"/>
      <w:r>
        <w:t xml:space="preserve"> </w:t>
      </w:r>
      <w:r w:rsidRPr="009800AB">
        <w:rPr>
          <w:i/>
        </w:rPr>
        <w:t>et al.,</w:t>
      </w:r>
      <w:r>
        <w:t xml:space="preserve"> 2019a, IRN, 2019, Salmon </w:t>
      </w:r>
      <w:r w:rsidRPr="00893777">
        <w:rPr>
          <w:i/>
        </w:rPr>
        <w:t>et al.,</w:t>
      </w:r>
      <w:r>
        <w:t xml:space="preserve"> 2018</w:t>
      </w:r>
      <w:r w:rsidRPr="00DE565C">
        <w:t xml:space="preserve"> </w:t>
      </w:r>
    </w:p>
  </w:footnote>
  <w:footnote w:id="491">
    <w:p w14:paraId="34EE01AA" w14:textId="4A47A5BD" w:rsidR="00452DFD" w:rsidRDefault="00452DFD">
      <w:pPr>
        <w:pStyle w:val="FootnoteText"/>
      </w:pPr>
      <w:r>
        <w:rPr>
          <w:rStyle w:val="FootnoteReference"/>
        </w:rPr>
        <w:footnoteRef/>
      </w:r>
      <w:r>
        <w:t xml:space="preserve"> Drill Report 2018</w:t>
      </w:r>
    </w:p>
  </w:footnote>
  <w:footnote w:id="492">
    <w:p w14:paraId="1E92BF41" w14:textId="3EE41D6C" w:rsidR="00452DFD" w:rsidRDefault="00452DFD">
      <w:pPr>
        <w:pStyle w:val="FootnoteText"/>
      </w:pPr>
      <w:r>
        <w:rPr>
          <w:rStyle w:val="FootnoteReference"/>
        </w:rPr>
        <w:footnoteRef/>
      </w:r>
      <w:r>
        <w:t xml:space="preserve"> O’Brien </w:t>
      </w:r>
      <w:r w:rsidRPr="009800AB">
        <w:rPr>
          <w:i/>
        </w:rPr>
        <w:t>et al.,</w:t>
      </w:r>
      <w:r>
        <w:t xml:space="preserve"> 2014 cited in Di </w:t>
      </w:r>
      <w:proofErr w:type="spellStart"/>
      <w:r>
        <w:t>Lorito</w:t>
      </w:r>
      <w:proofErr w:type="spellEnd"/>
      <w:r>
        <w:t xml:space="preserve"> </w:t>
      </w:r>
      <w:r w:rsidRPr="009800AB">
        <w:rPr>
          <w:i/>
        </w:rPr>
        <w:t>et al.,</w:t>
      </w:r>
      <w:r>
        <w:t xml:space="preserve"> 2018</w:t>
      </w:r>
    </w:p>
  </w:footnote>
  <w:footnote w:id="493">
    <w:p w14:paraId="6298F8F6" w14:textId="77777777" w:rsidR="00452DFD" w:rsidRDefault="00452DFD" w:rsidP="00757F73">
      <w:pPr>
        <w:pStyle w:val="FootnoteText"/>
      </w:pPr>
      <w:r>
        <w:rPr>
          <w:rStyle w:val="FootnoteReference"/>
        </w:rPr>
        <w:footnoteRef/>
      </w:r>
      <w:r>
        <w:t xml:space="preserve"> This approach uses images to facilitate the exploration of real situations or abstract concepts.</w:t>
      </w:r>
    </w:p>
  </w:footnote>
  <w:footnote w:id="494">
    <w:p w14:paraId="7A1EF036" w14:textId="477F2560" w:rsidR="00452DFD" w:rsidRDefault="00452DFD">
      <w:pPr>
        <w:pStyle w:val="FootnoteText"/>
      </w:pPr>
      <w:r>
        <w:rPr>
          <w:rStyle w:val="FootnoteReference"/>
        </w:rPr>
        <w:footnoteRef/>
      </w:r>
      <w:r>
        <w:t xml:space="preserve"> </w:t>
      </w:r>
      <w:proofErr w:type="spellStart"/>
      <w:r>
        <w:rPr>
          <w:lang w:eastAsia="en-IE"/>
        </w:rPr>
        <w:t>Breault</w:t>
      </w:r>
      <w:proofErr w:type="spellEnd"/>
      <w:r>
        <w:rPr>
          <w:lang w:eastAsia="en-IE"/>
        </w:rPr>
        <w:t xml:space="preserve"> </w:t>
      </w:r>
      <w:r w:rsidRPr="009800AB">
        <w:rPr>
          <w:i/>
          <w:lang w:eastAsia="en-IE"/>
        </w:rPr>
        <w:t>et al.,</w:t>
      </w:r>
      <w:r>
        <w:rPr>
          <w:lang w:eastAsia="en-IE"/>
        </w:rPr>
        <w:t xml:space="preserve"> 2019b, Evans </w:t>
      </w:r>
      <w:r w:rsidRPr="009800AB">
        <w:rPr>
          <w:i/>
          <w:lang w:eastAsia="en-IE"/>
        </w:rPr>
        <w:t>et al.,</w:t>
      </w:r>
      <w:r>
        <w:rPr>
          <w:lang w:eastAsia="en-IE"/>
        </w:rPr>
        <w:t xml:space="preserve"> 2019, </w:t>
      </w:r>
      <w:proofErr w:type="spellStart"/>
      <w:r>
        <w:t>Varkonyi</w:t>
      </w:r>
      <w:proofErr w:type="spellEnd"/>
      <w:r>
        <w:t>-Sep, Cross and Howarth, 2017</w:t>
      </w:r>
    </w:p>
  </w:footnote>
  <w:footnote w:id="495">
    <w:p w14:paraId="679D4DCD" w14:textId="0D6614E4" w:rsidR="00452DFD" w:rsidRDefault="00452DFD">
      <w:pPr>
        <w:pStyle w:val="FootnoteText"/>
      </w:pPr>
      <w:r>
        <w:rPr>
          <w:rStyle w:val="FootnoteReference"/>
        </w:rPr>
        <w:footnoteRef/>
      </w:r>
      <w:r>
        <w:t xml:space="preserve"> </w:t>
      </w:r>
      <w:proofErr w:type="spellStart"/>
      <w:r>
        <w:rPr>
          <w:lang w:eastAsia="en-IE"/>
        </w:rPr>
        <w:t>Troya</w:t>
      </w:r>
      <w:proofErr w:type="spellEnd"/>
      <w:r>
        <w:rPr>
          <w:lang w:eastAsia="en-IE"/>
        </w:rPr>
        <w:t xml:space="preserve"> </w:t>
      </w:r>
      <w:r w:rsidRPr="009800AB">
        <w:rPr>
          <w:i/>
          <w:lang w:eastAsia="en-IE"/>
        </w:rPr>
        <w:t>et al.,</w:t>
      </w:r>
      <w:r>
        <w:rPr>
          <w:lang w:eastAsia="en-IE"/>
        </w:rPr>
        <w:t xml:space="preserve"> 2019</w:t>
      </w:r>
      <w:r w:rsidRPr="00576612">
        <w:rPr>
          <w:lang w:eastAsia="en-IE"/>
        </w:rPr>
        <w:t xml:space="preserve">, Rich </w:t>
      </w:r>
      <w:r w:rsidRPr="00576612">
        <w:rPr>
          <w:i/>
          <w:lang w:eastAsia="en-IE"/>
        </w:rPr>
        <w:t>et al.,</w:t>
      </w:r>
      <w:r w:rsidRPr="00576612">
        <w:rPr>
          <w:lang w:eastAsia="en-IE"/>
        </w:rPr>
        <w:t xml:space="preserve"> 2014</w:t>
      </w:r>
      <w:r>
        <w:rPr>
          <w:lang w:eastAsia="en-IE"/>
        </w:rPr>
        <w:t xml:space="preserve"> cited </w:t>
      </w:r>
      <w:r w:rsidRPr="00283A7B">
        <w:rPr>
          <w:lang w:eastAsia="en-IE"/>
        </w:rPr>
        <w:t xml:space="preserve">in Van </w:t>
      </w:r>
      <w:proofErr w:type="spellStart"/>
      <w:r w:rsidRPr="00283A7B">
        <w:rPr>
          <w:lang w:eastAsia="en-IE"/>
        </w:rPr>
        <w:t>Schelven</w:t>
      </w:r>
      <w:proofErr w:type="spellEnd"/>
      <w:r w:rsidRPr="00283A7B">
        <w:rPr>
          <w:lang w:eastAsia="en-IE"/>
        </w:rPr>
        <w:t xml:space="preserve"> </w:t>
      </w:r>
      <w:r w:rsidRPr="00185C11">
        <w:rPr>
          <w:i/>
          <w:lang w:eastAsia="en-IE"/>
        </w:rPr>
        <w:t xml:space="preserve">et al. </w:t>
      </w:r>
      <w:r w:rsidRPr="00283A7B">
        <w:rPr>
          <w:lang w:eastAsia="en-IE"/>
        </w:rPr>
        <w:t>2020a</w:t>
      </w:r>
      <w:r>
        <w:rPr>
          <w:lang w:eastAsia="en-IE"/>
        </w:rPr>
        <w:t xml:space="preserve">, </w:t>
      </w:r>
      <w:proofErr w:type="spellStart"/>
      <w:r>
        <w:rPr>
          <w:lang w:eastAsia="en-IE"/>
        </w:rPr>
        <w:t>Sloper</w:t>
      </w:r>
      <w:proofErr w:type="spellEnd"/>
      <w:r>
        <w:rPr>
          <w:lang w:eastAsia="en-IE"/>
        </w:rPr>
        <w:t xml:space="preserve"> and Lightfoot, 2003 cited </w:t>
      </w:r>
      <w:r w:rsidRPr="00283A7B">
        <w:rPr>
          <w:lang w:eastAsia="en-IE"/>
        </w:rPr>
        <w:t xml:space="preserve">in Van </w:t>
      </w:r>
      <w:proofErr w:type="spellStart"/>
      <w:r w:rsidRPr="00283A7B">
        <w:rPr>
          <w:lang w:eastAsia="en-IE"/>
        </w:rPr>
        <w:t>Schelven</w:t>
      </w:r>
      <w:proofErr w:type="spellEnd"/>
      <w:r w:rsidRPr="00283A7B">
        <w:rPr>
          <w:lang w:eastAsia="en-IE"/>
        </w:rPr>
        <w:t xml:space="preserve"> </w:t>
      </w:r>
      <w:r w:rsidRPr="00185C11">
        <w:rPr>
          <w:i/>
          <w:lang w:eastAsia="en-IE"/>
        </w:rPr>
        <w:t xml:space="preserve">et al. </w:t>
      </w:r>
      <w:r w:rsidRPr="00283A7B">
        <w:rPr>
          <w:lang w:eastAsia="en-IE"/>
        </w:rPr>
        <w:t>2020a</w:t>
      </w:r>
    </w:p>
  </w:footnote>
  <w:footnote w:id="496">
    <w:p w14:paraId="22CB285C" w14:textId="14EFB2E6"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497">
    <w:p w14:paraId="2AEDB8D2" w14:textId="1CCB83CD" w:rsidR="00452DFD" w:rsidRDefault="00452DFD">
      <w:pPr>
        <w:pStyle w:val="FootnoteText"/>
      </w:pPr>
      <w:r>
        <w:rPr>
          <w:rStyle w:val="FootnoteReference"/>
        </w:rPr>
        <w:footnoteRef/>
      </w:r>
      <w:r>
        <w:t xml:space="preserve"> Callus, 2019</w:t>
      </w:r>
    </w:p>
  </w:footnote>
  <w:footnote w:id="498">
    <w:p w14:paraId="18E7DB40" w14:textId="0E2A74DD" w:rsidR="00452DFD" w:rsidRDefault="00452DFD">
      <w:pPr>
        <w:pStyle w:val="FootnoteText"/>
      </w:pPr>
      <w:r>
        <w:rPr>
          <w:rStyle w:val="FootnoteReference"/>
        </w:rPr>
        <w:footnoteRef/>
      </w:r>
      <w:r>
        <w:t xml:space="preserve"> Anderson </w:t>
      </w:r>
      <w:r w:rsidRPr="009800AB">
        <w:rPr>
          <w:i/>
        </w:rPr>
        <w:t>et al.,</w:t>
      </w:r>
      <w:r>
        <w:t xml:space="preserve"> 2019, </w:t>
      </w:r>
      <w:r w:rsidRPr="009C4593">
        <w:t xml:space="preserve">Bailey </w:t>
      </w:r>
      <w:r w:rsidRPr="009800AB">
        <w:rPr>
          <w:i/>
        </w:rPr>
        <w:t>et al.,</w:t>
      </w:r>
      <w:r>
        <w:t xml:space="preserve"> 2015, Callus, 2019, </w:t>
      </w:r>
      <w:proofErr w:type="spellStart"/>
      <w:r>
        <w:t>Frankena</w:t>
      </w:r>
      <w:proofErr w:type="spellEnd"/>
      <w:r>
        <w:t xml:space="preserve"> </w:t>
      </w:r>
      <w:r w:rsidRPr="009800AB">
        <w:rPr>
          <w:i/>
        </w:rPr>
        <w:t>et al.,</w:t>
      </w:r>
      <w:r>
        <w:t xml:space="preserve"> 2015a, Stack and McDonald, 2018, </w:t>
      </w:r>
      <w:proofErr w:type="spellStart"/>
      <w:r>
        <w:t>Strnadová</w:t>
      </w:r>
      <w:proofErr w:type="spellEnd"/>
      <w:r w:rsidRPr="009C4593">
        <w:t xml:space="preserve"> </w:t>
      </w:r>
      <w:r w:rsidRPr="009800AB">
        <w:rPr>
          <w:i/>
        </w:rPr>
        <w:t>et al.,</w:t>
      </w:r>
      <w:r>
        <w:t xml:space="preserve"> 2</w:t>
      </w:r>
      <w:r w:rsidRPr="009C4593">
        <w:t xml:space="preserve">016, </w:t>
      </w:r>
      <w:r>
        <w:t xml:space="preserve">Vaughn </w:t>
      </w:r>
      <w:r w:rsidRPr="009800AB">
        <w:rPr>
          <w:i/>
        </w:rPr>
        <w:t>et al.,</w:t>
      </w:r>
      <w:r>
        <w:t xml:space="preserve"> 2019</w:t>
      </w:r>
    </w:p>
  </w:footnote>
  <w:footnote w:id="499">
    <w:p w14:paraId="5DD568EE" w14:textId="5DE00771" w:rsidR="00452DFD" w:rsidRDefault="00452DFD">
      <w:pPr>
        <w:pStyle w:val="FootnoteText"/>
      </w:pPr>
      <w:r>
        <w:rPr>
          <w:rStyle w:val="FootnoteReference"/>
        </w:rPr>
        <w:footnoteRef/>
      </w:r>
      <w:r>
        <w:t xml:space="preserve"> Burton, Ogden, and Cooper, 2019, </w:t>
      </w:r>
      <w:proofErr w:type="spellStart"/>
      <w:r>
        <w:t>Frankena</w:t>
      </w:r>
      <w:proofErr w:type="spellEnd"/>
      <w:r>
        <w:t xml:space="preserve"> </w:t>
      </w:r>
      <w:r w:rsidRPr="009800AB">
        <w:rPr>
          <w:i/>
        </w:rPr>
        <w:t>et al.,</w:t>
      </w:r>
      <w:r>
        <w:t xml:space="preserve"> 2015, Green </w:t>
      </w:r>
      <w:r w:rsidRPr="009800AB">
        <w:rPr>
          <w:i/>
        </w:rPr>
        <w:t>et al.,</w:t>
      </w:r>
      <w:r>
        <w:t xml:space="preserve"> 2016, Ní </w:t>
      </w:r>
      <w:proofErr w:type="spellStart"/>
      <w:r>
        <w:t>Shé</w:t>
      </w:r>
      <w:proofErr w:type="spellEnd"/>
      <w:r>
        <w:t xml:space="preserve"> </w:t>
      </w:r>
      <w:r w:rsidRPr="009800AB">
        <w:rPr>
          <w:i/>
        </w:rPr>
        <w:t>et al.,</w:t>
      </w:r>
      <w:r>
        <w:t xml:space="preserve"> 2020, Vega Cordova </w:t>
      </w:r>
      <w:r w:rsidRPr="009800AB">
        <w:rPr>
          <w:i/>
        </w:rPr>
        <w:t>et al.,</w:t>
      </w:r>
      <w:r>
        <w:t xml:space="preserve"> 2020</w:t>
      </w:r>
    </w:p>
  </w:footnote>
  <w:footnote w:id="500">
    <w:p w14:paraId="429B4564" w14:textId="7E521AED" w:rsidR="00452DFD" w:rsidRDefault="00452DFD">
      <w:pPr>
        <w:pStyle w:val="FootnoteText"/>
      </w:pPr>
      <w:r>
        <w:rPr>
          <w:rStyle w:val="FootnoteReference"/>
        </w:rPr>
        <w:footnoteRef/>
      </w:r>
      <w:r>
        <w:t xml:space="preserve"> </w:t>
      </w:r>
      <w:r>
        <w:rPr>
          <w:rFonts w:cs="Calibri"/>
          <w:color w:val="000000"/>
          <w:lang w:eastAsia="en-IE"/>
        </w:rPr>
        <w:t>Tanner, 2012</w:t>
      </w:r>
      <w:r w:rsidRPr="00860DAB">
        <w:rPr>
          <w:rFonts w:cs="Calibri"/>
          <w:color w:val="000000"/>
          <w:lang w:eastAsia="en-IE"/>
        </w:rPr>
        <w:t xml:space="preserve"> in </w:t>
      </w:r>
      <w:r>
        <w:rPr>
          <w:rFonts w:cs="Calibri"/>
          <w:color w:val="000000"/>
          <w:lang w:eastAsia="en-IE"/>
        </w:rPr>
        <w:t xml:space="preserve">Di </w:t>
      </w:r>
      <w:proofErr w:type="spellStart"/>
      <w:r>
        <w:rPr>
          <w:rFonts w:cs="Calibri"/>
          <w:color w:val="000000"/>
          <w:lang w:eastAsia="en-IE"/>
        </w:rPr>
        <w:t>Lorito</w:t>
      </w:r>
      <w:proofErr w:type="spellEnd"/>
      <w:r w:rsidRPr="00860DAB">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w:t>
      </w:r>
      <w:r w:rsidRPr="00860DAB">
        <w:rPr>
          <w:rFonts w:cs="Calibri"/>
          <w:color w:val="000000"/>
          <w:lang w:eastAsia="en-IE"/>
        </w:rPr>
        <w:t>017</w:t>
      </w:r>
    </w:p>
  </w:footnote>
  <w:footnote w:id="501">
    <w:p w14:paraId="256D620A" w14:textId="3619B3B5"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2019c, </w:t>
      </w:r>
      <w:proofErr w:type="spellStart"/>
      <w:r>
        <w:t>Nicolaidis</w:t>
      </w:r>
      <w:proofErr w:type="spellEnd"/>
      <w:r>
        <w:t xml:space="preserve"> </w:t>
      </w:r>
      <w:r w:rsidRPr="009800AB">
        <w:rPr>
          <w:i/>
        </w:rPr>
        <w:t>et al.,</w:t>
      </w:r>
      <w:r>
        <w:t xml:space="preserve"> 2019</w:t>
      </w:r>
    </w:p>
  </w:footnote>
  <w:footnote w:id="502">
    <w:p w14:paraId="4356A54D" w14:textId="644A830D" w:rsidR="00452DFD" w:rsidRDefault="00452DFD">
      <w:pPr>
        <w:pStyle w:val="FootnoteText"/>
      </w:pPr>
      <w:r>
        <w:rPr>
          <w:rStyle w:val="FootnoteReference"/>
        </w:rPr>
        <w:footnoteRef/>
      </w:r>
      <w:r>
        <w:t xml:space="preserve"> </w:t>
      </w:r>
      <w:proofErr w:type="spellStart"/>
      <w:r>
        <w:t>Nicolaidis</w:t>
      </w:r>
      <w:proofErr w:type="spellEnd"/>
      <w:r>
        <w:t xml:space="preserve"> </w:t>
      </w:r>
      <w:r w:rsidRPr="009800AB">
        <w:rPr>
          <w:i/>
        </w:rPr>
        <w:t>et al.,</w:t>
      </w:r>
      <w:r>
        <w:t xml:space="preserve"> 2019</w:t>
      </w:r>
    </w:p>
  </w:footnote>
  <w:footnote w:id="503">
    <w:p w14:paraId="10D6FC69" w14:textId="77777777" w:rsidR="00452DFD" w:rsidRDefault="00452DFD" w:rsidP="004E3830">
      <w:pPr>
        <w:pStyle w:val="FootnoteText"/>
      </w:pPr>
      <w:r>
        <w:rPr>
          <w:rStyle w:val="FootnoteReference"/>
        </w:rPr>
        <w:footnoteRef/>
      </w:r>
      <w:r>
        <w:t xml:space="preserve"> Talking Mats is an evidence-based communication tool developed by speech and language therapists which use visuals to enable communication. See </w:t>
      </w:r>
      <w:hyperlink r:id="rId4" w:history="1">
        <w:r w:rsidRPr="009F24E7">
          <w:rPr>
            <w:rStyle w:val="Hyperlink"/>
          </w:rPr>
          <w:t>https://www.talkingmats.com/</w:t>
        </w:r>
      </w:hyperlink>
      <w:r>
        <w:t xml:space="preserve"> </w:t>
      </w:r>
    </w:p>
  </w:footnote>
  <w:footnote w:id="504">
    <w:p w14:paraId="35A17ACC" w14:textId="27BAD94C" w:rsidR="00452DFD" w:rsidRDefault="00452DFD">
      <w:pPr>
        <w:pStyle w:val="FootnoteText"/>
      </w:pPr>
      <w:r>
        <w:rPr>
          <w:rStyle w:val="FootnoteReference"/>
        </w:rPr>
        <w:footnoteRef/>
      </w:r>
      <w:r>
        <w:t xml:space="preserve"> </w:t>
      </w:r>
      <w:proofErr w:type="spellStart"/>
      <w:r>
        <w:t>EverNote</w:t>
      </w:r>
      <w:proofErr w:type="spellEnd"/>
      <w:r>
        <w:t xml:space="preserve"> is an app used for note taking and organisation – notes can be made in various ways – using, for example, text, pictures or audio.</w:t>
      </w:r>
    </w:p>
  </w:footnote>
  <w:footnote w:id="505">
    <w:p w14:paraId="196A1B45" w14:textId="38A66B1D" w:rsidR="00452DFD" w:rsidRDefault="00452DFD">
      <w:pPr>
        <w:pStyle w:val="FootnoteText"/>
      </w:pPr>
      <w:r>
        <w:rPr>
          <w:rStyle w:val="FootnoteReference"/>
        </w:rPr>
        <w:footnoteRef/>
      </w:r>
      <w:r>
        <w:t xml:space="preserve"> </w:t>
      </w:r>
      <w:proofErr w:type="spellStart"/>
      <w:r w:rsidRPr="00021A57">
        <w:t>Beighton</w:t>
      </w:r>
      <w:proofErr w:type="spellEnd"/>
      <w:r w:rsidRPr="00021A57">
        <w:t xml:space="preserve"> </w:t>
      </w:r>
      <w:r w:rsidRPr="009800AB">
        <w:rPr>
          <w:i/>
        </w:rPr>
        <w:t>et al.,</w:t>
      </w:r>
      <w:r>
        <w:t xml:space="preserve"> </w:t>
      </w:r>
      <w:r w:rsidRPr="00021A57">
        <w:t xml:space="preserve">2019, </w:t>
      </w:r>
      <w:r>
        <w:t>Burton, Ogden, and Cooper, 2019</w:t>
      </w:r>
      <w:r w:rsidRPr="00021A57">
        <w:t xml:space="preserve">, </w:t>
      </w:r>
      <w:r>
        <w:t xml:space="preserve">Chick, 2018, Dewa </w:t>
      </w:r>
      <w:r w:rsidRPr="009800AB">
        <w:rPr>
          <w:i/>
        </w:rPr>
        <w:t>et al.,</w:t>
      </w:r>
      <w:r>
        <w:t xml:space="preserve"> 2020, </w:t>
      </w:r>
      <w:proofErr w:type="spellStart"/>
      <w:r w:rsidRPr="00041FEB">
        <w:t>Frankena</w:t>
      </w:r>
      <w:proofErr w:type="spellEnd"/>
      <w:r w:rsidRPr="00041FEB">
        <w:t xml:space="preserve"> </w:t>
      </w:r>
      <w:r w:rsidRPr="009800AB">
        <w:rPr>
          <w:i/>
        </w:rPr>
        <w:t>et al.,</w:t>
      </w:r>
      <w:r>
        <w:t xml:space="preserve"> </w:t>
      </w:r>
      <w:r w:rsidRPr="00041FEB">
        <w:t>2019a</w:t>
      </w:r>
      <w:r>
        <w:t>,</w:t>
      </w:r>
      <w:r w:rsidRPr="00021A57">
        <w:t xml:space="preserve"> </w:t>
      </w:r>
      <w:r>
        <w:t xml:space="preserve">Haya </w:t>
      </w:r>
      <w:proofErr w:type="spellStart"/>
      <w:r w:rsidRPr="00021A57">
        <w:t>Salm</w:t>
      </w:r>
      <w:r>
        <w:t>ó</w:t>
      </w:r>
      <w:r w:rsidRPr="00021A57">
        <w:t>n</w:t>
      </w:r>
      <w:proofErr w:type="spellEnd"/>
      <w:r w:rsidRPr="00021A57">
        <w:t xml:space="preserve"> </w:t>
      </w:r>
      <w:r>
        <w:t>and</w:t>
      </w:r>
      <w:r w:rsidRPr="00021A57">
        <w:t xml:space="preserve"> </w:t>
      </w:r>
      <w:r>
        <w:t xml:space="preserve">Rojas </w:t>
      </w:r>
      <w:proofErr w:type="spellStart"/>
      <w:r w:rsidRPr="00021A57">
        <w:t>Pernia</w:t>
      </w:r>
      <w:proofErr w:type="spellEnd"/>
      <w:r w:rsidRPr="00021A57">
        <w:t>, 202</w:t>
      </w:r>
      <w:r>
        <w:t>1</w:t>
      </w:r>
      <w:r w:rsidRPr="00021A57">
        <w:t xml:space="preserve">, </w:t>
      </w:r>
      <w:proofErr w:type="spellStart"/>
      <w:r w:rsidRPr="00021A57">
        <w:t>Puyalto</w:t>
      </w:r>
      <w:proofErr w:type="spellEnd"/>
      <w:r w:rsidRPr="00021A57">
        <w:t xml:space="preserve"> </w:t>
      </w:r>
      <w:r w:rsidRPr="009800AB">
        <w:rPr>
          <w:i/>
        </w:rPr>
        <w:t>et al.,</w:t>
      </w:r>
      <w:r>
        <w:t xml:space="preserve"> </w:t>
      </w:r>
      <w:r w:rsidRPr="00021A57">
        <w:t>2016</w:t>
      </w:r>
      <w:r>
        <w:t>,</w:t>
      </w:r>
      <w:r w:rsidRPr="00021A57">
        <w:t xml:space="preserve"> </w:t>
      </w:r>
      <w:r w:rsidRPr="00041FEB">
        <w:t xml:space="preserve">Vasquez </w:t>
      </w:r>
      <w:r w:rsidRPr="009800AB">
        <w:rPr>
          <w:i/>
        </w:rPr>
        <w:t>et al.,</w:t>
      </w:r>
      <w:r>
        <w:t xml:space="preserve"> 2019, </w:t>
      </w:r>
      <w:r w:rsidRPr="00021A57">
        <w:t>V</w:t>
      </w:r>
      <w:r>
        <w:t xml:space="preserve">ega Cordova </w:t>
      </w:r>
      <w:r w:rsidRPr="009800AB">
        <w:rPr>
          <w:i/>
        </w:rPr>
        <w:t>et al.,</w:t>
      </w:r>
      <w:r>
        <w:t xml:space="preserve"> 2020</w:t>
      </w:r>
    </w:p>
  </w:footnote>
  <w:footnote w:id="506">
    <w:p w14:paraId="430112F3" w14:textId="48ACF30F" w:rsidR="00452DFD" w:rsidRDefault="00452DFD">
      <w:pPr>
        <w:pStyle w:val="FootnoteText"/>
      </w:pPr>
      <w:r>
        <w:rPr>
          <w:rStyle w:val="FootnoteReference"/>
        </w:rPr>
        <w:footnoteRef/>
      </w:r>
      <w:r>
        <w:t xml:space="preserve"> </w:t>
      </w:r>
      <w:proofErr w:type="spellStart"/>
      <w:r w:rsidRPr="00CA2163">
        <w:t>Barod</w:t>
      </w:r>
      <w:proofErr w:type="spellEnd"/>
      <w:r w:rsidRPr="00CA2163">
        <w:t xml:space="preserve"> Community Interest Company</w:t>
      </w:r>
      <w:r>
        <w:t xml:space="preserve">, 2019, </w:t>
      </w:r>
      <w:proofErr w:type="spellStart"/>
      <w:r>
        <w:t>Beighton</w:t>
      </w:r>
      <w:proofErr w:type="spellEnd"/>
      <w:r>
        <w:t xml:space="preserve"> </w:t>
      </w:r>
      <w:r w:rsidRPr="009800AB">
        <w:rPr>
          <w:i/>
        </w:rPr>
        <w:t>et al.,</w:t>
      </w:r>
      <w:r>
        <w:t xml:space="preserve"> 2019</w:t>
      </w:r>
    </w:p>
  </w:footnote>
  <w:footnote w:id="507">
    <w:p w14:paraId="7F994299" w14:textId="39144D36" w:rsidR="00452DFD" w:rsidRDefault="00452DFD">
      <w:pPr>
        <w:pStyle w:val="FootnoteText"/>
      </w:pPr>
      <w:r>
        <w:rPr>
          <w:rStyle w:val="FootnoteReference"/>
        </w:rPr>
        <w:footnoteRef/>
      </w:r>
      <w:r>
        <w:t xml:space="preserve"> Green </w:t>
      </w:r>
      <w:r w:rsidRPr="009800AB">
        <w:rPr>
          <w:i/>
        </w:rPr>
        <w:t>et al.,</w:t>
      </w:r>
      <w:r>
        <w:t xml:space="preserve"> 2016</w:t>
      </w:r>
    </w:p>
  </w:footnote>
  <w:footnote w:id="508">
    <w:p w14:paraId="7DA770D0" w14:textId="05C12A23" w:rsidR="00452DFD" w:rsidRDefault="00452DFD">
      <w:pPr>
        <w:pStyle w:val="FootnoteText"/>
      </w:pPr>
      <w:r>
        <w:rPr>
          <w:rStyle w:val="FootnoteReference"/>
        </w:rPr>
        <w:footnoteRef/>
      </w:r>
      <w:r>
        <w:t xml:space="preserve"> Durrell 2016, Smith-Merry, 2017</w:t>
      </w:r>
    </w:p>
  </w:footnote>
  <w:footnote w:id="509">
    <w:p w14:paraId="3BFE7EF7" w14:textId="06116DDB" w:rsidR="00452DFD" w:rsidRDefault="00452DFD">
      <w:pPr>
        <w:pStyle w:val="FootnoteText"/>
      </w:pPr>
      <w:r>
        <w:rPr>
          <w:rStyle w:val="FootnoteReference"/>
        </w:rPr>
        <w:footnoteRef/>
      </w:r>
      <w:r>
        <w:t xml:space="preserve"> Smith-Merry, 2017</w:t>
      </w:r>
    </w:p>
  </w:footnote>
  <w:footnote w:id="510">
    <w:p w14:paraId="154F5C82" w14:textId="56FA3693" w:rsidR="00452DFD" w:rsidRDefault="00452DFD">
      <w:pPr>
        <w:pStyle w:val="FootnoteText"/>
      </w:pPr>
      <w:r>
        <w:rPr>
          <w:rStyle w:val="FootnoteReference"/>
        </w:rPr>
        <w:footnoteRef/>
      </w:r>
      <w:r>
        <w:t xml:space="preserve"> </w:t>
      </w:r>
      <w:r w:rsidRPr="0037151C">
        <w:t>National Development Team for Inclusion, 2019</w:t>
      </w:r>
    </w:p>
  </w:footnote>
  <w:footnote w:id="511">
    <w:p w14:paraId="1264526A" w14:textId="4D74A5BF" w:rsidR="00452DFD" w:rsidRDefault="00452DFD">
      <w:pPr>
        <w:pStyle w:val="FootnoteText"/>
      </w:pPr>
      <w:r>
        <w:rPr>
          <w:rStyle w:val="FootnoteReference"/>
        </w:rPr>
        <w:footnoteRef/>
      </w:r>
      <w:r>
        <w:t xml:space="preserve"> </w:t>
      </w:r>
      <w:proofErr w:type="spellStart"/>
      <w:r w:rsidRPr="00293955">
        <w:t>Giebel</w:t>
      </w:r>
      <w:proofErr w:type="spellEnd"/>
      <w:r w:rsidRPr="00293955">
        <w:t xml:space="preserve"> </w:t>
      </w:r>
      <w:r w:rsidRPr="009800AB">
        <w:rPr>
          <w:i/>
        </w:rPr>
        <w:t>et al.,</w:t>
      </w:r>
      <w:r>
        <w:t xml:space="preserve"> 2019</w:t>
      </w:r>
    </w:p>
  </w:footnote>
  <w:footnote w:id="512">
    <w:p w14:paraId="0BF2F986" w14:textId="6EC1A2B2" w:rsidR="00452DFD" w:rsidRDefault="00452DFD">
      <w:pPr>
        <w:pStyle w:val="FootnoteText"/>
      </w:pPr>
      <w:r>
        <w:rPr>
          <w:rStyle w:val="FootnoteReference"/>
        </w:rPr>
        <w:footnoteRef/>
      </w:r>
      <w:r>
        <w:t xml:space="preserve"> </w:t>
      </w:r>
      <w:r w:rsidRPr="00737FC7">
        <w:rPr>
          <w:rFonts w:cs="Calibri"/>
          <w:color w:val="000000"/>
          <w:lang w:eastAsia="en-IE"/>
        </w:rPr>
        <w:t xml:space="preserve">Clarke </w:t>
      </w:r>
      <w:r w:rsidRPr="009800AB">
        <w:rPr>
          <w:rFonts w:cs="Calibri"/>
          <w:i/>
          <w:color w:val="000000"/>
          <w:lang w:eastAsia="en-IE"/>
        </w:rPr>
        <w:t>et al.,</w:t>
      </w:r>
      <w:r>
        <w:rPr>
          <w:rFonts w:cs="Calibri"/>
          <w:color w:val="000000"/>
          <w:lang w:eastAsia="en-IE"/>
        </w:rPr>
        <w:t xml:space="preserve"> </w:t>
      </w:r>
      <w:r w:rsidRPr="00737FC7">
        <w:rPr>
          <w:rFonts w:cs="Calibri"/>
          <w:color w:val="000000"/>
          <w:lang w:eastAsia="en-IE"/>
        </w:rPr>
        <w:t xml:space="preserve">2018 </w:t>
      </w:r>
      <w:r>
        <w:rPr>
          <w:rFonts w:cs="Calibri"/>
          <w:color w:val="000000"/>
          <w:lang w:eastAsia="en-IE"/>
        </w:rPr>
        <w:t>cited in Burton, Ogden, and Cooper, 2019,</w:t>
      </w:r>
      <w:r w:rsidRPr="00737FC7">
        <w:rPr>
          <w:rFonts w:cs="Calibri"/>
          <w:color w:val="000000"/>
          <w:lang w:eastAsia="en-IE"/>
        </w:rPr>
        <w:t xml:space="preserve"> </w:t>
      </w:r>
      <w:proofErr w:type="spellStart"/>
      <w:r w:rsidRPr="00737FC7">
        <w:rPr>
          <w:rFonts w:cs="Calibri"/>
          <w:color w:val="000000"/>
          <w:lang w:eastAsia="en-IE"/>
        </w:rPr>
        <w:t>Litherland</w:t>
      </w:r>
      <w:proofErr w:type="spellEnd"/>
      <w:r w:rsidRPr="00737FC7">
        <w:rPr>
          <w:rFonts w:cs="Calibri"/>
          <w:color w:val="000000"/>
          <w:lang w:eastAsia="en-IE"/>
        </w:rPr>
        <w:t xml:space="preserve"> </w:t>
      </w:r>
      <w:r w:rsidRPr="009800AB">
        <w:rPr>
          <w:rFonts w:cs="Calibri"/>
          <w:i/>
          <w:color w:val="000000"/>
          <w:lang w:eastAsia="en-IE"/>
        </w:rPr>
        <w:t>et al.,</w:t>
      </w:r>
      <w:r w:rsidRPr="00737FC7">
        <w:rPr>
          <w:rFonts w:cs="Calibri"/>
          <w:color w:val="000000"/>
          <w:lang w:eastAsia="en-IE"/>
        </w:rPr>
        <w:t xml:space="preserve"> 2018 cited in </w:t>
      </w:r>
      <w:r>
        <w:rPr>
          <w:rFonts w:cs="Calibri"/>
          <w:color w:val="000000"/>
          <w:lang w:eastAsia="en-IE"/>
        </w:rPr>
        <w:t>Burton, Ogden, and Cooper, 2019</w:t>
      </w:r>
    </w:p>
  </w:footnote>
  <w:footnote w:id="513">
    <w:p w14:paraId="5E36C8EB" w14:textId="165413C9" w:rsidR="00452DFD" w:rsidRDefault="00452DFD">
      <w:pPr>
        <w:pStyle w:val="FootnoteText"/>
      </w:pPr>
      <w:r>
        <w:rPr>
          <w:rStyle w:val="FootnoteReference"/>
        </w:rPr>
        <w:footnoteRef/>
      </w:r>
      <w:r>
        <w:t xml:space="preserve"> </w:t>
      </w:r>
      <w:proofErr w:type="spellStart"/>
      <w:r w:rsidRPr="00737FC7">
        <w:rPr>
          <w:rFonts w:cs="Calibri"/>
          <w:color w:val="000000"/>
          <w:lang w:eastAsia="en-IE"/>
        </w:rPr>
        <w:t>Breault</w:t>
      </w:r>
      <w:proofErr w:type="spellEnd"/>
      <w:r w:rsidRPr="00737FC7">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w:t>
      </w:r>
      <w:r w:rsidRPr="00737FC7">
        <w:rPr>
          <w:rFonts w:cs="Calibri"/>
          <w:color w:val="000000"/>
          <w:lang w:eastAsia="en-IE"/>
        </w:rPr>
        <w:t>2018b</w:t>
      </w:r>
    </w:p>
  </w:footnote>
  <w:footnote w:id="514">
    <w:p w14:paraId="54F02B7E" w14:textId="1202AE06" w:rsidR="00452DFD" w:rsidRDefault="00452DFD">
      <w:pPr>
        <w:pStyle w:val="FootnoteText"/>
      </w:pPr>
      <w:r>
        <w:rPr>
          <w:rStyle w:val="FootnoteReference"/>
        </w:rPr>
        <w:footnoteRef/>
      </w:r>
      <w:r>
        <w:t xml:space="preserve"> </w:t>
      </w:r>
      <w:r w:rsidRPr="00737FC7">
        <w:rPr>
          <w:rFonts w:cs="Calibri"/>
          <w:color w:val="000000"/>
          <w:lang w:eastAsia="en-IE"/>
        </w:rPr>
        <w:t xml:space="preserve">Clarke </w:t>
      </w:r>
      <w:r w:rsidRPr="009800AB">
        <w:rPr>
          <w:rFonts w:cs="Calibri"/>
          <w:i/>
          <w:color w:val="000000"/>
          <w:lang w:eastAsia="en-IE"/>
        </w:rPr>
        <w:t>et al.,</w:t>
      </w:r>
      <w:r>
        <w:rPr>
          <w:rFonts w:cs="Calibri"/>
          <w:color w:val="000000"/>
          <w:lang w:eastAsia="en-IE"/>
        </w:rPr>
        <w:t xml:space="preserve"> </w:t>
      </w:r>
      <w:r w:rsidRPr="00737FC7">
        <w:rPr>
          <w:rFonts w:cs="Calibri"/>
          <w:color w:val="000000"/>
          <w:lang w:eastAsia="en-IE"/>
        </w:rPr>
        <w:t xml:space="preserve">2018 </w:t>
      </w:r>
      <w:r>
        <w:rPr>
          <w:rFonts w:cs="Calibri"/>
          <w:color w:val="000000"/>
          <w:lang w:eastAsia="en-IE"/>
        </w:rPr>
        <w:t>cited in Burton, Ogden, and Cooper, 2019,</w:t>
      </w:r>
      <w:r w:rsidRPr="00B31DD6">
        <w:rPr>
          <w:rFonts w:cs="Calibri"/>
          <w:color w:val="000000"/>
          <w:lang w:eastAsia="en-IE"/>
        </w:rPr>
        <w:t xml:space="preserve"> </w:t>
      </w:r>
      <w:proofErr w:type="spellStart"/>
      <w:r w:rsidRPr="00B31DD6">
        <w:rPr>
          <w:rFonts w:cs="Calibri"/>
          <w:color w:val="000000"/>
          <w:lang w:eastAsia="en-IE"/>
        </w:rPr>
        <w:t>Litherland</w:t>
      </w:r>
      <w:proofErr w:type="spellEnd"/>
      <w:r w:rsidRPr="00B31DD6">
        <w:rPr>
          <w:rFonts w:cs="Calibri"/>
          <w:color w:val="000000"/>
          <w:lang w:eastAsia="en-IE"/>
        </w:rPr>
        <w:t xml:space="preserve"> </w:t>
      </w:r>
      <w:r w:rsidRPr="009800AB">
        <w:rPr>
          <w:rFonts w:cs="Calibri"/>
          <w:i/>
          <w:color w:val="000000"/>
          <w:lang w:eastAsia="en-IE"/>
        </w:rPr>
        <w:t>et al.,</w:t>
      </w:r>
      <w:r w:rsidRPr="00B31DD6">
        <w:rPr>
          <w:rFonts w:cs="Calibri"/>
          <w:color w:val="000000"/>
          <w:lang w:eastAsia="en-IE"/>
        </w:rPr>
        <w:t xml:space="preserve"> 2018 cited in </w:t>
      </w:r>
      <w:r>
        <w:rPr>
          <w:rFonts w:cs="Calibri"/>
          <w:color w:val="000000"/>
          <w:lang w:eastAsia="en-IE"/>
        </w:rPr>
        <w:t>Burton, Ogden, and Cooper, 2019</w:t>
      </w:r>
    </w:p>
  </w:footnote>
  <w:footnote w:id="515">
    <w:p w14:paraId="7D7C7EEB" w14:textId="59893A90" w:rsidR="00452DFD" w:rsidRDefault="00452DFD">
      <w:pPr>
        <w:pStyle w:val="FootnoteText"/>
      </w:pPr>
      <w:r>
        <w:rPr>
          <w:rStyle w:val="FootnoteReference"/>
        </w:rPr>
        <w:footnoteRef/>
      </w:r>
      <w:r>
        <w:t xml:space="preserve"> Anderson </w:t>
      </w:r>
      <w:r w:rsidRPr="009800AB">
        <w:rPr>
          <w:i/>
        </w:rPr>
        <w:t>et al.,</w:t>
      </w:r>
      <w:r>
        <w:t xml:space="preserve"> 2019, Gove </w:t>
      </w:r>
      <w:r w:rsidRPr="009800AB">
        <w:rPr>
          <w:i/>
        </w:rPr>
        <w:t>et al.,</w:t>
      </w:r>
      <w:r>
        <w:t xml:space="preserve"> 2017, Mathews, Marshall and Wilkinson, 2020</w:t>
      </w:r>
    </w:p>
  </w:footnote>
  <w:footnote w:id="516">
    <w:p w14:paraId="536FAC10" w14:textId="0D971731" w:rsidR="00452DFD" w:rsidRDefault="00452DFD">
      <w:pPr>
        <w:pStyle w:val="FootnoteText"/>
      </w:pPr>
      <w:r>
        <w:rPr>
          <w:rStyle w:val="FootnoteReference"/>
        </w:rPr>
        <w:footnoteRef/>
      </w:r>
      <w:r>
        <w:t xml:space="preserve"> Gove </w:t>
      </w:r>
      <w:r w:rsidRPr="009800AB">
        <w:rPr>
          <w:i/>
        </w:rPr>
        <w:t>et al.,</w:t>
      </w:r>
      <w:r>
        <w:t xml:space="preserve"> 2018</w:t>
      </w:r>
    </w:p>
  </w:footnote>
  <w:footnote w:id="517">
    <w:p w14:paraId="23423170" w14:textId="2E9F5F40" w:rsidR="00452DFD" w:rsidRDefault="00452DFD">
      <w:pPr>
        <w:pStyle w:val="FootnoteText"/>
      </w:pPr>
      <w:r>
        <w:rPr>
          <w:rStyle w:val="FootnoteReference"/>
        </w:rPr>
        <w:footnoteRef/>
      </w:r>
      <w:r>
        <w:t xml:space="preserve"> </w:t>
      </w:r>
      <w:proofErr w:type="spellStart"/>
      <w:r>
        <w:t>Mawn</w:t>
      </w:r>
      <w:proofErr w:type="spellEnd"/>
      <w:r>
        <w:t xml:space="preserve"> </w:t>
      </w:r>
      <w:r w:rsidRPr="009800AB">
        <w:rPr>
          <w:i/>
        </w:rPr>
        <w:t>et al.,</w:t>
      </w:r>
      <w:r>
        <w:t xml:space="preserve"> 2015</w:t>
      </w:r>
    </w:p>
  </w:footnote>
  <w:footnote w:id="518">
    <w:p w14:paraId="42AB95E3" w14:textId="494727C6" w:rsidR="00452DFD" w:rsidRDefault="00452DFD">
      <w:pPr>
        <w:pStyle w:val="FootnoteText"/>
      </w:pPr>
      <w:r>
        <w:rPr>
          <w:rStyle w:val="FootnoteReference"/>
        </w:rPr>
        <w:footnoteRef/>
      </w:r>
      <w:r>
        <w:t xml:space="preserve"> </w:t>
      </w:r>
      <w:proofErr w:type="spellStart"/>
      <w:r>
        <w:t>Embregts</w:t>
      </w:r>
      <w:proofErr w:type="spellEnd"/>
      <w:r>
        <w:t xml:space="preserve"> </w:t>
      </w:r>
      <w:r w:rsidRPr="009800AB">
        <w:rPr>
          <w:i/>
        </w:rPr>
        <w:t>et al.,</w:t>
      </w:r>
      <w:r>
        <w:t xml:space="preserve"> 2018, Ní </w:t>
      </w:r>
      <w:proofErr w:type="spellStart"/>
      <w:r>
        <w:t>Shé</w:t>
      </w:r>
      <w:proofErr w:type="spellEnd"/>
      <w:r>
        <w:t xml:space="preserve"> </w:t>
      </w:r>
      <w:r w:rsidRPr="009800AB">
        <w:rPr>
          <w:i/>
        </w:rPr>
        <w:t>et al.,</w:t>
      </w:r>
      <w:r>
        <w:t xml:space="preserve"> 2019, Ní </w:t>
      </w:r>
      <w:proofErr w:type="spellStart"/>
      <w:r>
        <w:t>Shé</w:t>
      </w:r>
      <w:proofErr w:type="spellEnd"/>
      <w:r>
        <w:t xml:space="preserve"> </w:t>
      </w:r>
      <w:r w:rsidRPr="009800AB">
        <w:rPr>
          <w:i/>
        </w:rPr>
        <w:t>et al.,</w:t>
      </w:r>
      <w:r>
        <w:t xml:space="preserve"> 2020</w:t>
      </w:r>
    </w:p>
  </w:footnote>
  <w:footnote w:id="519">
    <w:p w14:paraId="585CB900" w14:textId="55394DCA"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 </w:t>
      </w:r>
      <w:proofErr w:type="spellStart"/>
      <w:r>
        <w:t>Embregts</w:t>
      </w:r>
      <w:proofErr w:type="spellEnd"/>
      <w:r>
        <w:t xml:space="preserve"> </w:t>
      </w:r>
      <w:r w:rsidRPr="009800AB">
        <w:rPr>
          <w:i/>
        </w:rPr>
        <w:t>et al.,</w:t>
      </w:r>
      <w:r>
        <w:t xml:space="preserve"> 2018, </w:t>
      </w:r>
      <w:r>
        <w:rPr>
          <w:lang w:eastAsia="en-IE"/>
        </w:rPr>
        <w:t>Partners2 Writing Collective, 2020,</w:t>
      </w:r>
      <w:r w:rsidRPr="00682F3F">
        <w:t xml:space="preserve"> </w:t>
      </w:r>
      <w:r>
        <w:t xml:space="preserve">Ní </w:t>
      </w:r>
      <w:proofErr w:type="spellStart"/>
      <w:r>
        <w:t>Shé</w:t>
      </w:r>
      <w:proofErr w:type="spellEnd"/>
      <w:r>
        <w:t xml:space="preserve"> </w:t>
      </w:r>
      <w:r w:rsidRPr="009800AB">
        <w:rPr>
          <w:i/>
        </w:rPr>
        <w:t>et al.,</w:t>
      </w:r>
      <w:r>
        <w:t xml:space="preserve"> 2020,</w:t>
      </w:r>
    </w:p>
  </w:footnote>
  <w:footnote w:id="520">
    <w:p w14:paraId="17CC9B1D" w14:textId="4B50E606" w:rsidR="00452DFD" w:rsidRDefault="00452DFD">
      <w:pPr>
        <w:pStyle w:val="FootnoteText"/>
      </w:pPr>
      <w:r>
        <w:rPr>
          <w:rStyle w:val="FootnoteReference"/>
        </w:rPr>
        <w:footnoteRef/>
      </w:r>
      <w:r>
        <w:t xml:space="preserve"> Fletcher Watson </w:t>
      </w:r>
      <w:r w:rsidRPr="009800AB">
        <w:rPr>
          <w:i/>
        </w:rPr>
        <w:t>et al.,</w:t>
      </w:r>
      <w:r>
        <w:t xml:space="preserve"> 2018, Gove </w:t>
      </w:r>
      <w:r w:rsidRPr="009800AB">
        <w:rPr>
          <w:i/>
        </w:rPr>
        <w:t>et al.,</w:t>
      </w:r>
      <w:r>
        <w:t xml:space="preserve"> 2018</w:t>
      </w:r>
    </w:p>
  </w:footnote>
  <w:footnote w:id="521">
    <w:p w14:paraId="45AC812B" w14:textId="6DED9DDC" w:rsidR="00452DFD" w:rsidRDefault="00452DFD">
      <w:pPr>
        <w:pStyle w:val="FootnoteText"/>
      </w:pPr>
      <w:r>
        <w:rPr>
          <w:rStyle w:val="FootnoteReference"/>
        </w:rPr>
        <w:footnoteRef/>
      </w:r>
      <w:r>
        <w:t xml:space="preserve"> </w:t>
      </w:r>
      <w:proofErr w:type="spellStart"/>
      <w:r>
        <w:t>Nicolaidis</w:t>
      </w:r>
      <w:proofErr w:type="spellEnd"/>
      <w:r>
        <w:t xml:space="preserve"> </w:t>
      </w:r>
      <w:r w:rsidRPr="009800AB">
        <w:rPr>
          <w:i/>
        </w:rPr>
        <w:t>et al.,</w:t>
      </w:r>
      <w:r>
        <w:t xml:space="preserve"> 2019</w:t>
      </w:r>
    </w:p>
  </w:footnote>
  <w:footnote w:id="522">
    <w:p w14:paraId="24C96C75" w14:textId="2A9B5691" w:rsidR="00452DFD" w:rsidRDefault="00452DFD">
      <w:pPr>
        <w:pStyle w:val="FootnoteText"/>
      </w:pPr>
      <w:r>
        <w:rPr>
          <w:rStyle w:val="FootnoteReference"/>
        </w:rPr>
        <w:footnoteRef/>
      </w:r>
      <w:r>
        <w:t xml:space="preserve"> Fletcher Watson </w:t>
      </w:r>
      <w:r w:rsidRPr="009800AB">
        <w:rPr>
          <w:i/>
        </w:rPr>
        <w:t>et al.,</w:t>
      </w:r>
      <w:r>
        <w:t xml:space="preserve"> 2018</w:t>
      </w:r>
    </w:p>
  </w:footnote>
  <w:footnote w:id="523">
    <w:p w14:paraId="0F96BB4F" w14:textId="42406685" w:rsidR="00452DFD" w:rsidRDefault="00452DFD">
      <w:pPr>
        <w:pStyle w:val="FootnoteText"/>
      </w:pPr>
      <w:r>
        <w:rPr>
          <w:rStyle w:val="FootnoteReference"/>
        </w:rPr>
        <w:footnoteRef/>
      </w:r>
      <w:r>
        <w:t xml:space="preserve"> Mann and Hung, 2018, Waite, Poland and </w:t>
      </w:r>
      <w:proofErr w:type="spellStart"/>
      <w:r>
        <w:t>Charlesworth</w:t>
      </w:r>
      <w:proofErr w:type="spellEnd"/>
      <w:r>
        <w:t>, 2019</w:t>
      </w:r>
    </w:p>
  </w:footnote>
  <w:footnote w:id="524">
    <w:p w14:paraId="6DC94925" w14:textId="75FAFE30" w:rsidR="00452DFD" w:rsidRDefault="00452DFD">
      <w:pPr>
        <w:pStyle w:val="FootnoteText"/>
      </w:pPr>
      <w:r>
        <w:rPr>
          <w:rStyle w:val="FootnoteReference"/>
        </w:rPr>
        <w:footnoteRef/>
      </w:r>
      <w:r>
        <w:t xml:space="preserve"> Anderson </w:t>
      </w:r>
      <w:r w:rsidRPr="009800AB">
        <w:rPr>
          <w:i/>
        </w:rPr>
        <w:t>et al.,</w:t>
      </w:r>
      <w:r>
        <w:t xml:space="preserve"> 2019, </w:t>
      </w:r>
      <w:proofErr w:type="spellStart"/>
      <w:r>
        <w:t>Mawn</w:t>
      </w:r>
      <w:proofErr w:type="spellEnd"/>
      <w:r>
        <w:t xml:space="preserve"> </w:t>
      </w:r>
      <w:r w:rsidRPr="009800AB">
        <w:rPr>
          <w:i/>
        </w:rPr>
        <w:t>et al.,</w:t>
      </w:r>
      <w:r>
        <w:t xml:space="preserve"> 2015</w:t>
      </w:r>
    </w:p>
  </w:footnote>
  <w:footnote w:id="525">
    <w:p w14:paraId="39D2DD34" w14:textId="09F0A776"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2015</w:t>
      </w:r>
    </w:p>
  </w:footnote>
  <w:footnote w:id="526">
    <w:p w14:paraId="7978F2E7" w14:textId="4C3E1C42" w:rsidR="00452DFD" w:rsidRDefault="00452DFD">
      <w:pPr>
        <w:pStyle w:val="FootnoteText"/>
      </w:pPr>
      <w:r>
        <w:rPr>
          <w:rStyle w:val="FootnoteReference"/>
        </w:rPr>
        <w:footnoteRef/>
      </w:r>
      <w:r>
        <w:t xml:space="preserve"> Grayson </w:t>
      </w:r>
      <w:r w:rsidRPr="009800AB">
        <w:rPr>
          <w:i/>
        </w:rPr>
        <w:t>et al.,</w:t>
      </w:r>
      <w:r>
        <w:t xml:space="preserve"> 2013 cited in Di </w:t>
      </w:r>
      <w:proofErr w:type="spellStart"/>
      <w:r>
        <w:t>Lorito</w:t>
      </w:r>
      <w:proofErr w:type="spellEnd"/>
      <w:r>
        <w:t xml:space="preserve"> </w:t>
      </w:r>
      <w:r w:rsidRPr="009800AB">
        <w:rPr>
          <w:i/>
        </w:rPr>
        <w:t>et al.,</w:t>
      </w:r>
      <w:r>
        <w:t xml:space="preserve"> 2018, Disability Wales, 2019, </w:t>
      </w:r>
      <w:proofErr w:type="spellStart"/>
      <w:r>
        <w:t>Embregts</w:t>
      </w:r>
      <w:proofErr w:type="spellEnd"/>
      <w:r>
        <w:t xml:space="preserve"> </w:t>
      </w:r>
      <w:r w:rsidRPr="009800AB">
        <w:rPr>
          <w:i/>
        </w:rPr>
        <w:t>et al.,</w:t>
      </w:r>
      <w:r>
        <w:t xml:space="preserve"> 2018, </w:t>
      </w:r>
      <w:proofErr w:type="spellStart"/>
      <w:r>
        <w:t>Frankena</w:t>
      </w:r>
      <w:proofErr w:type="spellEnd"/>
      <w:r>
        <w:t xml:space="preserve"> </w:t>
      </w:r>
      <w:r w:rsidRPr="009800AB">
        <w:rPr>
          <w:i/>
        </w:rPr>
        <w:t>et al.,</w:t>
      </w:r>
      <w:r>
        <w:t xml:space="preserve"> 2015, </w:t>
      </w:r>
      <w:proofErr w:type="spellStart"/>
      <w:r>
        <w:t>Frankena</w:t>
      </w:r>
      <w:proofErr w:type="spellEnd"/>
      <w:r>
        <w:t xml:space="preserve"> </w:t>
      </w:r>
      <w:r w:rsidRPr="009800AB">
        <w:rPr>
          <w:i/>
        </w:rPr>
        <w:t>et al.,</w:t>
      </w:r>
      <w:r>
        <w:t xml:space="preserve"> 2019c, Schwartz and Durkin 2020</w:t>
      </w:r>
    </w:p>
  </w:footnote>
  <w:footnote w:id="527">
    <w:p w14:paraId="2BE9A70E" w14:textId="702BAEBB" w:rsidR="00452DFD" w:rsidRDefault="00452DFD">
      <w:pPr>
        <w:pStyle w:val="FootnoteText"/>
      </w:pPr>
      <w:r>
        <w:rPr>
          <w:rStyle w:val="FootnoteReference"/>
        </w:rPr>
        <w:footnoteRef/>
      </w:r>
      <w:r>
        <w:t xml:space="preserve"> </w:t>
      </w:r>
      <w:r w:rsidRPr="00AE3C50">
        <w:t xml:space="preserve">St. John </w:t>
      </w:r>
      <w:r w:rsidRPr="009800AB">
        <w:rPr>
          <w:i/>
        </w:rPr>
        <w:t>et al.,</w:t>
      </w:r>
      <w:r>
        <w:t xml:space="preserve"> </w:t>
      </w:r>
      <w:r w:rsidRPr="00AE3C50">
        <w:t>2018</w:t>
      </w:r>
    </w:p>
  </w:footnote>
  <w:footnote w:id="528">
    <w:p w14:paraId="591830DF" w14:textId="30C4BD50" w:rsidR="00452DFD" w:rsidRDefault="00452DFD">
      <w:pPr>
        <w:pStyle w:val="FootnoteText"/>
      </w:pPr>
      <w:r>
        <w:rPr>
          <w:rStyle w:val="FootnoteReference"/>
        </w:rPr>
        <w:footnoteRef/>
      </w:r>
      <w:r>
        <w:t xml:space="preserve"> </w:t>
      </w:r>
      <w:r w:rsidRPr="00AE3C50">
        <w:t xml:space="preserve">St. John </w:t>
      </w:r>
      <w:r w:rsidRPr="009800AB">
        <w:rPr>
          <w:i/>
        </w:rPr>
        <w:t>et al.,</w:t>
      </w:r>
      <w:r>
        <w:t xml:space="preserve"> </w:t>
      </w:r>
      <w:r w:rsidRPr="00AE3C50">
        <w:t>2018</w:t>
      </w:r>
    </w:p>
  </w:footnote>
  <w:footnote w:id="529">
    <w:p w14:paraId="2E3B5271" w14:textId="3FF5E2B4" w:rsidR="00452DFD" w:rsidRDefault="00452DFD">
      <w:pPr>
        <w:pStyle w:val="FootnoteText"/>
      </w:pPr>
      <w:r>
        <w:rPr>
          <w:rStyle w:val="FootnoteReference"/>
        </w:rPr>
        <w:footnoteRef/>
      </w:r>
      <w:r>
        <w:t xml:space="preserve"> </w:t>
      </w:r>
      <w:r w:rsidRPr="00AE3C50">
        <w:t xml:space="preserve">Schwartz </w:t>
      </w:r>
      <w:r>
        <w:t>and</w:t>
      </w:r>
      <w:r w:rsidRPr="00AE3C50">
        <w:t xml:space="preserve"> Durkin, 2020</w:t>
      </w:r>
    </w:p>
  </w:footnote>
  <w:footnote w:id="530">
    <w:p w14:paraId="4FAA85AA" w14:textId="5E5B1271" w:rsidR="00452DFD" w:rsidRDefault="00452DFD">
      <w:pPr>
        <w:pStyle w:val="FootnoteText"/>
      </w:pPr>
      <w:r>
        <w:rPr>
          <w:rStyle w:val="FootnoteReference"/>
        </w:rPr>
        <w:footnoteRef/>
      </w:r>
      <w:r>
        <w:t xml:space="preserve"> </w:t>
      </w:r>
      <w:proofErr w:type="spellStart"/>
      <w:r>
        <w:t>Aldersey</w:t>
      </w:r>
      <w:proofErr w:type="spellEnd"/>
      <w:r>
        <w:t xml:space="preserve"> </w:t>
      </w:r>
      <w:r w:rsidRPr="009800AB">
        <w:rPr>
          <w:i/>
        </w:rPr>
        <w:t>et al.,</w:t>
      </w:r>
      <w:r>
        <w:t xml:space="preserve"> 2018, </w:t>
      </w:r>
      <w:proofErr w:type="spellStart"/>
      <w:r>
        <w:t>Breault</w:t>
      </w:r>
      <w:proofErr w:type="spellEnd"/>
      <w:r>
        <w:t xml:space="preserve"> </w:t>
      </w:r>
      <w:r w:rsidRPr="009800AB">
        <w:rPr>
          <w:i/>
        </w:rPr>
        <w:t>et al.,</w:t>
      </w:r>
      <w:r>
        <w:t xml:space="preserve"> 2018a, </w:t>
      </w:r>
      <w:proofErr w:type="spellStart"/>
      <w:r w:rsidRPr="00095645">
        <w:t>Hellzen</w:t>
      </w:r>
      <w:proofErr w:type="spellEnd"/>
      <w:r w:rsidRPr="00095645">
        <w:t xml:space="preserve">, </w:t>
      </w:r>
      <w:proofErr w:type="spellStart"/>
      <w:r w:rsidRPr="00095645">
        <w:t>Haugenes</w:t>
      </w:r>
      <w:proofErr w:type="spellEnd"/>
      <w:r w:rsidRPr="00095645">
        <w:t xml:space="preserve"> and </w:t>
      </w:r>
      <w:proofErr w:type="spellStart"/>
      <w:r w:rsidRPr="00095645">
        <w:t>Østby</w:t>
      </w:r>
      <w:proofErr w:type="spellEnd"/>
      <w:r w:rsidRPr="00095645">
        <w:t xml:space="preserve">, </w:t>
      </w:r>
      <w:r>
        <w:t xml:space="preserve">2018, Hollinrake, Spencer and Dix, 2019, </w:t>
      </w:r>
    </w:p>
  </w:footnote>
  <w:footnote w:id="531">
    <w:p w14:paraId="17B39EEB" w14:textId="089F6FD7" w:rsidR="00452DFD" w:rsidRDefault="00452DFD">
      <w:pPr>
        <w:pStyle w:val="FootnoteText"/>
      </w:pPr>
      <w:r>
        <w:rPr>
          <w:rStyle w:val="FootnoteReference"/>
        </w:rPr>
        <w:footnoteRef/>
      </w:r>
      <w:r>
        <w:t xml:space="preserve"> Street and Herts, 2005 cited in Bailey </w:t>
      </w:r>
      <w:r w:rsidRPr="009800AB">
        <w:rPr>
          <w:i/>
        </w:rPr>
        <w:t>et al.,</w:t>
      </w:r>
      <w:r>
        <w:t xml:space="preserve"> 2015, VIPER, 2013 cited in Bailey </w:t>
      </w:r>
      <w:r w:rsidRPr="009800AB">
        <w:rPr>
          <w:i/>
        </w:rPr>
        <w:t>et al.,</w:t>
      </w:r>
      <w:r>
        <w:t xml:space="preserve"> 2015, </w:t>
      </w:r>
      <w:proofErr w:type="spellStart"/>
      <w:r>
        <w:t>Frankena</w:t>
      </w:r>
      <w:proofErr w:type="spellEnd"/>
      <w:r>
        <w:t xml:space="preserve"> </w:t>
      </w:r>
      <w:r w:rsidRPr="00185C11">
        <w:rPr>
          <w:i/>
        </w:rPr>
        <w:t xml:space="preserve">et al. </w:t>
      </w:r>
      <w:r>
        <w:t xml:space="preserve">2015, </w:t>
      </w:r>
      <w:proofErr w:type="spellStart"/>
      <w:r>
        <w:t>Troya</w:t>
      </w:r>
      <w:proofErr w:type="spellEnd"/>
      <w:r>
        <w:t xml:space="preserve"> </w:t>
      </w:r>
      <w:r w:rsidRPr="009800AB">
        <w:rPr>
          <w:i/>
        </w:rPr>
        <w:t>et al.,</w:t>
      </w:r>
      <w:r>
        <w:t xml:space="preserve"> 2019</w:t>
      </w:r>
    </w:p>
  </w:footnote>
  <w:footnote w:id="532">
    <w:p w14:paraId="6F612CC8" w14:textId="569DD891" w:rsidR="00452DFD" w:rsidRDefault="00452DFD">
      <w:pPr>
        <w:pStyle w:val="FootnoteText"/>
      </w:pPr>
      <w:r>
        <w:rPr>
          <w:rStyle w:val="FootnoteReference"/>
        </w:rPr>
        <w:footnoteRef/>
      </w:r>
      <w:r>
        <w:t xml:space="preserve"> </w:t>
      </w:r>
      <w:proofErr w:type="spellStart"/>
      <w:r w:rsidRPr="00516C11">
        <w:t>Barod</w:t>
      </w:r>
      <w:proofErr w:type="spellEnd"/>
      <w:r w:rsidRPr="00516C11">
        <w:t xml:space="preserve"> Community Interest Company</w:t>
      </w:r>
      <w:r>
        <w:t>, 2019</w:t>
      </w:r>
    </w:p>
  </w:footnote>
  <w:footnote w:id="533">
    <w:p w14:paraId="0ADB351E" w14:textId="1B66719E" w:rsidR="00452DFD" w:rsidRDefault="00452DFD">
      <w:pPr>
        <w:pStyle w:val="FootnoteText"/>
      </w:pPr>
      <w:r>
        <w:rPr>
          <w:rStyle w:val="FootnoteReference"/>
        </w:rPr>
        <w:footnoteRef/>
      </w:r>
      <w:r>
        <w:t xml:space="preserve"> DRILL Report, 2018</w:t>
      </w:r>
    </w:p>
  </w:footnote>
  <w:footnote w:id="534">
    <w:p w14:paraId="129660B0" w14:textId="76678D10"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 </w:t>
      </w:r>
      <w:proofErr w:type="spellStart"/>
      <w:r>
        <w:t>Nicolaidis</w:t>
      </w:r>
      <w:proofErr w:type="spellEnd"/>
      <w:r>
        <w:t xml:space="preserve"> </w:t>
      </w:r>
      <w:r w:rsidRPr="009800AB">
        <w:rPr>
          <w:i/>
        </w:rPr>
        <w:t>et al.,</w:t>
      </w:r>
      <w:r>
        <w:t xml:space="preserve"> 2019</w:t>
      </w:r>
    </w:p>
  </w:footnote>
  <w:footnote w:id="535">
    <w:p w14:paraId="6C88345F" w14:textId="3DE4A64B" w:rsidR="00452DFD" w:rsidRDefault="00452DFD">
      <w:pPr>
        <w:pStyle w:val="FootnoteText"/>
      </w:pPr>
      <w:r>
        <w:rPr>
          <w:rStyle w:val="FootnoteReference"/>
        </w:rPr>
        <w:footnoteRef/>
      </w:r>
      <w:r>
        <w:t xml:space="preserve"> </w:t>
      </w:r>
      <w:proofErr w:type="spellStart"/>
      <w:r>
        <w:t>Beighton</w:t>
      </w:r>
      <w:proofErr w:type="spellEnd"/>
      <w:r>
        <w:t xml:space="preserve"> </w:t>
      </w:r>
      <w:r w:rsidRPr="009800AB">
        <w:rPr>
          <w:i/>
        </w:rPr>
        <w:t>et al.,</w:t>
      </w:r>
      <w:r>
        <w:t xml:space="preserve"> 2019, </w:t>
      </w:r>
      <w:proofErr w:type="spellStart"/>
      <w:r w:rsidRPr="00293955">
        <w:t>Troya</w:t>
      </w:r>
      <w:proofErr w:type="spellEnd"/>
      <w:r w:rsidRPr="00293955">
        <w:t xml:space="preserve"> </w:t>
      </w:r>
      <w:r w:rsidRPr="009800AB">
        <w:rPr>
          <w:i/>
        </w:rPr>
        <w:t>et al.,</w:t>
      </w:r>
      <w:r w:rsidRPr="00293955">
        <w:t xml:space="preserve"> </w:t>
      </w:r>
      <w:r>
        <w:t>2019)</w:t>
      </w:r>
    </w:p>
  </w:footnote>
  <w:footnote w:id="536">
    <w:p w14:paraId="0054625A" w14:textId="35EF85A6" w:rsidR="00452DFD" w:rsidRDefault="00452DFD">
      <w:pPr>
        <w:pStyle w:val="FootnoteText"/>
      </w:pPr>
      <w:r>
        <w:rPr>
          <w:rStyle w:val="FootnoteReference"/>
        </w:rPr>
        <w:footnoteRef/>
      </w:r>
      <w:r>
        <w:t xml:space="preserve"> Gove </w:t>
      </w:r>
      <w:r w:rsidRPr="009800AB">
        <w:rPr>
          <w:i/>
        </w:rPr>
        <w:t>et al.,</w:t>
      </w:r>
      <w:r>
        <w:t xml:space="preserve"> 2017, </w:t>
      </w:r>
      <w:proofErr w:type="spellStart"/>
      <w:r>
        <w:t>Morbey</w:t>
      </w:r>
      <w:proofErr w:type="spellEnd"/>
      <w:r>
        <w:t xml:space="preserve"> </w:t>
      </w:r>
      <w:r w:rsidRPr="009800AB">
        <w:rPr>
          <w:i/>
        </w:rPr>
        <w:t>et al.,</w:t>
      </w:r>
      <w:r>
        <w:t xml:space="preserve"> 2019, Ní </w:t>
      </w:r>
      <w:proofErr w:type="spellStart"/>
      <w:r>
        <w:t>Shé</w:t>
      </w:r>
      <w:proofErr w:type="spellEnd"/>
      <w:r>
        <w:t xml:space="preserve"> </w:t>
      </w:r>
      <w:r w:rsidRPr="009800AB">
        <w:rPr>
          <w:i/>
        </w:rPr>
        <w:t>et al.,</w:t>
      </w:r>
      <w:r>
        <w:t xml:space="preserve"> 2019, , Rojas </w:t>
      </w:r>
      <w:proofErr w:type="spellStart"/>
      <w:r>
        <w:t>Pernia</w:t>
      </w:r>
      <w:proofErr w:type="spellEnd"/>
      <w:r>
        <w:t xml:space="preserve"> and Haya </w:t>
      </w:r>
      <w:proofErr w:type="spellStart"/>
      <w:r>
        <w:t>Salmón</w:t>
      </w:r>
      <w:proofErr w:type="spellEnd"/>
      <w:r>
        <w:t>, 2020</w:t>
      </w:r>
    </w:p>
  </w:footnote>
  <w:footnote w:id="537">
    <w:p w14:paraId="2F123CD4" w14:textId="781F7914" w:rsidR="00452DFD" w:rsidRDefault="00452DFD">
      <w:pPr>
        <w:pStyle w:val="FootnoteText"/>
      </w:pPr>
      <w:r>
        <w:rPr>
          <w:rStyle w:val="FootnoteReference"/>
        </w:rPr>
        <w:footnoteRef/>
      </w:r>
      <w:r>
        <w:t xml:space="preserve"> </w:t>
      </w:r>
      <w:proofErr w:type="spellStart"/>
      <w:r w:rsidRPr="002930F2">
        <w:t>Troya</w:t>
      </w:r>
      <w:proofErr w:type="spellEnd"/>
      <w:r w:rsidRPr="002930F2">
        <w:t xml:space="preserve"> </w:t>
      </w:r>
      <w:r w:rsidRPr="009800AB">
        <w:rPr>
          <w:i/>
        </w:rPr>
        <w:t>et al.,</w:t>
      </w:r>
      <w:r>
        <w:t xml:space="preserve"> 2</w:t>
      </w:r>
      <w:r w:rsidRPr="002930F2">
        <w:t>019</w:t>
      </w:r>
    </w:p>
  </w:footnote>
  <w:footnote w:id="538">
    <w:p w14:paraId="00D92985" w14:textId="241E2DFB" w:rsidR="00452DFD" w:rsidRDefault="00452DFD">
      <w:pPr>
        <w:pStyle w:val="FootnoteText"/>
      </w:pPr>
      <w:r>
        <w:rPr>
          <w:rStyle w:val="FootnoteReference"/>
        </w:rPr>
        <w:footnoteRef/>
      </w:r>
      <w:r>
        <w:t xml:space="preserve"> </w:t>
      </w:r>
      <w:proofErr w:type="spellStart"/>
      <w:r w:rsidRPr="00051A4B">
        <w:t>Nicolaidis</w:t>
      </w:r>
      <w:proofErr w:type="spellEnd"/>
      <w:r w:rsidRPr="00051A4B">
        <w:t xml:space="preserve"> </w:t>
      </w:r>
      <w:r w:rsidRPr="009800AB">
        <w:rPr>
          <w:i/>
        </w:rPr>
        <w:t>et al.,</w:t>
      </w:r>
      <w:r w:rsidRPr="00051A4B">
        <w:t xml:space="preserve"> 2019</w:t>
      </w:r>
    </w:p>
  </w:footnote>
  <w:footnote w:id="539">
    <w:p w14:paraId="3049ED81" w14:textId="2C62511C" w:rsidR="00452DFD" w:rsidRDefault="00452DFD">
      <w:pPr>
        <w:pStyle w:val="FootnoteText"/>
      </w:pPr>
      <w:r>
        <w:rPr>
          <w:rStyle w:val="FootnoteReference"/>
        </w:rPr>
        <w:footnoteRef/>
      </w:r>
      <w:r>
        <w:t xml:space="preserve"> Bollard, 2017, </w:t>
      </w:r>
      <w:r w:rsidRPr="00293955">
        <w:t xml:space="preserve">Gove </w:t>
      </w:r>
      <w:r w:rsidRPr="009800AB">
        <w:rPr>
          <w:i/>
        </w:rPr>
        <w:t>et al.,</w:t>
      </w:r>
      <w:r>
        <w:t xml:space="preserve"> </w:t>
      </w:r>
      <w:r w:rsidRPr="00293955">
        <w:t>2017</w:t>
      </w:r>
      <w:r>
        <w:t>, Smith-Merry, 2017</w:t>
      </w:r>
    </w:p>
  </w:footnote>
  <w:footnote w:id="540">
    <w:p w14:paraId="7273E091" w14:textId="2D70EF2C" w:rsidR="00452DFD" w:rsidRDefault="00452DFD">
      <w:pPr>
        <w:pStyle w:val="FootnoteText"/>
      </w:pPr>
      <w:r>
        <w:rPr>
          <w:rStyle w:val="FootnoteReference"/>
        </w:rPr>
        <w:footnoteRef/>
      </w:r>
      <w:r>
        <w:t xml:space="preserve"> Anderson </w:t>
      </w:r>
      <w:r w:rsidRPr="009800AB">
        <w:rPr>
          <w:i/>
        </w:rPr>
        <w:t>et al.,</w:t>
      </w:r>
      <w:r>
        <w:t xml:space="preserve"> 2019, Armstrong </w:t>
      </w:r>
      <w:r w:rsidRPr="009800AB">
        <w:rPr>
          <w:i/>
        </w:rPr>
        <w:t>et al.,</w:t>
      </w:r>
      <w:r>
        <w:t xml:space="preserve"> 2019, Smith-Merry, 2017, Williams, Ponting and Ford, 2015</w:t>
      </w:r>
    </w:p>
  </w:footnote>
  <w:footnote w:id="541">
    <w:p w14:paraId="3D52E993" w14:textId="64B36DD2" w:rsidR="00452DFD" w:rsidRDefault="00452DFD">
      <w:pPr>
        <w:pStyle w:val="FootnoteText"/>
      </w:pPr>
      <w:r>
        <w:rPr>
          <w:rStyle w:val="FootnoteReference"/>
        </w:rPr>
        <w:footnoteRef/>
      </w:r>
      <w:r>
        <w:t xml:space="preserve"> Rapaport </w:t>
      </w:r>
      <w:r w:rsidRPr="009800AB">
        <w:rPr>
          <w:i/>
        </w:rPr>
        <w:t>et al.,</w:t>
      </w:r>
      <w:r>
        <w:t xml:space="preserve"> 2018 cited</w:t>
      </w:r>
      <w:r w:rsidRPr="00293955">
        <w:t xml:space="preserve"> </w:t>
      </w:r>
      <w:r>
        <w:t>in Burton, Ogden, and Cooper, 2019</w:t>
      </w:r>
    </w:p>
  </w:footnote>
  <w:footnote w:id="542">
    <w:p w14:paraId="4742DCC1" w14:textId="1CF48353" w:rsidR="00452DFD" w:rsidRDefault="00452DFD">
      <w:pPr>
        <w:pStyle w:val="FootnoteText"/>
      </w:pPr>
      <w:r>
        <w:rPr>
          <w:rStyle w:val="FootnoteReference"/>
        </w:rPr>
        <w:footnoteRef/>
      </w:r>
      <w:r>
        <w:t xml:space="preserve"> Roche </w:t>
      </w:r>
      <w:r w:rsidRPr="009800AB">
        <w:rPr>
          <w:i/>
        </w:rPr>
        <w:t>et al.,</w:t>
      </w:r>
      <w:r>
        <w:t xml:space="preserve"> 2020</w:t>
      </w:r>
    </w:p>
  </w:footnote>
  <w:footnote w:id="543">
    <w:p w14:paraId="3936B181" w14:textId="6F114FEB" w:rsidR="00452DFD" w:rsidRDefault="00452DFD">
      <w:pPr>
        <w:pStyle w:val="FootnoteText"/>
      </w:pPr>
      <w:r>
        <w:rPr>
          <w:rStyle w:val="FootnoteReference"/>
        </w:rPr>
        <w:footnoteRef/>
      </w:r>
      <w:r>
        <w:t xml:space="preserve"> A portable, pocket-sized device that scans written text line by line and reads it out loud. </w:t>
      </w:r>
    </w:p>
  </w:footnote>
  <w:footnote w:id="544">
    <w:p w14:paraId="49821E13" w14:textId="3B747516" w:rsidR="00452DFD" w:rsidRDefault="00452DFD">
      <w:pPr>
        <w:pStyle w:val="FootnoteText"/>
      </w:pPr>
      <w:r>
        <w:rPr>
          <w:rStyle w:val="FootnoteReference"/>
        </w:rPr>
        <w:footnoteRef/>
      </w:r>
      <w:r>
        <w:t xml:space="preserve"> Drill Report, 2018</w:t>
      </w:r>
    </w:p>
  </w:footnote>
  <w:footnote w:id="545">
    <w:p w14:paraId="09343A70" w14:textId="30A290B1" w:rsidR="00452DFD" w:rsidRDefault="00452DFD">
      <w:pPr>
        <w:pStyle w:val="FootnoteText"/>
      </w:pPr>
      <w:r>
        <w:rPr>
          <w:rStyle w:val="FootnoteReference"/>
        </w:rPr>
        <w:footnoteRef/>
      </w:r>
      <w:r>
        <w:t xml:space="preserve"> Vaughn </w:t>
      </w:r>
      <w:r w:rsidRPr="009800AB">
        <w:rPr>
          <w:i/>
        </w:rPr>
        <w:t>et al.,</w:t>
      </w:r>
      <w:r>
        <w:t xml:space="preserve"> 2019</w:t>
      </w:r>
    </w:p>
  </w:footnote>
  <w:footnote w:id="546">
    <w:p w14:paraId="7D6044D2" w14:textId="643FF1D6" w:rsidR="00452DFD" w:rsidRDefault="00452DFD">
      <w:pPr>
        <w:pStyle w:val="FootnoteText"/>
      </w:pPr>
      <w:r>
        <w:rPr>
          <w:rStyle w:val="FootnoteReference"/>
        </w:rPr>
        <w:footnoteRef/>
      </w:r>
      <w:r>
        <w:t xml:space="preserve"> </w:t>
      </w:r>
      <w:proofErr w:type="spellStart"/>
      <w:r>
        <w:t>MacSweeney</w:t>
      </w:r>
      <w:proofErr w:type="spellEnd"/>
      <w:r>
        <w:t xml:space="preserve">, Bowman, </w:t>
      </w:r>
      <w:r w:rsidRPr="00154A3D">
        <w:t>and Kelly</w:t>
      </w:r>
      <w:r>
        <w:t xml:space="preserve">, 2019, </w:t>
      </w:r>
      <w:proofErr w:type="spellStart"/>
      <w:r>
        <w:t>Troya</w:t>
      </w:r>
      <w:proofErr w:type="spellEnd"/>
      <w:r>
        <w:t xml:space="preserve"> </w:t>
      </w:r>
      <w:r w:rsidRPr="009800AB">
        <w:rPr>
          <w:i/>
        </w:rPr>
        <w:t>et al.,</w:t>
      </w:r>
      <w:r>
        <w:t xml:space="preserve"> 2019</w:t>
      </w:r>
    </w:p>
  </w:footnote>
  <w:footnote w:id="547">
    <w:p w14:paraId="5520FDE7" w14:textId="3EF0F12C" w:rsidR="00452DFD" w:rsidRDefault="00452DFD">
      <w:pPr>
        <w:pStyle w:val="FootnoteText"/>
      </w:pPr>
      <w:r>
        <w:rPr>
          <w:rStyle w:val="FootnoteReference"/>
        </w:rPr>
        <w:footnoteRef/>
      </w:r>
      <w:r>
        <w:t xml:space="preserve"> </w:t>
      </w:r>
      <w:proofErr w:type="spellStart"/>
      <w:r w:rsidRPr="00516C11">
        <w:t>Barod</w:t>
      </w:r>
      <w:proofErr w:type="spellEnd"/>
      <w:r w:rsidRPr="00516C11">
        <w:t xml:space="preserve"> Community Interest Company</w:t>
      </w:r>
      <w:r w:rsidRPr="00CA7194">
        <w:t>, 2019</w:t>
      </w:r>
      <w:r>
        <w:t>,</w:t>
      </w:r>
      <w:r w:rsidRPr="00CA7194">
        <w:t xml:space="preserve"> DRILL report, 2018</w:t>
      </w:r>
    </w:p>
  </w:footnote>
  <w:footnote w:id="548">
    <w:p w14:paraId="5CB128BE" w14:textId="6B6CE736" w:rsidR="00452DFD" w:rsidRDefault="00452DFD">
      <w:pPr>
        <w:pStyle w:val="FootnoteText"/>
      </w:pPr>
      <w:r>
        <w:rPr>
          <w:rStyle w:val="FootnoteReference"/>
        </w:rPr>
        <w:footnoteRef/>
      </w:r>
      <w:r>
        <w:t xml:space="preserve"> </w:t>
      </w:r>
      <w:proofErr w:type="spellStart"/>
      <w:r>
        <w:t>Giebel</w:t>
      </w:r>
      <w:proofErr w:type="spellEnd"/>
      <w:r>
        <w:t xml:space="preserve"> </w:t>
      </w:r>
      <w:r w:rsidRPr="009800AB">
        <w:rPr>
          <w:i/>
        </w:rPr>
        <w:t>et al.,</w:t>
      </w:r>
      <w:r>
        <w:t xml:space="preserve"> 2019, </w:t>
      </w:r>
      <w:r w:rsidRPr="00BF2A78">
        <w:t xml:space="preserve">Gove </w:t>
      </w:r>
      <w:r w:rsidRPr="009800AB">
        <w:rPr>
          <w:i/>
        </w:rPr>
        <w:t>et al.,</w:t>
      </w:r>
      <w:r>
        <w:t xml:space="preserve"> </w:t>
      </w:r>
      <w:r w:rsidRPr="00BF2A78">
        <w:t>2017</w:t>
      </w:r>
      <w:r>
        <w:t>,</w:t>
      </w:r>
      <w:r w:rsidRPr="00BF2A78">
        <w:t xml:space="preserve"> </w:t>
      </w:r>
      <w:r>
        <w:t xml:space="preserve">Gove </w:t>
      </w:r>
      <w:r w:rsidRPr="009800AB">
        <w:rPr>
          <w:i/>
        </w:rPr>
        <w:t>et al.,</w:t>
      </w:r>
      <w:r>
        <w:t xml:space="preserve"> 2018, </w:t>
      </w:r>
      <w:proofErr w:type="spellStart"/>
      <w:r w:rsidRPr="00BF2A78">
        <w:t>Nicolaidis</w:t>
      </w:r>
      <w:proofErr w:type="spellEnd"/>
      <w:r w:rsidRPr="00BF2A78">
        <w:t xml:space="preserve"> </w:t>
      </w:r>
      <w:r w:rsidRPr="009800AB">
        <w:rPr>
          <w:i/>
        </w:rPr>
        <w:t>et al.,</w:t>
      </w:r>
      <w:r>
        <w:t xml:space="preserve"> </w:t>
      </w:r>
      <w:r w:rsidRPr="00BF2A78">
        <w:t>2019</w:t>
      </w:r>
      <w:r>
        <w:t>,</w:t>
      </w:r>
      <w:r w:rsidRPr="00BF2A78">
        <w:t xml:space="preserve"> </w:t>
      </w:r>
      <w:r>
        <w:t xml:space="preserve">Van </w:t>
      </w:r>
      <w:proofErr w:type="spellStart"/>
      <w:r>
        <w:t>Schelven</w:t>
      </w:r>
      <w:proofErr w:type="spellEnd"/>
      <w:r>
        <w:t xml:space="preserve"> </w:t>
      </w:r>
      <w:r w:rsidRPr="009800AB">
        <w:rPr>
          <w:i/>
        </w:rPr>
        <w:t>et al.,</w:t>
      </w:r>
      <w:r>
        <w:t xml:space="preserve"> 2020b,</w:t>
      </w:r>
      <w:r w:rsidRPr="005F7759">
        <w:t xml:space="preserve"> </w:t>
      </w:r>
      <w:r w:rsidRPr="00BF2A78">
        <w:t xml:space="preserve">Vaughn </w:t>
      </w:r>
      <w:r w:rsidRPr="009800AB">
        <w:rPr>
          <w:i/>
        </w:rPr>
        <w:t>et al.,</w:t>
      </w:r>
      <w:r>
        <w:t xml:space="preserve"> </w:t>
      </w:r>
      <w:r w:rsidRPr="00BF2A78">
        <w:t>2019</w:t>
      </w:r>
    </w:p>
  </w:footnote>
  <w:footnote w:id="549">
    <w:p w14:paraId="277A3659" w14:textId="51497DDA" w:rsidR="00452DFD" w:rsidRDefault="00452DFD">
      <w:pPr>
        <w:pStyle w:val="FootnoteText"/>
      </w:pPr>
      <w:r>
        <w:rPr>
          <w:rStyle w:val="FootnoteReference"/>
        </w:rPr>
        <w:footnoteRef/>
      </w:r>
      <w:r>
        <w:t xml:space="preserve"> </w:t>
      </w:r>
      <w:r w:rsidRPr="00BD34C6">
        <w:t xml:space="preserve">Ashcroft </w:t>
      </w:r>
      <w:r w:rsidRPr="009800AB">
        <w:rPr>
          <w:i/>
        </w:rPr>
        <w:t>et al.,</w:t>
      </w:r>
      <w:r>
        <w:t xml:space="preserve"> 2016,</w:t>
      </w:r>
      <w:r w:rsidRPr="00BD34C6">
        <w:t xml:space="preserve"> Drill Report, 2018</w:t>
      </w:r>
      <w:r>
        <w:t xml:space="preserve">, </w:t>
      </w:r>
      <w:r w:rsidRPr="00BD34C6">
        <w:t xml:space="preserve">King </w:t>
      </w:r>
      <w:r w:rsidRPr="009800AB">
        <w:rPr>
          <w:i/>
        </w:rPr>
        <w:t>et al.,</w:t>
      </w:r>
      <w:r>
        <w:t xml:space="preserve"> </w:t>
      </w:r>
      <w:r w:rsidRPr="00BD34C6">
        <w:t>2019</w:t>
      </w:r>
      <w:r>
        <w:t>,</w:t>
      </w:r>
      <w:r w:rsidRPr="00BD34C6">
        <w:t xml:space="preserve"> Stanley </w:t>
      </w:r>
      <w:r w:rsidRPr="009800AB">
        <w:rPr>
          <w:i/>
        </w:rPr>
        <w:t>et al.,</w:t>
      </w:r>
      <w:r>
        <w:t xml:space="preserve"> </w:t>
      </w:r>
      <w:r w:rsidRPr="00BD34C6">
        <w:t>2019</w:t>
      </w:r>
    </w:p>
  </w:footnote>
  <w:footnote w:id="550">
    <w:p w14:paraId="6CAB5DB9" w14:textId="06C1B0C1" w:rsidR="00452DFD" w:rsidRDefault="00452DFD">
      <w:pPr>
        <w:pStyle w:val="FootnoteText"/>
      </w:pPr>
      <w:r>
        <w:rPr>
          <w:rStyle w:val="FootnoteReference"/>
        </w:rPr>
        <w:footnoteRef/>
      </w:r>
      <w:r>
        <w:t xml:space="preserve"> </w:t>
      </w:r>
      <w:r>
        <w:rPr>
          <w:lang w:eastAsia="en-IE"/>
        </w:rPr>
        <w:t xml:space="preserve">Di </w:t>
      </w:r>
      <w:proofErr w:type="spellStart"/>
      <w:r>
        <w:rPr>
          <w:lang w:eastAsia="en-IE"/>
        </w:rPr>
        <w:t>Lorito</w:t>
      </w:r>
      <w:proofErr w:type="spellEnd"/>
      <w:r>
        <w:rPr>
          <w:lang w:eastAsia="en-IE"/>
        </w:rPr>
        <w:t xml:space="preserve"> </w:t>
      </w:r>
      <w:r w:rsidRPr="009800AB">
        <w:rPr>
          <w:i/>
          <w:lang w:eastAsia="en-IE"/>
        </w:rPr>
        <w:t>et al.,</w:t>
      </w:r>
      <w:r>
        <w:rPr>
          <w:lang w:eastAsia="en-IE"/>
        </w:rPr>
        <w:t xml:space="preserve"> 2017, p</w:t>
      </w:r>
      <w:r w:rsidRPr="00B2091B">
        <w:rPr>
          <w:lang w:eastAsia="en-IE"/>
        </w:rPr>
        <w:t>. 11</w:t>
      </w:r>
    </w:p>
  </w:footnote>
  <w:footnote w:id="551">
    <w:p w14:paraId="36517365" w14:textId="204808D5" w:rsidR="00452DFD" w:rsidRDefault="00452DFD">
      <w:pPr>
        <w:pStyle w:val="FootnoteText"/>
      </w:pPr>
      <w:r>
        <w:rPr>
          <w:rStyle w:val="FootnoteReference"/>
        </w:rPr>
        <w:footnoteRef/>
      </w:r>
      <w:r>
        <w:t xml:space="preserve"> </w:t>
      </w:r>
      <w:r w:rsidRPr="00F860F1">
        <w:t xml:space="preserve">Anderson </w:t>
      </w:r>
      <w:r w:rsidRPr="009800AB">
        <w:rPr>
          <w:i/>
        </w:rPr>
        <w:t>et al.,</w:t>
      </w:r>
      <w:r>
        <w:t xml:space="preserve"> </w:t>
      </w:r>
      <w:r w:rsidRPr="00F860F1">
        <w:t>2018</w:t>
      </w:r>
      <w:r>
        <w:t>,</w:t>
      </w:r>
      <w:r w:rsidRPr="00F860F1">
        <w:t xml:space="preserve"> </w:t>
      </w:r>
      <w:r w:rsidRPr="00CB5F52">
        <w:t xml:space="preserve">Beresford 2012 </w:t>
      </w:r>
      <w:r>
        <w:t xml:space="preserve">cited </w:t>
      </w:r>
      <w:r w:rsidRPr="00F860F1">
        <w:t>in Bailey</w:t>
      </w:r>
      <w:r>
        <w:t xml:space="preserve"> </w:t>
      </w:r>
      <w:r w:rsidRPr="009800AB">
        <w:rPr>
          <w:i/>
        </w:rPr>
        <w:t>et al.,</w:t>
      </w:r>
      <w:r>
        <w:t xml:space="preserve"> 2015, Scottish Dementia Working Group </w:t>
      </w:r>
      <w:r w:rsidRPr="00F860F1">
        <w:t xml:space="preserve">2014 </w:t>
      </w:r>
      <w:r>
        <w:t xml:space="preserve">cited </w:t>
      </w:r>
      <w:r w:rsidRPr="00F860F1">
        <w:t xml:space="preserve">in </w:t>
      </w:r>
      <w:r w:rsidRPr="00F860F1">
        <w:rPr>
          <w:rFonts w:cs="Calibri"/>
          <w:color w:val="000000"/>
          <w:lang w:eastAsia="en-IE"/>
        </w:rPr>
        <w:t xml:space="preserve">Di </w:t>
      </w:r>
      <w:proofErr w:type="spellStart"/>
      <w:r w:rsidRPr="00F860F1">
        <w:rPr>
          <w:rFonts w:cs="Calibri"/>
          <w:color w:val="000000"/>
          <w:lang w:eastAsia="en-IE"/>
        </w:rPr>
        <w:t>Lorito</w:t>
      </w:r>
      <w:proofErr w:type="spellEnd"/>
      <w:r w:rsidRPr="00F860F1">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w:t>
      </w:r>
      <w:r w:rsidRPr="00F860F1">
        <w:rPr>
          <w:rFonts w:cs="Calibri"/>
          <w:color w:val="000000"/>
          <w:lang w:eastAsia="en-IE"/>
        </w:rPr>
        <w:t>017</w:t>
      </w:r>
      <w:r>
        <w:rPr>
          <w:rFonts w:cs="Calibri"/>
          <w:color w:val="000000"/>
          <w:lang w:eastAsia="en-IE"/>
        </w:rPr>
        <w:t>,</w:t>
      </w:r>
      <w:r w:rsidRPr="00F860F1">
        <w:t xml:space="preserve"> </w:t>
      </w:r>
      <w:r>
        <w:t xml:space="preserve">Disability Wales </w:t>
      </w:r>
      <w:r w:rsidRPr="009800AB">
        <w:rPr>
          <w:i/>
        </w:rPr>
        <w:t>et al.,</w:t>
      </w:r>
      <w:r>
        <w:t xml:space="preserve"> 2019, Hollinrake, Spencer and Dix, 2019, Mann and Hung, 2018</w:t>
      </w:r>
    </w:p>
  </w:footnote>
  <w:footnote w:id="552">
    <w:p w14:paraId="181746E1" w14:textId="5C9B84F9" w:rsidR="00452DFD" w:rsidRDefault="00452DFD">
      <w:pPr>
        <w:pStyle w:val="FootnoteText"/>
      </w:pPr>
      <w:r>
        <w:rPr>
          <w:rStyle w:val="FootnoteReference"/>
        </w:rPr>
        <w:footnoteRef/>
      </w:r>
      <w:r>
        <w:t xml:space="preserve"> Brady </w:t>
      </w:r>
      <w:r w:rsidRPr="009800AB">
        <w:rPr>
          <w:i/>
        </w:rPr>
        <w:t>et al.,</w:t>
      </w:r>
      <w:r>
        <w:t xml:space="preserve"> 2019</w:t>
      </w:r>
    </w:p>
  </w:footnote>
  <w:footnote w:id="553">
    <w:p w14:paraId="0319D0B0" w14:textId="708981E0" w:rsidR="00452DFD" w:rsidRDefault="00452DFD">
      <w:pPr>
        <w:pStyle w:val="FootnoteText"/>
      </w:pPr>
      <w:r>
        <w:rPr>
          <w:rStyle w:val="FootnoteReference"/>
        </w:rPr>
        <w:footnoteRef/>
      </w:r>
      <w:r>
        <w:t xml:space="preserve"> </w:t>
      </w:r>
      <w:proofErr w:type="spellStart"/>
      <w:r w:rsidRPr="00F860F1">
        <w:t>Wolder</w:t>
      </w:r>
      <w:proofErr w:type="spellEnd"/>
      <w:r w:rsidRPr="00F860F1">
        <w:t xml:space="preserve"> </w:t>
      </w:r>
      <w:r w:rsidRPr="009800AB">
        <w:rPr>
          <w:i/>
        </w:rPr>
        <w:t>et al.,</w:t>
      </w:r>
      <w:r>
        <w:t xml:space="preserve"> </w:t>
      </w:r>
      <w:r w:rsidRPr="00F860F1">
        <w:t>2015</w:t>
      </w:r>
    </w:p>
  </w:footnote>
  <w:footnote w:id="554">
    <w:p w14:paraId="3EE0F493" w14:textId="56232583" w:rsidR="00452DFD" w:rsidRDefault="00452DFD">
      <w:pPr>
        <w:pStyle w:val="FootnoteText"/>
      </w:pPr>
      <w:r>
        <w:rPr>
          <w:rStyle w:val="FootnoteReference"/>
        </w:rPr>
        <w:footnoteRef/>
      </w:r>
      <w:r>
        <w:t xml:space="preserve"> </w:t>
      </w:r>
      <w:r w:rsidRPr="00F860F1">
        <w:t xml:space="preserve">Bailey </w:t>
      </w:r>
      <w:r w:rsidRPr="009800AB">
        <w:rPr>
          <w:i/>
        </w:rPr>
        <w:t>et al.,</w:t>
      </w:r>
      <w:r>
        <w:t xml:space="preserve"> </w:t>
      </w:r>
      <w:r w:rsidRPr="00F860F1">
        <w:t>2015</w:t>
      </w:r>
      <w:r>
        <w:t>,</w:t>
      </w:r>
      <w:r w:rsidRPr="00F860F1">
        <w:t xml:space="preserve"> S</w:t>
      </w:r>
      <w:r>
        <w:t xml:space="preserve">cottish Dementia Working Group </w:t>
      </w:r>
      <w:r w:rsidRPr="00F860F1">
        <w:t xml:space="preserve">2014 </w:t>
      </w:r>
      <w:r>
        <w:t xml:space="preserve">cited in </w:t>
      </w:r>
      <w:r w:rsidRPr="00F860F1">
        <w:rPr>
          <w:rFonts w:cs="Calibri"/>
          <w:color w:val="000000"/>
          <w:lang w:eastAsia="en-IE"/>
        </w:rPr>
        <w:t xml:space="preserve">Di </w:t>
      </w:r>
      <w:proofErr w:type="spellStart"/>
      <w:r w:rsidRPr="00F860F1">
        <w:rPr>
          <w:rFonts w:cs="Calibri"/>
          <w:color w:val="000000"/>
          <w:lang w:eastAsia="en-IE"/>
        </w:rPr>
        <w:t>Lorito</w:t>
      </w:r>
      <w:proofErr w:type="spellEnd"/>
      <w:r w:rsidRPr="00F860F1">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w:t>
      </w:r>
      <w:r w:rsidRPr="00F860F1">
        <w:rPr>
          <w:rFonts w:cs="Calibri"/>
          <w:color w:val="000000"/>
          <w:lang w:eastAsia="en-IE"/>
        </w:rPr>
        <w:t>017</w:t>
      </w:r>
      <w:r>
        <w:rPr>
          <w:rFonts w:cs="Calibri"/>
          <w:color w:val="000000"/>
          <w:lang w:eastAsia="en-IE"/>
        </w:rPr>
        <w:t xml:space="preserve">, </w:t>
      </w:r>
      <w:r w:rsidRPr="00F860F1">
        <w:t xml:space="preserve">Vaughan </w:t>
      </w:r>
      <w:r w:rsidRPr="009800AB">
        <w:rPr>
          <w:i/>
        </w:rPr>
        <w:t>et al.,</w:t>
      </w:r>
      <w:r>
        <w:t xml:space="preserve"> </w:t>
      </w:r>
      <w:r w:rsidRPr="00F860F1">
        <w:t>2019</w:t>
      </w:r>
    </w:p>
  </w:footnote>
  <w:footnote w:id="555">
    <w:p w14:paraId="33872A86" w14:textId="790EF2DE" w:rsidR="00452DFD" w:rsidRDefault="00452DFD">
      <w:pPr>
        <w:pStyle w:val="FootnoteText"/>
      </w:pPr>
      <w:r>
        <w:rPr>
          <w:rStyle w:val="FootnoteReference"/>
        </w:rPr>
        <w:footnoteRef/>
      </w:r>
      <w:r>
        <w:t xml:space="preserve"> </w:t>
      </w:r>
      <w:r w:rsidRPr="00BD34C6">
        <w:t>Smith-Merry</w:t>
      </w:r>
      <w:r>
        <w:t>, 2017,</w:t>
      </w:r>
      <w:r w:rsidRPr="00BD34C6">
        <w:t xml:space="preserve"> Walsh </w:t>
      </w:r>
      <w:r w:rsidRPr="009800AB">
        <w:rPr>
          <w:i/>
        </w:rPr>
        <w:t>et al.,</w:t>
      </w:r>
      <w:r>
        <w:t xml:space="preserve"> </w:t>
      </w:r>
      <w:r w:rsidRPr="00BD34C6">
        <w:t>2018</w:t>
      </w:r>
    </w:p>
  </w:footnote>
  <w:footnote w:id="556">
    <w:p w14:paraId="2EDED1AF" w14:textId="0EC58424" w:rsidR="00452DFD" w:rsidRDefault="00452DFD">
      <w:pPr>
        <w:pStyle w:val="FootnoteText"/>
      </w:pPr>
      <w:r>
        <w:rPr>
          <w:rStyle w:val="FootnoteReference"/>
        </w:rPr>
        <w:footnoteRef/>
      </w:r>
      <w:r>
        <w:t xml:space="preserve"> </w:t>
      </w:r>
      <w:r>
        <w:rPr>
          <w:lang w:eastAsia="en-IE"/>
        </w:rPr>
        <w:t>Partners2 Writing Collective, 2020</w:t>
      </w:r>
    </w:p>
  </w:footnote>
  <w:footnote w:id="557">
    <w:p w14:paraId="74C2D34A" w14:textId="2B00081D" w:rsidR="00452DFD" w:rsidRDefault="00452DFD">
      <w:pPr>
        <w:pStyle w:val="FootnoteText"/>
      </w:pPr>
      <w:r>
        <w:rPr>
          <w:rStyle w:val="FootnoteReference"/>
        </w:rPr>
        <w:footnoteRef/>
      </w:r>
      <w:r>
        <w:t xml:space="preserve"> </w:t>
      </w:r>
      <w:proofErr w:type="spellStart"/>
      <w:r>
        <w:t>Aldersey</w:t>
      </w:r>
      <w:proofErr w:type="spellEnd"/>
      <w:r>
        <w:t xml:space="preserve"> </w:t>
      </w:r>
      <w:r w:rsidRPr="009800AB">
        <w:rPr>
          <w:i/>
        </w:rPr>
        <w:t>et al.,</w:t>
      </w:r>
      <w:r>
        <w:t xml:space="preserve"> 2018, Anderson </w:t>
      </w:r>
      <w:r w:rsidRPr="009800AB">
        <w:rPr>
          <w:i/>
        </w:rPr>
        <w:t>et al.,</w:t>
      </w:r>
      <w:r>
        <w:t xml:space="preserve"> 2018, Brady </w:t>
      </w:r>
      <w:r w:rsidRPr="009800AB">
        <w:rPr>
          <w:i/>
        </w:rPr>
        <w:t>et al.,</w:t>
      </w:r>
      <w:r>
        <w:t xml:space="preserve"> 2019, </w:t>
      </w:r>
      <w:r w:rsidRPr="00DD6AB9">
        <w:t>Byrne</w:t>
      </w:r>
      <w:r>
        <w:t xml:space="preserve"> </w:t>
      </w:r>
      <w:r w:rsidRPr="009800AB">
        <w:rPr>
          <w:i/>
        </w:rPr>
        <w:t>et al.,</w:t>
      </w:r>
      <w:r>
        <w:t xml:space="preserve"> 2019, Cameron </w:t>
      </w:r>
      <w:r w:rsidRPr="009800AB">
        <w:rPr>
          <w:i/>
        </w:rPr>
        <w:t>et al.,</w:t>
      </w:r>
      <w:r>
        <w:t xml:space="preserve"> 2019, Disability Wales, 2019, </w:t>
      </w:r>
      <w:proofErr w:type="spellStart"/>
      <w:r>
        <w:t>Hersch</w:t>
      </w:r>
      <w:proofErr w:type="spellEnd"/>
      <w:r>
        <w:t xml:space="preserve"> </w:t>
      </w:r>
      <w:r w:rsidRPr="009800AB">
        <w:rPr>
          <w:i/>
        </w:rPr>
        <w:t>et al.,</w:t>
      </w:r>
      <w:r>
        <w:t xml:space="preserve"> 2020, Riches, O’Brien and CDS Inclusive Research Network, 2017, Rojas </w:t>
      </w:r>
      <w:proofErr w:type="spellStart"/>
      <w:r>
        <w:t>Pernia</w:t>
      </w:r>
      <w:proofErr w:type="spellEnd"/>
      <w:r>
        <w:t xml:space="preserve"> and Haya </w:t>
      </w:r>
      <w:proofErr w:type="spellStart"/>
      <w:r>
        <w:t>Salmón</w:t>
      </w:r>
      <w:proofErr w:type="spellEnd"/>
      <w:r>
        <w:t>, 2020</w:t>
      </w:r>
    </w:p>
  </w:footnote>
  <w:footnote w:id="558">
    <w:p w14:paraId="17EFBAAB" w14:textId="608D5631" w:rsidR="00452DFD" w:rsidRDefault="00452DFD">
      <w:pPr>
        <w:pStyle w:val="FootnoteText"/>
      </w:pPr>
      <w:r>
        <w:rPr>
          <w:rStyle w:val="FootnoteReference"/>
        </w:rPr>
        <w:footnoteRef/>
      </w:r>
      <w:r>
        <w:t xml:space="preserve"> Barry, 2016, Burke </w:t>
      </w:r>
      <w:r w:rsidRPr="009800AB">
        <w:rPr>
          <w:i/>
        </w:rPr>
        <w:t>et al.,</w:t>
      </w:r>
      <w:r>
        <w:t xml:space="preserve"> 2019, </w:t>
      </w:r>
      <w:r w:rsidRPr="00B93533">
        <w:t>Campus Engage, 2017,</w:t>
      </w:r>
      <w:r>
        <w:t xml:space="preserve"> Ní </w:t>
      </w:r>
      <w:proofErr w:type="spellStart"/>
      <w:r>
        <w:t>Shé</w:t>
      </w:r>
      <w:proofErr w:type="spellEnd"/>
      <w:r>
        <w:t xml:space="preserve"> </w:t>
      </w:r>
      <w:r w:rsidRPr="009800AB">
        <w:rPr>
          <w:i/>
        </w:rPr>
        <w:t>et al.,</w:t>
      </w:r>
      <w:r>
        <w:t xml:space="preserve"> 2019, </w:t>
      </w:r>
      <w:proofErr w:type="spellStart"/>
      <w:r>
        <w:t>Bertilsdotter</w:t>
      </w:r>
      <w:proofErr w:type="spellEnd"/>
      <w:r>
        <w:t xml:space="preserve"> Rosqvist </w:t>
      </w:r>
      <w:r w:rsidRPr="009800AB">
        <w:rPr>
          <w:i/>
        </w:rPr>
        <w:t>et al.,</w:t>
      </w:r>
      <w:r>
        <w:t xml:space="preserve"> 2019</w:t>
      </w:r>
    </w:p>
  </w:footnote>
  <w:footnote w:id="559">
    <w:p w14:paraId="5B211CE8" w14:textId="1EAFF560"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 </w:t>
      </w:r>
      <w:proofErr w:type="spellStart"/>
      <w:r>
        <w:t>Durell</w:t>
      </w:r>
      <w:proofErr w:type="spellEnd"/>
      <w:r>
        <w:t>, 2016, Riches, O’Brien and CDS Inclusive Research Network, 2017, Riches, O’Brien and CDS Inclusive Research Network, 2020,</w:t>
      </w:r>
      <w:r w:rsidRPr="005D1DAA">
        <w:t xml:space="preserve"> </w:t>
      </w:r>
      <w:proofErr w:type="spellStart"/>
      <w:r>
        <w:t>Bertilsdotter</w:t>
      </w:r>
      <w:proofErr w:type="spellEnd"/>
      <w:r>
        <w:t xml:space="preserve"> Rosqvist </w:t>
      </w:r>
      <w:r w:rsidRPr="009800AB">
        <w:rPr>
          <w:i/>
        </w:rPr>
        <w:t>et al.,</w:t>
      </w:r>
      <w:r>
        <w:t xml:space="preserve"> 2019</w:t>
      </w:r>
    </w:p>
  </w:footnote>
  <w:footnote w:id="560">
    <w:p w14:paraId="7D959BC2" w14:textId="0F99C9D4" w:rsidR="00452DFD" w:rsidRDefault="00452DFD">
      <w:pPr>
        <w:pStyle w:val="FootnoteText"/>
      </w:pPr>
      <w:r>
        <w:rPr>
          <w:rStyle w:val="FootnoteReference"/>
        </w:rPr>
        <w:footnoteRef/>
      </w:r>
      <w:r>
        <w:t xml:space="preserve"> Di </w:t>
      </w:r>
      <w:proofErr w:type="spellStart"/>
      <w:r>
        <w:t>Lorito</w:t>
      </w:r>
      <w:proofErr w:type="spellEnd"/>
      <w:r>
        <w:t xml:space="preserve"> </w:t>
      </w:r>
      <w:r w:rsidRPr="009800AB">
        <w:rPr>
          <w:i/>
        </w:rPr>
        <w:t>et al.,</w:t>
      </w:r>
      <w:r>
        <w:t xml:space="preserve"> 2018, </w:t>
      </w:r>
      <w:proofErr w:type="spellStart"/>
      <w:r>
        <w:t>MacSweeney</w:t>
      </w:r>
      <w:proofErr w:type="spellEnd"/>
      <w:r>
        <w:t xml:space="preserve">, Bowman, </w:t>
      </w:r>
      <w:r w:rsidRPr="00154A3D">
        <w:t>and Kelly</w:t>
      </w:r>
      <w:r>
        <w:t xml:space="preserve">, 2019, McConnell </w:t>
      </w:r>
      <w:r w:rsidRPr="009800AB">
        <w:rPr>
          <w:i/>
        </w:rPr>
        <w:t>et al.,</w:t>
      </w:r>
      <w:r>
        <w:t xml:space="preserve"> 2019, </w:t>
      </w:r>
      <w:proofErr w:type="spellStart"/>
      <w:r>
        <w:t>Parveen</w:t>
      </w:r>
      <w:proofErr w:type="spellEnd"/>
      <w:r>
        <w:t xml:space="preserve"> </w:t>
      </w:r>
      <w:r w:rsidRPr="009800AB">
        <w:rPr>
          <w:i/>
        </w:rPr>
        <w:t>et al.,</w:t>
      </w:r>
      <w:r>
        <w:t xml:space="preserve"> 2018, </w:t>
      </w:r>
      <w:proofErr w:type="spellStart"/>
      <w:r>
        <w:t>Bertilsdotter</w:t>
      </w:r>
      <w:proofErr w:type="spellEnd"/>
      <w:r>
        <w:t xml:space="preserve"> Rosqvist </w:t>
      </w:r>
      <w:r w:rsidRPr="009800AB">
        <w:rPr>
          <w:i/>
        </w:rPr>
        <w:t>et al.,</w:t>
      </w:r>
      <w:r>
        <w:t xml:space="preserve"> 2019</w:t>
      </w:r>
    </w:p>
  </w:footnote>
  <w:footnote w:id="561">
    <w:p w14:paraId="08575694" w14:textId="62A952F7" w:rsidR="00452DFD" w:rsidRDefault="00452DFD">
      <w:pPr>
        <w:pStyle w:val="FootnoteText"/>
      </w:pPr>
      <w:r>
        <w:rPr>
          <w:rStyle w:val="FootnoteReference"/>
        </w:rPr>
        <w:footnoteRef/>
      </w:r>
      <w:r>
        <w:t xml:space="preserve"> Smith-Merry, 2017, Smith-Merry, no date, </w:t>
      </w:r>
      <w:proofErr w:type="spellStart"/>
      <w:r>
        <w:t>Parveen</w:t>
      </w:r>
      <w:proofErr w:type="spellEnd"/>
      <w:r>
        <w:t xml:space="preserve"> </w:t>
      </w:r>
      <w:r w:rsidRPr="009800AB">
        <w:rPr>
          <w:i/>
        </w:rPr>
        <w:t>et al.,</w:t>
      </w:r>
      <w:r>
        <w:t xml:space="preserve"> 2018</w:t>
      </w:r>
    </w:p>
  </w:footnote>
  <w:footnote w:id="562">
    <w:p w14:paraId="338DBCE5" w14:textId="6FDE23B5" w:rsidR="00452DFD" w:rsidRDefault="00452DFD" w:rsidP="00343B69">
      <w:pPr>
        <w:pStyle w:val="FootnoteText"/>
      </w:pPr>
      <w:r>
        <w:rPr>
          <w:rStyle w:val="FootnoteReference"/>
        </w:rPr>
        <w:footnoteRef/>
      </w:r>
      <w:r>
        <w:t xml:space="preserve"> See Swarbrick </w:t>
      </w:r>
      <w:r w:rsidRPr="009800AB">
        <w:rPr>
          <w:i/>
        </w:rPr>
        <w:t>et al.,</w:t>
      </w:r>
      <w:r>
        <w:t xml:space="preserve"> 2019 for the COINED Model which outlines how people living with dementia would like to be involved as co-researchers in research projects.</w:t>
      </w:r>
    </w:p>
  </w:footnote>
  <w:footnote w:id="563">
    <w:p w14:paraId="45A4B92A" w14:textId="442C6A25" w:rsidR="00452DFD" w:rsidRDefault="00452DFD">
      <w:pPr>
        <w:pStyle w:val="FootnoteText"/>
      </w:pPr>
      <w:r>
        <w:rPr>
          <w:rStyle w:val="FootnoteReference"/>
        </w:rPr>
        <w:footnoteRef/>
      </w:r>
      <w:r>
        <w:t xml:space="preserve"> Herron, Priest and Read, 2015, Riches, O’Brien and CDS Inclusive Research Network, 2020</w:t>
      </w:r>
    </w:p>
  </w:footnote>
  <w:footnote w:id="564">
    <w:p w14:paraId="794B88DB" w14:textId="5AA8FCEC" w:rsidR="00452DFD" w:rsidRDefault="00452DFD">
      <w:pPr>
        <w:pStyle w:val="FootnoteText"/>
      </w:pPr>
      <w:r>
        <w:rPr>
          <w:rStyle w:val="FootnoteReference"/>
        </w:rPr>
        <w:footnoteRef/>
      </w:r>
      <w:r>
        <w:t xml:space="preserve"> </w:t>
      </w:r>
      <w:proofErr w:type="spellStart"/>
      <w:r>
        <w:t>Peuravarra</w:t>
      </w:r>
      <w:proofErr w:type="spellEnd"/>
      <w:r>
        <w:t xml:space="preserve"> </w:t>
      </w:r>
      <w:r w:rsidRPr="009800AB">
        <w:rPr>
          <w:i/>
        </w:rPr>
        <w:t>et al.,</w:t>
      </w:r>
      <w:r>
        <w:t xml:space="preserve"> 2015, p</w:t>
      </w:r>
      <w:r w:rsidRPr="00FE1C18">
        <w:t>. 280</w:t>
      </w:r>
    </w:p>
  </w:footnote>
  <w:footnote w:id="565">
    <w:p w14:paraId="1A1C5158" w14:textId="22323504" w:rsidR="00452DFD" w:rsidRDefault="00452DFD">
      <w:pPr>
        <w:pStyle w:val="FootnoteText"/>
      </w:pPr>
      <w:r>
        <w:rPr>
          <w:rStyle w:val="FootnoteReference"/>
        </w:rPr>
        <w:footnoteRef/>
      </w:r>
      <w:r>
        <w:t xml:space="preserve"> Di </w:t>
      </w:r>
      <w:proofErr w:type="spellStart"/>
      <w:r>
        <w:t>Lorito</w:t>
      </w:r>
      <w:proofErr w:type="spellEnd"/>
      <w:r>
        <w:t xml:space="preserve"> </w:t>
      </w:r>
      <w:r w:rsidRPr="009800AB">
        <w:rPr>
          <w:i/>
        </w:rPr>
        <w:t>et al.,</w:t>
      </w:r>
      <w:r>
        <w:t xml:space="preserve"> 2018, Gove </w:t>
      </w:r>
      <w:r w:rsidRPr="009800AB">
        <w:rPr>
          <w:i/>
        </w:rPr>
        <w:t>et al.,</w:t>
      </w:r>
      <w:r>
        <w:t xml:space="preserve"> 2017, </w:t>
      </w:r>
      <w:r w:rsidRPr="00F72555">
        <w:t xml:space="preserve">Gove </w:t>
      </w:r>
      <w:r w:rsidRPr="009800AB">
        <w:rPr>
          <w:i/>
        </w:rPr>
        <w:t>et al.,</w:t>
      </w:r>
      <w:r>
        <w:t xml:space="preserve"> </w:t>
      </w:r>
      <w:r w:rsidRPr="00F72555">
        <w:t>2018</w:t>
      </w:r>
      <w:r>
        <w:t xml:space="preserve">, Mann and Hung, 2018, </w:t>
      </w:r>
      <w:r w:rsidRPr="00F72555">
        <w:t xml:space="preserve">Miah </w:t>
      </w:r>
      <w:r w:rsidRPr="009800AB">
        <w:rPr>
          <w:i/>
        </w:rPr>
        <w:t>et al.,</w:t>
      </w:r>
      <w:r>
        <w:t xml:space="preserve"> </w:t>
      </w:r>
      <w:r w:rsidRPr="00F72555">
        <w:t>2019</w:t>
      </w:r>
      <w:r>
        <w:t>, Northway, Howarth and Evans, 2015</w:t>
      </w:r>
      <w:r w:rsidRPr="00F72555">
        <w:t xml:space="preserve">, </w:t>
      </w:r>
      <w:r>
        <w:t>Riches, O’Brien and CDS Inclusive Research Network, 2020</w:t>
      </w:r>
      <w:r w:rsidRPr="00F72555">
        <w:t>,</w:t>
      </w:r>
      <w:r>
        <w:t xml:space="preserve"> </w:t>
      </w:r>
      <w:r w:rsidRPr="00F72555">
        <w:t xml:space="preserve">Roberts </w:t>
      </w:r>
      <w:r w:rsidRPr="009800AB">
        <w:rPr>
          <w:i/>
        </w:rPr>
        <w:t>et al.,</w:t>
      </w:r>
      <w:r>
        <w:t xml:space="preserve"> 2020 </w:t>
      </w:r>
      <w:r w:rsidRPr="00F72555">
        <w:t xml:space="preserve">Van </w:t>
      </w:r>
      <w:proofErr w:type="spellStart"/>
      <w:r w:rsidRPr="00F72555">
        <w:t>Schelven</w:t>
      </w:r>
      <w:proofErr w:type="spellEnd"/>
      <w:r w:rsidRPr="00F72555">
        <w:t xml:space="preserve"> </w:t>
      </w:r>
      <w:r w:rsidRPr="009800AB">
        <w:rPr>
          <w:i/>
        </w:rPr>
        <w:t>et al.,</w:t>
      </w:r>
      <w:r>
        <w:t xml:space="preserve"> 2020b</w:t>
      </w:r>
    </w:p>
  </w:footnote>
  <w:footnote w:id="566">
    <w:p w14:paraId="7C53ADB3" w14:textId="71E4D9A0" w:rsidR="00452DFD" w:rsidRDefault="00452DFD">
      <w:pPr>
        <w:pStyle w:val="FootnoteText"/>
      </w:pPr>
      <w:r>
        <w:rPr>
          <w:rStyle w:val="FootnoteReference"/>
        </w:rPr>
        <w:footnoteRef/>
      </w:r>
      <w:r>
        <w:t xml:space="preserve"> </w:t>
      </w:r>
      <w:proofErr w:type="spellStart"/>
      <w:r w:rsidRPr="00F72555">
        <w:t>Durell</w:t>
      </w:r>
      <w:proofErr w:type="spellEnd"/>
      <w:r w:rsidRPr="00F72555">
        <w:t>, 2016,</w:t>
      </w:r>
      <w:r>
        <w:t xml:space="preserve"> Riches, O’Brien and CDS Inclusive Research Network, 2020</w:t>
      </w:r>
    </w:p>
  </w:footnote>
  <w:footnote w:id="567">
    <w:p w14:paraId="09053760" w14:textId="71AF3696" w:rsidR="00452DFD" w:rsidRDefault="00452DFD">
      <w:pPr>
        <w:pStyle w:val="FootnoteText"/>
      </w:pPr>
      <w:r>
        <w:rPr>
          <w:rStyle w:val="FootnoteReference"/>
        </w:rPr>
        <w:footnoteRef/>
      </w:r>
      <w:r>
        <w:t xml:space="preserve"> Ní </w:t>
      </w:r>
      <w:proofErr w:type="spellStart"/>
      <w:r>
        <w:t>Shé</w:t>
      </w:r>
      <w:proofErr w:type="spellEnd"/>
      <w:r>
        <w:t xml:space="preserve"> </w:t>
      </w:r>
      <w:r w:rsidRPr="009800AB">
        <w:rPr>
          <w:i/>
        </w:rPr>
        <w:t>et al.,</w:t>
      </w:r>
      <w:r>
        <w:t xml:space="preserve"> 2020</w:t>
      </w:r>
    </w:p>
  </w:footnote>
  <w:footnote w:id="568">
    <w:p w14:paraId="38D525E0" w14:textId="49B927CF" w:rsidR="00452DFD" w:rsidRDefault="00452DFD">
      <w:pPr>
        <w:pStyle w:val="FootnoteText"/>
      </w:pPr>
      <w:r>
        <w:rPr>
          <w:rStyle w:val="FootnoteReference"/>
        </w:rPr>
        <w:footnoteRef/>
      </w:r>
      <w:r>
        <w:t xml:space="preserve"> </w:t>
      </w:r>
      <w:proofErr w:type="spellStart"/>
      <w:r w:rsidRPr="00A25ED5">
        <w:t>Allsop</w:t>
      </w:r>
      <w:proofErr w:type="spellEnd"/>
      <w:r w:rsidRPr="00A25ED5">
        <w:t xml:space="preserve"> </w:t>
      </w:r>
      <w:r w:rsidRPr="009800AB">
        <w:rPr>
          <w:i/>
        </w:rPr>
        <w:t>et al.,</w:t>
      </w:r>
      <w:r>
        <w:t xml:space="preserve"> </w:t>
      </w:r>
      <w:r w:rsidRPr="00A25ED5">
        <w:t>2010</w:t>
      </w:r>
      <w:r>
        <w:t xml:space="preserve"> in Bailey </w:t>
      </w:r>
      <w:r w:rsidRPr="009800AB">
        <w:rPr>
          <w:i/>
        </w:rPr>
        <w:t>et al.,</w:t>
      </w:r>
      <w:r>
        <w:t xml:space="preserve"> 2015, </w:t>
      </w:r>
      <w:proofErr w:type="spellStart"/>
      <w:r>
        <w:t>Sloper</w:t>
      </w:r>
      <w:proofErr w:type="spellEnd"/>
      <w:r>
        <w:t xml:space="preserve">, 2004 cited in Bailey </w:t>
      </w:r>
      <w:r w:rsidRPr="009800AB">
        <w:rPr>
          <w:i/>
        </w:rPr>
        <w:t>et al.,</w:t>
      </w:r>
      <w:r>
        <w:t xml:space="preserve"> 2015</w:t>
      </w:r>
    </w:p>
  </w:footnote>
  <w:footnote w:id="569">
    <w:p w14:paraId="04FA24B0" w14:textId="2B066A83" w:rsidR="00452DFD" w:rsidRDefault="00452DFD">
      <w:pPr>
        <w:pStyle w:val="FootnoteText"/>
      </w:pPr>
      <w:r>
        <w:rPr>
          <w:rStyle w:val="FootnoteReference"/>
        </w:rPr>
        <w:footnoteRef/>
      </w:r>
      <w:r>
        <w:t xml:space="preserve"> Barry, 2016, </w:t>
      </w:r>
      <w:proofErr w:type="spellStart"/>
      <w:r>
        <w:t>Durell</w:t>
      </w:r>
      <w:proofErr w:type="spellEnd"/>
      <w:r>
        <w:t xml:space="preserve"> </w:t>
      </w:r>
      <w:r w:rsidRPr="009800AB">
        <w:rPr>
          <w:i/>
        </w:rPr>
        <w:t>et al.,</w:t>
      </w:r>
      <w:r>
        <w:t xml:space="preserve"> 2016</w:t>
      </w:r>
    </w:p>
  </w:footnote>
  <w:footnote w:id="570">
    <w:p w14:paraId="5B02A328" w14:textId="60A58B95" w:rsidR="00452DFD" w:rsidRDefault="00452DFD">
      <w:pPr>
        <w:pStyle w:val="FootnoteText"/>
      </w:pPr>
      <w:r>
        <w:rPr>
          <w:rStyle w:val="FootnoteReference"/>
        </w:rPr>
        <w:footnoteRef/>
      </w:r>
      <w:r>
        <w:t xml:space="preserve"> </w:t>
      </w:r>
      <w:proofErr w:type="spellStart"/>
      <w:r>
        <w:t>Beighton</w:t>
      </w:r>
      <w:proofErr w:type="spellEnd"/>
      <w:r>
        <w:t xml:space="preserve"> </w:t>
      </w:r>
      <w:r w:rsidRPr="009800AB">
        <w:rPr>
          <w:i/>
        </w:rPr>
        <w:t>et al.,</w:t>
      </w:r>
      <w:r>
        <w:t xml:space="preserve"> 2019</w:t>
      </w:r>
    </w:p>
  </w:footnote>
  <w:footnote w:id="571">
    <w:p w14:paraId="5950BB69" w14:textId="42F7B813" w:rsidR="00452DFD" w:rsidRDefault="00452DFD">
      <w:pPr>
        <w:pStyle w:val="FootnoteText"/>
      </w:pPr>
      <w:r>
        <w:rPr>
          <w:rStyle w:val="FootnoteReference"/>
        </w:rPr>
        <w:footnoteRef/>
      </w:r>
      <w:r>
        <w:t xml:space="preserve"> Burke </w:t>
      </w:r>
      <w:r w:rsidRPr="009800AB">
        <w:rPr>
          <w:i/>
        </w:rPr>
        <w:t>et al.,</w:t>
      </w:r>
      <w:r>
        <w:t xml:space="preserve"> 2019, Perry and </w:t>
      </w:r>
      <w:proofErr w:type="spellStart"/>
      <w:r>
        <w:t>Felce</w:t>
      </w:r>
      <w:proofErr w:type="spellEnd"/>
      <w:r>
        <w:t xml:space="preserve">, 2004 cited in Di </w:t>
      </w:r>
      <w:proofErr w:type="spellStart"/>
      <w:r>
        <w:t>Lorito</w:t>
      </w:r>
      <w:proofErr w:type="spellEnd"/>
      <w:r>
        <w:t xml:space="preserve"> </w:t>
      </w:r>
      <w:r w:rsidRPr="009800AB">
        <w:rPr>
          <w:i/>
        </w:rPr>
        <w:t>et al.,</w:t>
      </w:r>
      <w:r>
        <w:t xml:space="preserve"> 2018, </w:t>
      </w:r>
      <w:proofErr w:type="spellStart"/>
      <w:r>
        <w:t>Woelders</w:t>
      </w:r>
      <w:proofErr w:type="spellEnd"/>
      <w:r>
        <w:t xml:space="preserve"> </w:t>
      </w:r>
      <w:r w:rsidRPr="009800AB">
        <w:rPr>
          <w:i/>
        </w:rPr>
        <w:t>et al.,</w:t>
      </w:r>
      <w:r>
        <w:t xml:space="preserve"> 2015</w:t>
      </w:r>
    </w:p>
  </w:footnote>
  <w:footnote w:id="572">
    <w:p w14:paraId="5F52F9D7" w14:textId="6E17EFF6" w:rsidR="00452DFD" w:rsidRDefault="00452DFD">
      <w:pPr>
        <w:pStyle w:val="FootnoteText"/>
      </w:pPr>
      <w:r>
        <w:rPr>
          <w:rStyle w:val="FootnoteReference"/>
        </w:rPr>
        <w:footnoteRef/>
      </w:r>
      <w:r>
        <w:t xml:space="preserve"> </w:t>
      </w:r>
      <w:proofErr w:type="spellStart"/>
      <w:r>
        <w:t>Oksnebjerg</w:t>
      </w:r>
      <w:proofErr w:type="spellEnd"/>
      <w:r>
        <w:t xml:space="preserve"> </w:t>
      </w:r>
      <w:r w:rsidRPr="009800AB">
        <w:rPr>
          <w:i/>
        </w:rPr>
        <w:t>et al.,</w:t>
      </w:r>
      <w:r>
        <w:t xml:space="preserve"> 2018 cited in Burton, Ogden, and Cooper, 2019</w:t>
      </w:r>
    </w:p>
  </w:footnote>
  <w:footnote w:id="573">
    <w:p w14:paraId="0BEEC0CD" w14:textId="0AD60E9C" w:rsidR="00452DFD" w:rsidRDefault="00452DFD">
      <w:pPr>
        <w:pStyle w:val="FootnoteText"/>
      </w:pPr>
      <w:r>
        <w:rPr>
          <w:rStyle w:val="FootnoteReference"/>
        </w:rPr>
        <w:footnoteRef/>
      </w:r>
      <w:r>
        <w:t xml:space="preserve"> </w:t>
      </w:r>
      <w:proofErr w:type="spellStart"/>
      <w:r w:rsidRPr="004B69FC">
        <w:rPr>
          <w:rFonts w:cs="Calibri"/>
          <w:color w:val="000000"/>
          <w:lang w:eastAsia="en-IE"/>
        </w:rPr>
        <w:t>Suijkerbuijk</w:t>
      </w:r>
      <w:proofErr w:type="spellEnd"/>
      <w:r>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2019</w:t>
      </w:r>
    </w:p>
  </w:footnote>
  <w:footnote w:id="574">
    <w:p w14:paraId="0447EC3E" w14:textId="520C4884" w:rsidR="00452DFD" w:rsidRDefault="00452DFD">
      <w:pPr>
        <w:pStyle w:val="FootnoteText"/>
      </w:pPr>
      <w:r>
        <w:rPr>
          <w:rStyle w:val="FootnoteReference"/>
        </w:rPr>
        <w:footnoteRef/>
      </w:r>
      <w:r>
        <w:t xml:space="preserve"> </w:t>
      </w:r>
      <w:r>
        <w:rPr>
          <w:rFonts w:cs="Calibri"/>
          <w:color w:val="000000"/>
          <w:lang w:eastAsia="en-IE"/>
        </w:rPr>
        <w:t>e.g.</w:t>
      </w:r>
      <w:r w:rsidRPr="00A02790">
        <w:t xml:space="preserve"> </w:t>
      </w:r>
      <w:r>
        <w:rPr>
          <w:rFonts w:cs="Calibri"/>
          <w:color w:val="000000"/>
          <w:lang w:eastAsia="en-IE"/>
        </w:rPr>
        <w:t xml:space="preserve">Mayer and Zach, 2013 cited in </w:t>
      </w:r>
      <w:proofErr w:type="spellStart"/>
      <w:r w:rsidRPr="00A02790">
        <w:rPr>
          <w:rFonts w:cs="Calibri"/>
          <w:color w:val="000000"/>
          <w:lang w:eastAsia="en-IE"/>
        </w:rPr>
        <w:t>Suijkerbuijk</w:t>
      </w:r>
      <w:proofErr w:type="spellEnd"/>
      <w:r w:rsidRPr="00A02790">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r>
        <w:rPr>
          <w:rFonts w:cs="Calibri"/>
          <w:color w:val="000000"/>
          <w:lang w:eastAsia="en-IE"/>
        </w:rPr>
        <w:t xml:space="preserve">, </w:t>
      </w:r>
      <w:r w:rsidRPr="00A02790">
        <w:rPr>
          <w:rFonts w:cs="Calibri"/>
          <w:color w:val="000000"/>
          <w:lang w:eastAsia="en-IE"/>
        </w:rPr>
        <w:t>Schneider</w:t>
      </w:r>
      <w:r>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2013 cited in </w:t>
      </w:r>
      <w:proofErr w:type="spellStart"/>
      <w:r w:rsidRPr="00A02790">
        <w:rPr>
          <w:rFonts w:cs="Calibri"/>
          <w:color w:val="000000"/>
          <w:lang w:eastAsia="en-IE"/>
        </w:rPr>
        <w:t>Suijkerbuijk</w:t>
      </w:r>
      <w:proofErr w:type="spellEnd"/>
      <w:r w:rsidRPr="00A02790">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r>
        <w:rPr>
          <w:rFonts w:cs="Calibri"/>
          <w:color w:val="000000"/>
          <w:lang w:eastAsia="en-IE"/>
        </w:rPr>
        <w:t xml:space="preserve">, Span </w:t>
      </w:r>
      <w:r w:rsidRPr="009800AB">
        <w:rPr>
          <w:rFonts w:cs="Calibri"/>
          <w:i/>
          <w:color w:val="000000"/>
          <w:lang w:eastAsia="en-IE"/>
        </w:rPr>
        <w:t>et al.,</w:t>
      </w:r>
      <w:r>
        <w:rPr>
          <w:rFonts w:cs="Calibri"/>
          <w:color w:val="000000"/>
          <w:lang w:eastAsia="en-IE"/>
        </w:rPr>
        <w:t xml:space="preserve"> 2015 cited in </w:t>
      </w:r>
      <w:proofErr w:type="spellStart"/>
      <w:r w:rsidRPr="00A02790">
        <w:rPr>
          <w:rFonts w:cs="Calibri"/>
          <w:color w:val="000000"/>
          <w:lang w:eastAsia="en-IE"/>
        </w:rPr>
        <w:t>Suijkerbuijk</w:t>
      </w:r>
      <w:proofErr w:type="spellEnd"/>
      <w:r w:rsidRPr="00A02790">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r>
        <w:rPr>
          <w:rFonts w:cs="Calibri"/>
          <w:color w:val="000000"/>
          <w:lang w:eastAsia="en-IE"/>
        </w:rPr>
        <w:t xml:space="preserve">, Wolters </w:t>
      </w:r>
      <w:r w:rsidRPr="009800AB">
        <w:rPr>
          <w:rFonts w:cs="Calibri"/>
          <w:i/>
          <w:color w:val="000000"/>
          <w:lang w:eastAsia="en-IE"/>
        </w:rPr>
        <w:t>et al.,</w:t>
      </w:r>
      <w:r>
        <w:rPr>
          <w:rFonts w:cs="Calibri"/>
          <w:color w:val="000000"/>
          <w:lang w:eastAsia="en-IE"/>
        </w:rPr>
        <w:t xml:space="preserve"> 2016 cited in </w:t>
      </w:r>
      <w:proofErr w:type="spellStart"/>
      <w:r w:rsidRPr="00A02790">
        <w:rPr>
          <w:rFonts w:cs="Calibri"/>
          <w:color w:val="000000"/>
          <w:lang w:eastAsia="en-IE"/>
        </w:rPr>
        <w:t>Suijkerbuijk</w:t>
      </w:r>
      <w:proofErr w:type="spellEnd"/>
      <w:r w:rsidRPr="00A02790">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p>
  </w:footnote>
  <w:footnote w:id="575">
    <w:p w14:paraId="6A432B91" w14:textId="045D5F2D" w:rsidR="00452DFD" w:rsidRDefault="00452DFD">
      <w:pPr>
        <w:pStyle w:val="FootnoteText"/>
      </w:pPr>
      <w:r>
        <w:rPr>
          <w:rStyle w:val="FootnoteReference"/>
        </w:rPr>
        <w:footnoteRef/>
      </w:r>
      <w:r>
        <w:t xml:space="preserve"> </w:t>
      </w:r>
      <w:proofErr w:type="spellStart"/>
      <w:r w:rsidRPr="004479E6">
        <w:rPr>
          <w:rFonts w:cs="Calibri"/>
          <w:szCs w:val="26"/>
          <w:lang w:eastAsia="en-IE"/>
        </w:rPr>
        <w:t>Aldersey</w:t>
      </w:r>
      <w:proofErr w:type="spellEnd"/>
      <w:r w:rsidRPr="004479E6">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4479E6">
        <w:rPr>
          <w:rFonts w:cs="Calibri"/>
          <w:szCs w:val="26"/>
          <w:lang w:eastAsia="en-IE"/>
        </w:rPr>
        <w:t xml:space="preserve">018, Bailey </w:t>
      </w:r>
      <w:r w:rsidRPr="009800AB">
        <w:rPr>
          <w:rFonts w:cs="Calibri"/>
          <w:i/>
          <w:szCs w:val="26"/>
          <w:lang w:eastAsia="en-IE"/>
        </w:rPr>
        <w:t>et al.,</w:t>
      </w:r>
      <w:r>
        <w:rPr>
          <w:rFonts w:cs="Calibri"/>
          <w:szCs w:val="26"/>
          <w:lang w:eastAsia="en-IE"/>
        </w:rPr>
        <w:t xml:space="preserve"> 2</w:t>
      </w:r>
      <w:r w:rsidRPr="004479E6">
        <w:rPr>
          <w:rFonts w:cs="Calibri"/>
          <w:szCs w:val="26"/>
          <w:lang w:eastAsia="en-IE"/>
        </w:rPr>
        <w:t xml:space="preserve">015, </w:t>
      </w:r>
      <w:r>
        <w:rPr>
          <w:szCs w:val="26"/>
        </w:rPr>
        <w:t xml:space="preserve">Hartley </w:t>
      </w:r>
      <w:r w:rsidRPr="009800AB">
        <w:rPr>
          <w:i/>
          <w:szCs w:val="26"/>
        </w:rPr>
        <w:t>et al.,</w:t>
      </w:r>
      <w:r>
        <w:rPr>
          <w:szCs w:val="26"/>
        </w:rPr>
        <w:t xml:space="preserve"> 2017, </w:t>
      </w:r>
      <w:proofErr w:type="spellStart"/>
      <w:r w:rsidRPr="00095645">
        <w:t>Hellzen</w:t>
      </w:r>
      <w:proofErr w:type="spellEnd"/>
      <w:r w:rsidRPr="00095645">
        <w:t xml:space="preserve">, </w:t>
      </w:r>
      <w:proofErr w:type="spellStart"/>
      <w:r w:rsidRPr="00095645">
        <w:t>Haugenes</w:t>
      </w:r>
      <w:proofErr w:type="spellEnd"/>
      <w:r w:rsidRPr="00095645">
        <w:t xml:space="preserve"> and </w:t>
      </w:r>
      <w:proofErr w:type="spellStart"/>
      <w:r w:rsidRPr="00095645">
        <w:t>Østby</w:t>
      </w:r>
      <w:proofErr w:type="spellEnd"/>
      <w:r w:rsidRPr="00095645">
        <w:t xml:space="preserve">, </w:t>
      </w:r>
      <w:r>
        <w:t>2018</w:t>
      </w:r>
      <w:r w:rsidRPr="004479E6">
        <w:rPr>
          <w:rFonts w:cs="Calibri"/>
          <w:szCs w:val="26"/>
          <w:lang w:eastAsia="en-IE"/>
        </w:rPr>
        <w:t xml:space="preserve">, </w:t>
      </w:r>
      <w:proofErr w:type="spellStart"/>
      <w:r w:rsidRPr="004479E6">
        <w:rPr>
          <w:rFonts w:cs="Calibri"/>
          <w:szCs w:val="26"/>
          <w:lang w:eastAsia="en-IE"/>
        </w:rPr>
        <w:t>ImaYDiT</w:t>
      </w:r>
      <w:proofErr w:type="spellEnd"/>
      <w:r w:rsidRPr="004479E6">
        <w:rPr>
          <w:rFonts w:cs="Calibri"/>
          <w:szCs w:val="26"/>
          <w:lang w:eastAsia="en-IE"/>
        </w:rPr>
        <w:t xml:space="preserve">, </w:t>
      </w:r>
      <w:r>
        <w:rPr>
          <w:rFonts w:cs="Calibri"/>
          <w:szCs w:val="26"/>
          <w:lang w:eastAsia="en-IE"/>
        </w:rPr>
        <w:t xml:space="preserve">2018, </w:t>
      </w:r>
      <w:proofErr w:type="spellStart"/>
      <w:r>
        <w:rPr>
          <w:szCs w:val="26"/>
        </w:rPr>
        <w:t>Puyalto</w:t>
      </w:r>
      <w:proofErr w:type="spellEnd"/>
      <w:r>
        <w:rPr>
          <w:szCs w:val="26"/>
        </w:rPr>
        <w:t xml:space="preserve"> </w:t>
      </w:r>
      <w:r w:rsidRPr="009800AB">
        <w:rPr>
          <w:i/>
          <w:szCs w:val="26"/>
        </w:rPr>
        <w:t>et al.,</w:t>
      </w:r>
      <w:r>
        <w:rPr>
          <w:szCs w:val="26"/>
        </w:rPr>
        <w:t xml:space="preserve"> 2016,</w:t>
      </w:r>
      <w:r w:rsidRPr="006F3323">
        <w:rPr>
          <w:rFonts w:cs="Calibri"/>
          <w:szCs w:val="26"/>
          <w:lang w:eastAsia="en-IE"/>
        </w:rPr>
        <w:t xml:space="preserve"> </w:t>
      </w:r>
      <w:r>
        <w:rPr>
          <w:rFonts w:cs="Calibri"/>
          <w:szCs w:val="26"/>
          <w:lang w:eastAsia="en-IE"/>
        </w:rPr>
        <w:t xml:space="preserve">Salmon </w:t>
      </w:r>
      <w:r w:rsidRPr="00893777">
        <w:rPr>
          <w:rFonts w:cs="Calibri"/>
          <w:i/>
          <w:szCs w:val="26"/>
          <w:lang w:eastAsia="en-IE"/>
        </w:rPr>
        <w:t>et al.,</w:t>
      </w:r>
      <w:r>
        <w:rPr>
          <w:rFonts w:cs="Calibri"/>
          <w:szCs w:val="26"/>
          <w:lang w:eastAsia="en-IE"/>
        </w:rPr>
        <w:t xml:space="preserve"> 2018, </w:t>
      </w:r>
      <w:proofErr w:type="spellStart"/>
      <w:r w:rsidRPr="0076773D">
        <w:rPr>
          <w:rFonts w:cs="Calibri"/>
          <w:szCs w:val="26"/>
          <w:lang w:eastAsia="en-IE"/>
        </w:rPr>
        <w:t>Troya</w:t>
      </w:r>
      <w:proofErr w:type="spellEnd"/>
      <w:r w:rsidRPr="0076773D">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76773D">
        <w:rPr>
          <w:rFonts w:cs="Calibri"/>
          <w:szCs w:val="26"/>
          <w:lang w:eastAsia="en-IE"/>
        </w:rPr>
        <w:t>019</w:t>
      </w:r>
    </w:p>
  </w:footnote>
  <w:footnote w:id="576">
    <w:p w14:paraId="2F726AD0" w14:textId="78C39DAF" w:rsidR="00452DFD" w:rsidRDefault="00452DFD">
      <w:pPr>
        <w:pStyle w:val="FootnoteText"/>
      </w:pPr>
      <w:r>
        <w:rPr>
          <w:rStyle w:val="FootnoteReference"/>
        </w:rPr>
        <w:footnoteRef/>
      </w:r>
      <w:r>
        <w:t xml:space="preserve"> </w:t>
      </w:r>
      <w:proofErr w:type="spellStart"/>
      <w:r w:rsidRPr="00516C11">
        <w:rPr>
          <w:szCs w:val="26"/>
        </w:rPr>
        <w:t>Barod</w:t>
      </w:r>
      <w:proofErr w:type="spellEnd"/>
      <w:r w:rsidRPr="00516C11">
        <w:rPr>
          <w:szCs w:val="26"/>
        </w:rPr>
        <w:t xml:space="preserve"> Community Interest Company</w:t>
      </w:r>
      <w:r>
        <w:rPr>
          <w:szCs w:val="26"/>
        </w:rPr>
        <w:t xml:space="preserve">, 2019, </w:t>
      </w:r>
      <w:r>
        <w:rPr>
          <w:rFonts w:cs="Calibri"/>
          <w:szCs w:val="26"/>
          <w:lang w:eastAsia="en-IE"/>
        </w:rPr>
        <w:t xml:space="preserve">Burton, Ogden, and Cooper, 2019, </w:t>
      </w:r>
      <w:r w:rsidRPr="0076773D">
        <w:rPr>
          <w:rFonts w:cs="Calibri"/>
          <w:szCs w:val="26"/>
          <w:lang w:eastAsia="en-IE"/>
        </w:rPr>
        <w:t xml:space="preserve">Dewa </w:t>
      </w:r>
      <w:r w:rsidRPr="009800AB">
        <w:rPr>
          <w:rFonts w:cs="Calibri"/>
          <w:i/>
          <w:szCs w:val="26"/>
          <w:lang w:eastAsia="en-IE"/>
        </w:rPr>
        <w:t>et al.,</w:t>
      </w:r>
      <w:r>
        <w:rPr>
          <w:rFonts w:cs="Calibri"/>
          <w:szCs w:val="26"/>
          <w:lang w:eastAsia="en-IE"/>
        </w:rPr>
        <w:t xml:space="preserve"> 2020,</w:t>
      </w:r>
      <w:r w:rsidRPr="006F3323">
        <w:rPr>
          <w:szCs w:val="26"/>
        </w:rPr>
        <w:t xml:space="preserve"> </w:t>
      </w:r>
      <w:r>
        <w:rPr>
          <w:szCs w:val="26"/>
        </w:rPr>
        <w:t xml:space="preserve">Hartley </w:t>
      </w:r>
      <w:r w:rsidRPr="009800AB">
        <w:rPr>
          <w:i/>
          <w:szCs w:val="26"/>
        </w:rPr>
        <w:t>et al.,</w:t>
      </w:r>
      <w:r>
        <w:rPr>
          <w:szCs w:val="26"/>
        </w:rPr>
        <w:t xml:space="preserve"> 2017, Haya </w:t>
      </w:r>
      <w:proofErr w:type="spellStart"/>
      <w:r w:rsidRPr="004479E6">
        <w:rPr>
          <w:rFonts w:cs="Calibri"/>
          <w:szCs w:val="26"/>
          <w:lang w:eastAsia="en-IE"/>
        </w:rPr>
        <w:t>Salm</w:t>
      </w:r>
      <w:r>
        <w:rPr>
          <w:rFonts w:cs="Calibri"/>
          <w:szCs w:val="26"/>
          <w:lang w:eastAsia="en-IE"/>
        </w:rPr>
        <w:t>ó</w:t>
      </w:r>
      <w:r w:rsidRPr="004479E6">
        <w:rPr>
          <w:rFonts w:cs="Calibri"/>
          <w:szCs w:val="26"/>
          <w:lang w:eastAsia="en-IE"/>
        </w:rPr>
        <w:t>n</w:t>
      </w:r>
      <w:proofErr w:type="spellEnd"/>
      <w:r w:rsidRPr="004479E6">
        <w:rPr>
          <w:rFonts w:cs="Calibri"/>
          <w:szCs w:val="26"/>
          <w:lang w:eastAsia="en-IE"/>
        </w:rPr>
        <w:t xml:space="preserve"> </w:t>
      </w:r>
      <w:r>
        <w:rPr>
          <w:rFonts w:cs="Calibri"/>
          <w:szCs w:val="26"/>
          <w:lang w:eastAsia="en-IE"/>
        </w:rPr>
        <w:t>and</w:t>
      </w:r>
      <w:r w:rsidRPr="004479E6">
        <w:rPr>
          <w:rFonts w:cs="Calibri"/>
          <w:szCs w:val="26"/>
          <w:lang w:eastAsia="en-IE"/>
        </w:rPr>
        <w:t xml:space="preserve"> </w:t>
      </w:r>
      <w:r>
        <w:rPr>
          <w:rFonts w:cs="Calibri"/>
          <w:szCs w:val="26"/>
          <w:lang w:eastAsia="en-IE"/>
        </w:rPr>
        <w:t xml:space="preserve">Rojas </w:t>
      </w:r>
      <w:proofErr w:type="spellStart"/>
      <w:r w:rsidRPr="004479E6">
        <w:rPr>
          <w:rFonts w:cs="Calibri"/>
          <w:szCs w:val="26"/>
          <w:lang w:eastAsia="en-IE"/>
        </w:rPr>
        <w:t>Pernia</w:t>
      </w:r>
      <w:proofErr w:type="spellEnd"/>
      <w:r w:rsidRPr="004479E6">
        <w:rPr>
          <w:rFonts w:cs="Calibri"/>
          <w:szCs w:val="26"/>
          <w:lang w:eastAsia="en-IE"/>
        </w:rPr>
        <w:t xml:space="preserve"> 202</w:t>
      </w:r>
      <w:r>
        <w:rPr>
          <w:rFonts w:cs="Calibri"/>
          <w:szCs w:val="26"/>
          <w:lang w:eastAsia="en-IE"/>
        </w:rPr>
        <w:t>1</w:t>
      </w:r>
      <w:r w:rsidRPr="004479E6">
        <w:rPr>
          <w:rFonts w:cs="Calibri"/>
          <w:szCs w:val="26"/>
          <w:lang w:eastAsia="en-IE"/>
        </w:rPr>
        <w:t>,</w:t>
      </w:r>
      <w:r>
        <w:rPr>
          <w:rFonts w:cs="Calibri"/>
          <w:szCs w:val="26"/>
          <w:lang w:eastAsia="en-IE"/>
        </w:rPr>
        <w:t xml:space="preserve"> </w:t>
      </w:r>
      <w:proofErr w:type="spellStart"/>
      <w:r w:rsidRPr="004479E6">
        <w:rPr>
          <w:rFonts w:cs="Calibri"/>
          <w:szCs w:val="26"/>
          <w:lang w:eastAsia="en-IE"/>
        </w:rPr>
        <w:t>ImaYDiT</w:t>
      </w:r>
      <w:proofErr w:type="spellEnd"/>
      <w:r w:rsidRPr="004479E6">
        <w:rPr>
          <w:rFonts w:cs="Calibri"/>
          <w:szCs w:val="26"/>
          <w:lang w:eastAsia="en-IE"/>
        </w:rPr>
        <w:t xml:space="preserve">, </w:t>
      </w:r>
      <w:r>
        <w:rPr>
          <w:rFonts w:cs="Calibri"/>
          <w:szCs w:val="26"/>
          <w:lang w:eastAsia="en-IE"/>
        </w:rPr>
        <w:t xml:space="preserve">2018, </w:t>
      </w:r>
      <w:r>
        <w:rPr>
          <w:szCs w:val="26"/>
        </w:rPr>
        <w:t xml:space="preserve">IRN, 2019, </w:t>
      </w:r>
      <w:r>
        <w:rPr>
          <w:rFonts w:cs="Calibri"/>
          <w:szCs w:val="26"/>
          <w:lang w:eastAsia="en-IE"/>
        </w:rPr>
        <w:t xml:space="preserve">Inclusion Scotland, </w:t>
      </w:r>
      <w:r w:rsidRPr="004479E6">
        <w:rPr>
          <w:rFonts w:cs="Calibri"/>
          <w:szCs w:val="26"/>
          <w:lang w:eastAsia="en-IE"/>
        </w:rPr>
        <w:t>2020</w:t>
      </w:r>
      <w:r>
        <w:rPr>
          <w:rFonts w:cs="Calibri"/>
          <w:szCs w:val="26"/>
          <w:lang w:eastAsia="en-IE"/>
        </w:rPr>
        <w:t>,</w:t>
      </w:r>
      <w:r w:rsidRPr="004479E6">
        <w:rPr>
          <w:rFonts w:cs="Calibri"/>
          <w:szCs w:val="26"/>
          <w:lang w:eastAsia="en-IE"/>
        </w:rPr>
        <w:t xml:space="preserve"> </w:t>
      </w:r>
      <w:r>
        <w:rPr>
          <w:rFonts w:cs="Calibri"/>
          <w:szCs w:val="26"/>
          <w:lang w:eastAsia="en-IE"/>
        </w:rPr>
        <w:t xml:space="preserve">O’Hara </w:t>
      </w:r>
      <w:r w:rsidRPr="009800AB">
        <w:rPr>
          <w:rFonts w:cs="Calibri"/>
          <w:i/>
          <w:szCs w:val="26"/>
          <w:lang w:eastAsia="en-IE"/>
        </w:rPr>
        <w:t>et al.,</w:t>
      </w:r>
      <w:r>
        <w:rPr>
          <w:rFonts w:cs="Calibri"/>
          <w:szCs w:val="26"/>
          <w:lang w:eastAsia="en-IE"/>
        </w:rPr>
        <w:t xml:space="preserve"> 2017, </w:t>
      </w:r>
      <w:proofErr w:type="spellStart"/>
      <w:r>
        <w:rPr>
          <w:szCs w:val="26"/>
        </w:rPr>
        <w:t>Puyalto</w:t>
      </w:r>
      <w:proofErr w:type="spellEnd"/>
      <w:r>
        <w:rPr>
          <w:szCs w:val="26"/>
        </w:rPr>
        <w:t xml:space="preserve"> </w:t>
      </w:r>
      <w:r w:rsidRPr="009800AB">
        <w:rPr>
          <w:i/>
          <w:szCs w:val="26"/>
        </w:rPr>
        <w:t>et al.,</w:t>
      </w:r>
      <w:r>
        <w:rPr>
          <w:szCs w:val="26"/>
        </w:rPr>
        <w:t xml:space="preserve"> 2016, </w:t>
      </w:r>
      <w:r>
        <w:rPr>
          <w:rFonts w:cs="Calibri"/>
          <w:szCs w:val="26"/>
          <w:lang w:eastAsia="en-IE"/>
        </w:rPr>
        <w:t xml:space="preserve">Tilly </w:t>
      </w:r>
      <w:r w:rsidRPr="009800AB">
        <w:rPr>
          <w:rFonts w:cs="Calibri"/>
          <w:i/>
          <w:szCs w:val="26"/>
          <w:lang w:eastAsia="en-IE"/>
        </w:rPr>
        <w:t>et al.,</w:t>
      </w:r>
      <w:r>
        <w:rPr>
          <w:rFonts w:cs="Calibri"/>
          <w:szCs w:val="26"/>
          <w:lang w:eastAsia="en-IE"/>
        </w:rPr>
        <w:t xml:space="preserve"> 2015, </w:t>
      </w:r>
      <w:proofErr w:type="spellStart"/>
      <w:r>
        <w:rPr>
          <w:szCs w:val="26"/>
        </w:rPr>
        <w:t>Varkonyi</w:t>
      </w:r>
      <w:proofErr w:type="spellEnd"/>
      <w:r>
        <w:rPr>
          <w:szCs w:val="26"/>
        </w:rPr>
        <w:t xml:space="preserve">-Sep, Cross and Howarth, 2017, </w:t>
      </w:r>
      <w:r w:rsidRPr="004479E6">
        <w:rPr>
          <w:rFonts w:cs="Calibri"/>
          <w:szCs w:val="26"/>
          <w:lang w:eastAsia="en-IE"/>
        </w:rPr>
        <w:t xml:space="preserve">Vega Cordova </w:t>
      </w:r>
      <w:r w:rsidRPr="009800AB">
        <w:rPr>
          <w:rFonts w:cs="Calibri"/>
          <w:i/>
          <w:szCs w:val="26"/>
          <w:lang w:eastAsia="en-IE"/>
        </w:rPr>
        <w:t>et al.,</w:t>
      </w:r>
      <w:r>
        <w:rPr>
          <w:rFonts w:cs="Calibri"/>
          <w:szCs w:val="26"/>
          <w:lang w:eastAsia="en-IE"/>
        </w:rPr>
        <w:t xml:space="preserve"> 2</w:t>
      </w:r>
      <w:r w:rsidRPr="004479E6">
        <w:rPr>
          <w:rFonts w:cs="Calibri"/>
          <w:szCs w:val="26"/>
          <w:lang w:eastAsia="en-IE"/>
        </w:rPr>
        <w:t xml:space="preserve">020, </w:t>
      </w:r>
      <w:proofErr w:type="spellStart"/>
      <w:r>
        <w:rPr>
          <w:szCs w:val="26"/>
        </w:rPr>
        <w:t>Vlot</w:t>
      </w:r>
      <w:proofErr w:type="spellEnd"/>
      <w:r>
        <w:rPr>
          <w:szCs w:val="26"/>
        </w:rPr>
        <w:t xml:space="preserve">-Van </w:t>
      </w:r>
      <w:proofErr w:type="spellStart"/>
      <w:r>
        <w:rPr>
          <w:szCs w:val="26"/>
        </w:rPr>
        <w:t>Anrooij</w:t>
      </w:r>
      <w:proofErr w:type="spellEnd"/>
      <w:r>
        <w:rPr>
          <w:szCs w:val="26"/>
        </w:rPr>
        <w:t xml:space="preserve"> </w:t>
      </w:r>
      <w:r w:rsidRPr="009800AB">
        <w:rPr>
          <w:i/>
          <w:szCs w:val="26"/>
        </w:rPr>
        <w:t>et al.,</w:t>
      </w:r>
      <w:r>
        <w:rPr>
          <w:szCs w:val="26"/>
        </w:rPr>
        <w:t xml:space="preserve"> 2020,</w:t>
      </w:r>
      <w:r w:rsidRPr="006F3323">
        <w:rPr>
          <w:rFonts w:cs="Calibri"/>
          <w:szCs w:val="26"/>
          <w:lang w:eastAsia="en-IE"/>
        </w:rPr>
        <w:t xml:space="preserve"> </w:t>
      </w:r>
      <w:r w:rsidRPr="0076773D">
        <w:rPr>
          <w:rFonts w:cs="Calibri"/>
          <w:szCs w:val="26"/>
          <w:lang w:eastAsia="en-IE"/>
        </w:rPr>
        <w:t>Wil</w:t>
      </w:r>
      <w:r>
        <w:rPr>
          <w:rFonts w:cs="Calibri"/>
          <w:szCs w:val="26"/>
          <w:lang w:eastAsia="en-IE"/>
        </w:rPr>
        <w:t>l</w:t>
      </w:r>
      <w:r w:rsidRPr="0076773D">
        <w:rPr>
          <w:rFonts w:cs="Calibri"/>
          <w:szCs w:val="26"/>
          <w:lang w:eastAsia="en-IE"/>
        </w:rPr>
        <w:t xml:space="preserve">iams </w:t>
      </w:r>
      <w:r w:rsidRPr="009800AB">
        <w:rPr>
          <w:rFonts w:cs="Calibri"/>
          <w:i/>
          <w:szCs w:val="26"/>
          <w:lang w:eastAsia="en-IE"/>
        </w:rPr>
        <w:t>et al.,</w:t>
      </w:r>
      <w:r>
        <w:rPr>
          <w:rFonts w:cs="Calibri"/>
          <w:szCs w:val="26"/>
          <w:lang w:eastAsia="en-IE"/>
        </w:rPr>
        <w:t xml:space="preserve"> 2020</w:t>
      </w:r>
    </w:p>
  </w:footnote>
  <w:footnote w:id="577">
    <w:p w14:paraId="5E37810E" w14:textId="279F5DCD" w:rsidR="00452DFD" w:rsidRDefault="00452DFD">
      <w:pPr>
        <w:pStyle w:val="FootnoteText"/>
      </w:pPr>
      <w:r>
        <w:rPr>
          <w:rStyle w:val="FootnoteReference"/>
        </w:rPr>
        <w:footnoteRef/>
      </w:r>
      <w:r>
        <w:t xml:space="preserve"> </w:t>
      </w:r>
      <w:r>
        <w:rPr>
          <w:szCs w:val="26"/>
        </w:rPr>
        <w:t xml:space="preserve">Bollard, 2017, Burke </w:t>
      </w:r>
      <w:r w:rsidRPr="009800AB">
        <w:rPr>
          <w:i/>
          <w:szCs w:val="26"/>
        </w:rPr>
        <w:t>et al.,</w:t>
      </w:r>
      <w:r>
        <w:rPr>
          <w:szCs w:val="26"/>
        </w:rPr>
        <w:t xml:space="preserve"> 2019, Davidson </w:t>
      </w:r>
      <w:r w:rsidRPr="009800AB">
        <w:rPr>
          <w:i/>
          <w:szCs w:val="26"/>
        </w:rPr>
        <w:t>et al.,</w:t>
      </w:r>
      <w:r>
        <w:rPr>
          <w:szCs w:val="26"/>
        </w:rPr>
        <w:t xml:space="preserve"> 2018, </w:t>
      </w:r>
      <w:r w:rsidRPr="0076773D">
        <w:rPr>
          <w:rFonts w:cs="Calibri"/>
          <w:szCs w:val="26"/>
          <w:lang w:eastAsia="en-IE"/>
        </w:rPr>
        <w:t xml:space="preserve">Dewa </w:t>
      </w:r>
      <w:r w:rsidRPr="009800AB">
        <w:rPr>
          <w:rFonts w:cs="Calibri"/>
          <w:i/>
          <w:szCs w:val="26"/>
          <w:lang w:eastAsia="en-IE"/>
        </w:rPr>
        <w:t>et al.,</w:t>
      </w:r>
      <w:r>
        <w:rPr>
          <w:rFonts w:cs="Calibri"/>
          <w:szCs w:val="26"/>
          <w:lang w:eastAsia="en-IE"/>
        </w:rPr>
        <w:t xml:space="preserve"> 2020, </w:t>
      </w:r>
      <w:r>
        <w:rPr>
          <w:szCs w:val="26"/>
        </w:rPr>
        <w:t xml:space="preserve">Disability Wales, 2019, </w:t>
      </w:r>
      <w:proofErr w:type="spellStart"/>
      <w:r>
        <w:rPr>
          <w:szCs w:val="26"/>
        </w:rPr>
        <w:t>Embregts</w:t>
      </w:r>
      <w:proofErr w:type="spellEnd"/>
      <w:r>
        <w:rPr>
          <w:szCs w:val="26"/>
        </w:rPr>
        <w:t xml:space="preserve"> </w:t>
      </w:r>
      <w:r w:rsidRPr="009800AB">
        <w:rPr>
          <w:i/>
          <w:szCs w:val="26"/>
        </w:rPr>
        <w:t>et al.,</w:t>
      </w:r>
      <w:r>
        <w:rPr>
          <w:szCs w:val="26"/>
        </w:rPr>
        <w:t xml:space="preserve"> 2018, </w:t>
      </w:r>
      <w:r>
        <w:rPr>
          <w:rFonts w:cs="Calibri"/>
          <w:szCs w:val="26"/>
          <w:lang w:eastAsia="en-IE"/>
        </w:rPr>
        <w:t xml:space="preserve">Faulkner </w:t>
      </w:r>
      <w:r w:rsidRPr="009800AB">
        <w:rPr>
          <w:rFonts w:cs="Calibri"/>
          <w:i/>
          <w:szCs w:val="26"/>
          <w:lang w:eastAsia="en-IE"/>
        </w:rPr>
        <w:t>et al.,</w:t>
      </w:r>
      <w:r>
        <w:rPr>
          <w:rFonts w:cs="Calibri"/>
          <w:szCs w:val="26"/>
          <w:lang w:eastAsia="en-IE"/>
        </w:rPr>
        <w:t xml:space="preserve"> 2019, </w:t>
      </w:r>
      <w:proofErr w:type="spellStart"/>
      <w:r>
        <w:rPr>
          <w:szCs w:val="26"/>
        </w:rPr>
        <w:t>Gratton</w:t>
      </w:r>
      <w:proofErr w:type="spellEnd"/>
      <w:r>
        <w:rPr>
          <w:szCs w:val="26"/>
        </w:rPr>
        <w:t xml:space="preserve">, 2020, Haya </w:t>
      </w:r>
      <w:proofErr w:type="spellStart"/>
      <w:r>
        <w:rPr>
          <w:szCs w:val="26"/>
        </w:rPr>
        <w:t>Salmón</w:t>
      </w:r>
      <w:proofErr w:type="spellEnd"/>
      <w:r>
        <w:rPr>
          <w:szCs w:val="26"/>
        </w:rPr>
        <w:t xml:space="preserve"> and Rojas </w:t>
      </w:r>
      <w:proofErr w:type="spellStart"/>
      <w:r>
        <w:rPr>
          <w:szCs w:val="26"/>
        </w:rPr>
        <w:t>Pernia</w:t>
      </w:r>
      <w:proofErr w:type="spellEnd"/>
      <w:r>
        <w:rPr>
          <w:szCs w:val="26"/>
        </w:rPr>
        <w:t xml:space="preserve">, 2021, Hollinrake, Spencer and Dix, 2019, </w:t>
      </w:r>
      <w:r>
        <w:rPr>
          <w:rFonts w:cs="Calibri"/>
          <w:szCs w:val="26"/>
          <w:lang w:eastAsia="en-IE"/>
        </w:rPr>
        <w:t xml:space="preserve">IRN, 2019, King </w:t>
      </w:r>
      <w:r w:rsidRPr="009800AB">
        <w:rPr>
          <w:rFonts w:cs="Calibri"/>
          <w:i/>
          <w:szCs w:val="26"/>
          <w:lang w:eastAsia="en-IE"/>
        </w:rPr>
        <w:t>et al.,</w:t>
      </w:r>
      <w:r>
        <w:rPr>
          <w:rFonts w:cs="Calibri"/>
          <w:szCs w:val="26"/>
          <w:lang w:eastAsia="en-IE"/>
        </w:rPr>
        <w:t xml:space="preserve"> 2019, Kramer </w:t>
      </w:r>
      <w:r w:rsidRPr="009800AB">
        <w:rPr>
          <w:rFonts w:cs="Calibri"/>
          <w:i/>
          <w:szCs w:val="26"/>
          <w:lang w:eastAsia="en-IE"/>
        </w:rPr>
        <w:t>et al.,</w:t>
      </w:r>
      <w:r>
        <w:rPr>
          <w:rFonts w:cs="Calibri"/>
          <w:szCs w:val="26"/>
          <w:lang w:eastAsia="en-IE"/>
        </w:rPr>
        <w:t xml:space="preserve"> 2018, </w:t>
      </w:r>
      <w:r>
        <w:rPr>
          <w:szCs w:val="26"/>
        </w:rPr>
        <w:t xml:space="preserve">McCartan </w:t>
      </w:r>
      <w:r w:rsidRPr="009800AB">
        <w:rPr>
          <w:i/>
          <w:szCs w:val="26"/>
        </w:rPr>
        <w:t>et al.,</w:t>
      </w:r>
      <w:r>
        <w:rPr>
          <w:szCs w:val="26"/>
        </w:rPr>
        <w:t xml:space="preserve"> 2019, </w:t>
      </w:r>
      <w:r>
        <w:rPr>
          <w:rFonts w:cs="Calibri"/>
          <w:szCs w:val="26"/>
          <w:lang w:eastAsia="en-IE"/>
        </w:rPr>
        <w:t xml:space="preserve">Inclusion Scotland, 2020, Mathias </w:t>
      </w:r>
      <w:r w:rsidRPr="009800AB">
        <w:rPr>
          <w:rFonts w:cs="Calibri"/>
          <w:i/>
          <w:szCs w:val="26"/>
          <w:lang w:eastAsia="en-IE"/>
        </w:rPr>
        <w:t>et al.,</w:t>
      </w:r>
      <w:r>
        <w:rPr>
          <w:rFonts w:cs="Calibri"/>
          <w:szCs w:val="26"/>
          <w:lang w:eastAsia="en-IE"/>
        </w:rPr>
        <w:t xml:space="preserve"> 2019, </w:t>
      </w:r>
      <w:r>
        <w:rPr>
          <w:szCs w:val="26"/>
        </w:rPr>
        <w:t>National Development Team for Inclusion, 2019,</w:t>
      </w:r>
      <w:r w:rsidRPr="002C088F">
        <w:rPr>
          <w:szCs w:val="26"/>
        </w:rPr>
        <w:t xml:space="preserve"> </w:t>
      </w:r>
      <w:proofErr w:type="spellStart"/>
      <w:r>
        <w:rPr>
          <w:szCs w:val="26"/>
        </w:rPr>
        <w:t>Puyalto</w:t>
      </w:r>
      <w:proofErr w:type="spellEnd"/>
      <w:r>
        <w:rPr>
          <w:szCs w:val="26"/>
        </w:rPr>
        <w:t xml:space="preserve"> </w:t>
      </w:r>
      <w:r w:rsidRPr="009800AB">
        <w:rPr>
          <w:i/>
          <w:szCs w:val="26"/>
        </w:rPr>
        <w:t>et al.,</w:t>
      </w:r>
      <w:r>
        <w:rPr>
          <w:szCs w:val="26"/>
        </w:rPr>
        <w:t xml:space="preserve"> 2016, Riches, O’Brien and CDS Inclusive Research Network, 2020, </w:t>
      </w:r>
      <w:r>
        <w:rPr>
          <w:rFonts w:cs="Calibri"/>
          <w:szCs w:val="26"/>
          <w:lang w:eastAsia="en-IE"/>
        </w:rPr>
        <w:t xml:space="preserve">Salmon </w:t>
      </w:r>
      <w:r w:rsidRPr="00893777">
        <w:rPr>
          <w:rFonts w:cs="Calibri"/>
          <w:i/>
          <w:szCs w:val="26"/>
          <w:lang w:eastAsia="en-IE"/>
        </w:rPr>
        <w:t>et al.,</w:t>
      </w:r>
      <w:r>
        <w:rPr>
          <w:rFonts w:cs="Calibri"/>
          <w:szCs w:val="26"/>
          <w:lang w:eastAsia="en-IE"/>
        </w:rPr>
        <w:t xml:space="preserve"> 2018,</w:t>
      </w:r>
      <w:r w:rsidRPr="0076773D">
        <w:rPr>
          <w:rFonts w:cs="Calibri"/>
          <w:szCs w:val="26"/>
          <w:lang w:eastAsia="en-IE"/>
        </w:rPr>
        <w:t xml:space="preserve"> </w:t>
      </w:r>
      <w:r>
        <w:rPr>
          <w:szCs w:val="26"/>
        </w:rPr>
        <w:t xml:space="preserve">Smith-Merry, 2017, St John </w:t>
      </w:r>
      <w:r w:rsidRPr="009800AB">
        <w:rPr>
          <w:i/>
          <w:szCs w:val="26"/>
        </w:rPr>
        <w:t>et al.,</w:t>
      </w:r>
      <w:r>
        <w:rPr>
          <w:szCs w:val="26"/>
        </w:rPr>
        <w:t xml:space="preserve"> 2018, Stanley </w:t>
      </w:r>
      <w:r w:rsidRPr="009800AB">
        <w:rPr>
          <w:i/>
          <w:szCs w:val="26"/>
        </w:rPr>
        <w:t>et al.,</w:t>
      </w:r>
      <w:r>
        <w:rPr>
          <w:szCs w:val="26"/>
        </w:rPr>
        <w:t xml:space="preserve"> 2019, </w:t>
      </w:r>
      <w:proofErr w:type="spellStart"/>
      <w:r w:rsidRPr="0076773D">
        <w:rPr>
          <w:rFonts w:cs="Calibri"/>
          <w:szCs w:val="26"/>
          <w:lang w:eastAsia="en-IE"/>
        </w:rPr>
        <w:t>Troya</w:t>
      </w:r>
      <w:proofErr w:type="spellEnd"/>
      <w:r w:rsidRPr="0076773D">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76773D">
        <w:rPr>
          <w:rFonts w:cs="Calibri"/>
          <w:szCs w:val="26"/>
          <w:lang w:eastAsia="en-IE"/>
        </w:rPr>
        <w:t>019</w:t>
      </w:r>
      <w:r>
        <w:rPr>
          <w:rFonts w:cs="Calibri"/>
          <w:szCs w:val="26"/>
          <w:lang w:eastAsia="en-IE"/>
        </w:rPr>
        <w:t xml:space="preserve">, </w:t>
      </w:r>
      <w:proofErr w:type="spellStart"/>
      <w:r>
        <w:rPr>
          <w:szCs w:val="26"/>
        </w:rPr>
        <w:t>Varkonyi</w:t>
      </w:r>
      <w:proofErr w:type="spellEnd"/>
      <w:r>
        <w:rPr>
          <w:szCs w:val="26"/>
        </w:rPr>
        <w:t xml:space="preserve">-Sep, Cross and Howarth, 2017, Vega Cordova </w:t>
      </w:r>
      <w:r w:rsidRPr="009800AB">
        <w:rPr>
          <w:i/>
          <w:szCs w:val="26"/>
        </w:rPr>
        <w:t>et al.,</w:t>
      </w:r>
      <w:r>
        <w:rPr>
          <w:szCs w:val="26"/>
        </w:rPr>
        <w:t xml:space="preserve"> 2020, </w:t>
      </w:r>
      <w:proofErr w:type="spellStart"/>
      <w:r>
        <w:rPr>
          <w:szCs w:val="26"/>
        </w:rPr>
        <w:t>Vlot</w:t>
      </w:r>
      <w:proofErr w:type="spellEnd"/>
      <w:r>
        <w:rPr>
          <w:szCs w:val="26"/>
        </w:rPr>
        <w:t xml:space="preserve">-Van </w:t>
      </w:r>
      <w:proofErr w:type="spellStart"/>
      <w:r>
        <w:rPr>
          <w:szCs w:val="26"/>
        </w:rPr>
        <w:t>Anrooij</w:t>
      </w:r>
      <w:proofErr w:type="spellEnd"/>
      <w:r>
        <w:rPr>
          <w:szCs w:val="26"/>
        </w:rPr>
        <w:t xml:space="preserve"> </w:t>
      </w:r>
      <w:r w:rsidRPr="009800AB">
        <w:rPr>
          <w:i/>
          <w:szCs w:val="26"/>
        </w:rPr>
        <w:t>et al.,</w:t>
      </w:r>
      <w:r>
        <w:rPr>
          <w:szCs w:val="26"/>
        </w:rPr>
        <w:t xml:space="preserve"> 2020, Walsh </w:t>
      </w:r>
      <w:r w:rsidRPr="009800AB">
        <w:rPr>
          <w:i/>
          <w:szCs w:val="26"/>
        </w:rPr>
        <w:t>et al.,</w:t>
      </w:r>
      <w:r>
        <w:rPr>
          <w:szCs w:val="26"/>
        </w:rPr>
        <w:t xml:space="preserve"> 2018, </w:t>
      </w:r>
      <w:proofErr w:type="spellStart"/>
      <w:r>
        <w:rPr>
          <w:rFonts w:cs="Calibri"/>
          <w:szCs w:val="26"/>
          <w:lang w:eastAsia="en-IE"/>
        </w:rPr>
        <w:t>Woelders</w:t>
      </w:r>
      <w:proofErr w:type="spellEnd"/>
      <w:r>
        <w:rPr>
          <w:rFonts w:cs="Calibri"/>
          <w:szCs w:val="26"/>
          <w:lang w:eastAsia="en-IE"/>
        </w:rPr>
        <w:t xml:space="preserve"> </w:t>
      </w:r>
      <w:r w:rsidRPr="009800AB">
        <w:rPr>
          <w:rFonts w:cs="Calibri"/>
          <w:i/>
          <w:szCs w:val="26"/>
          <w:lang w:eastAsia="en-IE"/>
        </w:rPr>
        <w:t>et al.,</w:t>
      </w:r>
      <w:r>
        <w:rPr>
          <w:rFonts w:cs="Calibri"/>
          <w:szCs w:val="26"/>
          <w:lang w:eastAsia="en-IE"/>
        </w:rPr>
        <w:t xml:space="preserve"> 2015</w:t>
      </w:r>
    </w:p>
  </w:footnote>
  <w:footnote w:id="578">
    <w:p w14:paraId="66CC961B" w14:textId="039AABA7" w:rsidR="00452DFD" w:rsidRDefault="00452DFD">
      <w:pPr>
        <w:pStyle w:val="FootnoteText"/>
      </w:pPr>
      <w:r>
        <w:rPr>
          <w:rStyle w:val="FootnoteReference"/>
        </w:rPr>
        <w:footnoteRef/>
      </w:r>
      <w:r>
        <w:t xml:space="preserve"> </w:t>
      </w:r>
      <w:proofErr w:type="spellStart"/>
      <w:r w:rsidRPr="008B2A1E">
        <w:rPr>
          <w:rFonts w:cs="Calibri"/>
          <w:szCs w:val="26"/>
          <w:lang w:eastAsia="en-IE"/>
        </w:rPr>
        <w:t>Breault</w:t>
      </w:r>
      <w:proofErr w:type="spellEnd"/>
      <w:r w:rsidRPr="008B2A1E">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8B2A1E">
        <w:rPr>
          <w:rFonts w:cs="Calibri"/>
          <w:szCs w:val="26"/>
          <w:lang w:eastAsia="en-IE"/>
        </w:rPr>
        <w:t>018a</w:t>
      </w:r>
      <w:r>
        <w:rPr>
          <w:rFonts w:cs="Calibri"/>
          <w:szCs w:val="26"/>
          <w:lang w:eastAsia="en-IE"/>
        </w:rPr>
        <w:t>,</w:t>
      </w:r>
      <w:r w:rsidRPr="008B2A1E">
        <w:rPr>
          <w:rFonts w:cs="Calibri"/>
          <w:szCs w:val="26"/>
          <w:lang w:eastAsia="en-IE"/>
        </w:rPr>
        <w:t xml:space="preserve"> King </w:t>
      </w:r>
      <w:r w:rsidRPr="009800AB">
        <w:rPr>
          <w:rFonts w:cs="Calibri"/>
          <w:i/>
          <w:szCs w:val="26"/>
          <w:lang w:eastAsia="en-IE"/>
        </w:rPr>
        <w:t>et al.,</w:t>
      </w:r>
      <w:r>
        <w:rPr>
          <w:rFonts w:cs="Calibri"/>
          <w:szCs w:val="26"/>
          <w:lang w:eastAsia="en-IE"/>
        </w:rPr>
        <w:t xml:space="preserve"> 2</w:t>
      </w:r>
      <w:r w:rsidRPr="008B2A1E">
        <w:rPr>
          <w:rFonts w:cs="Calibri"/>
          <w:szCs w:val="26"/>
          <w:lang w:eastAsia="en-IE"/>
        </w:rPr>
        <w:t xml:space="preserve">019, </w:t>
      </w:r>
    </w:p>
  </w:footnote>
  <w:footnote w:id="579">
    <w:p w14:paraId="692029E4" w14:textId="2807352A" w:rsidR="00452DFD" w:rsidRDefault="00452DFD">
      <w:pPr>
        <w:pStyle w:val="FootnoteText"/>
      </w:pPr>
      <w:r>
        <w:rPr>
          <w:rStyle w:val="FootnoteReference"/>
        </w:rPr>
        <w:footnoteRef/>
      </w:r>
      <w:r>
        <w:t xml:space="preserve"> </w:t>
      </w:r>
      <w:proofErr w:type="spellStart"/>
      <w:r w:rsidRPr="0076773D">
        <w:rPr>
          <w:rFonts w:cs="Calibri"/>
          <w:szCs w:val="26"/>
          <w:lang w:eastAsia="en-IE"/>
        </w:rPr>
        <w:t>Morbey</w:t>
      </w:r>
      <w:proofErr w:type="spellEnd"/>
      <w:r w:rsidRPr="0076773D">
        <w:rPr>
          <w:rFonts w:cs="Calibri"/>
          <w:szCs w:val="26"/>
          <w:lang w:eastAsia="en-IE"/>
        </w:rPr>
        <w:t xml:space="preserve"> </w:t>
      </w:r>
      <w:r w:rsidRPr="009800AB">
        <w:rPr>
          <w:rFonts w:cs="Calibri"/>
          <w:i/>
          <w:szCs w:val="26"/>
          <w:lang w:eastAsia="en-IE"/>
        </w:rPr>
        <w:t>et al.,</w:t>
      </w:r>
      <w:r>
        <w:rPr>
          <w:rFonts w:cs="Calibri"/>
          <w:szCs w:val="26"/>
          <w:lang w:eastAsia="en-IE"/>
        </w:rPr>
        <w:t xml:space="preserve"> 2019</w:t>
      </w:r>
    </w:p>
  </w:footnote>
  <w:footnote w:id="580">
    <w:p w14:paraId="7CE63C61" w14:textId="0E1F7A60" w:rsidR="00452DFD" w:rsidRDefault="00452DFD">
      <w:pPr>
        <w:pStyle w:val="FootnoteText"/>
      </w:pPr>
      <w:r>
        <w:rPr>
          <w:rStyle w:val="FootnoteReference"/>
        </w:rPr>
        <w:footnoteRef/>
      </w:r>
      <w:r>
        <w:t xml:space="preserve"> </w:t>
      </w:r>
      <w:r>
        <w:rPr>
          <w:rFonts w:cs="Calibri"/>
          <w:szCs w:val="26"/>
          <w:lang w:eastAsia="en-IE"/>
        </w:rPr>
        <w:t xml:space="preserve">Baines, 2018, </w:t>
      </w:r>
      <w:proofErr w:type="spellStart"/>
      <w:r>
        <w:rPr>
          <w:rFonts w:cs="Calibri"/>
          <w:szCs w:val="26"/>
          <w:lang w:eastAsia="en-IE"/>
        </w:rPr>
        <w:t>Goeman</w:t>
      </w:r>
      <w:proofErr w:type="spellEnd"/>
      <w:r>
        <w:rPr>
          <w:rFonts w:cs="Calibri"/>
          <w:szCs w:val="26"/>
          <w:lang w:eastAsia="en-IE"/>
        </w:rPr>
        <w:t xml:space="preserve"> </w:t>
      </w:r>
      <w:r w:rsidRPr="009800AB">
        <w:rPr>
          <w:rFonts w:cs="Calibri"/>
          <w:i/>
          <w:szCs w:val="26"/>
          <w:lang w:eastAsia="en-IE"/>
        </w:rPr>
        <w:t>et al.,</w:t>
      </w:r>
      <w:r>
        <w:rPr>
          <w:rFonts w:cs="Calibri"/>
          <w:szCs w:val="26"/>
          <w:lang w:eastAsia="en-IE"/>
        </w:rPr>
        <w:t xml:space="preserve"> 2019,</w:t>
      </w:r>
      <w:r w:rsidRPr="00407C9A">
        <w:rPr>
          <w:rFonts w:cs="Calibri"/>
          <w:szCs w:val="26"/>
          <w:lang w:eastAsia="en-IE"/>
        </w:rPr>
        <w:t xml:space="preserve"> </w:t>
      </w:r>
      <w:r>
        <w:rPr>
          <w:rFonts w:cs="Calibri"/>
          <w:szCs w:val="26"/>
          <w:lang w:eastAsia="en-IE"/>
        </w:rPr>
        <w:t xml:space="preserve">IRN, 2019, </w:t>
      </w:r>
      <w:proofErr w:type="spellStart"/>
      <w:r>
        <w:rPr>
          <w:rFonts w:cs="Calibri"/>
          <w:szCs w:val="26"/>
          <w:lang w:eastAsia="en-IE"/>
        </w:rPr>
        <w:t>Troya</w:t>
      </w:r>
      <w:proofErr w:type="spellEnd"/>
      <w:r>
        <w:rPr>
          <w:rFonts w:cs="Calibri"/>
          <w:szCs w:val="26"/>
          <w:lang w:eastAsia="en-IE"/>
        </w:rPr>
        <w:t>, 2019</w:t>
      </w:r>
    </w:p>
  </w:footnote>
  <w:footnote w:id="581">
    <w:p w14:paraId="32BD4482" w14:textId="79EF5A47" w:rsidR="00452DFD" w:rsidRDefault="00452DFD">
      <w:pPr>
        <w:pStyle w:val="FootnoteText"/>
      </w:pPr>
      <w:r>
        <w:rPr>
          <w:rStyle w:val="FootnoteReference"/>
        </w:rPr>
        <w:footnoteRef/>
      </w:r>
      <w:r>
        <w:t xml:space="preserve"> Bollard, 2017, Stanley </w:t>
      </w:r>
      <w:r w:rsidRPr="009800AB">
        <w:rPr>
          <w:i/>
        </w:rPr>
        <w:t>et al.,</w:t>
      </w:r>
      <w:r>
        <w:t xml:space="preserve"> 2019,</w:t>
      </w:r>
      <w:r w:rsidRPr="00407C9A">
        <w:t xml:space="preserve"> </w:t>
      </w:r>
      <w:r>
        <w:t xml:space="preserve">Walsh </w:t>
      </w:r>
      <w:r w:rsidRPr="009800AB">
        <w:rPr>
          <w:i/>
        </w:rPr>
        <w:t>et al.,</w:t>
      </w:r>
      <w:r>
        <w:t xml:space="preserve"> 2018,</w:t>
      </w:r>
    </w:p>
  </w:footnote>
  <w:footnote w:id="582">
    <w:p w14:paraId="7D87F710" w14:textId="3398187C" w:rsidR="00452DFD" w:rsidRDefault="00452DFD">
      <w:pPr>
        <w:pStyle w:val="FootnoteText"/>
      </w:pPr>
      <w:r>
        <w:rPr>
          <w:rStyle w:val="FootnoteReference"/>
        </w:rPr>
        <w:footnoteRef/>
      </w:r>
      <w:r>
        <w:t xml:space="preserve"> </w:t>
      </w:r>
      <w:r w:rsidRPr="0076773D">
        <w:t xml:space="preserve">Dewa </w:t>
      </w:r>
      <w:r w:rsidRPr="009800AB">
        <w:rPr>
          <w:i/>
        </w:rPr>
        <w:t>et al.,</w:t>
      </w:r>
      <w:r>
        <w:t xml:space="preserve"> 2020, Herron, Priest and Read, 2015</w:t>
      </w:r>
      <w:r w:rsidRPr="0067446C">
        <w:t xml:space="preserve">, </w:t>
      </w:r>
      <w:r>
        <w:t xml:space="preserve">Salmon </w:t>
      </w:r>
      <w:r w:rsidRPr="00893777">
        <w:rPr>
          <w:i/>
        </w:rPr>
        <w:t>et al.,</w:t>
      </w:r>
      <w:r>
        <w:t xml:space="preserve"> 2018</w:t>
      </w:r>
      <w:r w:rsidRPr="0076773D">
        <w:t xml:space="preserve">, </w:t>
      </w:r>
      <w:proofErr w:type="spellStart"/>
      <w:r>
        <w:t>Troya</w:t>
      </w:r>
      <w:proofErr w:type="spellEnd"/>
      <w:r>
        <w:t xml:space="preserve"> </w:t>
      </w:r>
      <w:r w:rsidRPr="009800AB">
        <w:rPr>
          <w:i/>
        </w:rPr>
        <w:t>et al.,</w:t>
      </w:r>
      <w:r>
        <w:t xml:space="preserve"> 2019</w:t>
      </w:r>
    </w:p>
  </w:footnote>
  <w:footnote w:id="583">
    <w:p w14:paraId="3F8A76FC" w14:textId="53EA1455" w:rsidR="00452DFD" w:rsidRDefault="00452DFD">
      <w:pPr>
        <w:pStyle w:val="FootnoteText"/>
      </w:pPr>
      <w:r>
        <w:rPr>
          <w:rStyle w:val="FootnoteReference"/>
        </w:rPr>
        <w:footnoteRef/>
      </w:r>
      <w:r>
        <w:t xml:space="preserve"> </w:t>
      </w:r>
      <w:proofErr w:type="spellStart"/>
      <w:r w:rsidRPr="00EC19EB">
        <w:t>Moule</w:t>
      </w:r>
      <w:proofErr w:type="spellEnd"/>
      <w:r w:rsidRPr="00EC19EB">
        <w:t xml:space="preserve"> </w:t>
      </w:r>
      <w:r w:rsidRPr="009800AB">
        <w:rPr>
          <w:i/>
        </w:rPr>
        <w:t>et al.,</w:t>
      </w:r>
      <w:r w:rsidRPr="00EC19EB">
        <w:t xml:space="preserve"> 2016</w:t>
      </w:r>
      <w:r>
        <w:t xml:space="preserve">, Salmon </w:t>
      </w:r>
      <w:r w:rsidRPr="00893777">
        <w:rPr>
          <w:i/>
        </w:rPr>
        <w:t>et al.,</w:t>
      </w:r>
      <w:r>
        <w:t xml:space="preserve"> 2018, </w:t>
      </w:r>
      <w:proofErr w:type="spellStart"/>
      <w:r>
        <w:t>Troya</w:t>
      </w:r>
      <w:proofErr w:type="spellEnd"/>
      <w:r>
        <w:t xml:space="preserve"> </w:t>
      </w:r>
      <w:r w:rsidRPr="009800AB">
        <w:rPr>
          <w:i/>
        </w:rPr>
        <w:t>et al.,</w:t>
      </w:r>
      <w:r>
        <w:t xml:space="preserve"> 2019, </w:t>
      </w:r>
      <w:proofErr w:type="spellStart"/>
      <w:r w:rsidRPr="007F7ABD">
        <w:t>Varkonyi</w:t>
      </w:r>
      <w:proofErr w:type="spellEnd"/>
      <w:r w:rsidRPr="007F7ABD">
        <w:t>-Sep, Cross and Howarth, 2017</w:t>
      </w:r>
    </w:p>
  </w:footnote>
  <w:footnote w:id="584">
    <w:p w14:paraId="54967B84" w14:textId="3F714DB5" w:rsidR="00452DFD" w:rsidRDefault="00452DFD">
      <w:pPr>
        <w:pStyle w:val="FootnoteText"/>
      </w:pPr>
      <w:r>
        <w:rPr>
          <w:rStyle w:val="FootnoteReference"/>
        </w:rPr>
        <w:footnoteRef/>
      </w:r>
      <w:r>
        <w:t xml:space="preserve"> Drill Report, 2019</w:t>
      </w:r>
    </w:p>
  </w:footnote>
  <w:footnote w:id="585">
    <w:p w14:paraId="26AA7AC1" w14:textId="3F219D2B" w:rsidR="00452DFD" w:rsidRDefault="00452DFD">
      <w:pPr>
        <w:pStyle w:val="FootnoteText"/>
      </w:pPr>
      <w:r>
        <w:rPr>
          <w:rStyle w:val="FootnoteReference"/>
        </w:rPr>
        <w:footnoteRef/>
      </w:r>
      <w:r>
        <w:t xml:space="preserve"> Hamilton </w:t>
      </w:r>
      <w:r w:rsidRPr="009800AB">
        <w:rPr>
          <w:i/>
        </w:rPr>
        <w:t>et al.,</w:t>
      </w:r>
      <w:r>
        <w:t xml:space="preserve"> 2011 cited in </w:t>
      </w:r>
      <w:proofErr w:type="spellStart"/>
      <w:r>
        <w:t>Sangill</w:t>
      </w:r>
      <w:proofErr w:type="spellEnd"/>
      <w:r>
        <w:t xml:space="preserve"> </w:t>
      </w:r>
      <w:r w:rsidRPr="009800AB">
        <w:rPr>
          <w:i/>
        </w:rPr>
        <w:t>et al.,</w:t>
      </w:r>
      <w:r>
        <w:t xml:space="preserve"> 2019</w:t>
      </w:r>
    </w:p>
  </w:footnote>
  <w:footnote w:id="586">
    <w:p w14:paraId="4FFB7ECB" w14:textId="52D52CF2" w:rsidR="00452DFD" w:rsidRDefault="00452DFD">
      <w:pPr>
        <w:pStyle w:val="FootnoteText"/>
      </w:pPr>
      <w:r>
        <w:rPr>
          <w:rStyle w:val="FootnoteReference"/>
        </w:rPr>
        <w:footnoteRef/>
      </w:r>
      <w:r>
        <w:t xml:space="preserve"> </w:t>
      </w:r>
      <w:proofErr w:type="spellStart"/>
      <w:r>
        <w:rPr>
          <w:szCs w:val="26"/>
        </w:rPr>
        <w:t>Frankena</w:t>
      </w:r>
      <w:proofErr w:type="spellEnd"/>
      <w:r>
        <w:rPr>
          <w:szCs w:val="26"/>
        </w:rPr>
        <w:t xml:space="preserve"> </w:t>
      </w:r>
      <w:r w:rsidRPr="009800AB">
        <w:rPr>
          <w:i/>
          <w:szCs w:val="26"/>
        </w:rPr>
        <w:t>et al.,</w:t>
      </w:r>
      <w:r>
        <w:rPr>
          <w:szCs w:val="26"/>
        </w:rPr>
        <w:t xml:space="preserve"> 2019c</w:t>
      </w:r>
    </w:p>
  </w:footnote>
  <w:footnote w:id="587">
    <w:p w14:paraId="062D3C89" w14:textId="7654AB58" w:rsidR="00452DFD" w:rsidRDefault="00452DFD">
      <w:pPr>
        <w:pStyle w:val="FootnoteText"/>
      </w:pPr>
      <w:r>
        <w:rPr>
          <w:rStyle w:val="FootnoteReference"/>
        </w:rPr>
        <w:footnoteRef/>
      </w:r>
      <w:r>
        <w:rPr>
          <w:rFonts w:cs="Calibri"/>
          <w:szCs w:val="26"/>
          <w:lang w:eastAsia="en-IE"/>
        </w:rPr>
        <w:t xml:space="preserve"> </w:t>
      </w:r>
      <w:proofErr w:type="spellStart"/>
      <w:r w:rsidRPr="00DD21F0">
        <w:rPr>
          <w:rFonts w:cs="Calibri"/>
          <w:szCs w:val="26"/>
          <w:lang w:eastAsia="en-IE"/>
        </w:rPr>
        <w:t>Aldersley</w:t>
      </w:r>
      <w:proofErr w:type="spellEnd"/>
      <w:r w:rsidRPr="00DD21F0">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018, Anderson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019,</w:t>
      </w:r>
      <w:r>
        <w:rPr>
          <w:rFonts w:cs="Calibri"/>
          <w:szCs w:val="26"/>
          <w:lang w:eastAsia="en-IE"/>
        </w:rPr>
        <w:t xml:space="preserve"> </w:t>
      </w:r>
      <w:r>
        <w:t xml:space="preserve">Anderson </w:t>
      </w:r>
      <w:r w:rsidRPr="009800AB">
        <w:rPr>
          <w:i/>
        </w:rPr>
        <w:t>et al.,</w:t>
      </w:r>
      <w:r>
        <w:t xml:space="preserve"> 2019</w:t>
      </w:r>
      <w:r w:rsidRPr="00DD21F0">
        <w:rPr>
          <w:rFonts w:cs="Calibri"/>
          <w:szCs w:val="26"/>
          <w:lang w:eastAsia="en-IE"/>
        </w:rPr>
        <w:t xml:space="preserve">, Bailey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015, </w:t>
      </w:r>
      <w:proofErr w:type="spellStart"/>
      <w:r>
        <w:rPr>
          <w:rFonts w:cs="Calibri"/>
          <w:szCs w:val="26"/>
          <w:lang w:eastAsia="en-IE"/>
        </w:rPr>
        <w:t>B</w:t>
      </w:r>
      <w:r w:rsidRPr="00516C11">
        <w:rPr>
          <w:rFonts w:cs="Calibri"/>
          <w:szCs w:val="26"/>
          <w:lang w:eastAsia="en-IE"/>
        </w:rPr>
        <w:t>arod</w:t>
      </w:r>
      <w:proofErr w:type="spellEnd"/>
      <w:r w:rsidRPr="00516C11">
        <w:rPr>
          <w:rFonts w:cs="Calibri"/>
          <w:szCs w:val="26"/>
          <w:lang w:eastAsia="en-IE"/>
        </w:rPr>
        <w:t xml:space="preserve"> Community Interest Company</w:t>
      </w:r>
      <w:r>
        <w:rPr>
          <w:rFonts w:cs="Calibri"/>
          <w:szCs w:val="26"/>
          <w:lang w:eastAsia="en-IE"/>
        </w:rPr>
        <w:t>, 2019</w:t>
      </w:r>
      <w:r w:rsidRPr="00DD21F0">
        <w:rPr>
          <w:rFonts w:cs="Calibri"/>
          <w:szCs w:val="26"/>
          <w:lang w:eastAsia="en-IE"/>
        </w:rPr>
        <w:t xml:space="preserve">, Burke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019, </w:t>
      </w:r>
      <w:r>
        <w:rPr>
          <w:rFonts w:cs="Calibri"/>
          <w:szCs w:val="26"/>
          <w:lang w:eastAsia="en-IE"/>
        </w:rPr>
        <w:t xml:space="preserve">Butler </w:t>
      </w:r>
      <w:r w:rsidRPr="009800AB">
        <w:rPr>
          <w:rFonts w:cs="Calibri"/>
          <w:i/>
          <w:szCs w:val="26"/>
          <w:lang w:eastAsia="en-IE"/>
        </w:rPr>
        <w:t>et al.,</w:t>
      </w:r>
      <w:r>
        <w:rPr>
          <w:rFonts w:cs="Calibri"/>
          <w:szCs w:val="26"/>
          <w:lang w:eastAsia="en-IE"/>
        </w:rPr>
        <w:t xml:space="preserve"> 2020</w:t>
      </w:r>
      <w:r w:rsidRPr="00DD21F0">
        <w:rPr>
          <w:rFonts w:cs="Calibri"/>
          <w:szCs w:val="26"/>
          <w:lang w:eastAsia="en-IE"/>
        </w:rPr>
        <w:t xml:space="preserve">, Davidson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018, Dewa </w:t>
      </w:r>
      <w:r w:rsidRPr="009800AB">
        <w:rPr>
          <w:rFonts w:cs="Calibri"/>
          <w:i/>
          <w:szCs w:val="26"/>
          <w:lang w:eastAsia="en-IE"/>
        </w:rPr>
        <w:t>et al.,</w:t>
      </w:r>
      <w:r>
        <w:rPr>
          <w:rFonts w:cs="Calibri"/>
          <w:szCs w:val="26"/>
          <w:lang w:eastAsia="en-IE"/>
        </w:rPr>
        <w:t xml:space="preserve"> 2020, </w:t>
      </w:r>
      <w:proofErr w:type="spellStart"/>
      <w:r w:rsidRPr="00DD21F0">
        <w:rPr>
          <w:rFonts w:cs="Calibri"/>
          <w:szCs w:val="26"/>
          <w:lang w:eastAsia="en-IE"/>
        </w:rPr>
        <w:t>Embregts</w:t>
      </w:r>
      <w:proofErr w:type="spellEnd"/>
      <w:r w:rsidRPr="00DD21F0">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018, Faulkner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019, </w:t>
      </w:r>
      <w:proofErr w:type="spellStart"/>
      <w:r w:rsidRPr="00DD21F0">
        <w:rPr>
          <w:rFonts w:cs="Calibri"/>
          <w:szCs w:val="26"/>
          <w:lang w:eastAsia="en-IE"/>
        </w:rPr>
        <w:t>Frankena</w:t>
      </w:r>
      <w:proofErr w:type="spellEnd"/>
      <w:r w:rsidRPr="00DD21F0">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019b, </w:t>
      </w:r>
      <w:proofErr w:type="spellStart"/>
      <w:r w:rsidRPr="00DD21F0">
        <w:rPr>
          <w:rFonts w:cs="Calibri"/>
          <w:szCs w:val="26"/>
          <w:lang w:eastAsia="en-IE"/>
        </w:rPr>
        <w:t>Gratton</w:t>
      </w:r>
      <w:proofErr w:type="spellEnd"/>
      <w:r w:rsidRPr="00DD21F0">
        <w:rPr>
          <w:rFonts w:cs="Calibri"/>
          <w:szCs w:val="26"/>
          <w:lang w:eastAsia="en-IE"/>
        </w:rPr>
        <w:t>, 20</w:t>
      </w:r>
      <w:r>
        <w:rPr>
          <w:rFonts w:cs="Calibri"/>
          <w:szCs w:val="26"/>
          <w:lang w:eastAsia="en-IE"/>
        </w:rPr>
        <w:t>20</w:t>
      </w:r>
      <w:r w:rsidRPr="00DD21F0">
        <w:rPr>
          <w:rFonts w:cs="Calibri"/>
          <w:szCs w:val="26"/>
          <w:lang w:eastAsia="en-IE"/>
        </w:rPr>
        <w:t xml:space="preserve">, </w:t>
      </w:r>
      <w:r>
        <w:t xml:space="preserve">Haya </w:t>
      </w:r>
      <w:proofErr w:type="spellStart"/>
      <w:r w:rsidRPr="00DD21F0">
        <w:t>Salm</w:t>
      </w:r>
      <w:r>
        <w:t>ó</w:t>
      </w:r>
      <w:r w:rsidRPr="00DD21F0">
        <w:t>n</w:t>
      </w:r>
      <w:proofErr w:type="spellEnd"/>
      <w:r w:rsidRPr="00DD21F0">
        <w:t xml:space="preserve"> </w:t>
      </w:r>
      <w:r>
        <w:t>and</w:t>
      </w:r>
      <w:r w:rsidRPr="00DD21F0">
        <w:t xml:space="preserve"> </w:t>
      </w:r>
      <w:r>
        <w:t xml:space="preserve">Rojas </w:t>
      </w:r>
      <w:proofErr w:type="spellStart"/>
      <w:r w:rsidRPr="00DD21F0">
        <w:t>Pernia</w:t>
      </w:r>
      <w:proofErr w:type="spellEnd"/>
      <w:r w:rsidRPr="00DD21F0">
        <w:t>, 202</w:t>
      </w:r>
      <w:r>
        <w:t>1</w:t>
      </w:r>
      <w:r w:rsidRPr="00DD21F0">
        <w:t>,</w:t>
      </w:r>
      <w:r>
        <w:t xml:space="preserve"> </w:t>
      </w:r>
      <w:r w:rsidRPr="00DD21F0">
        <w:rPr>
          <w:rFonts w:cs="Calibri"/>
          <w:szCs w:val="26"/>
          <w:lang w:eastAsia="en-IE"/>
        </w:rPr>
        <w:t xml:space="preserve">Heffron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018, </w:t>
      </w:r>
      <w:proofErr w:type="spellStart"/>
      <w:r w:rsidRPr="00095645">
        <w:t>Hellzen</w:t>
      </w:r>
      <w:proofErr w:type="spellEnd"/>
      <w:r w:rsidRPr="00095645">
        <w:t xml:space="preserve">, </w:t>
      </w:r>
      <w:proofErr w:type="spellStart"/>
      <w:r w:rsidRPr="00095645">
        <w:t>Haugenes</w:t>
      </w:r>
      <w:proofErr w:type="spellEnd"/>
      <w:r w:rsidRPr="00095645">
        <w:t xml:space="preserve"> and </w:t>
      </w:r>
      <w:proofErr w:type="spellStart"/>
      <w:r w:rsidRPr="00095645">
        <w:t>Østby</w:t>
      </w:r>
      <w:proofErr w:type="spellEnd"/>
      <w:r w:rsidRPr="00095645">
        <w:t xml:space="preserve">, </w:t>
      </w:r>
      <w:r>
        <w:t>2018</w:t>
      </w:r>
      <w:r w:rsidRPr="00DD21F0">
        <w:rPr>
          <w:rFonts w:cs="Calibri"/>
          <w:szCs w:val="26"/>
          <w:lang w:eastAsia="en-IE"/>
        </w:rPr>
        <w:t xml:space="preserve">, </w:t>
      </w:r>
      <w:r>
        <w:rPr>
          <w:rFonts w:cs="Calibri"/>
          <w:szCs w:val="26"/>
          <w:lang w:eastAsia="en-IE"/>
        </w:rPr>
        <w:t>Hollinrake, Spencer and Dix, 2019</w:t>
      </w:r>
      <w:r w:rsidRPr="00DD21F0">
        <w:rPr>
          <w:rFonts w:cs="Calibri"/>
          <w:szCs w:val="26"/>
          <w:lang w:eastAsia="en-IE"/>
        </w:rPr>
        <w:t>,</w:t>
      </w:r>
      <w:r>
        <w:rPr>
          <w:rFonts w:cs="Calibri"/>
          <w:szCs w:val="26"/>
          <w:lang w:eastAsia="en-IE"/>
        </w:rPr>
        <w:t xml:space="preserve"> </w:t>
      </w:r>
      <w:proofErr w:type="spellStart"/>
      <w:r w:rsidRPr="00DD21F0">
        <w:rPr>
          <w:rFonts w:cs="Calibri"/>
          <w:szCs w:val="26"/>
          <w:lang w:eastAsia="en-IE"/>
        </w:rPr>
        <w:t>ImaYDiT</w:t>
      </w:r>
      <w:proofErr w:type="spellEnd"/>
      <w:r w:rsidRPr="00DD21F0">
        <w:rPr>
          <w:rFonts w:cs="Calibri"/>
          <w:szCs w:val="26"/>
          <w:lang w:eastAsia="en-IE"/>
        </w:rPr>
        <w:t xml:space="preserve">, </w:t>
      </w:r>
      <w:r>
        <w:rPr>
          <w:rFonts w:cs="Calibri"/>
          <w:szCs w:val="26"/>
          <w:lang w:eastAsia="en-IE"/>
        </w:rPr>
        <w:t xml:space="preserve">2018, </w:t>
      </w:r>
      <w:r w:rsidRPr="00DD21F0">
        <w:t xml:space="preserve">IRN, 2019, </w:t>
      </w:r>
      <w:r w:rsidRPr="00DD21F0">
        <w:rPr>
          <w:rFonts w:cs="Calibri"/>
          <w:szCs w:val="26"/>
          <w:lang w:eastAsia="en-IE"/>
        </w:rPr>
        <w:t xml:space="preserve">King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019, Kramer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018, McCartan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019, </w:t>
      </w:r>
      <w:r>
        <w:t xml:space="preserve">Mathews, Marshall and Wilkinson, 2020, </w:t>
      </w:r>
      <w:r w:rsidRPr="00DD21F0">
        <w:rPr>
          <w:rFonts w:cs="Calibri"/>
          <w:szCs w:val="26"/>
          <w:lang w:eastAsia="en-IE"/>
        </w:rPr>
        <w:t xml:space="preserve">National Development Team for Inclusion, 2019, </w:t>
      </w:r>
      <w:r>
        <w:rPr>
          <w:rFonts w:cs="Calibri"/>
          <w:szCs w:val="26"/>
          <w:lang w:eastAsia="en-IE"/>
        </w:rPr>
        <w:t>Riches, O’Brien and CDS Inclusive Research Network, 2020</w:t>
      </w:r>
      <w:r w:rsidRPr="00DD21F0">
        <w:rPr>
          <w:rFonts w:cs="Calibri"/>
          <w:szCs w:val="26"/>
          <w:lang w:eastAsia="en-IE"/>
        </w:rPr>
        <w:t xml:space="preserve">, </w:t>
      </w:r>
      <w:r>
        <w:rPr>
          <w:rFonts w:cs="Calibri"/>
          <w:szCs w:val="26"/>
          <w:lang w:eastAsia="en-IE"/>
        </w:rPr>
        <w:t xml:space="preserve">Salmon </w:t>
      </w:r>
      <w:r w:rsidRPr="00893777">
        <w:rPr>
          <w:rFonts w:cs="Calibri"/>
          <w:i/>
          <w:szCs w:val="26"/>
          <w:lang w:eastAsia="en-IE"/>
        </w:rPr>
        <w:t>et al.,</w:t>
      </w:r>
      <w:r>
        <w:rPr>
          <w:rFonts w:cs="Calibri"/>
          <w:szCs w:val="26"/>
          <w:lang w:eastAsia="en-IE"/>
        </w:rPr>
        <w:t xml:space="preserve"> 2018, </w:t>
      </w:r>
      <w:r w:rsidRPr="00DD21F0">
        <w:rPr>
          <w:rFonts w:cs="Calibri"/>
          <w:szCs w:val="26"/>
          <w:lang w:eastAsia="en-IE"/>
        </w:rPr>
        <w:t xml:space="preserve">St John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018, </w:t>
      </w:r>
      <w:r>
        <w:t>Schwartz</w:t>
      </w:r>
      <w:r w:rsidRPr="00DD21F0">
        <w:t xml:space="preserve"> </w:t>
      </w:r>
      <w:r>
        <w:t>and</w:t>
      </w:r>
      <w:r w:rsidRPr="00DD21F0">
        <w:t xml:space="preserve"> Durkin, 2020, </w:t>
      </w:r>
      <w:proofErr w:type="spellStart"/>
      <w:r>
        <w:t>Tilki</w:t>
      </w:r>
      <w:proofErr w:type="spellEnd"/>
      <w:r>
        <w:t xml:space="preserve">, </w:t>
      </w:r>
      <w:proofErr w:type="spellStart"/>
      <w:r w:rsidRPr="003D0FAE">
        <w:t>Palfreman</w:t>
      </w:r>
      <w:proofErr w:type="spellEnd"/>
      <w:r>
        <w:t xml:space="preserve"> </w:t>
      </w:r>
      <w:r w:rsidRPr="003D0FAE">
        <w:t>and Chowdhury</w:t>
      </w:r>
      <w:r>
        <w:t>,</w:t>
      </w:r>
      <w:r w:rsidRPr="003D0FAE">
        <w:t xml:space="preserve"> </w:t>
      </w:r>
      <w:r w:rsidRPr="007957D5">
        <w:t>2019</w:t>
      </w:r>
      <w:r w:rsidRPr="00DD21F0">
        <w:rPr>
          <w:rFonts w:cs="Calibri"/>
          <w:szCs w:val="26"/>
          <w:lang w:eastAsia="en-IE"/>
        </w:rPr>
        <w:t xml:space="preserve">, Vega Cordova </w:t>
      </w:r>
      <w:r w:rsidRPr="009800AB">
        <w:rPr>
          <w:rFonts w:cs="Calibri"/>
          <w:i/>
          <w:szCs w:val="26"/>
          <w:lang w:eastAsia="en-IE"/>
        </w:rPr>
        <w:t>et al.,</w:t>
      </w:r>
      <w:r>
        <w:rPr>
          <w:rFonts w:cs="Calibri"/>
          <w:szCs w:val="26"/>
          <w:lang w:eastAsia="en-IE"/>
        </w:rPr>
        <w:t xml:space="preserve"> 2</w:t>
      </w:r>
      <w:r w:rsidRPr="00DD21F0">
        <w:rPr>
          <w:rFonts w:cs="Calibri"/>
          <w:szCs w:val="26"/>
          <w:lang w:eastAsia="en-IE"/>
        </w:rPr>
        <w:t xml:space="preserve">020, </w:t>
      </w:r>
      <w:proofErr w:type="spellStart"/>
      <w:r w:rsidRPr="00DD21F0">
        <w:t>Wo</w:t>
      </w:r>
      <w:r>
        <w:t>e</w:t>
      </w:r>
      <w:r w:rsidRPr="00DD21F0">
        <w:t>lders</w:t>
      </w:r>
      <w:proofErr w:type="spellEnd"/>
      <w:r w:rsidRPr="00DD21F0">
        <w:t xml:space="preserve"> </w:t>
      </w:r>
      <w:r w:rsidRPr="009800AB">
        <w:rPr>
          <w:i/>
        </w:rPr>
        <w:t>et al.,</w:t>
      </w:r>
      <w:r>
        <w:t xml:space="preserve"> 2015</w:t>
      </w:r>
    </w:p>
  </w:footnote>
  <w:footnote w:id="588">
    <w:p w14:paraId="1F8CB4F7" w14:textId="2C5DD6A8" w:rsidR="00452DFD" w:rsidRDefault="00452DFD">
      <w:pPr>
        <w:pStyle w:val="FootnoteText"/>
      </w:pPr>
      <w:r>
        <w:rPr>
          <w:rStyle w:val="FootnoteReference"/>
        </w:rPr>
        <w:footnoteRef/>
      </w:r>
      <w:r>
        <w:t xml:space="preserve"> Anderson </w:t>
      </w:r>
      <w:r w:rsidRPr="009800AB">
        <w:rPr>
          <w:i/>
        </w:rPr>
        <w:t>et al.,</w:t>
      </w:r>
      <w:r>
        <w:t xml:space="preserve"> 2019, </w:t>
      </w:r>
      <w:proofErr w:type="spellStart"/>
      <w:r>
        <w:t>Nind</w:t>
      </w:r>
      <w:proofErr w:type="spellEnd"/>
      <w:r>
        <w:t>, 2017</w:t>
      </w:r>
    </w:p>
  </w:footnote>
  <w:footnote w:id="589">
    <w:p w14:paraId="1A7BDCDA" w14:textId="5EB3A88D" w:rsidR="00452DFD" w:rsidRDefault="00452DFD">
      <w:pPr>
        <w:pStyle w:val="FootnoteText"/>
      </w:pPr>
      <w:r>
        <w:rPr>
          <w:rStyle w:val="FootnoteReference"/>
        </w:rPr>
        <w:footnoteRef/>
      </w:r>
      <w:r>
        <w:t xml:space="preserve"> Anderson </w:t>
      </w:r>
      <w:r w:rsidRPr="009800AB">
        <w:rPr>
          <w:i/>
        </w:rPr>
        <w:t>et al.,</w:t>
      </w:r>
      <w:r>
        <w:t xml:space="preserve"> 2019</w:t>
      </w:r>
    </w:p>
  </w:footnote>
  <w:footnote w:id="590">
    <w:p w14:paraId="70529257" w14:textId="5006864D" w:rsidR="00452DFD" w:rsidRDefault="00452DFD">
      <w:pPr>
        <w:pStyle w:val="FootnoteText"/>
      </w:pPr>
      <w:r>
        <w:rPr>
          <w:rStyle w:val="FootnoteReference"/>
        </w:rPr>
        <w:footnoteRef/>
      </w:r>
      <w:r>
        <w:t xml:space="preserve"> Schwartz and Durkin, 2020</w:t>
      </w:r>
    </w:p>
  </w:footnote>
  <w:footnote w:id="591">
    <w:p w14:paraId="51A1CE30" w14:textId="7356C29D" w:rsidR="00452DFD" w:rsidRDefault="00452DFD">
      <w:pPr>
        <w:pStyle w:val="FootnoteText"/>
      </w:pPr>
      <w:r>
        <w:rPr>
          <w:rStyle w:val="FootnoteReference"/>
        </w:rPr>
        <w:footnoteRef/>
      </w:r>
      <w:r>
        <w:t xml:space="preserve"> IRN, 2019</w:t>
      </w:r>
    </w:p>
  </w:footnote>
  <w:footnote w:id="592">
    <w:p w14:paraId="46632D29" w14:textId="5A04F45C" w:rsidR="00452DFD" w:rsidRDefault="00452DFD">
      <w:pPr>
        <w:pStyle w:val="FootnoteText"/>
      </w:pPr>
      <w:r>
        <w:rPr>
          <w:rStyle w:val="FootnoteReference"/>
        </w:rPr>
        <w:footnoteRef/>
      </w:r>
      <w:r>
        <w:t xml:space="preserve"> King </w:t>
      </w:r>
      <w:r w:rsidRPr="009800AB">
        <w:rPr>
          <w:i/>
        </w:rPr>
        <w:t>et al.,</w:t>
      </w:r>
      <w:r>
        <w:t xml:space="preserve"> </w:t>
      </w:r>
      <w:r w:rsidRPr="00923EDA">
        <w:t>2019</w:t>
      </w:r>
    </w:p>
  </w:footnote>
  <w:footnote w:id="593">
    <w:p w14:paraId="68F76877" w14:textId="3E0EDC42" w:rsidR="00452DFD" w:rsidRDefault="00452DFD">
      <w:pPr>
        <w:pStyle w:val="FootnoteText"/>
      </w:pPr>
      <w:r>
        <w:rPr>
          <w:rStyle w:val="FootnoteReference"/>
        </w:rPr>
        <w:footnoteRef/>
      </w:r>
      <w:r>
        <w:t xml:space="preserve"> </w:t>
      </w:r>
      <w:proofErr w:type="spellStart"/>
      <w:r w:rsidRPr="00923EDA">
        <w:t>Gratton</w:t>
      </w:r>
      <w:proofErr w:type="spellEnd"/>
      <w:r w:rsidRPr="00923EDA">
        <w:t>, 20</w:t>
      </w:r>
      <w:r>
        <w:t>20</w:t>
      </w:r>
    </w:p>
  </w:footnote>
  <w:footnote w:id="594">
    <w:p w14:paraId="448B8CB1" w14:textId="6F4ED02F" w:rsidR="00452DFD" w:rsidRDefault="00452DFD">
      <w:pPr>
        <w:pStyle w:val="FootnoteText"/>
      </w:pPr>
      <w:r>
        <w:rPr>
          <w:rStyle w:val="FootnoteReference"/>
        </w:rPr>
        <w:footnoteRef/>
      </w:r>
      <w:r>
        <w:t xml:space="preserve"> Anderson </w:t>
      </w:r>
      <w:r w:rsidRPr="009800AB">
        <w:rPr>
          <w:i/>
        </w:rPr>
        <w:t>et al.,</w:t>
      </w:r>
      <w:r>
        <w:t xml:space="preserve"> 2019, Burke </w:t>
      </w:r>
      <w:r w:rsidRPr="009800AB">
        <w:rPr>
          <w:i/>
        </w:rPr>
        <w:t>et al.,</w:t>
      </w:r>
      <w:r>
        <w:t xml:space="preserve"> 2019, </w:t>
      </w:r>
      <w:proofErr w:type="spellStart"/>
      <w:r w:rsidRPr="00923EDA">
        <w:t>Gratton</w:t>
      </w:r>
      <w:proofErr w:type="spellEnd"/>
      <w:r w:rsidRPr="00923EDA">
        <w:t xml:space="preserve"> </w:t>
      </w:r>
      <w:r w:rsidRPr="009800AB">
        <w:rPr>
          <w:i/>
        </w:rPr>
        <w:t>et al.,</w:t>
      </w:r>
      <w:r>
        <w:t xml:space="preserve"> </w:t>
      </w:r>
      <w:r w:rsidRPr="00923EDA">
        <w:t>20</w:t>
      </w:r>
      <w:r>
        <w:t>20,</w:t>
      </w:r>
      <w:r w:rsidRPr="00923EDA">
        <w:t xml:space="preserve"> </w:t>
      </w:r>
      <w:r>
        <w:t xml:space="preserve">Rojas </w:t>
      </w:r>
      <w:proofErr w:type="spellStart"/>
      <w:r w:rsidRPr="00923EDA">
        <w:t>Pernia</w:t>
      </w:r>
      <w:proofErr w:type="spellEnd"/>
      <w:r w:rsidRPr="00923EDA">
        <w:t xml:space="preserve"> </w:t>
      </w:r>
      <w:r>
        <w:t>and</w:t>
      </w:r>
      <w:r w:rsidRPr="00923EDA">
        <w:t xml:space="preserve"> </w:t>
      </w:r>
      <w:r>
        <w:t xml:space="preserve">Haya </w:t>
      </w:r>
      <w:proofErr w:type="spellStart"/>
      <w:r w:rsidRPr="00923EDA">
        <w:t>Salm</w:t>
      </w:r>
      <w:r>
        <w:t>ó</w:t>
      </w:r>
      <w:r w:rsidRPr="00923EDA">
        <w:t>n</w:t>
      </w:r>
      <w:proofErr w:type="spellEnd"/>
      <w:r w:rsidRPr="00923EDA">
        <w:t>, 2020</w:t>
      </w:r>
    </w:p>
  </w:footnote>
  <w:footnote w:id="595">
    <w:p w14:paraId="242BE380" w14:textId="2C146B57" w:rsidR="00452DFD" w:rsidRDefault="00452DFD">
      <w:pPr>
        <w:pStyle w:val="FootnoteText"/>
      </w:pPr>
      <w:r>
        <w:rPr>
          <w:rStyle w:val="FootnoteReference"/>
        </w:rPr>
        <w:footnoteRef/>
      </w:r>
      <w:r>
        <w:t xml:space="preserve"> </w:t>
      </w:r>
      <w:proofErr w:type="spellStart"/>
      <w:r>
        <w:t>Gratton</w:t>
      </w:r>
      <w:proofErr w:type="spellEnd"/>
      <w:r>
        <w:t xml:space="preserve"> </w:t>
      </w:r>
      <w:r w:rsidRPr="009800AB">
        <w:rPr>
          <w:i/>
        </w:rPr>
        <w:t>et al.,</w:t>
      </w:r>
      <w:r>
        <w:t xml:space="preserve"> 2020, Rojas </w:t>
      </w:r>
      <w:proofErr w:type="spellStart"/>
      <w:r w:rsidRPr="00923EDA">
        <w:t>Pernia</w:t>
      </w:r>
      <w:proofErr w:type="spellEnd"/>
      <w:r w:rsidRPr="00923EDA">
        <w:t xml:space="preserve"> </w:t>
      </w:r>
      <w:r>
        <w:t>and</w:t>
      </w:r>
      <w:r w:rsidRPr="00923EDA">
        <w:t xml:space="preserve"> </w:t>
      </w:r>
      <w:r>
        <w:t xml:space="preserve">Haya </w:t>
      </w:r>
      <w:proofErr w:type="spellStart"/>
      <w:r w:rsidRPr="00923EDA">
        <w:t>Salm</w:t>
      </w:r>
      <w:r>
        <w:t>ó</w:t>
      </w:r>
      <w:r w:rsidRPr="00923EDA">
        <w:t>n</w:t>
      </w:r>
      <w:proofErr w:type="spellEnd"/>
      <w:r w:rsidRPr="00923EDA">
        <w:t>, 2020</w:t>
      </w:r>
    </w:p>
  </w:footnote>
  <w:footnote w:id="596">
    <w:p w14:paraId="6A0DBA68" w14:textId="0D8AC91C" w:rsidR="00452DFD" w:rsidRDefault="00452DFD">
      <w:pPr>
        <w:pStyle w:val="FootnoteText"/>
      </w:pPr>
      <w:r>
        <w:rPr>
          <w:rStyle w:val="FootnoteReference"/>
        </w:rPr>
        <w:footnoteRef/>
      </w:r>
      <w:r>
        <w:t xml:space="preserve"> Salmon </w:t>
      </w:r>
      <w:r w:rsidRPr="00893777">
        <w:rPr>
          <w:i/>
        </w:rPr>
        <w:t>et al.,</w:t>
      </w:r>
      <w:r>
        <w:t xml:space="preserve"> 2018</w:t>
      </w:r>
    </w:p>
  </w:footnote>
  <w:footnote w:id="597">
    <w:p w14:paraId="03E6E31A" w14:textId="63BC2D7E" w:rsidR="00452DFD" w:rsidRDefault="00452DFD">
      <w:pPr>
        <w:pStyle w:val="FootnoteText"/>
      </w:pPr>
      <w:r>
        <w:rPr>
          <w:rStyle w:val="FootnoteReference"/>
        </w:rPr>
        <w:footnoteRef/>
      </w:r>
      <w:r>
        <w:t xml:space="preserve"> </w:t>
      </w:r>
      <w:r>
        <w:rPr>
          <w:rFonts w:cs="Calibri"/>
          <w:bCs/>
          <w:color w:val="000000"/>
          <w:lang w:eastAsia="en-IE"/>
        </w:rPr>
        <w:t>Hollinrake, Spencer and Dix, 2019</w:t>
      </w:r>
    </w:p>
  </w:footnote>
  <w:footnote w:id="598">
    <w:p w14:paraId="19EB2B7F" w14:textId="7400694C" w:rsidR="00452DFD" w:rsidRDefault="00452DFD">
      <w:pPr>
        <w:pStyle w:val="FootnoteText"/>
      </w:pPr>
      <w:r>
        <w:rPr>
          <w:rStyle w:val="FootnoteReference"/>
        </w:rPr>
        <w:footnoteRef/>
      </w:r>
      <w:r>
        <w:t xml:space="preserve"> Anderson </w:t>
      </w:r>
      <w:r w:rsidRPr="009800AB">
        <w:rPr>
          <w:i/>
        </w:rPr>
        <w:t>et al.,</w:t>
      </w:r>
      <w:r>
        <w:t xml:space="preserve"> 2019, Dewa </w:t>
      </w:r>
      <w:r w:rsidRPr="009800AB">
        <w:rPr>
          <w:i/>
        </w:rPr>
        <w:t>et al.,</w:t>
      </w:r>
      <w:r>
        <w:t xml:space="preserve"> 2020</w:t>
      </w:r>
    </w:p>
  </w:footnote>
  <w:footnote w:id="599">
    <w:p w14:paraId="336BF1C8" w14:textId="4918D62D" w:rsidR="00452DFD" w:rsidRDefault="00452DFD">
      <w:pPr>
        <w:pStyle w:val="FootnoteText"/>
      </w:pPr>
      <w:r>
        <w:rPr>
          <w:rStyle w:val="FootnoteReference"/>
        </w:rPr>
        <w:footnoteRef/>
      </w:r>
      <w:r>
        <w:t xml:space="preserve"> Dewa </w:t>
      </w:r>
      <w:r w:rsidRPr="009800AB">
        <w:rPr>
          <w:i/>
        </w:rPr>
        <w:t>et al.,</w:t>
      </w:r>
      <w:r>
        <w:t xml:space="preserve"> 2020</w:t>
      </w:r>
    </w:p>
  </w:footnote>
  <w:footnote w:id="600">
    <w:p w14:paraId="442F326B" w14:textId="3E995D1A" w:rsidR="00452DFD" w:rsidRDefault="00452DFD">
      <w:pPr>
        <w:pStyle w:val="FootnoteText"/>
      </w:pPr>
      <w:r>
        <w:rPr>
          <w:rStyle w:val="FootnoteReference"/>
        </w:rPr>
        <w:footnoteRef/>
      </w:r>
      <w:r>
        <w:t xml:space="preserve"> St John </w:t>
      </w:r>
      <w:r w:rsidRPr="009800AB">
        <w:rPr>
          <w:i/>
        </w:rPr>
        <w:t>et al.,</w:t>
      </w:r>
      <w:r>
        <w:t xml:space="preserve"> 2018</w:t>
      </w:r>
    </w:p>
  </w:footnote>
  <w:footnote w:id="601">
    <w:p w14:paraId="1485FF7B" w14:textId="03CC5AF4" w:rsidR="00452DFD" w:rsidRDefault="00452DFD">
      <w:pPr>
        <w:pStyle w:val="FootnoteText"/>
      </w:pPr>
      <w:r>
        <w:rPr>
          <w:rStyle w:val="FootnoteReference"/>
        </w:rPr>
        <w:footnoteRef/>
      </w:r>
      <w:r>
        <w:t xml:space="preserve"> Riches, O’Brien and CDS Inclusive Research Network, 2020</w:t>
      </w:r>
    </w:p>
  </w:footnote>
  <w:footnote w:id="602">
    <w:p w14:paraId="42D3B394" w14:textId="7FBB09F5" w:rsidR="00452DFD" w:rsidRDefault="00452DFD">
      <w:pPr>
        <w:pStyle w:val="FootnoteText"/>
      </w:pPr>
      <w:r>
        <w:rPr>
          <w:rStyle w:val="FootnoteReference"/>
        </w:rPr>
        <w:footnoteRef/>
      </w:r>
      <w:r>
        <w:t xml:space="preserve"> Salmon </w:t>
      </w:r>
      <w:r w:rsidRPr="00893777">
        <w:rPr>
          <w:i/>
        </w:rPr>
        <w:t>et al.,</w:t>
      </w:r>
      <w:r>
        <w:t xml:space="preserve"> 2018</w:t>
      </w:r>
    </w:p>
  </w:footnote>
  <w:footnote w:id="603">
    <w:p w14:paraId="7BCD5ED4" w14:textId="5096FFF5" w:rsidR="00452DFD" w:rsidRDefault="00452DFD">
      <w:pPr>
        <w:pStyle w:val="FootnoteText"/>
      </w:pPr>
      <w:r>
        <w:rPr>
          <w:rStyle w:val="FootnoteReference"/>
        </w:rPr>
        <w:footnoteRef/>
      </w:r>
      <w:r>
        <w:t xml:space="preserve"> Anderson </w:t>
      </w:r>
      <w:r w:rsidRPr="009800AB">
        <w:rPr>
          <w:i/>
        </w:rPr>
        <w:t>et al.,</w:t>
      </w:r>
      <w:r>
        <w:t xml:space="preserve"> 2018</w:t>
      </w:r>
    </w:p>
  </w:footnote>
  <w:footnote w:id="604">
    <w:p w14:paraId="0E8B74DA" w14:textId="5D0BACD9" w:rsidR="00452DFD" w:rsidRDefault="00452DFD">
      <w:pPr>
        <w:pStyle w:val="FootnoteText"/>
      </w:pPr>
      <w:r>
        <w:rPr>
          <w:rStyle w:val="FootnoteReference"/>
        </w:rPr>
        <w:footnoteRef/>
      </w:r>
      <w:r>
        <w:t xml:space="preserve"> </w:t>
      </w:r>
      <w:r w:rsidRPr="00C52787">
        <w:t>Garcia-</w:t>
      </w:r>
      <w:proofErr w:type="spellStart"/>
      <w:r w:rsidRPr="00C52787">
        <w:t>Iriarte</w:t>
      </w:r>
      <w:proofErr w:type="spellEnd"/>
      <w:r w:rsidRPr="00C52787">
        <w:t xml:space="preserve"> </w:t>
      </w:r>
      <w:r w:rsidRPr="009800AB">
        <w:rPr>
          <w:i/>
        </w:rPr>
        <w:t>et al.,</w:t>
      </w:r>
      <w:r>
        <w:t xml:space="preserve"> </w:t>
      </w:r>
      <w:r w:rsidRPr="00C52787">
        <w:t>2009 cited in Smith-Merry, 2017</w:t>
      </w:r>
    </w:p>
  </w:footnote>
  <w:footnote w:id="605">
    <w:p w14:paraId="7833FC27" w14:textId="7D8E4136" w:rsidR="00452DFD" w:rsidRDefault="00452DFD">
      <w:pPr>
        <w:pStyle w:val="FootnoteText"/>
      </w:pPr>
      <w:r>
        <w:rPr>
          <w:rStyle w:val="FootnoteReference"/>
        </w:rPr>
        <w:footnoteRef/>
      </w:r>
      <w:r>
        <w:t xml:space="preserve"> Schwartz and Durkin, 2020</w:t>
      </w:r>
    </w:p>
  </w:footnote>
  <w:footnote w:id="606">
    <w:p w14:paraId="061B3847" w14:textId="3BAF7120" w:rsidR="00452DFD" w:rsidRDefault="00452DFD">
      <w:pPr>
        <w:pStyle w:val="FootnoteText"/>
      </w:pPr>
      <w:r>
        <w:rPr>
          <w:rStyle w:val="FootnoteReference"/>
        </w:rPr>
        <w:footnoteRef/>
      </w:r>
      <w:r>
        <w:t xml:space="preserve"> Stanley </w:t>
      </w:r>
      <w:r w:rsidRPr="009800AB">
        <w:rPr>
          <w:i/>
        </w:rPr>
        <w:t>et al.,</w:t>
      </w:r>
      <w:r>
        <w:t xml:space="preserve"> 2019</w:t>
      </w:r>
    </w:p>
  </w:footnote>
  <w:footnote w:id="607">
    <w:p w14:paraId="17A26D78" w14:textId="3EFC0A61" w:rsidR="00452DFD" w:rsidRDefault="00452DFD" w:rsidP="00DB5669">
      <w:pPr>
        <w:pStyle w:val="FootnoteText"/>
      </w:pPr>
      <w:r>
        <w:rPr>
          <w:rStyle w:val="FootnoteReference"/>
        </w:rPr>
        <w:footnoteRef/>
      </w:r>
      <w:r>
        <w:t xml:space="preserve"> </w:t>
      </w:r>
      <w:r w:rsidRPr="00713B8F">
        <w:t>This technique allows, based on the drawing of a body shape, to describe emotional, personal and social processes in order to produce an image representing multiple aspects of their embodied exper</w:t>
      </w:r>
      <w:r>
        <w:t xml:space="preserve">ience” De </w:t>
      </w:r>
      <w:proofErr w:type="spellStart"/>
      <w:r>
        <w:t>Jager</w:t>
      </w:r>
      <w:proofErr w:type="spellEnd"/>
      <w:r>
        <w:t xml:space="preserve"> </w:t>
      </w:r>
      <w:r w:rsidRPr="009800AB">
        <w:rPr>
          <w:i/>
        </w:rPr>
        <w:t>et al.,</w:t>
      </w:r>
      <w:r>
        <w:t xml:space="preserve"> 2016, p. X.</w:t>
      </w:r>
    </w:p>
  </w:footnote>
  <w:footnote w:id="608">
    <w:p w14:paraId="5BACFACA" w14:textId="096FC35B" w:rsidR="00452DFD" w:rsidRDefault="00452DFD">
      <w:pPr>
        <w:pStyle w:val="FootnoteText"/>
      </w:pPr>
      <w:r>
        <w:rPr>
          <w:rStyle w:val="FootnoteReference"/>
        </w:rPr>
        <w:footnoteRef/>
      </w:r>
      <w:r>
        <w:t xml:space="preserve"> Haya </w:t>
      </w:r>
      <w:proofErr w:type="spellStart"/>
      <w:r>
        <w:t>Salmón</w:t>
      </w:r>
      <w:proofErr w:type="spellEnd"/>
      <w:r>
        <w:t xml:space="preserve"> and Rojas </w:t>
      </w:r>
      <w:proofErr w:type="spellStart"/>
      <w:r>
        <w:t>Pernia</w:t>
      </w:r>
      <w:proofErr w:type="spellEnd"/>
      <w:r>
        <w:t>, 2021</w:t>
      </w:r>
    </w:p>
  </w:footnote>
  <w:footnote w:id="609">
    <w:p w14:paraId="3ABA2E9F" w14:textId="02D7F7FC" w:rsidR="00452DFD" w:rsidRDefault="00452DFD">
      <w:pPr>
        <w:pStyle w:val="FootnoteText"/>
      </w:pPr>
      <w:r>
        <w:rPr>
          <w:rStyle w:val="FootnoteReference"/>
        </w:rPr>
        <w:footnoteRef/>
      </w:r>
      <w:r>
        <w:t xml:space="preserve"> </w:t>
      </w:r>
      <w:proofErr w:type="spellStart"/>
      <w:r>
        <w:t>Frankena</w:t>
      </w:r>
      <w:proofErr w:type="spellEnd"/>
      <w:r>
        <w:t xml:space="preserve"> </w:t>
      </w:r>
      <w:r w:rsidRPr="009800AB">
        <w:rPr>
          <w:i/>
        </w:rPr>
        <w:t>et al.,</w:t>
      </w:r>
      <w:r>
        <w:t xml:space="preserve"> 2019a</w:t>
      </w:r>
    </w:p>
  </w:footnote>
  <w:footnote w:id="610">
    <w:p w14:paraId="35F72C54" w14:textId="76E392A3" w:rsidR="00452DFD" w:rsidRDefault="00452DFD">
      <w:pPr>
        <w:pStyle w:val="FootnoteText"/>
      </w:pPr>
      <w:r>
        <w:rPr>
          <w:rStyle w:val="FootnoteReference"/>
        </w:rPr>
        <w:footnoteRef/>
      </w:r>
      <w:r>
        <w:t xml:space="preserve"> Partner2 Writing Collective, 2020</w:t>
      </w:r>
    </w:p>
  </w:footnote>
  <w:footnote w:id="611">
    <w:p w14:paraId="5B522908" w14:textId="7BB8CD71" w:rsidR="00452DFD" w:rsidRDefault="00452DFD">
      <w:pPr>
        <w:pStyle w:val="FootnoteText"/>
      </w:pPr>
      <w:r>
        <w:rPr>
          <w:rStyle w:val="FootnoteReference"/>
        </w:rPr>
        <w:footnoteRef/>
      </w:r>
      <w:r>
        <w:t xml:space="preserve"> Hollinrake, Spencer and Dix, 2019</w:t>
      </w:r>
    </w:p>
  </w:footnote>
  <w:footnote w:id="612">
    <w:p w14:paraId="569F24EB" w14:textId="31553904" w:rsidR="00452DFD" w:rsidRDefault="00452DFD">
      <w:pPr>
        <w:pStyle w:val="FootnoteText"/>
      </w:pPr>
      <w:r>
        <w:rPr>
          <w:rStyle w:val="FootnoteReference"/>
        </w:rPr>
        <w:footnoteRef/>
      </w:r>
      <w:r>
        <w:t xml:space="preserve"> </w:t>
      </w:r>
      <w:proofErr w:type="spellStart"/>
      <w:r>
        <w:t>Aldersey</w:t>
      </w:r>
      <w:proofErr w:type="spellEnd"/>
      <w:r>
        <w:t xml:space="preserve"> </w:t>
      </w:r>
      <w:r w:rsidRPr="009800AB">
        <w:rPr>
          <w:i/>
        </w:rPr>
        <w:t>et al.,</w:t>
      </w:r>
      <w:r>
        <w:t xml:space="preserve"> 2018, </w:t>
      </w:r>
      <w:proofErr w:type="spellStart"/>
      <w:r w:rsidRPr="00516C11">
        <w:t>Barod</w:t>
      </w:r>
      <w:proofErr w:type="spellEnd"/>
      <w:r w:rsidRPr="00516C11">
        <w:t xml:space="preserve"> Community Interest Company</w:t>
      </w:r>
      <w:r>
        <w:t xml:space="preserve">, 2019, </w:t>
      </w:r>
      <w:proofErr w:type="spellStart"/>
      <w:r>
        <w:t>Breault</w:t>
      </w:r>
      <w:proofErr w:type="spellEnd"/>
      <w:r>
        <w:t xml:space="preserve"> </w:t>
      </w:r>
      <w:r w:rsidRPr="009800AB">
        <w:rPr>
          <w:i/>
        </w:rPr>
        <w:t>et al.,</w:t>
      </w:r>
      <w:r>
        <w:t xml:space="preserve"> 2018a, Butler </w:t>
      </w:r>
      <w:r w:rsidRPr="009800AB">
        <w:rPr>
          <w:i/>
        </w:rPr>
        <w:t>et al.,</w:t>
      </w:r>
      <w:r>
        <w:t xml:space="preserve"> 2020, </w:t>
      </w:r>
      <w:r w:rsidRPr="00B37D07">
        <w:rPr>
          <w:rFonts w:cs="Calibri"/>
          <w:bCs/>
          <w:szCs w:val="26"/>
          <w:lang w:eastAsia="en-IE"/>
        </w:rPr>
        <w:t xml:space="preserve">Clarke </w:t>
      </w:r>
      <w:r w:rsidRPr="009800AB">
        <w:rPr>
          <w:rFonts w:cs="Calibri"/>
          <w:bCs/>
          <w:i/>
          <w:szCs w:val="26"/>
          <w:lang w:eastAsia="en-IE"/>
        </w:rPr>
        <w:t>et al.,</w:t>
      </w:r>
      <w:r>
        <w:rPr>
          <w:rFonts w:cs="Calibri"/>
          <w:bCs/>
          <w:szCs w:val="26"/>
          <w:lang w:eastAsia="en-IE"/>
        </w:rPr>
        <w:t xml:space="preserve"> 2</w:t>
      </w:r>
      <w:r w:rsidRPr="00B37D07">
        <w:rPr>
          <w:rFonts w:cs="Calibri"/>
          <w:bCs/>
          <w:szCs w:val="26"/>
          <w:lang w:eastAsia="en-IE"/>
        </w:rPr>
        <w:t>018</w:t>
      </w:r>
      <w:r>
        <w:rPr>
          <w:rFonts w:cs="Calibri"/>
          <w:bCs/>
          <w:szCs w:val="26"/>
          <w:lang w:eastAsia="en-IE"/>
        </w:rPr>
        <w:t>,</w:t>
      </w:r>
      <w:r w:rsidRPr="00B37D07">
        <w:rPr>
          <w:rFonts w:cs="Calibri"/>
          <w:szCs w:val="26"/>
          <w:lang w:eastAsia="en-IE"/>
        </w:rPr>
        <w:t xml:space="preserve"> </w:t>
      </w:r>
      <w:r>
        <w:t xml:space="preserve">Davidson </w:t>
      </w:r>
      <w:r w:rsidRPr="009800AB">
        <w:rPr>
          <w:i/>
        </w:rPr>
        <w:t>et al.,</w:t>
      </w:r>
      <w:r>
        <w:t xml:space="preserve"> 2018, </w:t>
      </w:r>
      <w:r w:rsidRPr="00B37D07">
        <w:rPr>
          <w:rFonts w:cs="Calibri"/>
          <w:szCs w:val="26"/>
          <w:lang w:eastAsia="en-IE"/>
        </w:rPr>
        <w:t xml:space="preserve">Dewa </w:t>
      </w:r>
      <w:r w:rsidRPr="009800AB">
        <w:rPr>
          <w:rFonts w:cs="Calibri"/>
          <w:i/>
          <w:szCs w:val="26"/>
          <w:lang w:eastAsia="en-IE"/>
        </w:rPr>
        <w:t>et al.,</w:t>
      </w:r>
      <w:r>
        <w:rPr>
          <w:rFonts w:cs="Calibri"/>
          <w:szCs w:val="26"/>
          <w:lang w:eastAsia="en-IE"/>
        </w:rPr>
        <w:t xml:space="preserve"> 2020, </w:t>
      </w:r>
      <w:r>
        <w:t xml:space="preserve">Disability Wales, 2019, Faulkner </w:t>
      </w:r>
      <w:r w:rsidRPr="009800AB">
        <w:rPr>
          <w:i/>
        </w:rPr>
        <w:t>et al.,</w:t>
      </w:r>
      <w:r>
        <w:t xml:space="preserve"> 2019, Haya </w:t>
      </w:r>
      <w:proofErr w:type="spellStart"/>
      <w:r>
        <w:t>Salmón</w:t>
      </w:r>
      <w:proofErr w:type="spellEnd"/>
      <w:r>
        <w:t xml:space="preserve"> and Rojas </w:t>
      </w:r>
      <w:proofErr w:type="spellStart"/>
      <w:r>
        <w:t>Pernia</w:t>
      </w:r>
      <w:proofErr w:type="spellEnd"/>
      <w:r>
        <w:t xml:space="preserve">, 2021, IRN, 2019, </w:t>
      </w:r>
      <w:r w:rsidRPr="00B37D07">
        <w:rPr>
          <w:rFonts w:cs="Calibri"/>
          <w:szCs w:val="26"/>
          <w:lang w:eastAsia="en-IE"/>
        </w:rPr>
        <w:t xml:space="preserve">Jennings </w:t>
      </w:r>
      <w:r w:rsidRPr="009800AB">
        <w:rPr>
          <w:rFonts w:cs="Calibri"/>
          <w:i/>
          <w:szCs w:val="26"/>
          <w:lang w:eastAsia="en-IE"/>
        </w:rPr>
        <w:t>et al.,</w:t>
      </w:r>
      <w:r>
        <w:rPr>
          <w:rFonts w:cs="Calibri"/>
          <w:szCs w:val="26"/>
          <w:lang w:eastAsia="en-IE"/>
        </w:rPr>
        <w:t xml:space="preserve"> 2018, </w:t>
      </w:r>
      <w:r>
        <w:t xml:space="preserve">Kramer </w:t>
      </w:r>
      <w:r w:rsidRPr="009800AB">
        <w:rPr>
          <w:i/>
        </w:rPr>
        <w:t>et al.,</w:t>
      </w:r>
      <w:r>
        <w:t xml:space="preserve"> 2018, </w:t>
      </w:r>
      <w:r>
        <w:rPr>
          <w:rFonts w:cs="Calibri"/>
          <w:szCs w:val="26"/>
          <w:lang w:eastAsia="en-IE"/>
        </w:rPr>
        <w:t>M</w:t>
      </w:r>
      <w:r w:rsidRPr="00B37D07">
        <w:rPr>
          <w:rFonts w:cs="Calibri"/>
          <w:szCs w:val="26"/>
          <w:lang w:eastAsia="en-IE"/>
        </w:rPr>
        <w:t xml:space="preserve">cConnell </w:t>
      </w:r>
      <w:r w:rsidRPr="009800AB">
        <w:rPr>
          <w:rFonts w:cs="Calibri"/>
          <w:i/>
          <w:szCs w:val="26"/>
          <w:lang w:eastAsia="en-IE"/>
        </w:rPr>
        <w:t>et al.,</w:t>
      </w:r>
      <w:r>
        <w:rPr>
          <w:rFonts w:cs="Calibri"/>
          <w:szCs w:val="26"/>
          <w:lang w:eastAsia="en-IE"/>
        </w:rPr>
        <w:t xml:space="preserve"> 2019, </w:t>
      </w:r>
      <w:r>
        <w:t xml:space="preserve">Inclusion Scotland, 2020, Mathews, Marshall and Wilkinson, 2020, Mathias </w:t>
      </w:r>
      <w:r w:rsidRPr="009800AB">
        <w:rPr>
          <w:i/>
        </w:rPr>
        <w:t>et al.,</w:t>
      </w:r>
      <w:r>
        <w:t xml:space="preserve"> 2019, </w:t>
      </w:r>
      <w:proofErr w:type="spellStart"/>
      <w:r>
        <w:t>Puyalto</w:t>
      </w:r>
      <w:proofErr w:type="spellEnd"/>
      <w:r>
        <w:t xml:space="preserve"> </w:t>
      </w:r>
      <w:r w:rsidRPr="009800AB">
        <w:rPr>
          <w:i/>
        </w:rPr>
        <w:t>et al.,</w:t>
      </w:r>
      <w:r>
        <w:t xml:space="preserve"> 2016, </w:t>
      </w:r>
      <w:r>
        <w:rPr>
          <w:rFonts w:cs="Calibri"/>
          <w:szCs w:val="26"/>
          <w:lang w:eastAsia="en-IE"/>
        </w:rPr>
        <w:t xml:space="preserve">Salmon </w:t>
      </w:r>
      <w:r w:rsidRPr="00893777">
        <w:rPr>
          <w:rFonts w:cs="Calibri"/>
          <w:i/>
          <w:szCs w:val="26"/>
          <w:lang w:eastAsia="en-IE"/>
        </w:rPr>
        <w:t>et al.,</w:t>
      </w:r>
      <w:r>
        <w:rPr>
          <w:rFonts w:cs="Calibri"/>
          <w:szCs w:val="26"/>
          <w:lang w:eastAsia="en-IE"/>
        </w:rPr>
        <w:t xml:space="preserve"> 2018,</w:t>
      </w:r>
      <w:r w:rsidRPr="00B37D07">
        <w:rPr>
          <w:rFonts w:cs="Calibri"/>
          <w:szCs w:val="26"/>
          <w:lang w:eastAsia="en-IE"/>
        </w:rPr>
        <w:t xml:space="preserve"> </w:t>
      </w:r>
      <w:r>
        <w:t xml:space="preserve">Stevenson and Taylor, 2019, </w:t>
      </w:r>
      <w:proofErr w:type="spellStart"/>
      <w:r w:rsidRPr="00B37D07">
        <w:rPr>
          <w:rFonts w:cs="Calibri"/>
          <w:szCs w:val="26"/>
          <w:lang w:eastAsia="en-IE"/>
        </w:rPr>
        <w:t>Troya</w:t>
      </w:r>
      <w:proofErr w:type="spellEnd"/>
      <w:r w:rsidRPr="00B37D07">
        <w:rPr>
          <w:rFonts w:cs="Calibri"/>
          <w:szCs w:val="26"/>
          <w:lang w:eastAsia="en-IE"/>
        </w:rPr>
        <w:t xml:space="preserve"> </w:t>
      </w:r>
      <w:r w:rsidRPr="009800AB">
        <w:rPr>
          <w:rFonts w:cs="Calibri"/>
          <w:i/>
          <w:szCs w:val="26"/>
          <w:lang w:eastAsia="en-IE"/>
        </w:rPr>
        <w:t>et al.,</w:t>
      </w:r>
      <w:r>
        <w:rPr>
          <w:rFonts w:cs="Calibri"/>
          <w:szCs w:val="26"/>
          <w:lang w:eastAsia="en-IE"/>
        </w:rPr>
        <w:t xml:space="preserve"> 2</w:t>
      </w:r>
      <w:r w:rsidRPr="00B37D07">
        <w:rPr>
          <w:rFonts w:cs="Calibri"/>
          <w:szCs w:val="26"/>
          <w:lang w:eastAsia="en-IE"/>
        </w:rPr>
        <w:t>019</w:t>
      </w:r>
      <w:r>
        <w:t xml:space="preserve">, Vasquez </w:t>
      </w:r>
      <w:r w:rsidRPr="009800AB">
        <w:rPr>
          <w:i/>
        </w:rPr>
        <w:t>et al.,</w:t>
      </w:r>
      <w:r>
        <w:t xml:space="preserve"> 2019,</w:t>
      </w:r>
      <w:r w:rsidRPr="0016038D">
        <w:rPr>
          <w:rFonts w:cs="Calibri"/>
          <w:szCs w:val="26"/>
          <w:lang w:eastAsia="en-IE"/>
        </w:rPr>
        <w:t xml:space="preserve"> </w:t>
      </w:r>
      <w:r>
        <w:rPr>
          <w:rFonts w:cs="Calibri"/>
          <w:szCs w:val="26"/>
          <w:lang w:eastAsia="en-IE"/>
        </w:rPr>
        <w:t>Williams, Ponting and Ford, 2015</w:t>
      </w:r>
    </w:p>
  </w:footnote>
  <w:footnote w:id="613">
    <w:p w14:paraId="25BD4996" w14:textId="6EB614A1" w:rsidR="00452DFD" w:rsidRDefault="00452DFD">
      <w:pPr>
        <w:pStyle w:val="FootnoteText"/>
      </w:pPr>
      <w:r>
        <w:rPr>
          <w:rStyle w:val="FootnoteReference"/>
        </w:rPr>
        <w:footnoteRef/>
      </w:r>
      <w:r>
        <w:t xml:space="preserve"> </w:t>
      </w:r>
      <w:r>
        <w:rPr>
          <w:szCs w:val="26"/>
        </w:rPr>
        <w:t xml:space="preserve">Salmon </w:t>
      </w:r>
      <w:r w:rsidRPr="00893777">
        <w:rPr>
          <w:i/>
          <w:szCs w:val="26"/>
        </w:rPr>
        <w:t>et al.,</w:t>
      </w:r>
      <w:r>
        <w:rPr>
          <w:szCs w:val="26"/>
        </w:rPr>
        <w:t xml:space="preserve"> 2018</w:t>
      </w:r>
    </w:p>
  </w:footnote>
  <w:footnote w:id="614">
    <w:p w14:paraId="452A23D6" w14:textId="609B5697" w:rsidR="00452DFD" w:rsidRDefault="00452DFD">
      <w:pPr>
        <w:pStyle w:val="FootnoteText"/>
      </w:pPr>
      <w:r>
        <w:rPr>
          <w:rStyle w:val="FootnoteReference"/>
        </w:rPr>
        <w:footnoteRef/>
      </w:r>
      <w:r>
        <w:t xml:space="preserve"> </w:t>
      </w:r>
      <w:proofErr w:type="spellStart"/>
      <w:r w:rsidRPr="00252E17">
        <w:rPr>
          <w:szCs w:val="26"/>
        </w:rPr>
        <w:t>Frankena</w:t>
      </w:r>
      <w:proofErr w:type="spellEnd"/>
      <w:r w:rsidRPr="00252E17">
        <w:rPr>
          <w:szCs w:val="26"/>
        </w:rPr>
        <w:t xml:space="preserve"> </w:t>
      </w:r>
      <w:r w:rsidRPr="009800AB">
        <w:rPr>
          <w:i/>
          <w:szCs w:val="26"/>
        </w:rPr>
        <w:t>et al.,</w:t>
      </w:r>
      <w:r>
        <w:rPr>
          <w:szCs w:val="26"/>
        </w:rPr>
        <w:t xml:space="preserve"> </w:t>
      </w:r>
      <w:r w:rsidRPr="00252E17">
        <w:rPr>
          <w:szCs w:val="26"/>
        </w:rPr>
        <w:t>2019b</w:t>
      </w:r>
      <w:r>
        <w:rPr>
          <w:szCs w:val="26"/>
        </w:rPr>
        <w:t>,</w:t>
      </w:r>
      <w:r w:rsidRPr="00252E17">
        <w:rPr>
          <w:szCs w:val="26"/>
        </w:rPr>
        <w:t xml:space="preserve"> Smith-Merry</w:t>
      </w:r>
      <w:r>
        <w:rPr>
          <w:szCs w:val="26"/>
        </w:rPr>
        <w:t>, 2017,</w:t>
      </w:r>
      <w:r w:rsidRPr="00252E17">
        <w:rPr>
          <w:szCs w:val="26"/>
        </w:rPr>
        <w:t xml:space="preserve"> </w:t>
      </w:r>
      <w:proofErr w:type="spellStart"/>
      <w:r>
        <w:rPr>
          <w:szCs w:val="26"/>
        </w:rPr>
        <w:t>Strnadová</w:t>
      </w:r>
      <w:proofErr w:type="spellEnd"/>
      <w:r>
        <w:rPr>
          <w:szCs w:val="26"/>
        </w:rPr>
        <w:t xml:space="preserve"> </w:t>
      </w:r>
      <w:r w:rsidRPr="009800AB">
        <w:rPr>
          <w:i/>
          <w:szCs w:val="26"/>
        </w:rPr>
        <w:t>et al.,</w:t>
      </w:r>
      <w:r>
        <w:rPr>
          <w:szCs w:val="26"/>
        </w:rPr>
        <w:t xml:space="preserve"> 2016</w:t>
      </w:r>
    </w:p>
  </w:footnote>
  <w:footnote w:id="615">
    <w:p w14:paraId="48FED985" w14:textId="4C881D17" w:rsidR="00452DFD" w:rsidRDefault="00452DFD">
      <w:pPr>
        <w:pStyle w:val="FootnoteText"/>
      </w:pPr>
      <w:r>
        <w:rPr>
          <w:rStyle w:val="FootnoteReference"/>
        </w:rPr>
        <w:footnoteRef/>
      </w:r>
      <w:r>
        <w:t xml:space="preserve"> O’Brien, </w:t>
      </w:r>
      <w:proofErr w:type="spellStart"/>
      <w:r>
        <w:t>McConkey</w:t>
      </w:r>
      <w:proofErr w:type="spellEnd"/>
      <w:r>
        <w:t xml:space="preserve">, and </w:t>
      </w:r>
      <w:proofErr w:type="spellStart"/>
      <w:r w:rsidRPr="00655C49">
        <w:t>García-Iriarte</w:t>
      </w:r>
      <w:proofErr w:type="spellEnd"/>
      <w:r w:rsidRPr="00655C49">
        <w:t>, 2014</w:t>
      </w:r>
      <w:r>
        <w:t xml:space="preserve"> cited </w:t>
      </w:r>
      <w:r w:rsidRPr="00E4107F">
        <w:t xml:space="preserve">in </w:t>
      </w:r>
      <w:r>
        <w:t xml:space="preserve">Di </w:t>
      </w:r>
      <w:proofErr w:type="spellStart"/>
      <w:r>
        <w:t>Lorito</w:t>
      </w:r>
      <w:proofErr w:type="spellEnd"/>
      <w:r w:rsidRPr="00E4107F">
        <w:t xml:space="preserve"> </w:t>
      </w:r>
      <w:r w:rsidRPr="009800AB">
        <w:rPr>
          <w:i/>
        </w:rPr>
        <w:t>et al.,</w:t>
      </w:r>
      <w:r>
        <w:t xml:space="preserve"> </w:t>
      </w:r>
      <w:r w:rsidRPr="00E4107F">
        <w:t>201</w:t>
      </w:r>
      <w:r>
        <w:t>8</w:t>
      </w:r>
    </w:p>
  </w:footnote>
  <w:footnote w:id="616">
    <w:p w14:paraId="25D4F532" w14:textId="01042B49" w:rsidR="00452DFD" w:rsidRDefault="00452DFD">
      <w:pPr>
        <w:pStyle w:val="FootnoteText"/>
      </w:pPr>
      <w:r>
        <w:rPr>
          <w:rStyle w:val="FootnoteReference"/>
        </w:rPr>
        <w:footnoteRef/>
      </w:r>
      <w:r>
        <w:t xml:space="preserve"> </w:t>
      </w:r>
      <w:r w:rsidRPr="003212BB">
        <w:t>Smith-Merry</w:t>
      </w:r>
      <w:r>
        <w:t>, no date,</w:t>
      </w:r>
      <w:r w:rsidRPr="003212BB">
        <w:t xml:space="preserve"> </w:t>
      </w:r>
      <w:proofErr w:type="spellStart"/>
      <w:r w:rsidRPr="003212BB">
        <w:t>Frankena</w:t>
      </w:r>
      <w:proofErr w:type="spellEnd"/>
      <w:r w:rsidRPr="003212BB">
        <w:t xml:space="preserve"> </w:t>
      </w:r>
      <w:r w:rsidRPr="009800AB">
        <w:rPr>
          <w:i/>
        </w:rPr>
        <w:t>et al.,</w:t>
      </w:r>
      <w:r>
        <w:t xml:space="preserve"> </w:t>
      </w:r>
      <w:r w:rsidRPr="003212BB">
        <w:t>2019b</w:t>
      </w:r>
    </w:p>
  </w:footnote>
  <w:footnote w:id="617">
    <w:p w14:paraId="245D7CEC" w14:textId="69D4E43F" w:rsidR="00452DFD" w:rsidRDefault="00452DFD">
      <w:pPr>
        <w:pStyle w:val="FootnoteText"/>
      </w:pPr>
      <w:r>
        <w:rPr>
          <w:rStyle w:val="FootnoteReference"/>
        </w:rPr>
        <w:footnoteRef/>
      </w:r>
      <w:r>
        <w:t xml:space="preserve"> </w:t>
      </w:r>
      <w:proofErr w:type="spellStart"/>
      <w:r w:rsidRPr="00714734">
        <w:t>Frankena</w:t>
      </w:r>
      <w:proofErr w:type="spellEnd"/>
      <w:r w:rsidRPr="00714734">
        <w:t xml:space="preserve"> </w:t>
      </w:r>
      <w:r w:rsidRPr="009800AB">
        <w:rPr>
          <w:i/>
        </w:rPr>
        <w:t>et al.,</w:t>
      </w:r>
      <w:r>
        <w:t xml:space="preserve"> 2</w:t>
      </w:r>
      <w:r w:rsidRPr="00714734">
        <w:t>019b</w:t>
      </w:r>
    </w:p>
  </w:footnote>
  <w:footnote w:id="618">
    <w:p w14:paraId="45718FDB" w14:textId="501BD725" w:rsidR="00452DFD" w:rsidRDefault="00452DFD">
      <w:pPr>
        <w:pStyle w:val="FootnoteText"/>
      </w:pPr>
      <w:r>
        <w:rPr>
          <w:rStyle w:val="FootnoteReference"/>
        </w:rPr>
        <w:footnoteRef/>
      </w:r>
      <w:r>
        <w:t xml:space="preserve"> Burke </w:t>
      </w:r>
      <w:r w:rsidRPr="009800AB">
        <w:rPr>
          <w:i/>
        </w:rPr>
        <w:t>et al.,</w:t>
      </w:r>
      <w:r>
        <w:t xml:space="preserve"> 2019, Meza </w:t>
      </w:r>
      <w:r w:rsidRPr="009800AB">
        <w:rPr>
          <w:i/>
        </w:rPr>
        <w:t>et al.,</w:t>
      </w:r>
      <w:r>
        <w:t xml:space="preserve"> 2016, Stevenson and Taylor, 2019</w:t>
      </w:r>
    </w:p>
  </w:footnote>
  <w:footnote w:id="619">
    <w:p w14:paraId="4211A54B" w14:textId="4FF8EDEE" w:rsidR="00452DFD" w:rsidRDefault="00452DFD">
      <w:pPr>
        <w:pStyle w:val="FootnoteText"/>
      </w:pPr>
      <w:r>
        <w:rPr>
          <w:rStyle w:val="FootnoteReference"/>
        </w:rPr>
        <w:footnoteRef/>
      </w:r>
      <w:r>
        <w:t xml:space="preserve"> </w:t>
      </w:r>
      <w:proofErr w:type="spellStart"/>
      <w:r w:rsidRPr="009E6A51">
        <w:t>Frankena</w:t>
      </w:r>
      <w:proofErr w:type="spellEnd"/>
      <w:r w:rsidRPr="009E6A51">
        <w:t xml:space="preserve"> </w:t>
      </w:r>
      <w:r w:rsidRPr="009800AB">
        <w:rPr>
          <w:i/>
        </w:rPr>
        <w:t>et al.,</w:t>
      </w:r>
      <w:r>
        <w:t xml:space="preserve"> 2</w:t>
      </w:r>
      <w:r w:rsidRPr="009E6A51">
        <w:t xml:space="preserve">019b, </w:t>
      </w:r>
      <w:proofErr w:type="spellStart"/>
      <w:r w:rsidRPr="009E6A51">
        <w:t>Gratton</w:t>
      </w:r>
      <w:proofErr w:type="spellEnd"/>
      <w:r w:rsidRPr="009E6A51">
        <w:t>, 20</w:t>
      </w:r>
      <w:r>
        <w:t>20</w:t>
      </w:r>
    </w:p>
  </w:footnote>
  <w:footnote w:id="620">
    <w:p w14:paraId="52FAE002" w14:textId="163F47AE" w:rsidR="00452DFD" w:rsidRDefault="00452DFD">
      <w:pPr>
        <w:pStyle w:val="FootnoteText"/>
      </w:pPr>
      <w:r>
        <w:rPr>
          <w:rStyle w:val="FootnoteReference"/>
        </w:rPr>
        <w:footnoteRef/>
      </w:r>
      <w:r>
        <w:t xml:space="preserve"> </w:t>
      </w:r>
      <w:proofErr w:type="spellStart"/>
      <w:r w:rsidRPr="00651D13">
        <w:t>Aldersley</w:t>
      </w:r>
      <w:proofErr w:type="spellEnd"/>
      <w:r w:rsidRPr="00651D13">
        <w:t xml:space="preserve"> </w:t>
      </w:r>
      <w:r w:rsidRPr="009800AB">
        <w:rPr>
          <w:i/>
        </w:rPr>
        <w:t>et al.,</w:t>
      </w:r>
      <w:r>
        <w:t xml:space="preserve"> 2</w:t>
      </w:r>
      <w:r w:rsidRPr="00651D13">
        <w:t>018</w:t>
      </w:r>
    </w:p>
  </w:footnote>
  <w:footnote w:id="621">
    <w:p w14:paraId="7C53E427" w14:textId="614DA386"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w:t>
      </w:r>
    </w:p>
  </w:footnote>
  <w:footnote w:id="622">
    <w:p w14:paraId="156C33BB" w14:textId="2E1EAC55" w:rsidR="00452DFD" w:rsidRDefault="00452DFD">
      <w:pPr>
        <w:pStyle w:val="FootnoteText"/>
      </w:pPr>
      <w:r>
        <w:rPr>
          <w:rStyle w:val="FootnoteReference"/>
        </w:rPr>
        <w:footnoteRef/>
      </w:r>
      <w:r>
        <w:t xml:space="preserve"> </w:t>
      </w:r>
      <w:r>
        <w:rPr>
          <w:lang w:eastAsia="en-IE"/>
        </w:rPr>
        <w:t xml:space="preserve">Kramer </w:t>
      </w:r>
      <w:r w:rsidRPr="009800AB">
        <w:rPr>
          <w:i/>
          <w:lang w:eastAsia="en-IE"/>
        </w:rPr>
        <w:t>et al.,</w:t>
      </w:r>
      <w:r>
        <w:rPr>
          <w:lang w:eastAsia="en-IE"/>
        </w:rPr>
        <w:t xml:space="preserve"> 2018</w:t>
      </w:r>
    </w:p>
  </w:footnote>
  <w:footnote w:id="623">
    <w:p w14:paraId="6BCF17AC" w14:textId="49D46703" w:rsidR="00452DFD" w:rsidRDefault="00452DFD">
      <w:pPr>
        <w:pStyle w:val="FootnoteText"/>
      </w:pPr>
      <w:r>
        <w:rPr>
          <w:rStyle w:val="FootnoteReference"/>
        </w:rPr>
        <w:footnoteRef/>
      </w:r>
      <w:r>
        <w:t xml:space="preserve"> Riches, O’Brien and CDS Inclusive Research Network, 2020</w:t>
      </w:r>
    </w:p>
  </w:footnote>
  <w:footnote w:id="624">
    <w:p w14:paraId="2FCC194A" w14:textId="3BD67D65" w:rsidR="00452DFD" w:rsidRDefault="00452DFD">
      <w:pPr>
        <w:pStyle w:val="FootnoteText"/>
      </w:pPr>
      <w:r>
        <w:rPr>
          <w:rStyle w:val="FootnoteReference"/>
        </w:rPr>
        <w:footnoteRef/>
      </w:r>
      <w:r>
        <w:t xml:space="preserve"> Salmon </w:t>
      </w:r>
      <w:r w:rsidRPr="00893777">
        <w:rPr>
          <w:i/>
        </w:rPr>
        <w:t>et al.,</w:t>
      </w:r>
      <w:r>
        <w:t xml:space="preserve"> 2018</w:t>
      </w:r>
    </w:p>
  </w:footnote>
  <w:footnote w:id="625">
    <w:p w14:paraId="5022752D" w14:textId="458290F2" w:rsidR="00452DFD" w:rsidRDefault="00452DFD">
      <w:pPr>
        <w:pStyle w:val="FootnoteText"/>
      </w:pPr>
      <w:r>
        <w:rPr>
          <w:rStyle w:val="FootnoteReference"/>
        </w:rPr>
        <w:footnoteRef/>
      </w:r>
      <w:r>
        <w:t xml:space="preserve"> Kramer </w:t>
      </w:r>
      <w:r w:rsidRPr="009800AB">
        <w:rPr>
          <w:i/>
        </w:rPr>
        <w:t>et al.,</w:t>
      </w:r>
      <w:r>
        <w:t xml:space="preserve"> 2018, </w:t>
      </w:r>
      <w:proofErr w:type="spellStart"/>
      <w:r>
        <w:t>Vlot</w:t>
      </w:r>
      <w:proofErr w:type="spellEnd"/>
      <w:r>
        <w:t xml:space="preserve">-van </w:t>
      </w:r>
      <w:proofErr w:type="spellStart"/>
      <w:r>
        <w:t>Anrooij</w:t>
      </w:r>
      <w:proofErr w:type="spellEnd"/>
      <w:r>
        <w:t xml:space="preserve"> </w:t>
      </w:r>
      <w:r w:rsidRPr="009800AB">
        <w:rPr>
          <w:i/>
        </w:rPr>
        <w:t>et al.,</w:t>
      </w:r>
      <w:r>
        <w:t xml:space="preserve"> 2018</w:t>
      </w:r>
    </w:p>
  </w:footnote>
  <w:footnote w:id="626">
    <w:p w14:paraId="31C825FE" w14:textId="30E2971A" w:rsidR="00452DFD" w:rsidRDefault="00452DFD">
      <w:pPr>
        <w:pStyle w:val="FootnoteText"/>
      </w:pPr>
      <w:r>
        <w:rPr>
          <w:rStyle w:val="FootnoteReference"/>
        </w:rPr>
        <w:footnoteRef/>
      </w:r>
      <w:r>
        <w:t xml:space="preserve"> </w:t>
      </w:r>
      <w:proofErr w:type="spellStart"/>
      <w:r>
        <w:t>Vlot</w:t>
      </w:r>
      <w:proofErr w:type="spellEnd"/>
      <w:r>
        <w:t xml:space="preserve">-van </w:t>
      </w:r>
      <w:proofErr w:type="spellStart"/>
      <w:r>
        <w:t>Anrooij</w:t>
      </w:r>
      <w:proofErr w:type="spellEnd"/>
      <w:r>
        <w:t xml:space="preserve"> </w:t>
      </w:r>
      <w:r w:rsidRPr="009800AB">
        <w:rPr>
          <w:i/>
        </w:rPr>
        <w:t>et al.,</w:t>
      </w:r>
      <w:r>
        <w:t xml:space="preserve"> 2018</w:t>
      </w:r>
    </w:p>
  </w:footnote>
  <w:footnote w:id="627">
    <w:p w14:paraId="14ECBDB4" w14:textId="3F404C4E" w:rsidR="00452DFD" w:rsidRDefault="00452DFD">
      <w:pPr>
        <w:pStyle w:val="FootnoteText"/>
      </w:pPr>
      <w:r>
        <w:rPr>
          <w:rStyle w:val="FootnoteReference"/>
        </w:rPr>
        <w:footnoteRef/>
      </w:r>
      <w:r>
        <w:t xml:space="preserve"> </w:t>
      </w:r>
      <w:r w:rsidRPr="0058672E">
        <w:t xml:space="preserve">Stevenson </w:t>
      </w:r>
      <w:r>
        <w:t>and</w:t>
      </w:r>
      <w:r w:rsidRPr="0058672E">
        <w:t xml:space="preserve"> Taylor, 2019</w:t>
      </w:r>
    </w:p>
  </w:footnote>
  <w:footnote w:id="628">
    <w:p w14:paraId="5CF2C895" w14:textId="0AC943DE" w:rsidR="00452DFD" w:rsidRDefault="00452DFD">
      <w:pPr>
        <w:pStyle w:val="FootnoteText"/>
      </w:pPr>
      <w:r>
        <w:rPr>
          <w:rStyle w:val="FootnoteReference"/>
        </w:rPr>
        <w:footnoteRef/>
      </w:r>
      <w:r>
        <w:t xml:space="preserve"> </w:t>
      </w:r>
      <w:r w:rsidRPr="009C1262">
        <w:t>Clark</w:t>
      </w:r>
      <w:r>
        <w:t>e</w:t>
      </w:r>
      <w:r w:rsidRPr="009C1262">
        <w:t xml:space="preserve"> </w:t>
      </w:r>
      <w:r w:rsidRPr="009800AB">
        <w:rPr>
          <w:i/>
        </w:rPr>
        <w:t>et al.,</w:t>
      </w:r>
      <w:r>
        <w:t xml:space="preserve"> 2018, Riches, O’Brien and CDS Inclusive Research Network, 2020</w:t>
      </w:r>
    </w:p>
  </w:footnote>
  <w:footnote w:id="629">
    <w:p w14:paraId="706651AB" w14:textId="508F8B9A" w:rsidR="00452DFD" w:rsidRDefault="00452DFD">
      <w:pPr>
        <w:pStyle w:val="FootnoteText"/>
      </w:pPr>
      <w:r>
        <w:rPr>
          <w:rStyle w:val="FootnoteReference"/>
        </w:rPr>
        <w:footnoteRef/>
      </w:r>
      <w:r>
        <w:t xml:space="preserve"> Clarke </w:t>
      </w:r>
      <w:r w:rsidRPr="009800AB">
        <w:rPr>
          <w:i/>
        </w:rPr>
        <w:t>et al.,</w:t>
      </w:r>
      <w:r>
        <w:t xml:space="preserve"> 2018</w:t>
      </w:r>
    </w:p>
  </w:footnote>
  <w:footnote w:id="630">
    <w:p w14:paraId="44767FCE" w14:textId="3ACD774C" w:rsidR="00452DFD" w:rsidRDefault="00452DFD">
      <w:pPr>
        <w:pStyle w:val="FootnoteText"/>
      </w:pPr>
      <w:r>
        <w:rPr>
          <w:rStyle w:val="FootnoteReference"/>
        </w:rPr>
        <w:footnoteRef/>
      </w:r>
      <w:r>
        <w:t xml:space="preserve"> </w:t>
      </w:r>
      <w:proofErr w:type="spellStart"/>
      <w:r w:rsidRPr="008E054D">
        <w:t>Frankena</w:t>
      </w:r>
      <w:proofErr w:type="spellEnd"/>
      <w:r w:rsidRPr="008E054D">
        <w:t xml:space="preserve"> </w:t>
      </w:r>
      <w:r w:rsidRPr="009800AB">
        <w:rPr>
          <w:i/>
        </w:rPr>
        <w:t>et al.,</w:t>
      </w:r>
      <w:r>
        <w:t xml:space="preserve"> 2</w:t>
      </w:r>
      <w:r w:rsidRPr="008E054D">
        <w:t>019b</w:t>
      </w:r>
    </w:p>
  </w:footnote>
  <w:footnote w:id="631">
    <w:p w14:paraId="6B28A6A1" w14:textId="2FFCB2E7" w:rsidR="00452DFD" w:rsidRDefault="00452DFD">
      <w:pPr>
        <w:pStyle w:val="FootnoteText"/>
      </w:pPr>
      <w:r>
        <w:rPr>
          <w:rStyle w:val="FootnoteReference"/>
        </w:rPr>
        <w:footnoteRef/>
      </w:r>
      <w:r>
        <w:t xml:space="preserve"> </w:t>
      </w:r>
      <w:r w:rsidRPr="009C1262">
        <w:rPr>
          <w:rFonts w:cs="Calibri"/>
          <w:color w:val="000000"/>
          <w:lang w:eastAsia="en-IE"/>
        </w:rPr>
        <w:t>Clark</w:t>
      </w:r>
      <w:r>
        <w:rPr>
          <w:rFonts w:cs="Calibri"/>
          <w:color w:val="000000"/>
          <w:lang w:eastAsia="en-IE"/>
        </w:rPr>
        <w:t>e</w:t>
      </w:r>
      <w:r w:rsidRPr="009C1262">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2018</w:t>
      </w:r>
    </w:p>
  </w:footnote>
  <w:footnote w:id="632">
    <w:p w14:paraId="1241B848" w14:textId="6CE36016" w:rsidR="00452DFD" w:rsidRDefault="00452DFD">
      <w:pPr>
        <w:pStyle w:val="FootnoteText"/>
      </w:pPr>
      <w:r>
        <w:rPr>
          <w:rStyle w:val="FootnoteReference"/>
        </w:rPr>
        <w:footnoteRef/>
      </w:r>
      <w:r>
        <w:t xml:space="preserve"> </w:t>
      </w:r>
      <w:r w:rsidRPr="00A17E28">
        <w:rPr>
          <w:rFonts w:cs="Calibri"/>
          <w:color w:val="000000"/>
          <w:lang w:eastAsia="en-IE"/>
        </w:rPr>
        <w:t xml:space="preserve">Stevenson </w:t>
      </w:r>
      <w:r>
        <w:rPr>
          <w:rFonts w:cs="Calibri"/>
          <w:color w:val="000000"/>
          <w:lang w:eastAsia="en-IE"/>
        </w:rPr>
        <w:t>and</w:t>
      </w:r>
      <w:r w:rsidRPr="00A17E28">
        <w:rPr>
          <w:rFonts w:cs="Calibri"/>
          <w:color w:val="000000"/>
          <w:lang w:eastAsia="en-IE"/>
        </w:rPr>
        <w:t xml:space="preserve"> Taylor, 2019</w:t>
      </w:r>
    </w:p>
  </w:footnote>
  <w:footnote w:id="633">
    <w:p w14:paraId="4F863644" w14:textId="0D159881" w:rsidR="00452DFD" w:rsidRDefault="00452DFD">
      <w:pPr>
        <w:pStyle w:val="FootnoteText"/>
      </w:pPr>
      <w:r>
        <w:rPr>
          <w:rStyle w:val="FootnoteReference"/>
        </w:rPr>
        <w:footnoteRef/>
      </w:r>
      <w:r>
        <w:t xml:space="preserve"> </w:t>
      </w:r>
      <w:proofErr w:type="spellStart"/>
      <w:r w:rsidRPr="00252E17">
        <w:rPr>
          <w:lang w:eastAsia="en-IE"/>
        </w:rPr>
        <w:t>Morbey</w:t>
      </w:r>
      <w:proofErr w:type="spellEnd"/>
      <w:r w:rsidRPr="00252E17">
        <w:rPr>
          <w:lang w:eastAsia="en-IE"/>
        </w:rPr>
        <w:t xml:space="preserve"> </w:t>
      </w:r>
      <w:r w:rsidRPr="009800AB">
        <w:rPr>
          <w:i/>
          <w:lang w:eastAsia="en-IE"/>
        </w:rPr>
        <w:t>et al.,</w:t>
      </w:r>
      <w:r>
        <w:rPr>
          <w:lang w:eastAsia="en-IE"/>
        </w:rPr>
        <w:t xml:space="preserve"> 2019</w:t>
      </w:r>
    </w:p>
  </w:footnote>
  <w:footnote w:id="634">
    <w:p w14:paraId="0C04D7F5" w14:textId="6EAE42AA" w:rsidR="00452DFD" w:rsidRDefault="00452DFD">
      <w:pPr>
        <w:pStyle w:val="FootnoteText"/>
      </w:pPr>
      <w:r>
        <w:rPr>
          <w:rStyle w:val="FootnoteReference"/>
        </w:rPr>
        <w:footnoteRef/>
      </w:r>
      <w:r>
        <w:t xml:space="preserve"> Hollinrake, Spencer and Dix, 2019</w:t>
      </w:r>
    </w:p>
  </w:footnote>
  <w:footnote w:id="635">
    <w:p w14:paraId="2FE13924" w14:textId="79967725" w:rsidR="00452DFD" w:rsidRDefault="00452DFD">
      <w:pPr>
        <w:pStyle w:val="FootnoteText"/>
      </w:pPr>
      <w:r>
        <w:rPr>
          <w:rStyle w:val="FootnoteReference"/>
        </w:rPr>
        <w:footnoteRef/>
      </w:r>
      <w:r>
        <w:t xml:space="preserve"> </w:t>
      </w:r>
      <w:proofErr w:type="spellStart"/>
      <w:r>
        <w:t>Chown</w:t>
      </w:r>
      <w:proofErr w:type="spellEnd"/>
      <w:r>
        <w:t xml:space="preserve"> </w:t>
      </w:r>
      <w:r w:rsidRPr="009800AB">
        <w:rPr>
          <w:i/>
        </w:rPr>
        <w:t>et al.,</w:t>
      </w:r>
      <w:r>
        <w:t xml:space="preserve"> 2017, </w:t>
      </w:r>
      <w:proofErr w:type="spellStart"/>
      <w:r>
        <w:t>Frankena</w:t>
      </w:r>
      <w:proofErr w:type="spellEnd"/>
      <w:r>
        <w:t xml:space="preserve"> </w:t>
      </w:r>
      <w:r w:rsidRPr="009800AB">
        <w:rPr>
          <w:i/>
        </w:rPr>
        <w:t>et al.,</w:t>
      </w:r>
      <w:r>
        <w:t xml:space="preserve"> 2019a, Hollinrake, Spencer and Dix, 2019</w:t>
      </w:r>
      <w:r w:rsidRPr="000613D8">
        <w:t xml:space="preserve">, </w:t>
      </w:r>
      <w:r w:rsidRPr="0058672E">
        <w:t xml:space="preserve">Stevenson </w:t>
      </w:r>
      <w:r>
        <w:t>and</w:t>
      </w:r>
      <w:r w:rsidRPr="0058672E">
        <w:t xml:space="preserve"> Taylor, 2019</w:t>
      </w:r>
      <w:r>
        <w:t xml:space="preserve">, </w:t>
      </w:r>
      <w:proofErr w:type="spellStart"/>
      <w:r>
        <w:t>Vlot</w:t>
      </w:r>
      <w:proofErr w:type="spellEnd"/>
      <w:r>
        <w:t xml:space="preserve">-van </w:t>
      </w:r>
      <w:proofErr w:type="spellStart"/>
      <w:r>
        <w:t>Anrooij</w:t>
      </w:r>
      <w:proofErr w:type="spellEnd"/>
      <w:r>
        <w:t xml:space="preserve"> </w:t>
      </w:r>
      <w:r w:rsidRPr="009800AB">
        <w:rPr>
          <w:i/>
        </w:rPr>
        <w:t>et al.,</w:t>
      </w:r>
      <w:r>
        <w:t xml:space="preserve"> 2018,</w:t>
      </w:r>
    </w:p>
  </w:footnote>
  <w:footnote w:id="636">
    <w:p w14:paraId="06742E5C" w14:textId="0A2C3F95" w:rsidR="00452DFD" w:rsidRDefault="00452DFD">
      <w:pPr>
        <w:pStyle w:val="FootnoteText"/>
      </w:pPr>
      <w:r>
        <w:rPr>
          <w:rStyle w:val="FootnoteReference"/>
        </w:rPr>
        <w:footnoteRef/>
      </w:r>
      <w:r>
        <w:t xml:space="preserve"> </w:t>
      </w:r>
      <w:r w:rsidRPr="00CA6CAB">
        <w:t>A Community of Inquiry is a 10-step approach  to generating questions and facilitating discussion in response to a stimulus.</w:t>
      </w:r>
    </w:p>
  </w:footnote>
  <w:footnote w:id="637">
    <w:p w14:paraId="4B718D02" w14:textId="69203191" w:rsidR="00452DFD" w:rsidRDefault="00452DFD">
      <w:pPr>
        <w:pStyle w:val="FootnoteText"/>
      </w:pPr>
      <w:r>
        <w:rPr>
          <w:rStyle w:val="FootnoteReference"/>
        </w:rPr>
        <w:footnoteRef/>
      </w:r>
      <w:r>
        <w:t xml:space="preserve"> Disability Wales, 2019</w:t>
      </w:r>
    </w:p>
  </w:footnote>
  <w:footnote w:id="638">
    <w:p w14:paraId="324F1C7A" w14:textId="71B49B32" w:rsidR="00452DFD" w:rsidRDefault="00452DFD">
      <w:pPr>
        <w:pStyle w:val="FootnoteText"/>
      </w:pPr>
      <w:r>
        <w:rPr>
          <w:rStyle w:val="FootnoteReference"/>
        </w:rPr>
        <w:footnoteRef/>
      </w:r>
      <w:r>
        <w:t xml:space="preserve"> </w:t>
      </w:r>
      <w:r w:rsidRPr="009E785B">
        <w:t xml:space="preserve">Best </w:t>
      </w:r>
      <w:r w:rsidRPr="009800AB">
        <w:rPr>
          <w:i/>
        </w:rPr>
        <w:t>et al.,</w:t>
      </w:r>
      <w:r>
        <w:t xml:space="preserve"> </w:t>
      </w:r>
      <w:r w:rsidRPr="009E785B">
        <w:t>2017</w:t>
      </w:r>
      <w:r>
        <w:rPr>
          <w:i/>
          <w:color w:val="ED7D31" w:themeColor="accent2"/>
        </w:rPr>
        <w:t xml:space="preserve"> </w:t>
      </w:r>
      <w:r w:rsidRPr="007E5478">
        <w:t xml:space="preserve">cited in </w:t>
      </w:r>
      <w:r w:rsidRPr="00AA24B2">
        <w:t xml:space="preserve">McCartan </w:t>
      </w:r>
      <w:r w:rsidRPr="009800AB">
        <w:rPr>
          <w:i/>
        </w:rPr>
        <w:t>et al.,</w:t>
      </w:r>
      <w:r>
        <w:t xml:space="preserve"> 2</w:t>
      </w:r>
      <w:r w:rsidRPr="00AA24B2">
        <w:t>019</w:t>
      </w:r>
    </w:p>
  </w:footnote>
  <w:footnote w:id="639">
    <w:p w14:paraId="23A4BCEA" w14:textId="3E88E061" w:rsidR="00452DFD" w:rsidRDefault="00452DFD">
      <w:pPr>
        <w:pStyle w:val="FootnoteText"/>
      </w:pPr>
      <w:r>
        <w:rPr>
          <w:rStyle w:val="FootnoteReference"/>
        </w:rPr>
        <w:footnoteRef/>
      </w:r>
      <w:r>
        <w:t xml:space="preserve"> Stanley </w:t>
      </w:r>
      <w:r w:rsidRPr="009800AB">
        <w:rPr>
          <w:i/>
        </w:rPr>
        <w:t>et al.,</w:t>
      </w:r>
      <w:r>
        <w:t xml:space="preserve"> 2019</w:t>
      </w:r>
    </w:p>
  </w:footnote>
  <w:footnote w:id="640">
    <w:p w14:paraId="5C0B3C24" w14:textId="4992D983" w:rsidR="00452DFD" w:rsidRDefault="00452DFD">
      <w:pPr>
        <w:pStyle w:val="FootnoteText"/>
      </w:pPr>
      <w:r>
        <w:rPr>
          <w:rStyle w:val="FootnoteReference"/>
        </w:rPr>
        <w:footnoteRef/>
      </w:r>
      <w:r>
        <w:t xml:space="preserve"> This involves using photos/images to capture and express people’s insights, perspectives, and realities.</w:t>
      </w:r>
    </w:p>
  </w:footnote>
  <w:footnote w:id="641">
    <w:p w14:paraId="3E8B1CEE" w14:textId="4A0E5923" w:rsidR="00452DFD" w:rsidRDefault="00452DFD">
      <w:pPr>
        <w:pStyle w:val="FootnoteText"/>
      </w:pPr>
      <w:r>
        <w:rPr>
          <w:rStyle w:val="FootnoteReference"/>
        </w:rPr>
        <w:footnoteRef/>
      </w:r>
      <w:r>
        <w:t xml:space="preserve"> Vega-Cordova </w:t>
      </w:r>
      <w:r w:rsidRPr="009800AB">
        <w:rPr>
          <w:i/>
        </w:rPr>
        <w:t>et al.,</w:t>
      </w:r>
      <w:r>
        <w:t xml:space="preserve"> 2020</w:t>
      </w:r>
    </w:p>
  </w:footnote>
  <w:footnote w:id="642">
    <w:p w14:paraId="0D6CFC13" w14:textId="45D30006" w:rsidR="00452DFD" w:rsidRDefault="00452DFD">
      <w:pPr>
        <w:pStyle w:val="FootnoteText"/>
      </w:pPr>
      <w:r>
        <w:rPr>
          <w:rStyle w:val="FootnoteReference"/>
        </w:rPr>
        <w:footnoteRef/>
      </w:r>
      <w:r>
        <w:t xml:space="preserve"> </w:t>
      </w:r>
      <w:r w:rsidRPr="00252E17">
        <w:t xml:space="preserve">Jennings </w:t>
      </w:r>
      <w:r w:rsidRPr="009800AB">
        <w:rPr>
          <w:i/>
        </w:rPr>
        <w:t>et al.,</w:t>
      </w:r>
      <w:r>
        <w:t xml:space="preserve"> 2018</w:t>
      </w:r>
    </w:p>
  </w:footnote>
  <w:footnote w:id="643">
    <w:p w14:paraId="5FF789C9" w14:textId="124E7BF7" w:rsidR="00452DFD" w:rsidRDefault="00452DFD">
      <w:pPr>
        <w:pStyle w:val="FootnoteText"/>
      </w:pPr>
      <w:r>
        <w:rPr>
          <w:rStyle w:val="FootnoteReference"/>
        </w:rPr>
        <w:footnoteRef/>
      </w:r>
      <w:r>
        <w:t xml:space="preserve"> </w:t>
      </w:r>
      <w:r w:rsidRPr="00252E17">
        <w:t xml:space="preserve">Jennings </w:t>
      </w:r>
      <w:r w:rsidRPr="009800AB">
        <w:rPr>
          <w:i/>
        </w:rPr>
        <w:t>et al.,</w:t>
      </w:r>
      <w:r>
        <w:t xml:space="preserve"> 2018</w:t>
      </w:r>
    </w:p>
  </w:footnote>
  <w:footnote w:id="644">
    <w:p w14:paraId="28E3627B" w14:textId="30C1AF39" w:rsidR="00452DFD" w:rsidRDefault="00452DFD">
      <w:pPr>
        <w:pStyle w:val="FootnoteText"/>
      </w:pPr>
      <w:r>
        <w:rPr>
          <w:rStyle w:val="FootnoteReference"/>
        </w:rPr>
        <w:footnoteRef/>
      </w:r>
      <w:r>
        <w:t xml:space="preserve"> </w:t>
      </w:r>
      <w:r>
        <w:rPr>
          <w:rFonts w:cs="Calibri"/>
          <w:color w:val="000000"/>
          <w:lang w:eastAsia="en-IE"/>
        </w:rPr>
        <w:t xml:space="preserve">Tanner, 2012 cited in </w:t>
      </w:r>
      <w:r w:rsidRPr="00E03BF7">
        <w:rPr>
          <w:rFonts w:cs="Calibri"/>
          <w:color w:val="000000"/>
          <w:lang w:eastAsia="en-IE"/>
        </w:rPr>
        <w:t xml:space="preserve">Stevenson </w:t>
      </w:r>
      <w:r>
        <w:rPr>
          <w:rFonts w:cs="Calibri"/>
          <w:color w:val="000000"/>
          <w:lang w:eastAsia="en-IE"/>
        </w:rPr>
        <w:t>and</w:t>
      </w:r>
      <w:r w:rsidRPr="00E03BF7">
        <w:rPr>
          <w:rFonts w:cs="Calibri"/>
          <w:color w:val="000000"/>
          <w:lang w:eastAsia="en-IE"/>
        </w:rPr>
        <w:t xml:space="preserve"> Taylor, 2019</w:t>
      </w:r>
      <w:r>
        <w:rPr>
          <w:rFonts w:cs="Calibri"/>
          <w:color w:val="000000"/>
          <w:lang w:eastAsia="en-IE"/>
        </w:rPr>
        <w:t xml:space="preserve">, </w:t>
      </w:r>
      <w:proofErr w:type="spellStart"/>
      <w:r w:rsidRPr="00252E17">
        <w:rPr>
          <w:rFonts w:cs="Calibri"/>
          <w:color w:val="000000"/>
          <w:lang w:eastAsia="en-IE"/>
        </w:rPr>
        <w:t>Tuffrey</w:t>
      </w:r>
      <w:r w:rsidRPr="00252E17">
        <w:rPr>
          <w:rFonts w:ascii="Cambria Math" w:hAnsi="Cambria Math" w:cs="Cambria Math"/>
          <w:color w:val="000000"/>
          <w:lang w:eastAsia="en-IE"/>
        </w:rPr>
        <w:t>‐</w:t>
      </w:r>
      <w:r w:rsidRPr="00252E17">
        <w:rPr>
          <w:rFonts w:cs="Calibri"/>
          <w:color w:val="000000"/>
          <w:lang w:eastAsia="en-IE"/>
        </w:rPr>
        <w:t>Wijne</w:t>
      </w:r>
      <w:proofErr w:type="spellEnd"/>
      <w:r w:rsidRPr="00252E17">
        <w:rPr>
          <w:rFonts w:cs="Calibri"/>
          <w:color w:val="000000"/>
          <w:lang w:eastAsia="en-IE"/>
        </w:rPr>
        <w:t xml:space="preserve"> </w:t>
      </w:r>
      <w:r>
        <w:rPr>
          <w:rFonts w:cs="Calibri"/>
          <w:color w:val="000000"/>
          <w:lang w:eastAsia="en-IE"/>
        </w:rPr>
        <w:t>and</w:t>
      </w:r>
      <w:r w:rsidRPr="00252E17">
        <w:rPr>
          <w:rFonts w:cs="Calibri"/>
          <w:color w:val="000000"/>
          <w:lang w:eastAsia="en-IE"/>
        </w:rPr>
        <w:t xml:space="preserve"> </w:t>
      </w:r>
      <w:r>
        <w:rPr>
          <w:rFonts w:cs="Calibri"/>
          <w:color w:val="000000"/>
          <w:lang w:eastAsia="en-IE"/>
        </w:rPr>
        <w:t xml:space="preserve">Butler, 2010 cited in </w:t>
      </w:r>
      <w:r w:rsidRPr="00E03BF7">
        <w:rPr>
          <w:rFonts w:cs="Calibri"/>
          <w:color w:val="000000"/>
          <w:lang w:eastAsia="en-IE"/>
        </w:rPr>
        <w:t xml:space="preserve">Stevenson </w:t>
      </w:r>
      <w:r>
        <w:rPr>
          <w:rFonts w:cs="Calibri"/>
          <w:color w:val="000000"/>
          <w:lang w:eastAsia="en-IE"/>
        </w:rPr>
        <w:t>and</w:t>
      </w:r>
      <w:r w:rsidRPr="00E03BF7">
        <w:rPr>
          <w:rFonts w:cs="Calibri"/>
          <w:color w:val="000000"/>
          <w:lang w:eastAsia="en-IE"/>
        </w:rPr>
        <w:t xml:space="preserve"> Taylor, 2019</w:t>
      </w:r>
    </w:p>
  </w:footnote>
  <w:footnote w:id="645">
    <w:p w14:paraId="2F3B7CA0" w14:textId="2A1EB50C" w:rsidR="00452DFD" w:rsidRDefault="00452DFD">
      <w:pPr>
        <w:pStyle w:val="FootnoteText"/>
      </w:pPr>
      <w:r>
        <w:rPr>
          <w:rStyle w:val="FootnoteReference"/>
        </w:rPr>
        <w:footnoteRef/>
      </w:r>
      <w:r>
        <w:t xml:space="preserve"> Ashcroft </w:t>
      </w:r>
      <w:r w:rsidRPr="009800AB">
        <w:rPr>
          <w:i/>
        </w:rPr>
        <w:t>et al.,</w:t>
      </w:r>
      <w:r>
        <w:t xml:space="preserve"> 2016</w:t>
      </w:r>
    </w:p>
  </w:footnote>
  <w:footnote w:id="646">
    <w:p w14:paraId="4ADEA3C7" w14:textId="28A38FB6" w:rsidR="00452DFD" w:rsidRDefault="00452DFD">
      <w:pPr>
        <w:pStyle w:val="FootnoteText"/>
      </w:pPr>
      <w:r>
        <w:rPr>
          <w:rStyle w:val="FootnoteReference"/>
        </w:rPr>
        <w:footnoteRef/>
      </w:r>
      <w:r>
        <w:t xml:space="preserve"> </w:t>
      </w:r>
      <w:r>
        <w:rPr>
          <w:szCs w:val="26"/>
          <w:lang w:eastAsia="en-IE"/>
        </w:rPr>
        <w:t xml:space="preserve">Butler </w:t>
      </w:r>
      <w:r w:rsidRPr="009800AB">
        <w:rPr>
          <w:i/>
          <w:szCs w:val="26"/>
          <w:lang w:eastAsia="en-IE"/>
        </w:rPr>
        <w:t>et al.,</w:t>
      </w:r>
      <w:r>
        <w:rPr>
          <w:szCs w:val="26"/>
          <w:lang w:eastAsia="en-IE"/>
        </w:rPr>
        <w:t xml:space="preserve"> 2020,</w:t>
      </w:r>
      <w:r w:rsidRPr="00362183">
        <w:rPr>
          <w:szCs w:val="26"/>
          <w:lang w:eastAsia="en-IE"/>
        </w:rPr>
        <w:t xml:space="preserve"> </w:t>
      </w:r>
      <w:proofErr w:type="spellStart"/>
      <w:r w:rsidRPr="00362183">
        <w:rPr>
          <w:szCs w:val="26"/>
          <w:lang w:eastAsia="en-IE"/>
        </w:rPr>
        <w:t>ImaYDiT</w:t>
      </w:r>
      <w:proofErr w:type="spellEnd"/>
      <w:r>
        <w:rPr>
          <w:szCs w:val="26"/>
          <w:lang w:eastAsia="en-IE"/>
        </w:rPr>
        <w:t>,</w:t>
      </w:r>
      <w:r w:rsidRPr="00362183">
        <w:rPr>
          <w:szCs w:val="26"/>
          <w:lang w:eastAsia="en-IE"/>
        </w:rPr>
        <w:t xml:space="preserve"> 2018, King </w:t>
      </w:r>
      <w:r w:rsidRPr="009800AB">
        <w:rPr>
          <w:i/>
          <w:szCs w:val="26"/>
          <w:lang w:eastAsia="en-IE"/>
        </w:rPr>
        <w:t>et al.,</w:t>
      </w:r>
      <w:r>
        <w:rPr>
          <w:szCs w:val="26"/>
          <w:lang w:eastAsia="en-IE"/>
        </w:rPr>
        <w:t xml:space="preserve"> 2</w:t>
      </w:r>
      <w:r w:rsidRPr="00362183">
        <w:rPr>
          <w:szCs w:val="26"/>
          <w:lang w:eastAsia="en-IE"/>
        </w:rPr>
        <w:t xml:space="preserve">019, Callus, 2019, Davidson </w:t>
      </w:r>
      <w:r w:rsidRPr="009800AB">
        <w:rPr>
          <w:i/>
          <w:szCs w:val="26"/>
          <w:lang w:eastAsia="en-IE"/>
        </w:rPr>
        <w:t>et al.,</w:t>
      </w:r>
      <w:r>
        <w:rPr>
          <w:szCs w:val="26"/>
          <w:lang w:eastAsia="en-IE"/>
        </w:rPr>
        <w:t xml:space="preserve"> 2</w:t>
      </w:r>
      <w:r w:rsidRPr="00362183">
        <w:rPr>
          <w:szCs w:val="26"/>
          <w:lang w:eastAsia="en-IE"/>
        </w:rPr>
        <w:t>018</w:t>
      </w:r>
      <w:r>
        <w:rPr>
          <w:szCs w:val="26"/>
          <w:lang w:eastAsia="en-IE"/>
        </w:rPr>
        <w:t xml:space="preserve">, </w:t>
      </w:r>
      <w:proofErr w:type="spellStart"/>
      <w:r>
        <w:rPr>
          <w:szCs w:val="26"/>
          <w:lang w:eastAsia="en-IE"/>
        </w:rPr>
        <w:t>Maw</w:t>
      </w:r>
      <w:r w:rsidRPr="00362183">
        <w:rPr>
          <w:szCs w:val="26"/>
          <w:lang w:eastAsia="en-IE"/>
        </w:rPr>
        <w:t>n</w:t>
      </w:r>
      <w:proofErr w:type="spellEnd"/>
      <w:r w:rsidRPr="00362183">
        <w:rPr>
          <w:szCs w:val="26"/>
          <w:lang w:eastAsia="en-IE"/>
        </w:rPr>
        <w:t xml:space="preserve"> </w:t>
      </w:r>
      <w:r w:rsidRPr="009800AB">
        <w:rPr>
          <w:i/>
          <w:szCs w:val="26"/>
          <w:lang w:eastAsia="en-IE"/>
        </w:rPr>
        <w:t>et al.,</w:t>
      </w:r>
      <w:r>
        <w:rPr>
          <w:szCs w:val="26"/>
          <w:lang w:eastAsia="en-IE"/>
        </w:rPr>
        <w:t xml:space="preserve"> 2</w:t>
      </w:r>
      <w:r w:rsidRPr="00362183">
        <w:rPr>
          <w:szCs w:val="26"/>
          <w:lang w:eastAsia="en-IE"/>
        </w:rPr>
        <w:t xml:space="preserve">015, </w:t>
      </w:r>
      <w:r>
        <w:rPr>
          <w:szCs w:val="26"/>
          <w:lang w:eastAsia="en-IE"/>
        </w:rPr>
        <w:t xml:space="preserve">Salmon </w:t>
      </w:r>
      <w:r w:rsidRPr="00893777">
        <w:rPr>
          <w:i/>
          <w:szCs w:val="26"/>
          <w:lang w:eastAsia="en-IE"/>
        </w:rPr>
        <w:t>et al.,</w:t>
      </w:r>
      <w:r>
        <w:rPr>
          <w:szCs w:val="26"/>
          <w:lang w:eastAsia="en-IE"/>
        </w:rPr>
        <w:t xml:space="preserve"> 2018,</w:t>
      </w:r>
      <w:r w:rsidRPr="00362183">
        <w:rPr>
          <w:szCs w:val="26"/>
          <w:lang w:eastAsia="en-IE"/>
        </w:rPr>
        <w:t xml:space="preserve"> Tilly </w:t>
      </w:r>
      <w:r w:rsidRPr="009800AB">
        <w:rPr>
          <w:i/>
          <w:szCs w:val="26"/>
          <w:lang w:eastAsia="en-IE"/>
        </w:rPr>
        <w:t>et al.,</w:t>
      </w:r>
      <w:r>
        <w:rPr>
          <w:szCs w:val="26"/>
          <w:lang w:eastAsia="en-IE"/>
        </w:rPr>
        <w:t xml:space="preserve"> 2</w:t>
      </w:r>
      <w:r w:rsidRPr="00362183">
        <w:rPr>
          <w:szCs w:val="26"/>
          <w:lang w:eastAsia="en-IE"/>
        </w:rPr>
        <w:t xml:space="preserve">015, Van </w:t>
      </w:r>
      <w:proofErr w:type="spellStart"/>
      <w:r w:rsidRPr="00362183">
        <w:rPr>
          <w:szCs w:val="26"/>
          <w:lang w:eastAsia="en-IE"/>
        </w:rPr>
        <w:t>Schelven</w:t>
      </w:r>
      <w:proofErr w:type="spellEnd"/>
      <w:r w:rsidRPr="00362183">
        <w:rPr>
          <w:szCs w:val="26"/>
          <w:lang w:eastAsia="en-IE"/>
        </w:rPr>
        <w:t xml:space="preserve"> </w:t>
      </w:r>
      <w:r w:rsidRPr="009800AB">
        <w:rPr>
          <w:i/>
          <w:szCs w:val="26"/>
          <w:lang w:eastAsia="en-IE"/>
        </w:rPr>
        <w:t>et al.,</w:t>
      </w:r>
      <w:r>
        <w:rPr>
          <w:szCs w:val="26"/>
          <w:lang w:eastAsia="en-IE"/>
        </w:rPr>
        <w:t xml:space="preserve"> 2</w:t>
      </w:r>
      <w:r w:rsidRPr="004429B3">
        <w:rPr>
          <w:szCs w:val="26"/>
          <w:lang w:eastAsia="en-IE"/>
        </w:rPr>
        <w:t>020b</w:t>
      </w:r>
      <w:r>
        <w:rPr>
          <w:szCs w:val="26"/>
          <w:lang w:eastAsia="en-IE"/>
        </w:rPr>
        <w:t>,</w:t>
      </w:r>
      <w:r w:rsidRPr="00BA19D9">
        <w:rPr>
          <w:szCs w:val="26"/>
          <w:lang w:eastAsia="en-IE"/>
        </w:rPr>
        <w:t xml:space="preserve"> </w:t>
      </w:r>
      <w:r w:rsidRPr="00362183">
        <w:rPr>
          <w:szCs w:val="26"/>
          <w:lang w:eastAsia="en-IE"/>
        </w:rPr>
        <w:t xml:space="preserve">Vega Cordova </w:t>
      </w:r>
      <w:r w:rsidRPr="009800AB">
        <w:rPr>
          <w:i/>
          <w:szCs w:val="26"/>
          <w:lang w:eastAsia="en-IE"/>
        </w:rPr>
        <w:t>et al.,</w:t>
      </w:r>
      <w:r>
        <w:rPr>
          <w:szCs w:val="26"/>
          <w:lang w:eastAsia="en-IE"/>
        </w:rPr>
        <w:t xml:space="preserve"> 2020</w:t>
      </w:r>
    </w:p>
  </w:footnote>
  <w:footnote w:id="647">
    <w:p w14:paraId="5549ED88" w14:textId="76DFF7EB" w:rsidR="00452DFD" w:rsidRDefault="00452DFD">
      <w:pPr>
        <w:pStyle w:val="FootnoteText"/>
      </w:pPr>
      <w:r>
        <w:rPr>
          <w:rStyle w:val="FootnoteReference"/>
        </w:rPr>
        <w:footnoteRef/>
      </w:r>
      <w:r>
        <w:t xml:space="preserve"> Rojas </w:t>
      </w:r>
      <w:proofErr w:type="spellStart"/>
      <w:r>
        <w:rPr>
          <w:szCs w:val="26"/>
        </w:rPr>
        <w:t>Pernia</w:t>
      </w:r>
      <w:proofErr w:type="spellEnd"/>
      <w:r>
        <w:rPr>
          <w:szCs w:val="26"/>
        </w:rPr>
        <w:t xml:space="preserve"> </w:t>
      </w:r>
      <w:r w:rsidRPr="009800AB">
        <w:rPr>
          <w:i/>
          <w:szCs w:val="26"/>
        </w:rPr>
        <w:t>et al.,</w:t>
      </w:r>
      <w:r>
        <w:rPr>
          <w:szCs w:val="26"/>
        </w:rPr>
        <w:t xml:space="preserve"> 2020, Tilly </w:t>
      </w:r>
      <w:r w:rsidRPr="009800AB">
        <w:rPr>
          <w:i/>
          <w:szCs w:val="26"/>
        </w:rPr>
        <w:t>et al.,</w:t>
      </w:r>
      <w:r>
        <w:rPr>
          <w:szCs w:val="26"/>
        </w:rPr>
        <w:t xml:space="preserve"> 2015</w:t>
      </w:r>
    </w:p>
  </w:footnote>
  <w:footnote w:id="648">
    <w:p w14:paraId="3A9DE6FC" w14:textId="65694556" w:rsidR="00452DFD" w:rsidRDefault="00452DFD">
      <w:pPr>
        <w:pStyle w:val="FootnoteText"/>
      </w:pPr>
      <w:r>
        <w:rPr>
          <w:rStyle w:val="FootnoteReference"/>
        </w:rPr>
        <w:footnoteRef/>
      </w:r>
      <w:r>
        <w:t xml:space="preserve"> </w:t>
      </w:r>
      <w:r w:rsidRPr="004429B3">
        <w:rPr>
          <w:rFonts w:cs="Calibri"/>
          <w:bCs/>
          <w:color w:val="000000"/>
          <w:lang w:eastAsia="en-IE"/>
        </w:rPr>
        <w:t xml:space="preserve">Dewa </w:t>
      </w:r>
      <w:r w:rsidRPr="009800AB">
        <w:rPr>
          <w:rFonts w:cs="Calibri"/>
          <w:bCs/>
          <w:i/>
          <w:color w:val="000000"/>
          <w:lang w:eastAsia="en-IE"/>
        </w:rPr>
        <w:t>et al.,</w:t>
      </w:r>
      <w:r>
        <w:rPr>
          <w:rFonts w:cs="Calibri"/>
          <w:bCs/>
          <w:color w:val="000000"/>
          <w:lang w:eastAsia="en-IE"/>
        </w:rPr>
        <w:t xml:space="preserve"> 2020,</w:t>
      </w:r>
      <w:r w:rsidRPr="004429B3">
        <w:rPr>
          <w:rFonts w:cs="Calibri"/>
          <w:bCs/>
          <w:color w:val="000000"/>
          <w:lang w:eastAsia="en-IE"/>
        </w:rPr>
        <w:t xml:space="preserve"> </w:t>
      </w:r>
      <w:proofErr w:type="spellStart"/>
      <w:r w:rsidRPr="004429B3">
        <w:rPr>
          <w:rFonts w:cs="Calibri"/>
          <w:bCs/>
          <w:color w:val="000000"/>
          <w:lang w:eastAsia="en-IE"/>
        </w:rPr>
        <w:t>Goeman</w:t>
      </w:r>
      <w:proofErr w:type="spellEnd"/>
      <w:r w:rsidRPr="004429B3">
        <w:rPr>
          <w:rFonts w:cs="Calibri"/>
          <w:bCs/>
          <w:color w:val="000000"/>
          <w:lang w:eastAsia="en-IE"/>
        </w:rPr>
        <w:t xml:space="preserve"> </w:t>
      </w:r>
      <w:r w:rsidRPr="009800AB">
        <w:rPr>
          <w:rFonts w:cs="Calibri"/>
          <w:bCs/>
          <w:i/>
          <w:color w:val="000000"/>
          <w:lang w:eastAsia="en-IE"/>
        </w:rPr>
        <w:t>et al.,</w:t>
      </w:r>
      <w:r>
        <w:rPr>
          <w:rFonts w:cs="Calibri"/>
          <w:bCs/>
          <w:color w:val="000000"/>
          <w:lang w:eastAsia="en-IE"/>
        </w:rPr>
        <w:t xml:space="preserve"> 2</w:t>
      </w:r>
      <w:r w:rsidRPr="004429B3">
        <w:rPr>
          <w:rFonts w:cs="Calibri"/>
          <w:bCs/>
          <w:color w:val="000000"/>
          <w:lang w:eastAsia="en-IE"/>
        </w:rPr>
        <w:t>019</w:t>
      </w:r>
      <w:r>
        <w:rPr>
          <w:rFonts w:cs="Calibri"/>
          <w:bCs/>
          <w:color w:val="000000"/>
          <w:lang w:eastAsia="en-IE"/>
        </w:rPr>
        <w:t>,</w:t>
      </w:r>
      <w:r w:rsidRPr="004429B3">
        <w:rPr>
          <w:rFonts w:cs="Calibri"/>
          <w:bCs/>
          <w:color w:val="000000"/>
          <w:lang w:eastAsia="en-IE"/>
        </w:rPr>
        <w:t xml:space="preserve"> </w:t>
      </w:r>
      <w:r>
        <w:t xml:space="preserve">Mooney, </w:t>
      </w:r>
      <w:proofErr w:type="spellStart"/>
      <w:r>
        <w:t>Rafique</w:t>
      </w:r>
      <w:proofErr w:type="spellEnd"/>
      <w:r w:rsidRPr="00C23859">
        <w:t xml:space="preserve"> and Tilly</w:t>
      </w:r>
      <w:r>
        <w:t xml:space="preserve">, 2018, </w:t>
      </w:r>
      <w:proofErr w:type="spellStart"/>
      <w:r>
        <w:t>Tuffrey-wijne</w:t>
      </w:r>
      <w:proofErr w:type="spellEnd"/>
      <w:r>
        <w:t xml:space="preserve"> </w:t>
      </w:r>
      <w:r w:rsidRPr="009800AB">
        <w:rPr>
          <w:i/>
        </w:rPr>
        <w:t>et al.,</w:t>
      </w:r>
      <w:r>
        <w:t xml:space="preserve"> 2020, </w:t>
      </w:r>
      <w:r w:rsidRPr="004429B3">
        <w:rPr>
          <w:rFonts w:cs="Calibri"/>
          <w:bCs/>
          <w:color w:val="000000"/>
          <w:lang w:eastAsia="en-IE"/>
        </w:rPr>
        <w:t xml:space="preserve">Van </w:t>
      </w:r>
      <w:proofErr w:type="spellStart"/>
      <w:r w:rsidRPr="004429B3">
        <w:rPr>
          <w:rFonts w:cs="Calibri"/>
          <w:bCs/>
          <w:color w:val="000000"/>
          <w:lang w:eastAsia="en-IE"/>
        </w:rPr>
        <w:t>Schelven</w:t>
      </w:r>
      <w:proofErr w:type="spellEnd"/>
      <w:r w:rsidRPr="004429B3">
        <w:rPr>
          <w:rFonts w:cs="Calibri"/>
          <w:bCs/>
          <w:color w:val="000000"/>
          <w:lang w:eastAsia="en-IE"/>
        </w:rPr>
        <w:t xml:space="preserve"> </w:t>
      </w:r>
      <w:r w:rsidRPr="009800AB">
        <w:rPr>
          <w:rFonts w:cs="Calibri"/>
          <w:bCs/>
          <w:i/>
          <w:color w:val="000000"/>
          <w:lang w:eastAsia="en-IE"/>
        </w:rPr>
        <w:t>et al.,</w:t>
      </w:r>
      <w:r>
        <w:rPr>
          <w:rFonts w:cs="Calibri"/>
          <w:bCs/>
          <w:color w:val="000000"/>
          <w:lang w:eastAsia="en-IE"/>
        </w:rPr>
        <w:t xml:space="preserve"> 2</w:t>
      </w:r>
      <w:r w:rsidRPr="004429B3">
        <w:rPr>
          <w:rFonts w:cs="Calibri"/>
          <w:bCs/>
          <w:color w:val="000000"/>
          <w:lang w:eastAsia="en-IE"/>
        </w:rPr>
        <w:t>020</w:t>
      </w:r>
      <w:r>
        <w:rPr>
          <w:rFonts w:cs="Calibri"/>
          <w:bCs/>
          <w:color w:val="000000"/>
          <w:lang w:eastAsia="en-IE"/>
        </w:rPr>
        <w:t>b</w:t>
      </w:r>
    </w:p>
  </w:footnote>
  <w:footnote w:id="649">
    <w:p w14:paraId="157ACF81" w14:textId="41804C82" w:rsidR="00452DFD" w:rsidRDefault="00452DFD">
      <w:pPr>
        <w:pStyle w:val="FootnoteText"/>
      </w:pPr>
      <w:r>
        <w:rPr>
          <w:rStyle w:val="FootnoteReference"/>
        </w:rPr>
        <w:footnoteRef/>
      </w:r>
      <w:r>
        <w:t xml:space="preserve"> </w:t>
      </w:r>
      <w:r w:rsidRPr="00763C57">
        <w:t xml:space="preserve">e.g. </w:t>
      </w:r>
      <w:proofErr w:type="spellStart"/>
      <w:r w:rsidRPr="00763C57">
        <w:t>Dorozenko</w:t>
      </w:r>
      <w:proofErr w:type="spellEnd"/>
      <w:r w:rsidRPr="00763C57">
        <w:t xml:space="preserve"> </w:t>
      </w:r>
      <w:r w:rsidRPr="009800AB">
        <w:rPr>
          <w:i/>
        </w:rPr>
        <w:t>et al.,</w:t>
      </w:r>
      <w:r w:rsidRPr="00763C57">
        <w:t xml:space="preserve"> 2016</w:t>
      </w:r>
      <w:r>
        <w:t xml:space="preserve"> </w:t>
      </w:r>
      <w:r w:rsidRPr="00763C57">
        <w:t xml:space="preserve">cited in </w:t>
      </w:r>
      <w:r>
        <w:t>Smith-Merry, 2017,</w:t>
      </w:r>
      <w:r w:rsidRPr="00763C57">
        <w:t xml:space="preserve"> Johnson </w:t>
      </w:r>
      <w:r w:rsidRPr="009800AB">
        <w:rPr>
          <w:i/>
        </w:rPr>
        <w:t>et al.,</w:t>
      </w:r>
      <w:r w:rsidRPr="00763C57">
        <w:t xml:space="preserve"> 2014</w:t>
      </w:r>
      <w:r>
        <w:t xml:space="preserve"> </w:t>
      </w:r>
      <w:r w:rsidRPr="00763C57">
        <w:t xml:space="preserve">cited in </w:t>
      </w:r>
      <w:r>
        <w:t xml:space="preserve">Smith-Merry, 2017, </w:t>
      </w:r>
      <w:proofErr w:type="spellStart"/>
      <w:r w:rsidRPr="00763C57">
        <w:t>Povee</w:t>
      </w:r>
      <w:proofErr w:type="spellEnd"/>
      <w:r w:rsidRPr="00763C57">
        <w:t xml:space="preserve"> </w:t>
      </w:r>
      <w:r w:rsidRPr="00185C11">
        <w:rPr>
          <w:i/>
        </w:rPr>
        <w:t xml:space="preserve">et al. </w:t>
      </w:r>
      <w:r w:rsidRPr="00763C57">
        <w:t xml:space="preserve">2014 cited in </w:t>
      </w:r>
      <w:r>
        <w:t xml:space="preserve">Smith-Merry, 2017, </w:t>
      </w:r>
      <w:r w:rsidRPr="00763C57">
        <w:t>Schneider</w:t>
      </w:r>
      <w:r>
        <w:t>,</w:t>
      </w:r>
      <w:r w:rsidRPr="00763C57">
        <w:t xml:space="preserve"> 2012</w:t>
      </w:r>
      <w:r>
        <w:t xml:space="preserve"> </w:t>
      </w:r>
      <w:r w:rsidRPr="00763C57">
        <w:t xml:space="preserve">cited in </w:t>
      </w:r>
      <w:r>
        <w:t>Smith-Merry, 2017,</w:t>
      </w:r>
      <w:r w:rsidRPr="00763C57">
        <w:t xml:space="preserve"> </w:t>
      </w:r>
      <w:r>
        <w:t xml:space="preserve">Stanley </w:t>
      </w:r>
      <w:r w:rsidRPr="009800AB">
        <w:rPr>
          <w:i/>
        </w:rPr>
        <w:t>et al.,</w:t>
      </w:r>
      <w:r>
        <w:t xml:space="preserve"> 2019</w:t>
      </w:r>
    </w:p>
  </w:footnote>
  <w:footnote w:id="650">
    <w:p w14:paraId="14A9621D" w14:textId="1C72DFE7" w:rsidR="00452DFD" w:rsidRDefault="00452DFD">
      <w:pPr>
        <w:pStyle w:val="FootnoteText"/>
      </w:pPr>
      <w:r>
        <w:rPr>
          <w:rStyle w:val="FootnoteReference"/>
        </w:rPr>
        <w:footnoteRef/>
      </w:r>
      <w:r>
        <w:t xml:space="preserve"> </w:t>
      </w:r>
      <w:r w:rsidRPr="002932C4">
        <w:t>O’</w:t>
      </w:r>
      <w:r>
        <w:t xml:space="preserve">Hara </w:t>
      </w:r>
      <w:r w:rsidRPr="009800AB">
        <w:rPr>
          <w:i/>
        </w:rPr>
        <w:t>et al.,</w:t>
      </w:r>
      <w:r>
        <w:t xml:space="preserve"> 2</w:t>
      </w:r>
      <w:r w:rsidRPr="002932C4">
        <w:t>017</w:t>
      </w:r>
    </w:p>
  </w:footnote>
  <w:footnote w:id="651">
    <w:p w14:paraId="4659A68E" w14:textId="5D234440" w:rsidR="00452DFD" w:rsidRDefault="00452DFD">
      <w:pPr>
        <w:pStyle w:val="FootnoteText"/>
      </w:pPr>
      <w:r>
        <w:rPr>
          <w:rStyle w:val="FootnoteReference"/>
        </w:rPr>
        <w:footnoteRef/>
      </w:r>
      <w:r>
        <w:t xml:space="preserve"> Case 1</w:t>
      </w:r>
      <w:r w:rsidRPr="004429B3">
        <w:t xml:space="preserve"> in </w:t>
      </w:r>
      <w:proofErr w:type="spellStart"/>
      <w:r>
        <w:t>Frankena</w:t>
      </w:r>
      <w:proofErr w:type="spellEnd"/>
      <w:r>
        <w:t xml:space="preserve"> </w:t>
      </w:r>
      <w:r w:rsidRPr="009800AB">
        <w:rPr>
          <w:i/>
        </w:rPr>
        <w:t>et al.,</w:t>
      </w:r>
      <w:r>
        <w:t xml:space="preserve"> 2019c, </w:t>
      </w:r>
      <w:r>
        <w:rPr>
          <w:szCs w:val="26"/>
        </w:rPr>
        <w:t xml:space="preserve">Salmon </w:t>
      </w:r>
      <w:r w:rsidRPr="00893777">
        <w:rPr>
          <w:i/>
          <w:szCs w:val="26"/>
        </w:rPr>
        <w:t>et al.,</w:t>
      </w:r>
      <w:r>
        <w:rPr>
          <w:szCs w:val="26"/>
        </w:rPr>
        <w:t xml:space="preserve"> 2018</w:t>
      </w:r>
    </w:p>
  </w:footnote>
  <w:footnote w:id="652">
    <w:p w14:paraId="58C42117" w14:textId="11ACDA62" w:rsidR="00452DFD" w:rsidRDefault="00452DFD">
      <w:pPr>
        <w:pStyle w:val="FootnoteText"/>
      </w:pPr>
      <w:r>
        <w:rPr>
          <w:rStyle w:val="FootnoteReference"/>
        </w:rPr>
        <w:footnoteRef/>
      </w:r>
      <w:r>
        <w:t xml:space="preserve"> </w:t>
      </w:r>
      <w:r w:rsidRPr="002932C4">
        <w:t xml:space="preserve">Brady </w:t>
      </w:r>
      <w:r w:rsidRPr="009800AB">
        <w:rPr>
          <w:i/>
        </w:rPr>
        <w:t>et al.,</w:t>
      </w:r>
      <w:r>
        <w:t xml:space="preserve"> 2</w:t>
      </w:r>
      <w:r w:rsidRPr="002932C4">
        <w:t>019</w:t>
      </w:r>
    </w:p>
  </w:footnote>
  <w:footnote w:id="653">
    <w:p w14:paraId="0B23BAE8" w14:textId="58FA5155" w:rsidR="00452DFD" w:rsidRDefault="00452DFD">
      <w:pPr>
        <w:pStyle w:val="FootnoteText"/>
      </w:pPr>
      <w:r>
        <w:rPr>
          <w:rStyle w:val="FootnoteReference"/>
        </w:rPr>
        <w:footnoteRef/>
      </w:r>
      <w:r>
        <w:t xml:space="preserve"> Riches, O’Brien and CDS Inclusive Research Network, 2020</w:t>
      </w:r>
    </w:p>
  </w:footnote>
  <w:footnote w:id="654">
    <w:p w14:paraId="61A48877" w14:textId="77777777" w:rsidR="00452DFD" w:rsidRDefault="00452DFD" w:rsidP="009E7E2E">
      <w:pPr>
        <w:pStyle w:val="FootnoteText"/>
      </w:pPr>
      <w:r>
        <w:rPr>
          <w:rStyle w:val="FootnoteReference"/>
        </w:rPr>
        <w:footnoteRef/>
      </w:r>
      <w:r>
        <w:t xml:space="preserve"> </w:t>
      </w:r>
      <w:r>
        <w:rPr>
          <w:lang w:eastAsia="en-IE"/>
        </w:rPr>
        <w:t xml:space="preserve">Vaughan </w:t>
      </w:r>
      <w:r w:rsidRPr="009800AB">
        <w:rPr>
          <w:i/>
          <w:lang w:eastAsia="en-IE"/>
        </w:rPr>
        <w:t>et al.,</w:t>
      </w:r>
      <w:r>
        <w:rPr>
          <w:lang w:eastAsia="en-IE"/>
        </w:rPr>
        <w:t xml:space="preserve"> 2019, p. 1229</w:t>
      </w:r>
    </w:p>
  </w:footnote>
  <w:footnote w:id="655">
    <w:p w14:paraId="41C82796" w14:textId="5ADF5687" w:rsidR="00452DFD" w:rsidRDefault="00452DFD">
      <w:pPr>
        <w:pStyle w:val="FootnoteText"/>
      </w:pPr>
      <w:r>
        <w:rPr>
          <w:rStyle w:val="FootnoteReference"/>
        </w:rPr>
        <w:footnoteRef/>
      </w:r>
      <w:r>
        <w:t xml:space="preserve"> Campus Engage, 2017, Gove </w:t>
      </w:r>
      <w:r w:rsidRPr="009800AB">
        <w:rPr>
          <w:i/>
        </w:rPr>
        <w:t>et al.,</w:t>
      </w:r>
      <w:r>
        <w:t xml:space="preserve"> 2018, Howe, 2017, </w:t>
      </w:r>
      <w:proofErr w:type="spellStart"/>
      <w:r>
        <w:t>MacSweeney</w:t>
      </w:r>
      <w:proofErr w:type="spellEnd"/>
      <w:r>
        <w:t xml:space="preserve">, Bowman, </w:t>
      </w:r>
      <w:r w:rsidRPr="00154A3D">
        <w:t>and Kelly</w:t>
      </w:r>
      <w:r>
        <w:t>, 2019</w:t>
      </w:r>
      <w:r>
        <w:rPr>
          <w:rFonts w:cs="Calibri"/>
          <w:color w:val="000000"/>
          <w:szCs w:val="26"/>
          <w:lang w:eastAsia="en-IE"/>
        </w:rPr>
        <w:t xml:space="preserve">, </w:t>
      </w:r>
      <w:r w:rsidRPr="003E26B1">
        <w:rPr>
          <w:rFonts w:cs="Calibri"/>
          <w:color w:val="000000"/>
          <w:szCs w:val="26"/>
          <w:lang w:eastAsia="en-IE"/>
        </w:rPr>
        <w:t xml:space="preserve">Miah </w:t>
      </w:r>
      <w:r w:rsidRPr="009800AB">
        <w:rPr>
          <w:rFonts w:cs="Calibri"/>
          <w:i/>
          <w:color w:val="000000"/>
          <w:szCs w:val="26"/>
          <w:lang w:eastAsia="en-IE"/>
        </w:rPr>
        <w:t>et al.,</w:t>
      </w:r>
      <w:r>
        <w:rPr>
          <w:rFonts w:cs="Calibri"/>
          <w:color w:val="000000"/>
          <w:szCs w:val="26"/>
          <w:lang w:eastAsia="en-IE"/>
        </w:rPr>
        <w:t xml:space="preserve"> 2019, </w:t>
      </w:r>
      <w:r>
        <w:t xml:space="preserve">Roberts </w:t>
      </w:r>
      <w:r w:rsidRPr="009800AB">
        <w:rPr>
          <w:i/>
        </w:rPr>
        <w:t>et al.,</w:t>
      </w:r>
      <w:r>
        <w:t xml:space="preserve"> 2020, </w:t>
      </w:r>
      <w:proofErr w:type="spellStart"/>
      <w:r>
        <w:rPr>
          <w:rFonts w:cs="Calibri"/>
          <w:color w:val="000000"/>
          <w:szCs w:val="26"/>
          <w:lang w:eastAsia="en-IE"/>
        </w:rPr>
        <w:t>Troya</w:t>
      </w:r>
      <w:proofErr w:type="spellEnd"/>
      <w:r>
        <w:rPr>
          <w:rFonts w:cs="Calibri"/>
          <w:color w:val="000000"/>
          <w:szCs w:val="26"/>
          <w:lang w:eastAsia="en-IE"/>
        </w:rPr>
        <w:t xml:space="preserve"> </w:t>
      </w:r>
      <w:r w:rsidRPr="009800AB">
        <w:rPr>
          <w:rFonts w:cs="Calibri"/>
          <w:i/>
          <w:color w:val="000000"/>
          <w:szCs w:val="26"/>
          <w:lang w:eastAsia="en-IE"/>
        </w:rPr>
        <w:t>et al.,</w:t>
      </w:r>
      <w:r>
        <w:rPr>
          <w:rFonts w:cs="Calibri"/>
          <w:color w:val="000000"/>
          <w:szCs w:val="26"/>
          <w:lang w:eastAsia="en-IE"/>
        </w:rPr>
        <w:t xml:space="preserve"> 2019</w:t>
      </w:r>
    </w:p>
  </w:footnote>
  <w:footnote w:id="656">
    <w:p w14:paraId="0D936B16" w14:textId="1D0E4B48" w:rsidR="00452DFD" w:rsidRDefault="00452DFD">
      <w:pPr>
        <w:pStyle w:val="FootnoteText"/>
      </w:pPr>
      <w:r>
        <w:rPr>
          <w:rStyle w:val="FootnoteReference"/>
        </w:rPr>
        <w:footnoteRef/>
      </w:r>
      <w:r>
        <w:t xml:space="preserve"> </w:t>
      </w:r>
      <w:r w:rsidRPr="003E26B1">
        <w:rPr>
          <w:szCs w:val="26"/>
        </w:rPr>
        <w:t xml:space="preserve">Craven </w:t>
      </w:r>
      <w:r w:rsidRPr="009800AB">
        <w:rPr>
          <w:i/>
          <w:szCs w:val="26"/>
        </w:rPr>
        <w:t>et al.,</w:t>
      </w:r>
      <w:r>
        <w:rPr>
          <w:szCs w:val="26"/>
        </w:rPr>
        <w:t xml:space="preserve"> 2019, </w:t>
      </w:r>
      <w:r>
        <w:rPr>
          <w:rFonts w:cs="Calibri"/>
          <w:bCs/>
          <w:color w:val="000000"/>
          <w:szCs w:val="26"/>
          <w:lang w:eastAsia="en-IE"/>
        </w:rPr>
        <w:t xml:space="preserve">Dewa </w:t>
      </w:r>
      <w:r w:rsidRPr="009800AB">
        <w:rPr>
          <w:rFonts w:cs="Calibri"/>
          <w:bCs/>
          <w:i/>
          <w:color w:val="000000"/>
          <w:szCs w:val="26"/>
          <w:lang w:eastAsia="en-IE"/>
        </w:rPr>
        <w:t>et al.,</w:t>
      </w:r>
      <w:r>
        <w:rPr>
          <w:rFonts w:cs="Calibri"/>
          <w:bCs/>
          <w:color w:val="000000"/>
          <w:szCs w:val="26"/>
          <w:lang w:eastAsia="en-IE"/>
        </w:rPr>
        <w:t xml:space="preserve"> 2020, </w:t>
      </w:r>
      <w:proofErr w:type="spellStart"/>
      <w:r w:rsidRPr="003E26B1">
        <w:rPr>
          <w:rFonts w:cs="Calibri"/>
          <w:bCs/>
          <w:color w:val="000000"/>
          <w:szCs w:val="26"/>
          <w:lang w:eastAsia="en-IE"/>
        </w:rPr>
        <w:t>Frankena</w:t>
      </w:r>
      <w:proofErr w:type="spellEnd"/>
      <w:r w:rsidRPr="003E26B1">
        <w:rPr>
          <w:rFonts w:cs="Calibri"/>
          <w:bCs/>
          <w:color w:val="000000"/>
          <w:szCs w:val="26"/>
          <w:lang w:eastAsia="en-IE"/>
        </w:rPr>
        <w:t xml:space="preserve"> </w:t>
      </w:r>
      <w:r w:rsidRPr="009800AB">
        <w:rPr>
          <w:rFonts w:cs="Calibri"/>
          <w:bCs/>
          <w:i/>
          <w:color w:val="000000"/>
          <w:szCs w:val="26"/>
          <w:lang w:eastAsia="en-IE"/>
        </w:rPr>
        <w:t>et al.,</w:t>
      </w:r>
      <w:r>
        <w:rPr>
          <w:rFonts w:cs="Calibri"/>
          <w:bCs/>
          <w:color w:val="000000"/>
          <w:szCs w:val="26"/>
          <w:lang w:eastAsia="en-IE"/>
        </w:rPr>
        <w:t xml:space="preserve"> 2</w:t>
      </w:r>
      <w:r w:rsidRPr="003E26B1">
        <w:rPr>
          <w:rFonts w:cs="Calibri"/>
          <w:bCs/>
          <w:color w:val="000000"/>
          <w:szCs w:val="26"/>
          <w:lang w:eastAsia="en-IE"/>
        </w:rPr>
        <w:t>019b</w:t>
      </w:r>
      <w:r>
        <w:rPr>
          <w:rFonts w:cs="Calibri"/>
          <w:bCs/>
          <w:color w:val="000000"/>
          <w:szCs w:val="26"/>
          <w:lang w:eastAsia="en-IE"/>
        </w:rPr>
        <w:t>,</w:t>
      </w:r>
      <w:r w:rsidRPr="00E16694">
        <w:rPr>
          <w:rFonts w:cs="Calibri"/>
          <w:bCs/>
          <w:color w:val="000000"/>
          <w:szCs w:val="26"/>
          <w:lang w:eastAsia="en-IE"/>
        </w:rPr>
        <w:t xml:space="preserve"> </w:t>
      </w:r>
      <w:proofErr w:type="spellStart"/>
      <w:r>
        <w:rPr>
          <w:szCs w:val="26"/>
        </w:rPr>
        <w:t>Hamidi</w:t>
      </w:r>
      <w:proofErr w:type="spellEnd"/>
      <w:r>
        <w:rPr>
          <w:szCs w:val="26"/>
        </w:rPr>
        <w:t xml:space="preserve"> </w:t>
      </w:r>
      <w:r w:rsidRPr="009800AB">
        <w:rPr>
          <w:i/>
          <w:szCs w:val="26"/>
        </w:rPr>
        <w:t>et al.,</w:t>
      </w:r>
      <w:r>
        <w:rPr>
          <w:szCs w:val="26"/>
        </w:rPr>
        <w:t xml:space="preserve"> 2015, </w:t>
      </w:r>
      <w:r>
        <w:rPr>
          <w:rFonts w:cs="Calibri"/>
          <w:bCs/>
          <w:color w:val="000000"/>
          <w:szCs w:val="26"/>
          <w:lang w:eastAsia="en-IE"/>
        </w:rPr>
        <w:t xml:space="preserve">Mann and </w:t>
      </w:r>
      <w:r w:rsidRPr="003E26B1">
        <w:rPr>
          <w:rFonts w:cs="Calibri"/>
          <w:bCs/>
          <w:color w:val="000000"/>
          <w:szCs w:val="26"/>
          <w:lang w:eastAsia="en-IE"/>
        </w:rPr>
        <w:t>Hung, 2018</w:t>
      </w:r>
      <w:r>
        <w:rPr>
          <w:rFonts w:cs="Calibri"/>
          <w:bCs/>
          <w:color w:val="000000"/>
          <w:szCs w:val="26"/>
          <w:lang w:eastAsia="en-IE"/>
        </w:rPr>
        <w:t xml:space="preserve">, </w:t>
      </w:r>
      <w:r>
        <w:t xml:space="preserve">Schwartz and Durkin, 2020, </w:t>
      </w:r>
      <w:r w:rsidRPr="003E26B1">
        <w:rPr>
          <w:rFonts w:cs="Calibri"/>
          <w:bCs/>
          <w:color w:val="000000"/>
          <w:szCs w:val="26"/>
          <w:lang w:eastAsia="en-IE"/>
        </w:rPr>
        <w:t xml:space="preserve">Stack </w:t>
      </w:r>
      <w:r>
        <w:rPr>
          <w:rFonts w:cs="Calibri"/>
          <w:bCs/>
          <w:color w:val="000000"/>
          <w:szCs w:val="26"/>
          <w:lang w:eastAsia="en-IE"/>
        </w:rPr>
        <w:t>and</w:t>
      </w:r>
      <w:r w:rsidRPr="003E26B1">
        <w:rPr>
          <w:rFonts w:cs="Calibri"/>
          <w:bCs/>
          <w:color w:val="000000"/>
          <w:szCs w:val="26"/>
          <w:lang w:eastAsia="en-IE"/>
        </w:rPr>
        <w:t xml:space="preserve"> McDonald, 2018</w:t>
      </w:r>
      <w:r>
        <w:rPr>
          <w:rFonts w:cs="Calibri"/>
          <w:bCs/>
          <w:color w:val="000000"/>
          <w:szCs w:val="26"/>
          <w:lang w:eastAsia="en-IE"/>
        </w:rPr>
        <w:t xml:space="preserve">, </w:t>
      </w:r>
      <w:r w:rsidRPr="003E26B1">
        <w:rPr>
          <w:rFonts w:cs="Calibri"/>
          <w:bCs/>
          <w:color w:val="000000"/>
          <w:szCs w:val="26"/>
          <w:lang w:eastAsia="en-IE"/>
        </w:rPr>
        <w:t xml:space="preserve">Stanley </w:t>
      </w:r>
      <w:r w:rsidRPr="009800AB">
        <w:rPr>
          <w:rFonts w:cs="Calibri"/>
          <w:bCs/>
          <w:i/>
          <w:color w:val="000000"/>
          <w:szCs w:val="26"/>
          <w:lang w:eastAsia="en-IE"/>
        </w:rPr>
        <w:t>et al.,</w:t>
      </w:r>
      <w:r>
        <w:rPr>
          <w:rFonts w:cs="Calibri"/>
          <w:bCs/>
          <w:color w:val="000000"/>
          <w:szCs w:val="26"/>
          <w:lang w:eastAsia="en-IE"/>
        </w:rPr>
        <w:t xml:space="preserve"> 2</w:t>
      </w:r>
      <w:r w:rsidRPr="003E26B1">
        <w:rPr>
          <w:rFonts w:cs="Calibri"/>
          <w:bCs/>
          <w:color w:val="000000"/>
          <w:szCs w:val="26"/>
          <w:lang w:eastAsia="en-IE"/>
        </w:rPr>
        <w:t>01</w:t>
      </w:r>
      <w:r>
        <w:rPr>
          <w:rFonts w:cs="Calibri"/>
          <w:bCs/>
          <w:color w:val="000000"/>
          <w:szCs w:val="26"/>
          <w:lang w:eastAsia="en-IE"/>
        </w:rPr>
        <w:t>9,</w:t>
      </w:r>
      <w:r w:rsidRPr="003E26B1">
        <w:rPr>
          <w:rFonts w:cs="Calibri"/>
          <w:bCs/>
          <w:color w:val="000000"/>
          <w:szCs w:val="26"/>
          <w:lang w:eastAsia="en-IE"/>
        </w:rPr>
        <w:t xml:space="preserve"> </w:t>
      </w:r>
      <w:r>
        <w:rPr>
          <w:rFonts w:cs="Calibri"/>
          <w:bCs/>
          <w:color w:val="000000"/>
          <w:szCs w:val="26"/>
          <w:lang w:eastAsia="en-IE"/>
        </w:rPr>
        <w:t xml:space="preserve">Van </w:t>
      </w:r>
      <w:proofErr w:type="spellStart"/>
      <w:r>
        <w:rPr>
          <w:rFonts w:cs="Calibri"/>
          <w:bCs/>
          <w:color w:val="000000"/>
          <w:szCs w:val="26"/>
          <w:lang w:eastAsia="en-IE"/>
        </w:rPr>
        <w:t>Schelven</w:t>
      </w:r>
      <w:proofErr w:type="spellEnd"/>
      <w:r>
        <w:rPr>
          <w:rFonts w:cs="Calibri"/>
          <w:bCs/>
          <w:color w:val="000000"/>
          <w:szCs w:val="26"/>
          <w:lang w:eastAsia="en-IE"/>
        </w:rPr>
        <w:t xml:space="preserve"> </w:t>
      </w:r>
      <w:r w:rsidRPr="009800AB">
        <w:rPr>
          <w:rFonts w:cs="Calibri"/>
          <w:bCs/>
          <w:i/>
          <w:color w:val="000000"/>
          <w:szCs w:val="26"/>
          <w:lang w:eastAsia="en-IE"/>
        </w:rPr>
        <w:t>et al.,</w:t>
      </w:r>
      <w:r>
        <w:rPr>
          <w:rFonts w:cs="Calibri"/>
          <w:bCs/>
          <w:color w:val="000000"/>
          <w:szCs w:val="26"/>
          <w:lang w:eastAsia="en-IE"/>
        </w:rPr>
        <w:t xml:space="preserve"> 2020b,</w:t>
      </w:r>
      <w:r w:rsidRPr="00E16694">
        <w:t xml:space="preserve"> </w:t>
      </w:r>
      <w:r>
        <w:rPr>
          <w:rFonts w:cs="Calibri"/>
          <w:bCs/>
          <w:color w:val="000000"/>
          <w:szCs w:val="26"/>
          <w:lang w:eastAsia="en-IE"/>
        </w:rPr>
        <w:t xml:space="preserve">Vaughan </w:t>
      </w:r>
      <w:r w:rsidRPr="009800AB">
        <w:rPr>
          <w:rFonts w:cs="Calibri"/>
          <w:bCs/>
          <w:i/>
          <w:color w:val="000000"/>
          <w:szCs w:val="26"/>
          <w:lang w:eastAsia="en-IE"/>
        </w:rPr>
        <w:t>et al.,</w:t>
      </w:r>
      <w:r>
        <w:rPr>
          <w:rFonts w:cs="Calibri"/>
          <w:bCs/>
          <w:color w:val="000000"/>
          <w:szCs w:val="26"/>
          <w:lang w:eastAsia="en-IE"/>
        </w:rPr>
        <w:t xml:space="preserve"> 2019, </w:t>
      </w:r>
      <w:proofErr w:type="spellStart"/>
      <w:r>
        <w:t>Vlot</w:t>
      </w:r>
      <w:proofErr w:type="spellEnd"/>
      <w:r>
        <w:t xml:space="preserve">-van </w:t>
      </w:r>
      <w:proofErr w:type="spellStart"/>
      <w:r>
        <w:t>Anrooij</w:t>
      </w:r>
      <w:proofErr w:type="spellEnd"/>
      <w:r>
        <w:t xml:space="preserve"> </w:t>
      </w:r>
      <w:r w:rsidRPr="009800AB">
        <w:rPr>
          <w:i/>
        </w:rPr>
        <w:t>et al.,</w:t>
      </w:r>
      <w:r>
        <w:t xml:space="preserve"> 2018,</w:t>
      </w:r>
      <w:r w:rsidRPr="00E16694">
        <w:rPr>
          <w:szCs w:val="26"/>
        </w:rPr>
        <w:t xml:space="preserve"> </w:t>
      </w:r>
      <w:r>
        <w:rPr>
          <w:szCs w:val="26"/>
        </w:rPr>
        <w:t>Williams, Ponting and Ford, 2015</w:t>
      </w:r>
    </w:p>
  </w:footnote>
  <w:footnote w:id="657">
    <w:p w14:paraId="4372EABC" w14:textId="2CD5BEB4" w:rsidR="00452DFD" w:rsidRDefault="00452DFD">
      <w:pPr>
        <w:pStyle w:val="FootnoteText"/>
      </w:pPr>
      <w:r>
        <w:rPr>
          <w:rStyle w:val="FootnoteReference"/>
        </w:rPr>
        <w:footnoteRef/>
      </w:r>
      <w:r>
        <w:t xml:space="preserve"> Smith-Merry, 2017, p. </w:t>
      </w:r>
      <w:r w:rsidRPr="003B7DB3">
        <w:t>15</w:t>
      </w:r>
    </w:p>
  </w:footnote>
  <w:footnote w:id="658">
    <w:p w14:paraId="1245BD96" w14:textId="564A0565" w:rsidR="00452DFD" w:rsidRDefault="00452DFD">
      <w:pPr>
        <w:pStyle w:val="FootnoteText"/>
      </w:pPr>
      <w:r>
        <w:rPr>
          <w:rStyle w:val="FootnoteReference"/>
        </w:rPr>
        <w:footnoteRef/>
      </w:r>
      <w:r>
        <w:t xml:space="preserve"> </w:t>
      </w:r>
      <w:proofErr w:type="spellStart"/>
      <w:r>
        <w:t>Nicolaidis</w:t>
      </w:r>
      <w:proofErr w:type="spellEnd"/>
      <w:r>
        <w:t xml:space="preserve"> </w:t>
      </w:r>
      <w:r w:rsidRPr="009800AB">
        <w:rPr>
          <w:i/>
        </w:rPr>
        <w:t>et al.,</w:t>
      </w:r>
      <w:r>
        <w:t xml:space="preserve"> 2019</w:t>
      </w:r>
    </w:p>
  </w:footnote>
  <w:footnote w:id="659">
    <w:p w14:paraId="107F8ECC" w14:textId="268CC798" w:rsidR="00452DFD" w:rsidRDefault="00452DFD">
      <w:pPr>
        <w:pStyle w:val="FootnoteText"/>
      </w:pPr>
      <w:r>
        <w:rPr>
          <w:rStyle w:val="FootnoteReference"/>
        </w:rPr>
        <w:footnoteRef/>
      </w:r>
      <w:r>
        <w:t xml:space="preserve"> Ní </w:t>
      </w:r>
      <w:proofErr w:type="spellStart"/>
      <w:r>
        <w:t>Shé</w:t>
      </w:r>
      <w:proofErr w:type="spellEnd"/>
      <w:r>
        <w:t xml:space="preserve"> </w:t>
      </w:r>
      <w:r w:rsidRPr="009800AB">
        <w:rPr>
          <w:i/>
        </w:rPr>
        <w:t>et al.,</w:t>
      </w:r>
      <w:r>
        <w:t xml:space="preserve"> 2019, </w:t>
      </w:r>
      <w:proofErr w:type="spellStart"/>
      <w:r>
        <w:t>Bertilsdotter</w:t>
      </w:r>
      <w:proofErr w:type="spellEnd"/>
      <w:r>
        <w:t xml:space="preserve"> Rosqvist </w:t>
      </w:r>
      <w:r w:rsidRPr="009800AB">
        <w:rPr>
          <w:i/>
        </w:rPr>
        <w:t>et al.,</w:t>
      </w:r>
      <w:r>
        <w:t xml:space="preserve"> 2019, Smith-Merry, 2017</w:t>
      </w:r>
    </w:p>
  </w:footnote>
  <w:footnote w:id="660">
    <w:p w14:paraId="7FE73B19" w14:textId="224098C8" w:rsidR="00452DFD" w:rsidRDefault="00452DFD">
      <w:pPr>
        <w:pStyle w:val="FootnoteText"/>
      </w:pPr>
      <w:r>
        <w:rPr>
          <w:rStyle w:val="FootnoteReference"/>
        </w:rPr>
        <w:footnoteRef/>
      </w:r>
      <w:r>
        <w:t xml:space="preserve"> </w:t>
      </w:r>
      <w:proofErr w:type="spellStart"/>
      <w:r w:rsidRPr="00511E3E">
        <w:t>Beighton</w:t>
      </w:r>
      <w:proofErr w:type="spellEnd"/>
      <w:r w:rsidRPr="00511E3E">
        <w:t xml:space="preserve"> </w:t>
      </w:r>
      <w:r w:rsidRPr="009800AB">
        <w:rPr>
          <w:i/>
        </w:rPr>
        <w:t>et al.,</w:t>
      </w:r>
      <w:r>
        <w:t xml:space="preserve"> </w:t>
      </w:r>
      <w:r w:rsidRPr="00511E3E">
        <w:t>2019</w:t>
      </w:r>
      <w:r>
        <w:t xml:space="preserve">, Swarbrick </w:t>
      </w:r>
      <w:r w:rsidRPr="009800AB">
        <w:rPr>
          <w:i/>
        </w:rPr>
        <w:t>et al.,</w:t>
      </w:r>
      <w:r>
        <w:t xml:space="preserve"> 2019</w:t>
      </w:r>
    </w:p>
  </w:footnote>
  <w:footnote w:id="661">
    <w:p w14:paraId="1072B159" w14:textId="401275E2" w:rsidR="00452DFD" w:rsidRDefault="00452DFD">
      <w:pPr>
        <w:pStyle w:val="FootnoteText"/>
      </w:pPr>
      <w:r>
        <w:rPr>
          <w:rStyle w:val="FootnoteReference"/>
        </w:rPr>
        <w:footnoteRef/>
      </w:r>
      <w:r>
        <w:t xml:space="preserve"> </w:t>
      </w:r>
      <w:proofErr w:type="spellStart"/>
      <w:r w:rsidRPr="00D656E5">
        <w:t>Frankena</w:t>
      </w:r>
      <w:proofErr w:type="spellEnd"/>
      <w:r w:rsidRPr="00D656E5">
        <w:t xml:space="preserve"> </w:t>
      </w:r>
      <w:r w:rsidRPr="009800AB">
        <w:rPr>
          <w:i/>
        </w:rPr>
        <w:t>et al.,</w:t>
      </w:r>
      <w:r>
        <w:t xml:space="preserve"> </w:t>
      </w:r>
      <w:r w:rsidRPr="00D656E5">
        <w:t xml:space="preserve">2019a, p. </w:t>
      </w:r>
      <w:r>
        <w:t>7</w:t>
      </w:r>
    </w:p>
  </w:footnote>
  <w:footnote w:id="662">
    <w:p w14:paraId="7C3758EA" w14:textId="1752A772" w:rsidR="00452DFD" w:rsidRDefault="00452DFD">
      <w:pPr>
        <w:pStyle w:val="FootnoteText"/>
      </w:pPr>
      <w:r>
        <w:rPr>
          <w:rStyle w:val="FootnoteReference"/>
        </w:rPr>
        <w:footnoteRef/>
      </w:r>
      <w:r>
        <w:t xml:space="preserve"> Butler </w:t>
      </w:r>
      <w:r w:rsidRPr="009800AB">
        <w:rPr>
          <w:i/>
        </w:rPr>
        <w:t>et al.,</w:t>
      </w:r>
      <w:r>
        <w:t xml:space="preserve"> 2020, Callus, 2019, </w:t>
      </w:r>
      <w:r w:rsidRPr="00A42704">
        <w:t xml:space="preserve">Dewa </w:t>
      </w:r>
      <w:r w:rsidRPr="009800AB">
        <w:rPr>
          <w:i/>
        </w:rPr>
        <w:t>et al.,</w:t>
      </w:r>
      <w:r>
        <w:t xml:space="preserve"> 2020, Disability Wales, 2019, Fitzgerald and Walsh, 2016, Haya </w:t>
      </w:r>
      <w:proofErr w:type="spellStart"/>
      <w:r>
        <w:t>Salmón</w:t>
      </w:r>
      <w:proofErr w:type="spellEnd"/>
      <w:r>
        <w:t xml:space="preserve"> and Rojas </w:t>
      </w:r>
      <w:proofErr w:type="spellStart"/>
      <w:r>
        <w:t>Pernia</w:t>
      </w:r>
      <w:proofErr w:type="spellEnd"/>
      <w:r>
        <w:t xml:space="preserve">, 2021, </w:t>
      </w:r>
      <w:proofErr w:type="spellStart"/>
      <w:r>
        <w:t>ImaYDiT</w:t>
      </w:r>
      <w:proofErr w:type="spellEnd"/>
      <w:r>
        <w:t xml:space="preserve">, 2018, Mann and </w:t>
      </w:r>
      <w:r w:rsidRPr="00A42704">
        <w:t>Hung, 2018</w:t>
      </w:r>
      <w:r>
        <w:t xml:space="preserve">, </w:t>
      </w:r>
      <w:proofErr w:type="spellStart"/>
      <w:r>
        <w:t>Maw</w:t>
      </w:r>
      <w:r w:rsidRPr="00A42704">
        <w:t>n</w:t>
      </w:r>
      <w:proofErr w:type="spellEnd"/>
      <w:r w:rsidRPr="00A42704">
        <w:t xml:space="preserve"> </w:t>
      </w:r>
      <w:r w:rsidRPr="009800AB">
        <w:rPr>
          <w:i/>
        </w:rPr>
        <w:t>et al.,</w:t>
      </w:r>
      <w:r>
        <w:t xml:space="preserve"> 2</w:t>
      </w:r>
      <w:r w:rsidRPr="00A42704">
        <w:t>015</w:t>
      </w:r>
      <w:r>
        <w:t xml:space="preserve">, </w:t>
      </w:r>
      <w:proofErr w:type="spellStart"/>
      <w:r>
        <w:t>Puyalto</w:t>
      </w:r>
      <w:proofErr w:type="spellEnd"/>
      <w:r>
        <w:t xml:space="preserve"> </w:t>
      </w:r>
      <w:r w:rsidRPr="009800AB">
        <w:rPr>
          <w:i/>
        </w:rPr>
        <w:t>et al.,</w:t>
      </w:r>
      <w:r>
        <w:t xml:space="preserve"> 2016</w:t>
      </w:r>
    </w:p>
  </w:footnote>
  <w:footnote w:id="663">
    <w:p w14:paraId="15BDB4FF" w14:textId="608A9F08" w:rsidR="00452DFD" w:rsidRDefault="00452DFD">
      <w:pPr>
        <w:pStyle w:val="FootnoteText"/>
      </w:pPr>
      <w:r>
        <w:rPr>
          <w:rStyle w:val="FootnoteReference"/>
        </w:rPr>
        <w:footnoteRef/>
      </w:r>
      <w:r>
        <w:t xml:space="preserve"> </w:t>
      </w:r>
      <w:proofErr w:type="spellStart"/>
      <w:r w:rsidRPr="00516C11">
        <w:rPr>
          <w:szCs w:val="26"/>
        </w:rPr>
        <w:t>Barod</w:t>
      </w:r>
      <w:proofErr w:type="spellEnd"/>
      <w:r w:rsidRPr="00516C11">
        <w:rPr>
          <w:szCs w:val="26"/>
        </w:rPr>
        <w:t xml:space="preserve"> Community Interest Company</w:t>
      </w:r>
      <w:r w:rsidRPr="00251EC3">
        <w:rPr>
          <w:szCs w:val="26"/>
        </w:rPr>
        <w:t>, 201</w:t>
      </w:r>
      <w:r>
        <w:rPr>
          <w:szCs w:val="26"/>
        </w:rPr>
        <w:t>9</w:t>
      </w:r>
      <w:r w:rsidRPr="00251EC3">
        <w:rPr>
          <w:szCs w:val="26"/>
        </w:rPr>
        <w:t>,</w:t>
      </w:r>
      <w:r>
        <w:rPr>
          <w:szCs w:val="26"/>
        </w:rPr>
        <w:t xml:space="preserve"> </w:t>
      </w:r>
      <w:r>
        <w:t xml:space="preserve">Dewa </w:t>
      </w:r>
      <w:r w:rsidRPr="009800AB">
        <w:rPr>
          <w:i/>
        </w:rPr>
        <w:t>et al.,</w:t>
      </w:r>
      <w:r>
        <w:t xml:space="preserve"> 2020, </w:t>
      </w:r>
      <w:proofErr w:type="spellStart"/>
      <w:r>
        <w:t>Frankena</w:t>
      </w:r>
      <w:proofErr w:type="spellEnd"/>
      <w:r>
        <w:t xml:space="preserve"> </w:t>
      </w:r>
      <w:r w:rsidRPr="009800AB">
        <w:rPr>
          <w:i/>
        </w:rPr>
        <w:t>et al.,</w:t>
      </w:r>
      <w:r>
        <w:t xml:space="preserve"> 2019c, </w:t>
      </w:r>
      <w:proofErr w:type="spellStart"/>
      <w:r w:rsidRPr="00251EC3">
        <w:rPr>
          <w:rFonts w:cs="Calibri"/>
          <w:color w:val="000000"/>
          <w:szCs w:val="26"/>
          <w:lang w:eastAsia="en-IE"/>
        </w:rPr>
        <w:t>Gratton</w:t>
      </w:r>
      <w:proofErr w:type="spellEnd"/>
      <w:r w:rsidRPr="00251EC3">
        <w:rPr>
          <w:rFonts w:cs="Calibri"/>
          <w:color w:val="000000"/>
          <w:szCs w:val="26"/>
          <w:lang w:eastAsia="en-IE"/>
        </w:rPr>
        <w:t>, 20</w:t>
      </w:r>
      <w:r>
        <w:rPr>
          <w:rFonts w:cs="Calibri"/>
          <w:color w:val="000000"/>
          <w:szCs w:val="26"/>
          <w:lang w:eastAsia="en-IE"/>
        </w:rPr>
        <w:t>20</w:t>
      </w:r>
      <w:r w:rsidRPr="00251EC3">
        <w:rPr>
          <w:rFonts w:cs="Calibri"/>
          <w:color w:val="000000"/>
          <w:szCs w:val="26"/>
          <w:lang w:eastAsia="en-IE"/>
        </w:rPr>
        <w:t xml:space="preserve">, </w:t>
      </w:r>
      <w:r w:rsidRPr="00251EC3">
        <w:rPr>
          <w:szCs w:val="26"/>
        </w:rPr>
        <w:t xml:space="preserve">King </w:t>
      </w:r>
      <w:r w:rsidRPr="009800AB">
        <w:rPr>
          <w:i/>
          <w:szCs w:val="26"/>
        </w:rPr>
        <w:t>et al.,</w:t>
      </w:r>
      <w:r>
        <w:rPr>
          <w:szCs w:val="26"/>
        </w:rPr>
        <w:t xml:space="preserve"> </w:t>
      </w:r>
      <w:r w:rsidRPr="00251EC3">
        <w:rPr>
          <w:szCs w:val="26"/>
        </w:rPr>
        <w:t xml:space="preserve">2019, IRN, 2019, </w:t>
      </w:r>
      <w:r>
        <w:t xml:space="preserve">Mann and Hung, 2018, </w:t>
      </w:r>
      <w:r w:rsidRPr="00251EC3">
        <w:rPr>
          <w:szCs w:val="26"/>
        </w:rPr>
        <w:t>National Development Team for Inclusion, 2019</w:t>
      </w:r>
      <w:r>
        <w:rPr>
          <w:szCs w:val="26"/>
        </w:rPr>
        <w:t xml:space="preserve">, </w:t>
      </w:r>
      <w:r>
        <w:t xml:space="preserve">Riches, O’Brien and CDS Inclusive Research Network, 2017, Stanley </w:t>
      </w:r>
      <w:r w:rsidRPr="009800AB">
        <w:rPr>
          <w:i/>
        </w:rPr>
        <w:t>et al.,</w:t>
      </w:r>
      <w:r>
        <w:t xml:space="preserve"> 2019, </w:t>
      </w:r>
      <w:r w:rsidRPr="00251EC3">
        <w:rPr>
          <w:szCs w:val="26"/>
        </w:rPr>
        <w:t xml:space="preserve">Tilly </w:t>
      </w:r>
      <w:r w:rsidRPr="009800AB">
        <w:rPr>
          <w:i/>
          <w:szCs w:val="26"/>
        </w:rPr>
        <w:t>et al.,</w:t>
      </w:r>
      <w:r>
        <w:rPr>
          <w:szCs w:val="26"/>
        </w:rPr>
        <w:t xml:space="preserve"> </w:t>
      </w:r>
      <w:r w:rsidRPr="00251EC3">
        <w:rPr>
          <w:szCs w:val="26"/>
        </w:rPr>
        <w:t xml:space="preserve">2015, Vasquez </w:t>
      </w:r>
      <w:r w:rsidRPr="009800AB">
        <w:rPr>
          <w:i/>
          <w:szCs w:val="26"/>
        </w:rPr>
        <w:t>et al.,</w:t>
      </w:r>
      <w:r>
        <w:rPr>
          <w:szCs w:val="26"/>
        </w:rPr>
        <w:t xml:space="preserve"> </w:t>
      </w:r>
      <w:r w:rsidRPr="00251EC3">
        <w:rPr>
          <w:szCs w:val="26"/>
        </w:rPr>
        <w:t xml:space="preserve">2019, Vega Cordova </w:t>
      </w:r>
      <w:r w:rsidRPr="009800AB">
        <w:rPr>
          <w:i/>
          <w:szCs w:val="26"/>
        </w:rPr>
        <w:t>et al.,</w:t>
      </w:r>
      <w:r>
        <w:rPr>
          <w:szCs w:val="26"/>
        </w:rPr>
        <w:t xml:space="preserve"> </w:t>
      </w:r>
      <w:r w:rsidRPr="00251EC3">
        <w:rPr>
          <w:szCs w:val="26"/>
        </w:rPr>
        <w:t xml:space="preserve">2020, Walsh </w:t>
      </w:r>
      <w:r w:rsidRPr="009800AB">
        <w:rPr>
          <w:i/>
          <w:szCs w:val="26"/>
        </w:rPr>
        <w:t>et al.,</w:t>
      </w:r>
      <w:r>
        <w:rPr>
          <w:szCs w:val="26"/>
        </w:rPr>
        <w:t xml:space="preserve"> 2018</w:t>
      </w:r>
    </w:p>
  </w:footnote>
  <w:footnote w:id="664">
    <w:p w14:paraId="377848A5" w14:textId="33DEA950" w:rsidR="00452DFD" w:rsidRDefault="00452DFD">
      <w:pPr>
        <w:pStyle w:val="FootnoteText"/>
      </w:pPr>
      <w:r>
        <w:rPr>
          <w:rStyle w:val="FootnoteReference"/>
        </w:rPr>
        <w:footnoteRef/>
      </w:r>
      <w:r>
        <w:t xml:space="preserve"> </w:t>
      </w:r>
      <w:r w:rsidRPr="007B1AB3">
        <w:t xml:space="preserve">Vasquez </w:t>
      </w:r>
      <w:r w:rsidRPr="009800AB">
        <w:rPr>
          <w:i/>
        </w:rPr>
        <w:t>et al.,</w:t>
      </w:r>
      <w:r>
        <w:t xml:space="preserve"> 2019</w:t>
      </w:r>
    </w:p>
  </w:footnote>
  <w:footnote w:id="665">
    <w:p w14:paraId="5869F769" w14:textId="57AD71C9" w:rsidR="00452DFD" w:rsidRDefault="00452DFD">
      <w:pPr>
        <w:pStyle w:val="FootnoteText"/>
      </w:pPr>
      <w:r>
        <w:rPr>
          <w:rStyle w:val="FootnoteReference"/>
        </w:rPr>
        <w:footnoteRef/>
      </w:r>
      <w:r>
        <w:t xml:space="preserve"> </w:t>
      </w:r>
      <w:r w:rsidRPr="007B1AB3">
        <w:t xml:space="preserve">Walsh </w:t>
      </w:r>
      <w:r w:rsidRPr="009800AB">
        <w:rPr>
          <w:i/>
        </w:rPr>
        <w:t>et al.,</w:t>
      </w:r>
      <w:r>
        <w:t xml:space="preserve"> 2</w:t>
      </w:r>
      <w:r w:rsidRPr="007B1AB3">
        <w:t>018</w:t>
      </w:r>
    </w:p>
  </w:footnote>
  <w:footnote w:id="666">
    <w:p w14:paraId="32846EDA" w14:textId="1D5D9E2D" w:rsidR="00452DFD" w:rsidRDefault="00452DFD">
      <w:pPr>
        <w:pStyle w:val="FootnoteText"/>
      </w:pPr>
      <w:r>
        <w:rPr>
          <w:rStyle w:val="FootnoteReference"/>
        </w:rPr>
        <w:footnoteRef/>
      </w:r>
      <w:r>
        <w:t xml:space="preserve"> e</w:t>
      </w:r>
      <w:r>
        <w:rPr>
          <w:rFonts w:eastAsia="SimSun"/>
          <w:lang w:eastAsia="en-IE"/>
        </w:rPr>
        <w:t xml:space="preserve">.g. </w:t>
      </w:r>
      <w:proofErr w:type="spellStart"/>
      <w:r>
        <w:rPr>
          <w:rFonts w:eastAsia="SimSun"/>
          <w:lang w:eastAsia="en-IE"/>
        </w:rPr>
        <w:t>Dorozenko</w:t>
      </w:r>
      <w:proofErr w:type="spellEnd"/>
      <w:r>
        <w:rPr>
          <w:rFonts w:eastAsia="SimSun"/>
          <w:lang w:eastAsia="en-IE"/>
        </w:rPr>
        <w:t xml:space="preserve"> </w:t>
      </w:r>
      <w:r w:rsidRPr="009800AB">
        <w:rPr>
          <w:rFonts w:eastAsia="SimSun"/>
          <w:i/>
          <w:lang w:eastAsia="en-IE"/>
        </w:rPr>
        <w:t>et al.,</w:t>
      </w:r>
      <w:r>
        <w:rPr>
          <w:rFonts w:eastAsia="SimSun"/>
          <w:lang w:eastAsia="en-IE"/>
        </w:rPr>
        <w:t xml:space="preserve"> 2016 </w:t>
      </w:r>
      <w:r>
        <w:t>cited in Smith-Merry, 2017</w:t>
      </w:r>
      <w:r>
        <w:rPr>
          <w:rFonts w:eastAsia="SimSun"/>
          <w:lang w:eastAsia="en-IE"/>
        </w:rPr>
        <w:t xml:space="preserve">, Johnson </w:t>
      </w:r>
      <w:r w:rsidRPr="009800AB">
        <w:rPr>
          <w:rFonts w:eastAsia="SimSun"/>
          <w:i/>
          <w:lang w:eastAsia="en-IE"/>
        </w:rPr>
        <w:t>et al.,</w:t>
      </w:r>
      <w:r>
        <w:rPr>
          <w:rFonts w:eastAsia="SimSun"/>
          <w:lang w:eastAsia="en-IE"/>
        </w:rPr>
        <w:t xml:space="preserve"> 2014 </w:t>
      </w:r>
      <w:r>
        <w:t xml:space="preserve">cited in Smith-Merry, 2017, </w:t>
      </w:r>
      <w:proofErr w:type="spellStart"/>
      <w:r>
        <w:rPr>
          <w:rFonts w:eastAsia="SimSun"/>
          <w:lang w:eastAsia="en-IE"/>
        </w:rPr>
        <w:t>Povee</w:t>
      </w:r>
      <w:proofErr w:type="spellEnd"/>
      <w:r>
        <w:rPr>
          <w:rFonts w:eastAsia="SimSun"/>
          <w:lang w:eastAsia="en-IE"/>
        </w:rPr>
        <w:t xml:space="preserve"> </w:t>
      </w:r>
      <w:r w:rsidRPr="00185C11">
        <w:rPr>
          <w:rFonts w:eastAsia="SimSun"/>
          <w:i/>
          <w:lang w:eastAsia="en-IE"/>
        </w:rPr>
        <w:t xml:space="preserve">et al. </w:t>
      </w:r>
      <w:r>
        <w:rPr>
          <w:rFonts w:eastAsia="SimSun"/>
          <w:lang w:eastAsia="en-IE"/>
        </w:rPr>
        <w:t>2014</w:t>
      </w:r>
      <w:r>
        <w:t xml:space="preserve"> cited in Smith-Merry, 2017,</w:t>
      </w:r>
      <w:r w:rsidRPr="00CF00DD">
        <w:rPr>
          <w:rFonts w:eastAsia="SimSun"/>
          <w:lang w:eastAsia="en-IE"/>
        </w:rPr>
        <w:t xml:space="preserve"> </w:t>
      </w:r>
      <w:r>
        <w:rPr>
          <w:rFonts w:eastAsia="SimSun"/>
          <w:lang w:eastAsia="en-IE"/>
        </w:rPr>
        <w:t xml:space="preserve">Schneider, 2012 </w:t>
      </w:r>
      <w:r>
        <w:t>cited in Smith-Merry, 2017</w:t>
      </w:r>
    </w:p>
  </w:footnote>
  <w:footnote w:id="667">
    <w:p w14:paraId="2481EFF3" w14:textId="64CFECCD" w:rsidR="00452DFD" w:rsidRDefault="00452DFD">
      <w:pPr>
        <w:pStyle w:val="FootnoteText"/>
      </w:pPr>
      <w:r>
        <w:rPr>
          <w:rStyle w:val="FootnoteReference"/>
        </w:rPr>
        <w:footnoteRef/>
      </w:r>
      <w:r>
        <w:t xml:space="preserve"> e</w:t>
      </w:r>
      <w:r>
        <w:rPr>
          <w:rFonts w:eastAsia="SimSun"/>
          <w:lang w:eastAsia="en-IE"/>
        </w:rPr>
        <w:t xml:space="preserve">.g. </w:t>
      </w:r>
      <w:proofErr w:type="spellStart"/>
      <w:r>
        <w:rPr>
          <w:rFonts w:eastAsia="SimSun"/>
          <w:lang w:eastAsia="en-IE"/>
        </w:rPr>
        <w:t>Dorozenko</w:t>
      </w:r>
      <w:proofErr w:type="spellEnd"/>
      <w:r>
        <w:rPr>
          <w:rFonts w:eastAsia="SimSun"/>
          <w:lang w:eastAsia="en-IE"/>
        </w:rPr>
        <w:t xml:space="preserve"> </w:t>
      </w:r>
      <w:r w:rsidRPr="009800AB">
        <w:rPr>
          <w:rFonts w:eastAsia="SimSun"/>
          <w:i/>
          <w:lang w:eastAsia="en-IE"/>
        </w:rPr>
        <w:t>et al.,</w:t>
      </w:r>
      <w:r>
        <w:rPr>
          <w:rFonts w:eastAsia="SimSun"/>
          <w:lang w:eastAsia="en-IE"/>
        </w:rPr>
        <w:t xml:space="preserve"> 2016 </w:t>
      </w:r>
      <w:r>
        <w:t>cited in Smith-Merry, 2017</w:t>
      </w:r>
      <w:r>
        <w:rPr>
          <w:rFonts w:eastAsia="SimSun"/>
          <w:lang w:eastAsia="en-IE"/>
        </w:rPr>
        <w:t xml:space="preserve">, Johnson </w:t>
      </w:r>
      <w:r w:rsidRPr="009800AB">
        <w:rPr>
          <w:rFonts w:eastAsia="SimSun"/>
          <w:i/>
          <w:lang w:eastAsia="en-IE"/>
        </w:rPr>
        <w:t>et al.,</w:t>
      </w:r>
      <w:r>
        <w:rPr>
          <w:rFonts w:eastAsia="SimSun"/>
          <w:lang w:eastAsia="en-IE"/>
        </w:rPr>
        <w:t xml:space="preserve"> 2014 </w:t>
      </w:r>
      <w:r>
        <w:t xml:space="preserve">cited in Smith-Merry, 2017, </w:t>
      </w:r>
      <w:proofErr w:type="spellStart"/>
      <w:r>
        <w:rPr>
          <w:rFonts w:eastAsia="SimSun"/>
          <w:lang w:eastAsia="en-IE"/>
        </w:rPr>
        <w:t>Povee</w:t>
      </w:r>
      <w:proofErr w:type="spellEnd"/>
      <w:r>
        <w:rPr>
          <w:rFonts w:eastAsia="SimSun"/>
          <w:lang w:eastAsia="en-IE"/>
        </w:rPr>
        <w:t xml:space="preserve"> </w:t>
      </w:r>
      <w:r w:rsidRPr="00185C11">
        <w:rPr>
          <w:rFonts w:eastAsia="SimSun"/>
          <w:i/>
          <w:lang w:eastAsia="en-IE"/>
        </w:rPr>
        <w:t xml:space="preserve">et al. </w:t>
      </w:r>
      <w:r>
        <w:rPr>
          <w:rFonts w:eastAsia="SimSun"/>
          <w:lang w:eastAsia="en-IE"/>
        </w:rPr>
        <w:t>2014</w:t>
      </w:r>
      <w:r>
        <w:t xml:space="preserve"> cited in Smith-Merry, 2017,</w:t>
      </w:r>
      <w:r w:rsidRPr="00CF00DD">
        <w:rPr>
          <w:rFonts w:eastAsia="SimSun"/>
          <w:lang w:eastAsia="en-IE"/>
        </w:rPr>
        <w:t xml:space="preserve"> </w:t>
      </w:r>
      <w:r>
        <w:rPr>
          <w:rFonts w:eastAsia="SimSun"/>
          <w:lang w:eastAsia="en-IE"/>
        </w:rPr>
        <w:t xml:space="preserve">Schneider, 2012 </w:t>
      </w:r>
      <w:r>
        <w:t>cited in Smith-Merry, 2017</w:t>
      </w:r>
    </w:p>
  </w:footnote>
  <w:footnote w:id="668">
    <w:p w14:paraId="47D21CF3" w14:textId="07AD97D4" w:rsidR="00452DFD" w:rsidRDefault="00452DFD">
      <w:pPr>
        <w:pStyle w:val="FootnoteText"/>
      </w:pPr>
      <w:r>
        <w:rPr>
          <w:rStyle w:val="FootnoteReference"/>
        </w:rPr>
        <w:footnoteRef/>
      </w:r>
      <w:r>
        <w:t xml:space="preserve"> </w:t>
      </w:r>
      <w:r>
        <w:rPr>
          <w:szCs w:val="26"/>
          <w:lang w:eastAsia="en-IE"/>
        </w:rPr>
        <w:t>Hollinrake, Spencer and Dix, 2019</w:t>
      </w:r>
    </w:p>
  </w:footnote>
  <w:footnote w:id="669">
    <w:p w14:paraId="3C22E5EB" w14:textId="582E459A" w:rsidR="00452DFD" w:rsidRDefault="00452DFD">
      <w:pPr>
        <w:pStyle w:val="FootnoteText"/>
      </w:pPr>
      <w:r>
        <w:rPr>
          <w:rStyle w:val="FootnoteReference"/>
        </w:rPr>
        <w:footnoteRef/>
      </w:r>
      <w:r>
        <w:t xml:space="preserve"> </w:t>
      </w:r>
      <w:proofErr w:type="spellStart"/>
      <w:r w:rsidRPr="00516C11">
        <w:t>Barod</w:t>
      </w:r>
      <w:proofErr w:type="spellEnd"/>
      <w:r w:rsidRPr="00516C11">
        <w:t xml:space="preserve"> Community Interest Company</w:t>
      </w:r>
      <w:r>
        <w:t xml:space="preserve">, 2019, Disability Wales, 2019, Riches, O’Brien and CDS Inclusive Research Network, 2020, Stanley </w:t>
      </w:r>
      <w:r w:rsidRPr="009800AB">
        <w:rPr>
          <w:i/>
        </w:rPr>
        <w:t>et al.,</w:t>
      </w:r>
      <w:r>
        <w:t xml:space="preserve"> 2019</w:t>
      </w:r>
    </w:p>
  </w:footnote>
  <w:footnote w:id="670">
    <w:p w14:paraId="24A0ED60" w14:textId="2EC79E61" w:rsidR="00452DFD" w:rsidRDefault="00452DFD">
      <w:pPr>
        <w:pStyle w:val="FootnoteText"/>
      </w:pPr>
      <w:r>
        <w:rPr>
          <w:rStyle w:val="FootnoteReference"/>
        </w:rPr>
        <w:footnoteRef/>
      </w:r>
      <w:r>
        <w:t xml:space="preserve"> Riches, O’Brien and CDS Inclusive Research Network, 2020</w:t>
      </w:r>
    </w:p>
  </w:footnote>
  <w:footnote w:id="671">
    <w:p w14:paraId="41905CCF" w14:textId="31E757A3" w:rsidR="00452DFD" w:rsidRDefault="00452DFD">
      <w:pPr>
        <w:pStyle w:val="FootnoteText"/>
      </w:pPr>
      <w:r>
        <w:rPr>
          <w:rStyle w:val="FootnoteReference"/>
        </w:rPr>
        <w:footnoteRef/>
      </w:r>
      <w:r>
        <w:t xml:space="preserve"> Flicker, 2008 cited in Van </w:t>
      </w:r>
      <w:proofErr w:type="spellStart"/>
      <w:r>
        <w:t>Schelven</w:t>
      </w:r>
      <w:proofErr w:type="spellEnd"/>
      <w:r>
        <w:t xml:space="preserve"> </w:t>
      </w:r>
      <w:r w:rsidRPr="009800AB">
        <w:rPr>
          <w:i/>
        </w:rPr>
        <w:t>et al.,</w:t>
      </w:r>
      <w:r>
        <w:t xml:space="preserve"> 2020a</w:t>
      </w:r>
    </w:p>
  </w:footnote>
  <w:footnote w:id="672">
    <w:p w14:paraId="7D41B5CF" w14:textId="45C96296" w:rsidR="00452DFD" w:rsidRDefault="00452DFD">
      <w:pPr>
        <w:pStyle w:val="FootnoteText"/>
      </w:pPr>
      <w:r>
        <w:rPr>
          <w:rStyle w:val="FootnoteReference"/>
        </w:rPr>
        <w:footnoteRef/>
      </w:r>
      <w:r>
        <w:t xml:space="preserve"> Coyne </w:t>
      </w:r>
      <w:r w:rsidRPr="009800AB">
        <w:rPr>
          <w:i/>
        </w:rPr>
        <w:t>et al.,</w:t>
      </w:r>
      <w:r>
        <w:t xml:space="preserve"> 2016 cited in Van </w:t>
      </w:r>
      <w:proofErr w:type="spellStart"/>
      <w:r>
        <w:t>Schelven</w:t>
      </w:r>
      <w:proofErr w:type="spellEnd"/>
      <w:r>
        <w:t xml:space="preserve"> </w:t>
      </w:r>
      <w:r w:rsidRPr="009800AB">
        <w:rPr>
          <w:i/>
        </w:rPr>
        <w:t>et al.,</w:t>
      </w:r>
      <w:r>
        <w:t xml:space="preserve"> 2020a</w:t>
      </w:r>
    </w:p>
  </w:footnote>
  <w:footnote w:id="673">
    <w:p w14:paraId="617BCC63" w14:textId="706F9696" w:rsidR="00452DFD" w:rsidRDefault="00452DFD">
      <w:pPr>
        <w:pStyle w:val="FootnoteText"/>
      </w:pPr>
      <w:r>
        <w:rPr>
          <w:rStyle w:val="FootnoteReference"/>
        </w:rPr>
        <w:footnoteRef/>
      </w:r>
      <w:r>
        <w:t xml:space="preserve"> </w:t>
      </w:r>
      <w:proofErr w:type="spellStart"/>
      <w:r>
        <w:t>Strnadová</w:t>
      </w:r>
      <w:proofErr w:type="spellEnd"/>
      <w:r>
        <w:t xml:space="preserve"> </w:t>
      </w:r>
      <w:r w:rsidRPr="009800AB">
        <w:rPr>
          <w:i/>
        </w:rPr>
        <w:t>et al.,</w:t>
      </w:r>
      <w:r>
        <w:t xml:space="preserve"> 2016</w:t>
      </w:r>
    </w:p>
  </w:footnote>
  <w:footnote w:id="674">
    <w:p w14:paraId="6CF001B8" w14:textId="4C1D0ED9" w:rsidR="00452DFD" w:rsidRDefault="00452DFD">
      <w:pPr>
        <w:pStyle w:val="FootnoteText"/>
      </w:pPr>
      <w:r>
        <w:rPr>
          <w:rStyle w:val="FootnoteReference"/>
        </w:rPr>
        <w:footnoteRef/>
      </w:r>
      <w:r>
        <w:t xml:space="preserve"> Riches, O’Brien and CDS Inclusive Research Network, 2017</w:t>
      </w:r>
    </w:p>
  </w:footnote>
  <w:footnote w:id="675">
    <w:p w14:paraId="5F48C2C5" w14:textId="60DDE395" w:rsidR="00452DFD" w:rsidRDefault="00452DFD">
      <w:pPr>
        <w:pStyle w:val="FootnoteText"/>
      </w:pPr>
      <w:r>
        <w:rPr>
          <w:rStyle w:val="FootnoteReference"/>
        </w:rPr>
        <w:footnoteRef/>
      </w:r>
      <w:r>
        <w:t xml:space="preserve"> Paul </w:t>
      </w:r>
      <w:r w:rsidRPr="009800AB">
        <w:rPr>
          <w:i/>
        </w:rPr>
        <w:t>et al.,</w:t>
      </w:r>
      <w:r>
        <w:t xml:space="preserve"> 2017, Riches, O’Brien and CDS Inclusive Research Network, 2017</w:t>
      </w:r>
    </w:p>
  </w:footnote>
  <w:footnote w:id="676">
    <w:p w14:paraId="319CB0A6" w14:textId="7FE53AA5" w:rsidR="00452DFD" w:rsidRDefault="00452DFD">
      <w:pPr>
        <w:pStyle w:val="FootnoteText"/>
      </w:pPr>
      <w:r>
        <w:rPr>
          <w:rStyle w:val="FootnoteReference"/>
        </w:rPr>
        <w:footnoteRef/>
      </w:r>
      <w:r>
        <w:t xml:space="preserve"> Riches, O’Brien and CDS Inclusive Research Network, 2020</w:t>
      </w:r>
    </w:p>
  </w:footnote>
  <w:footnote w:id="677">
    <w:p w14:paraId="69711271" w14:textId="6EC8697C" w:rsidR="00452DFD" w:rsidRDefault="00452DFD">
      <w:pPr>
        <w:pStyle w:val="FootnoteText"/>
      </w:pPr>
      <w:r>
        <w:rPr>
          <w:rStyle w:val="FootnoteReference"/>
        </w:rPr>
        <w:footnoteRef/>
      </w:r>
      <w:r>
        <w:t xml:space="preserve"> Riches, O’Brien and CDS Inclusive Research Network, 2017, Vega Cordova </w:t>
      </w:r>
      <w:r w:rsidRPr="009800AB">
        <w:rPr>
          <w:i/>
        </w:rPr>
        <w:t>et al.,</w:t>
      </w:r>
      <w:r>
        <w:t xml:space="preserve"> 2020</w:t>
      </w:r>
    </w:p>
  </w:footnote>
  <w:footnote w:id="678">
    <w:p w14:paraId="384C409A" w14:textId="7645982D" w:rsidR="00452DFD" w:rsidRDefault="00452DFD">
      <w:pPr>
        <w:pStyle w:val="FootnoteText"/>
      </w:pPr>
      <w:r>
        <w:rPr>
          <w:rStyle w:val="FootnoteReference"/>
        </w:rPr>
        <w:footnoteRef/>
      </w:r>
      <w:r>
        <w:t xml:space="preserve"> Bailey </w:t>
      </w:r>
      <w:r w:rsidRPr="009800AB">
        <w:rPr>
          <w:i/>
        </w:rPr>
        <w:t>et al.,</w:t>
      </w:r>
      <w:r>
        <w:t xml:space="preserve"> 2015</w:t>
      </w:r>
    </w:p>
  </w:footnote>
  <w:footnote w:id="679">
    <w:p w14:paraId="4DD87615" w14:textId="5125C26F" w:rsidR="00452DFD" w:rsidRDefault="00452DFD">
      <w:pPr>
        <w:pStyle w:val="FootnoteText"/>
      </w:pPr>
      <w:r>
        <w:rPr>
          <w:rStyle w:val="FootnoteReference"/>
        </w:rPr>
        <w:footnoteRef/>
      </w:r>
      <w:r>
        <w:t xml:space="preserve"> Smith-Merry, no date</w:t>
      </w:r>
    </w:p>
  </w:footnote>
  <w:footnote w:id="680">
    <w:p w14:paraId="39A506B9" w14:textId="31151271" w:rsidR="00452DFD" w:rsidRDefault="00452DFD">
      <w:pPr>
        <w:pStyle w:val="FootnoteText"/>
      </w:pPr>
      <w:r>
        <w:rPr>
          <w:rStyle w:val="FootnoteReference"/>
        </w:rPr>
        <w:footnoteRef/>
      </w:r>
      <w:r>
        <w:t xml:space="preserve"> Smith-Merry, no date</w:t>
      </w:r>
    </w:p>
  </w:footnote>
  <w:footnote w:id="681">
    <w:p w14:paraId="19561E7D" w14:textId="05B1AD26" w:rsidR="00452DFD" w:rsidRDefault="00452DFD">
      <w:pPr>
        <w:pStyle w:val="FootnoteText"/>
      </w:pPr>
      <w:r>
        <w:rPr>
          <w:rStyle w:val="FootnoteReference"/>
        </w:rPr>
        <w:footnoteRef/>
      </w:r>
      <w:r>
        <w:t xml:space="preserve"> Gove </w:t>
      </w:r>
      <w:r w:rsidRPr="009800AB">
        <w:rPr>
          <w:i/>
        </w:rPr>
        <w:t>et al.,</w:t>
      </w:r>
      <w:r>
        <w:t xml:space="preserve"> 2018</w:t>
      </w:r>
    </w:p>
  </w:footnote>
  <w:footnote w:id="682">
    <w:p w14:paraId="417352B3" w14:textId="7F9DC173" w:rsidR="00452DFD" w:rsidRDefault="00452DFD">
      <w:pPr>
        <w:pStyle w:val="FootnoteText"/>
      </w:pPr>
      <w:r>
        <w:rPr>
          <w:rStyle w:val="FootnoteReference"/>
        </w:rPr>
        <w:footnoteRef/>
      </w:r>
      <w:r>
        <w:t xml:space="preserve"> Burton, Ogden, and Cooper, 2019, </w:t>
      </w:r>
      <w:proofErr w:type="spellStart"/>
      <w:r>
        <w:t>Frankena</w:t>
      </w:r>
      <w:proofErr w:type="spellEnd"/>
      <w:r>
        <w:t xml:space="preserve"> </w:t>
      </w:r>
      <w:r w:rsidRPr="009800AB">
        <w:rPr>
          <w:i/>
        </w:rPr>
        <w:t>et al.,</w:t>
      </w:r>
      <w:r>
        <w:t xml:space="preserve"> 2015, </w:t>
      </w:r>
      <w:proofErr w:type="spellStart"/>
      <w:r>
        <w:t>Frankena</w:t>
      </w:r>
      <w:proofErr w:type="spellEnd"/>
      <w:r>
        <w:t xml:space="preserve"> </w:t>
      </w:r>
      <w:r w:rsidRPr="009800AB">
        <w:rPr>
          <w:i/>
        </w:rPr>
        <w:t>et al.,</w:t>
      </w:r>
      <w:r>
        <w:t xml:space="preserve"> 2019a, Miah </w:t>
      </w:r>
      <w:r w:rsidRPr="009800AB">
        <w:rPr>
          <w:i/>
        </w:rPr>
        <w:t>et al.,</w:t>
      </w:r>
      <w:r>
        <w:t xml:space="preserve"> 2019, </w:t>
      </w:r>
      <w:r w:rsidRPr="00E03BF7">
        <w:t xml:space="preserve">Stevenson </w:t>
      </w:r>
      <w:r>
        <w:t>and</w:t>
      </w:r>
      <w:r w:rsidRPr="00E03BF7">
        <w:t xml:space="preserve"> Taylor, 2019</w:t>
      </w:r>
      <w:r>
        <w:t xml:space="preserve">, Swarbrick </w:t>
      </w:r>
      <w:r w:rsidRPr="009800AB">
        <w:rPr>
          <w:i/>
        </w:rPr>
        <w:t>et al.,</w:t>
      </w:r>
      <w:r>
        <w:t xml:space="preserve"> 2020, </w:t>
      </w:r>
      <w:r w:rsidRPr="000F5F86">
        <w:t xml:space="preserve">Van </w:t>
      </w:r>
      <w:proofErr w:type="spellStart"/>
      <w:r>
        <w:t>S</w:t>
      </w:r>
      <w:r w:rsidRPr="000F5F86">
        <w:t>chelven</w:t>
      </w:r>
      <w:proofErr w:type="spellEnd"/>
      <w:r w:rsidRPr="000F5F86">
        <w:t xml:space="preserve"> </w:t>
      </w:r>
      <w:r w:rsidRPr="009800AB">
        <w:rPr>
          <w:i/>
        </w:rPr>
        <w:t>et al.,</w:t>
      </w:r>
      <w:r>
        <w:t xml:space="preserve"> 2</w:t>
      </w:r>
      <w:r w:rsidRPr="000F5F86">
        <w:t>020</w:t>
      </w:r>
      <w:r>
        <w:t>b</w:t>
      </w:r>
    </w:p>
  </w:footnote>
  <w:footnote w:id="683">
    <w:p w14:paraId="629D99D9" w14:textId="142B8B85" w:rsidR="00452DFD" w:rsidRDefault="00452DFD">
      <w:pPr>
        <w:pStyle w:val="FootnoteText"/>
      </w:pPr>
      <w:r>
        <w:rPr>
          <w:rStyle w:val="FootnoteReference"/>
        </w:rPr>
        <w:footnoteRef/>
      </w:r>
      <w:r>
        <w:t xml:space="preserve"> Haya </w:t>
      </w:r>
      <w:proofErr w:type="spellStart"/>
      <w:r w:rsidRPr="006A62C3">
        <w:t>Salm</w:t>
      </w:r>
      <w:r>
        <w:t>ó</w:t>
      </w:r>
      <w:r w:rsidRPr="006A62C3">
        <w:t>n</w:t>
      </w:r>
      <w:proofErr w:type="spellEnd"/>
      <w:r w:rsidRPr="006A62C3">
        <w:t xml:space="preserve"> </w:t>
      </w:r>
      <w:r>
        <w:t>and</w:t>
      </w:r>
      <w:r w:rsidRPr="006A62C3">
        <w:t xml:space="preserve"> </w:t>
      </w:r>
      <w:r>
        <w:t xml:space="preserve">Rojas </w:t>
      </w:r>
      <w:proofErr w:type="spellStart"/>
      <w:r w:rsidRPr="006A62C3">
        <w:t>Pernia</w:t>
      </w:r>
      <w:proofErr w:type="spellEnd"/>
      <w:r w:rsidRPr="006A62C3">
        <w:t xml:space="preserve"> 202</w:t>
      </w:r>
      <w:r>
        <w:t>1</w:t>
      </w:r>
    </w:p>
  </w:footnote>
  <w:footnote w:id="684">
    <w:p w14:paraId="45E21927" w14:textId="010D0E67" w:rsidR="00452DFD" w:rsidRDefault="00452DFD">
      <w:pPr>
        <w:pStyle w:val="FootnoteText"/>
      </w:pPr>
      <w:r>
        <w:rPr>
          <w:rStyle w:val="FootnoteReference"/>
        </w:rPr>
        <w:footnoteRef/>
      </w:r>
      <w:r>
        <w:t xml:space="preserve"> Drill R</w:t>
      </w:r>
      <w:r w:rsidRPr="006A62C3">
        <w:t>eport, 2018</w:t>
      </w:r>
    </w:p>
  </w:footnote>
  <w:footnote w:id="685">
    <w:p w14:paraId="4A13B7E3" w14:textId="57397CF9" w:rsidR="00452DFD" w:rsidRDefault="00452DFD">
      <w:pPr>
        <w:pStyle w:val="FootnoteText"/>
      </w:pPr>
      <w:r>
        <w:rPr>
          <w:rStyle w:val="FootnoteReference"/>
        </w:rPr>
        <w:footnoteRef/>
      </w:r>
      <w:r>
        <w:t xml:space="preserve"> Haya </w:t>
      </w:r>
      <w:proofErr w:type="spellStart"/>
      <w:r w:rsidRPr="006A62C3">
        <w:t>Salm</w:t>
      </w:r>
      <w:r>
        <w:t>ó</w:t>
      </w:r>
      <w:r w:rsidRPr="006A62C3">
        <w:t>n</w:t>
      </w:r>
      <w:proofErr w:type="spellEnd"/>
      <w:r w:rsidRPr="006A62C3">
        <w:t xml:space="preserve"> </w:t>
      </w:r>
      <w:r>
        <w:t>and</w:t>
      </w:r>
      <w:r w:rsidRPr="006A62C3">
        <w:t xml:space="preserve"> </w:t>
      </w:r>
      <w:r>
        <w:t xml:space="preserve">Rojas </w:t>
      </w:r>
      <w:proofErr w:type="spellStart"/>
      <w:r>
        <w:t>Pernia</w:t>
      </w:r>
      <w:proofErr w:type="spellEnd"/>
      <w:r>
        <w:t xml:space="preserve"> 2021, </w:t>
      </w:r>
      <w:r w:rsidRPr="006A62C3">
        <w:t xml:space="preserve">St John </w:t>
      </w:r>
      <w:r w:rsidRPr="009800AB">
        <w:rPr>
          <w:i/>
        </w:rPr>
        <w:t>et al.,</w:t>
      </w:r>
      <w:r>
        <w:t xml:space="preserve"> 2</w:t>
      </w:r>
      <w:r w:rsidRPr="006A62C3">
        <w:t>018</w:t>
      </w:r>
    </w:p>
  </w:footnote>
  <w:footnote w:id="686">
    <w:p w14:paraId="29FDC117" w14:textId="62DC4982" w:rsidR="00452DFD" w:rsidRDefault="00452DFD">
      <w:pPr>
        <w:pStyle w:val="FootnoteText"/>
      </w:pPr>
      <w:r>
        <w:rPr>
          <w:rStyle w:val="FootnoteReference"/>
        </w:rPr>
        <w:footnoteRef/>
      </w:r>
      <w:r>
        <w:t xml:space="preserve"> </w:t>
      </w:r>
      <w:proofErr w:type="spellStart"/>
      <w:r w:rsidRPr="00267442">
        <w:t>Staniszewska</w:t>
      </w:r>
      <w:proofErr w:type="spellEnd"/>
      <w:r>
        <w:t xml:space="preserve"> </w:t>
      </w:r>
      <w:r w:rsidRPr="009800AB">
        <w:rPr>
          <w:i/>
        </w:rPr>
        <w:t>et al.,</w:t>
      </w:r>
      <w:r>
        <w:t xml:space="preserve"> 2017</w:t>
      </w:r>
    </w:p>
  </w:footnote>
  <w:footnote w:id="687">
    <w:p w14:paraId="2D95B30C" w14:textId="7A46E5B8" w:rsidR="00452DFD" w:rsidRDefault="00452DFD">
      <w:pPr>
        <w:pStyle w:val="FootnoteText"/>
      </w:pPr>
      <w:r w:rsidRPr="00ED304C">
        <w:rPr>
          <w:rStyle w:val="FootnoteReference"/>
        </w:rPr>
        <w:footnoteRef/>
      </w:r>
      <w:r w:rsidRPr="00ED304C">
        <w:t xml:space="preserve"> See Appendix D for the short and long form of this checklist.</w:t>
      </w:r>
    </w:p>
  </w:footnote>
  <w:footnote w:id="688">
    <w:p w14:paraId="35D0B418" w14:textId="130C442E" w:rsidR="00452DFD" w:rsidRDefault="00452DFD">
      <w:pPr>
        <w:pStyle w:val="FootnoteText"/>
      </w:pPr>
      <w:r>
        <w:rPr>
          <w:rStyle w:val="FootnoteReference"/>
        </w:rPr>
        <w:footnoteRef/>
      </w:r>
      <w:r>
        <w:t xml:space="preserve"> Dewa </w:t>
      </w:r>
      <w:r w:rsidRPr="009800AB">
        <w:rPr>
          <w:i/>
        </w:rPr>
        <w:t>et al.,</w:t>
      </w:r>
      <w:r>
        <w:t xml:space="preserve"> 2020, Miah </w:t>
      </w:r>
      <w:r w:rsidRPr="009800AB">
        <w:rPr>
          <w:i/>
        </w:rPr>
        <w:t>et al.,</w:t>
      </w:r>
      <w:r>
        <w:t xml:space="preserve"> 2019, </w:t>
      </w:r>
      <w:proofErr w:type="spellStart"/>
      <w:r w:rsidRPr="008A4411">
        <w:t>Troya</w:t>
      </w:r>
      <w:proofErr w:type="spellEnd"/>
      <w:r w:rsidRPr="008A4411">
        <w:t xml:space="preserve">, </w:t>
      </w:r>
      <w:r>
        <w:t>Bartlam</w:t>
      </w:r>
      <w:r w:rsidRPr="008A4411">
        <w:t xml:space="preserve"> and Chew-Graham</w:t>
      </w:r>
      <w:r>
        <w:t xml:space="preserve">, 2018, </w:t>
      </w:r>
      <w:r w:rsidRPr="007341A8">
        <w:t xml:space="preserve">Van </w:t>
      </w:r>
      <w:proofErr w:type="spellStart"/>
      <w:r>
        <w:t>S</w:t>
      </w:r>
      <w:r w:rsidRPr="007341A8">
        <w:t>chelven</w:t>
      </w:r>
      <w:proofErr w:type="spellEnd"/>
      <w:r w:rsidRPr="007341A8">
        <w:t xml:space="preserve"> </w:t>
      </w:r>
      <w:r w:rsidRPr="009800AB">
        <w:rPr>
          <w:i/>
        </w:rPr>
        <w:t>et al.,</w:t>
      </w:r>
      <w:r>
        <w:t xml:space="preserve"> 2</w:t>
      </w:r>
      <w:r w:rsidRPr="007341A8">
        <w:t>020b</w:t>
      </w:r>
    </w:p>
  </w:footnote>
  <w:footnote w:id="689">
    <w:p w14:paraId="2D017344" w14:textId="196FECA5" w:rsidR="00452DFD" w:rsidRDefault="00452DFD">
      <w:pPr>
        <w:pStyle w:val="FootnoteText"/>
      </w:pPr>
      <w:r>
        <w:rPr>
          <w:rStyle w:val="FootnoteReference"/>
        </w:rPr>
        <w:footnoteRef/>
      </w:r>
      <w:r>
        <w:t xml:space="preserve"> Miah </w:t>
      </w:r>
      <w:r w:rsidRPr="009800AB">
        <w:rPr>
          <w:i/>
        </w:rPr>
        <w:t>et al.,</w:t>
      </w:r>
      <w:r>
        <w:t xml:space="preserve"> 2019, p.17</w:t>
      </w:r>
    </w:p>
  </w:footnote>
  <w:footnote w:id="690">
    <w:p w14:paraId="5DAA3128" w14:textId="6893C4E7" w:rsidR="00452DFD" w:rsidRDefault="00452DFD">
      <w:pPr>
        <w:pStyle w:val="FootnoteText"/>
      </w:pPr>
      <w:r>
        <w:rPr>
          <w:rStyle w:val="FootnoteReference"/>
        </w:rPr>
        <w:footnoteRef/>
      </w:r>
      <w:r>
        <w:t xml:space="preserve"> Campus Engage, 2017, p. 10</w:t>
      </w:r>
    </w:p>
  </w:footnote>
  <w:footnote w:id="691">
    <w:p w14:paraId="1CD919A4" w14:textId="77777777" w:rsidR="00452DFD" w:rsidRDefault="00452DFD" w:rsidP="00920D6C">
      <w:pPr>
        <w:pStyle w:val="FootnoteText"/>
      </w:pPr>
      <w:r>
        <w:rPr>
          <w:rStyle w:val="FootnoteReference"/>
        </w:rPr>
        <w:footnoteRef/>
      </w:r>
      <w:r>
        <w:t xml:space="preserve"> </w:t>
      </w:r>
      <w:proofErr w:type="spellStart"/>
      <w:r w:rsidRPr="00267442">
        <w:t>Staniszewska</w:t>
      </w:r>
      <w:proofErr w:type="spellEnd"/>
      <w:r>
        <w:t xml:space="preserve"> </w:t>
      </w:r>
      <w:r w:rsidRPr="009800AB">
        <w:rPr>
          <w:i/>
        </w:rPr>
        <w:t>et al.,</w:t>
      </w:r>
      <w:r>
        <w:t xml:space="preser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49605432"/>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24054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27741D6"/>
    <w:multiLevelType w:val="hybridMultilevel"/>
    <w:tmpl w:val="F52AE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E882774"/>
    <w:multiLevelType w:val="multilevel"/>
    <w:tmpl w:val="AE70B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EEC146F"/>
    <w:multiLevelType w:val="hybridMultilevel"/>
    <w:tmpl w:val="17687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1DF51C8"/>
    <w:multiLevelType w:val="hybridMultilevel"/>
    <w:tmpl w:val="2BCEF0A6"/>
    <w:lvl w:ilvl="0" w:tplc="F5A0A6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3391F09"/>
    <w:multiLevelType w:val="hybridMultilevel"/>
    <w:tmpl w:val="5B4E2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40D64C0"/>
    <w:multiLevelType w:val="hybridMultilevel"/>
    <w:tmpl w:val="D6646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8FD5F48"/>
    <w:multiLevelType w:val="hybridMultilevel"/>
    <w:tmpl w:val="50BE0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427FD1"/>
    <w:multiLevelType w:val="hybridMultilevel"/>
    <w:tmpl w:val="92D80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FB47AC"/>
    <w:multiLevelType w:val="hybridMultilevel"/>
    <w:tmpl w:val="8EBAF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A11D81"/>
    <w:multiLevelType w:val="hybridMultilevel"/>
    <w:tmpl w:val="4ED46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CA07A2"/>
    <w:multiLevelType w:val="hybridMultilevel"/>
    <w:tmpl w:val="FE4C3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EE5700"/>
    <w:multiLevelType w:val="hybridMultilevel"/>
    <w:tmpl w:val="67581A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2165E4"/>
    <w:multiLevelType w:val="hybridMultilevel"/>
    <w:tmpl w:val="1CF671D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0D934C9"/>
    <w:multiLevelType w:val="hybridMultilevel"/>
    <w:tmpl w:val="85207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463DA7"/>
    <w:multiLevelType w:val="hybridMultilevel"/>
    <w:tmpl w:val="812847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CD741BC"/>
    <w:multiLevelType w:val="hybridMultilevel"/>
    <w:tmpl w:val="229E66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E4C1981"/>
    <w:multiLevelType w:val="hybridMultilevel"/>
    <w:tmpl w:val="29FC1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F167435"/>
    <w:multiLevelType w:val="hybridMultilevel"/>
    <w:tmpl w:val="E18EC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9622F9"/>
    <w:multiLevelType w:val="hybridMultilevel"/>
    <w:tmpl w:val="57FE03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15644D9"/>
    <w:multiLevelType w:val="hybridMultilevel"/>
    <w:tmpl w:val="516E4B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22B2047"/>
    <w:multiLevelType w:val="hybridMultilevel"/>
    <w:tmpl w:val="33FCB1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387AE2"/>
    <w:multiLevelType w:val="hybridMultilevel"/>
    <w:tmpl w:val="F65CD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BAA7FBA"/>
    <w:multiLevelType w:val="hybridMultilevel"/>
    <w:tmpl w:val="BB0EA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D30C14"/>
    <w:multiLevelType w:val="hybridMultilevel"/>
    <w:tmpl w:val="17687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D7307B2"/>
    <w:multiLevelType w:val="hybridMultilevel"/>
    <w:tmpl w:val="CB843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E2C2DD0"/>
    <w:multiLevelType w:val="hybridMultilevel"/>
    <w:tmpl w:val="17687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26"/>
  </w:num>
  <w:num w:numId="8">
    <w:abstractNumId w:val="27"/>
  </w:num>
  <w:num w:numId="9">
    <w:abstractNumId w:val="10"/>
  </w:num>
  <w:num w:numId="10">
    <w:abstractNumId w:val="16"/>
  </w:num>
  <w:num w:numId="11">
    <w:abstractNumId w:val="23"/>
  </w:num>
  <w:num w:numId="12">
    <w:abstractNumId w:val="18"/>
  </w:num>
  <w:num w:numId="13">
    <w:abstractNumId w:val="20"/>
  </w:num>
  <w:num w:numId="14">
    <w:abstractNumId w:val="31"/>
  </w:num>
  <w:num w:numId="15">
    <w:abstractNumId w:val="17"/>
  </w:num>
  <w:num w:numId="16">
    <w:abstractNumId w:val="15"/>
  </w:num>
  <w:num w:numId="17">
    <w:abstractNumId w:val="14"/>
  </w:num>
  <w:num w:numId="18">
    <w:abstractNumId w:val="34"/>
  </w:num>
  <w:num w:numId="19">
    <w:abstractNumId w:val="19"/>
  </w:num>
  <w:num w:numId="20">
    <w:abstractNumId w:val="29"/>
  </w:num>
  <w:num w:numId="21">
    <w:abstractNumId w:val="11"/>
  </w:num>
  <w:num w:numId="22">
    <w:abstractNumId w:val="24"/>
  </w:num>
  <w:num w:numId="23">
    <w:abstractNumId w:val="12"/>
  </w:num>
  <w:num w:numId="24">
    <w:abstractNumId w:val="35"/>
  </w:num>
  <w:num w:numId="25">
    <w:abstractNumId w:val="28"/>
  </w:num>
  <w:num w:numId="26">
    <w:abstractNumId w:val="33"/>
  </w:num>
  <w:num w:numId="27">
    <w:abstractNumId w:val="30"/>
  </w:num>
  <w:num w:numId="28">
    <w:abstractNumId w:val="5"/>
  </w:num>
  <w:num w:numId="29">
    <w:abstractNumId w:val="4"/>
  </w:num>
  <w:num w:numId="30">
    <w:abstractNumId w:val="1"/>
  </w:num>
  <w:num w:numId="31">
    <w:abstractNumId w:val="0"/>
  </w:num>
  <w:num w:numId="32">
    <w:abstractNumId w:val="25"/>
  </w:num>
  <w:num w:numId="33">
    <w:abstractNumId w:val="22"/>
  </w:num>
  <w:num w:numId="34">
    <w:abstractNumId w:val="21"/>
  </w:num>
  <w:num w:numId="35">
    <w:abstractNumId w:val="32"/>
  </w:num>
  <w:num w:numId="36">
    <w:abstractNumId w:val="8"/>
    <w:lvlOverride w:ilvl="0">
      <w:startOverride w:val="1"/>
    </w:lvlOverride>
  </w:num>
  <w:num w:numId="3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8"/>
    <w:rsid w:val="000004EF"/>
    <w:rsid w:val="00000E30"/>
    <w:rsid w:val="00000FB8"/>
    <w:rsid w:val="00001CF4"/>
    <w:rsid w:val="000022BE"/>
    <w:rsid w:val="00002F98"/>
    <w:rsid w:val="000039C4"/>
    <w:rsid w:val="00003A22"/>
    <w:rsid w:val="00003FCE"/>
    <w:rsid w:val="0000418B"/>
    <w:rsid w:val="0000475B"/>
    <w:rsid w:val="00004A45"/>
    <w:rsid w:val="00004BFD"/>
    <w:rsid w:val="00005528"/>
    <w:rsid w:val="00006960"/>
    <w:rsid w:val="00007CD3"/>
    <w:rsid w:val="00010743"/>
    <w:rsid w:val="00010E40"/>
    <w:rsid w:val="00010F9E"/>
    <w:rsid w:val="000114C0"/>
    <w:rsid w:val="000126BD"/>
    <w:rsid w:val="00012B1C"/>
    <w:rsid w:val="00012FD3"/>
    <w:rsid w:val="00013114"/>
    <w:rsid w:val="00013A97"/>
    <w:rsid w:val="00013CD1"/>
    <w:rsid w:val="0001400A"/>
    <w:rsid w:val="0001431F"/>
    <w:rsid w:val="00014582"/>
    <w:rsid w:val="00014838"/>
    <w:rsid w:val="00014C5C"/>
    <w:rsid w:val="00015D80"/>
    <w:rsid w:val="00016C79"/>
    <w:rsid w:val="00017174"/>
    <w:rsid w:val="00017243"/>
    <w:rsid w:val="0001784A"/>
    <w:rsid w:val="00017A4F"/>
    <w:rsid w:val="00017DCF"/>
    <w:rsid w:val="00020529"/>
    <w:rsid w:val="000206A8"/>
    <w:rsid w:val="000212E2"/>
    <w:rsid w:val="00021A57"/>
    <w:rsid w:val="00021E30"/>
    <w:rsid w:val="00021E4F"/>
    <w:rsid w:val="00022613"/>
    <w:rsid w:val="000227DE"/>
    <w:rsid w:val="00022C2B"/>
    <w:rsid w:val="00023110"/>
    <w:rsid w:val="0002335C"/>
    <w:rsid w:val="00023608"/>
    <w:rsid w:val="00023A37"/>
    <w:rsid w:val="00023D93"/>
    <w:rsid w:val="00024848"/>
    <w:rsid w:val="00024A33"/>
    <w:rsid w:val="00025743"/>
    <w:rsid w:val="00025798"/>
    <w:rsid w:val="000257E9"/>
    <w:rsid w:val="00026090"/>
    <w:rsid w:val="00026380"/>
    <w:rsid w:val="0002691C"/>
    <w:rsid w:val="000275F2"/>
    <w:rsid w:val="00027AB0"/>
    <w:rsid w:val="000308B2"/>
    <w:rsid w:val="00030A3A"/>
    <w:rsid w:val="00031AA5"/>
    <w:rsid w:val="00031B62"/>
    <w:rsid w:val="00032524"/>
    <w:rsid w:val="00033FFD"/>
    <w:rsid w:val="00035898"/>
    <w:rsid w:val="00035F23"/>
    <w:rsid w:val="000368AB"/>
    <w:rsid w:val="00037B29"/>
    <w:rsid w:val="000402DF"/>
    <w:rsid w:val="00040635"/>
    <w:rsid w:val="00040ACE"/>
    <w:rsid w:val="00040B10"/>
    <w:rsid w:val="0004156A"/>
    <w:rsid w:val="000418E5"/>
    <w:rsid w:val="000419EE"/>
    <w:rsid w:val="00041FEB"/>
    <w:rsid w:val="0004221C"/>
    <w:rsid w:val="00042DA9"/>
    <w:rsid w:val="0004359B"/>
    <w:rsid w:val="00043854"/>
    <w:rsid w:val="000438BA"/>
    <w:rsid w:val="00043EB5"/>
    <w:rsid w:val="00044CDA"/>
    <w:rsid w:val="00047377"/>
    <w:rsid w:val="000479BF"/>
    <w:rsid w:val="00050028"/>
    <w:rsid w:val="000506C0"/>
    <w:rsid w:val="000513B6"/>
    <w:rsid w:val="00051A4B"/>
    <w:rsid w:val="00052B20"/>
    <w:rsid w:val="000536A9"/>
    <w:rsid w:val="00054200"/>
    <w:rsid w:val="000552EA"/>
    <w:rsid w:val="000553A8"/>
    <w:rsid w:val="000561AB"/>
    <w:rsid w:val="000567B3"/>
    <w:rsid w:val="00057B49"/>
    <w:rsid w:val="0006057E"/>
    <w:rsid w:val="0006067C"/>
    <w:rsid w:val="00060861"/>
    <w:rsid w:val="0006134C"/>
    <w:rsid w:val="000613D8"/>
    <w:rsid w:val="00061459"/>
    <w:rsid w:val="000616F9"/>
    <w:rsid w:val="00061B44"/>
    <w:rsid w:val="00061C43"/>
    <w:rsid w:val="00061E10"/>
    <w:rsid w:val="000624EA"/>
    <w:rsid w:val="0006298A"/>
    <w:rsid w:val="0006303D"/>
    <w:rsid w:val="00063571"/>
    <w:rsid w:val="00063AD0"/>
    <w:rsid w:val="000640AD"/>
    <w:rsid w:val="0006425A"/>
    <w:rsid w:val="0006470C"/>
    <w:rsid w:val="00064B23"/>
    <w:rsid w:val="00064D30"/>
    <w:rsid w:val="000662A4"/>
    <w:rsid w:val="00066353"/>
    <w:rsid w:val="00066664"/>
    <w:rsid w:val="00066695"/>
    <w:rsid w:val="00066905"/>
    <w:rsid w:val="000670FC"/>
    <w:rsid w:val="0006752A"/>
    <w:rsid w:val="00067D7A"/>
    <w:rsid w:val="00067E81"/>
    <w:rsid w:val="00070005"/>
    <w:rsid w:val="00071466"/>
    <w:rsid w:val="00072921"/>
    <w:rsid w:val="0007372D"/>
    <w:rsid w:val="000739A3"/>
    <w:rsid w:val="000740F5"/>
    <w:rsid w:val="00074AB3"/>
    <w:rsid w:val="00075342"/>
    <w:rsid w:val="00075649"/>
    <w:rsid w:val="00076103"/>
    <w:rsid w:val="00076E9C"/>
    <w:rsid w:val="00077213"/>
    <w:rsid w:val="000773A6"/>
    <w:rsid w:val="000779C4"/>
    <w:rsid w:val="00080301"/>
    <w:rsid w:val="00080345"/>
    <w:rsid w:val="0008079F"/>
    <w:rsid w:val="00081881"/>
    <w:rsid w:val="00081E52"/>
    <w:rsid w:val="00082023"/>
    <w:rsid w:val="00082A2C"/>
    <w:rsid w:val="00083CAF"/>
    <w:rsid w:val="0008441F"/>
    <w:rsid w:val="0008482A"/>
    <w:rsid w:val="00084C76"/>
    <w:rsid w:val="0008526F"/>
    <w:rsid w:val="00086407"/>
    <w:rsid w:val="00086DB5"/>
    <w:rsid w:val="00087F68"/>
    <w:rsid w:val="00090131"/>
    <w:rsid w:val="0009054F"/>
    <w:rsid w:val="00090AE1"/>
    <w:rsid w:val="00090F9D"/>
    <w:rsid w:val="000918B6"/>
    <w:rsid w:val="000922C2"/>
    <w:rsid w:val="000932EE"/>
    <w:rsid w:val="0009440B"/>
    <w:rsid w:val="000954FC"/>
    <w:rsid w:val="0009555E"/>
    <w:rsid w:val="00095645"/>
    <w:rsid w:val="00096333"/>
    <w:rsid w:val="00096A42"/>
    <w:rsid w:val="0009706C"/>
    <w:rsid w:val="00097110"/>
    <w:rsid w:val="0009766A"/>
    <w:rsid w:val="00097749"/>
    <w:rsid w:val="000A03D7"/>
    <w:rsid w:val="000A08B8"/>
    <w:rsid w:val="000A1288"/>
    <w:rsid w:val="000A1B34"/>
    <w:rsid w:val="000A1E89"/>
    <w:rsid w:val="000A221D"/>
    <w:rsid w:val="000A2277"/>
    <w:rsid w:val="000A241F"/>
    <w:rsid w:val="000A2A73"/>
    <w:rsid w:val="000A33EC"/>
    <w:rsid w:val="000A3852"/>
    <w:rsid w:val="000A3C11"/>
    <w:rsid w:val="000A3DA1"/>
    <w:rsid w:val="000A3FDF"/>
    <w:rsid w:val="000A4000"/>
    <w:rsid w:val="000A4575"/>
    <w:rsid w:val="000A5185"/>
    <w:rsid w:val="000A549B"/>
    <w:rsid w:val="000A6528"/>
    <w:rsid w:val="000A65B5"/>
    <w:rsid w:val="000A7384"/>
    <w:rsid w:val="000A7464"/>
    <w:rsid w:val="000A7770"/>
    <w:rsid w:val="000A78E3"/>
    <w:rsid w:val="000A7BCC"/>
    <w:rsid w:val="000A7F9F"/>
    <w:rsid w:val="000B0AD1"/>
    <w:rsid w:val="000B176F"/>
    <w:rsid w:val="000B18DD"/>
    <w:rsid w:val="000B1BE6"/>
    <w:rsid w:val="000B2024"/>
    <w:rsid w:val="000B2859"/>
    <w:rsid w:val="000B28DE"/>
    <w:rsid w:val="000B2F77"/>
    <w:rsid w:val="000B35C4"/>
    <w:rsid w:val="000B369C"/>
    <w:rsid w:val="000B53DB"/>
    <w:rsid w:val="000B57F6"/>
    <w:rsid w:val="000B5A43"/>
    <w:rsid w:val="000B610F"/>
    <w:rsid w:val="000B7089"/>
    <w:rsid w:val="000B744E"/>
    <w:rsid w:val="000B787A"/>
    <w:rsid w:val="000B78B0"/>
    <w:rsid w:val="000B7CCD"/>
    <w:rsid w:val="000B7D88"/>
    <w:rsid w:val="000B7FD2"/>
    <w:rsid w:val="000C0292"/>
    <w:rsid w:val="000C0352"/>
    <w:rsid w:val="000C122E"/>
    <w:rsid w:val="000C1786"/>
    <w:rsid w:val="000C1FC5"/>
    <w:rsid w:val="000C20B6"/>
    <w:rsid w:val="000C2826"/>
    <w:rsid w:val="000C3078"/>
    <w:rsid w:val="000C3413"/>
    <w:rsid w:val="000C3A16"/>
    <w:rsid w:val="000C3DE8"/>
    <w:rsid w:val="000C467D"/>
    <w:rsid w:val="000C47C5"/>
    <w:rsid w:val="000C497C"/>
    <w:rsid w:val="000C5407"/>
    <w:rsid w:val="000C708B"/>
    <w:rsid w:val="000C7A4F"/>
    <w:rsid w:val="000D0532"/>
    <w:rsid w:val="000D0C41"/>
    <w:rsid w:val="000D0F0C"/>
    <w:rsid w:val="000D1CB4"/>
    <w:rsid w:val="000D1F5D"/>
    <w:rsid w:val="000D234A"/>
    <w:rsid w:val="000D2D27"/>
    <w:rsid w:val="000D2DB2"/>
    <w:rsid w:val="000D3524"/>
    <w:rsid w:val="000D525B"/>
    <w:rsid w:val="000D52A3"/>
    <w:rsid w:val="000D54B0"/>
    <w:rsid w:val="000D58DC"/>
    <w:rsid w:val="000D6AD4"/>
    <w:rsid w:val="000D71A5"/>
    <w:rsid w:val="000D748F"/>
    <w:rsid w:val="000D7D48"/>
    <w:rsid w:val="000D7D6A"/>
    <w:rsid w:val="000E04EC"/>
    <w:rsid w:val="000E05DA"/>
    <w:rsid w:val="000E0AC5"/>
    <w:rsid w:val="000E0B1E"/>
    <w:rsid w:val="000E0E4E"/>
    <w:rsid w:val="000E11DB"/>
    <w:rsid w:val="000E13F1"/>
    <w:rsid w:val="000E17C6"/>
    <w:rsid w:val="000E1A20"/>
    <w:rsid w:val="000E29F1"/>
    <w:rsid w:val="000E2A64"/>
    <w:rsid w:val="000E3BEB"/>
    <w:rsid w:val="000E42D2"/>
    <w:rsid w:val="000E4397"/>
    <w:rsid w:val="000E4D17"/>
    <w:rsid w:val="000E5E1E"/>
    <w:rsid w:val="000E63AD"/>
    <w:rsid w:val="000E6409"/>
    <w:rsid w:val="000E647D"/>
    <w:rsid w:val="000E72C0"/>
    <w:rsid w:val="000E73C0"/>
    <w:rsid w:val="000F0EBA"/>
    <w:rsid w:val="000F15F8"/>
    <w:rsid w:val="000F1977"/>
    <w:rsid w:val="000F1D7D"/>
    <w:rsid w:val="000F2501"/>
    <w:rsid w:val="000F28BC"/>
    <w:rsid w:val="000F2D4F"/>
    <w:rsid w:val="000F31EE"/>
    <w:rsid w:val="000F4A5A"/>
    <w:rsid w:val="000F4FA6"/>
    <w:rsid w:val="000F4FE0"/>
    <w:rsid w:val="000F54DB"/>
    <w:rsid w:val="000F5834"/>
    <w:rsid w:val="000F5CEF"/>
    <w:rsid w:val="000F6596"/>
    <w:rsid w:val="000F72C2"/>
    <w:rsid w:val="000F73A2"/>
    <w:rsid w:val="000F7DEA"/>
    <w:rsid w:val="00100000"/>
    <w:rsid w:val="001008FD"/>
    <w:rsid w:val="001025EE"/>
    <w:rsid w:val="001025F4"/>
    <w:rsid w:val="00102C5B"/>
    <w:rsid w:val="00103123"/>
    <w:rsid w:val="001034E7"/>
    <w:rsid w:val="00103FB5"/>
    <w:rsid w:val="001044C7"/>
    <w:rsid w:val="0010459E"/>
    <w:rsid w:val="001046BA"/>
    <w:rsid w:val="00105F76"/>
    <w:rsid w:val="00106FED"/>
    <w:rsid w:val="00106FF8"/>
    <w:rsid w:val="0010769A"/>
    <w:rsid w:val="00107BE1"/>
    <w:rsid w:val="00107C9A"/>
    <w:rsid w:val="00107E44"/>
    <w:rsid w:val="0011083D"/>
    <w:rsid w:val="001108C2"/>
    <w:rsid w:val="00110AF1"/>
    <w:rsid w:val="00110EFA"/>
    <w:rsid w:val="001114F4"/>
    <w:rsid w:val="00111D29"/>
    <w:rsid w:val="00111E7E"/>
    <w:rsid w:val="00111F15"/>
    <w:rsid w:val="00112AF4"/>
    <w:rsid w:val="00113305"/>
    <w:rsid w:val="001139AA"/>
    <w:rsid w:val="00113A7E"/>
    <w:rsid w:val="00113B10"/>
    <w:rsid w:val="00114542"/>
    <w:rsid w:val="001145DC"/>
    <w:rsid w:val="00114828"/>
    <w:rsid w:val="00115FCA"/>
    <w:rsid w:val="001161A3"/>
    <w:rsid w:val="00116885"/>
    <w:rsid w:val="001168F2"/>
    <w:rsid w:val="00117168"/>
    <w:rsid w:val="001172F3"/>
    <w:rsid w:val="001174EF"/>
    <w:rsid w:val="0012053C"/>
    <w:rsid w:val="001206FA"/>
    <w:rsid w:val="00120BD2"/>
    <w:rsid w:val="00120D09"/>
    <w:rsid w:val="001210C5"/>
    <w:rsid w:val="0012121B"/>
    <w:rsid w:val="00121318"/>
    <w:rsid w:val="001215EA"/>
    <w:rsid w:val="00121656"/>
    <w:rsid w:val="00121B27"/>
    <w:rsid w:val="0012205D"/>
    <w:rsid w:val="001223B3"/>
    <w:rsid w:val="00122A0F"/>
    <w:rsid w:val="00123F03"/>
    <w:rsid w:val="001247DE"/>
    <w:rsid w:val="001247F1"/>
    <w:rsid w:val="001249D0"/>
    <w:rsid w:val="00124B9B"/>
    <w:rsid w:val="00124E90"/>
    <w:rsid w:val="001253C0"/>
    <w:rsid w:val="00126A48"/>
    <w:rsid w:val="00127A92"/>
    <w:rsid w:val="00127E55"/>
    <w:rsid w:val="00127FAE"/>
    <w:rsid w:val="001301D9"/>
    <w:rsid w:val="0013052E"/>
    <w:rsid w:val="0013094F"/>
    <w:rsid w:val="0013148D"/>
    <w:rsid w:val="00131902"/>
    <w:rsid w:val="001319E5"/>
    <w:rsid w:val="00131AC4"/>
    <w:rsid w:val="00131D21"/>
    <w:rsid w:val="0013359D"/>
    <w:rsid w:val="0013363F"/>
    <w:rsid w:val="001343C8"/>
    <w:rsid w:val="0013456D"/>
    <w:rsid w:val="00134F73"/>
    <w:rsid w:val="00135609"/>
    <w:rsid w:val="00135AEB"/>
    <w:rsid w:val="00136F19"/>
    <w:rsid w:val="0014027C"/>
    <w:rsid w:val="001402A0"/>
    <w:rsid w:val="0014112D"/>
    <w:rsid w:val="001413BF"/>
    <w:rsid w:val="001415D5"/>
    <w:rsid w:val="0014188F"/>
    <w:rsid w:val="00142B7C"/>
    <w:rsid w:val="00142C8F"/>
    <w:rsid w:val="00142E25"/>
    <w:rsid w:val="00144330"/>
    <w:rsid w:val="00144A02"/>
    <w:rsid w:val="00144EF4"/>
    <w:rsid w:val="001457E3"/>
    <w:rsid w:val="00145BA8"/>
    <w:rsid w:val="00145EB5"/>
    <w:rsid w:val="001465D7"/>
    <w:rsid w:val="00146A77"/>
    <w:rsid w:val="00146AC8"/>
    <w:rsid w:val="00146CF9"/>
    <w:rsid w:val="00146D45"/>
    <w:rsid w:val="001479F9"/>
    <w:rsid w:val="00150818"/>
    <w:rsid w:val="00151994"/>
    <w:rsid w:val="001519B5"/>
    <w:rsid w:val="001535A6"/>
    <w:rsid w:val="00154952"/>
    <w:rsid w:val="00154A3D"/>
    <w:rsid w:val="00155A50"/>
    <w:rsid w:val="00156417"/>
    <w:rsid w:val="00156633"/>
    <w:rsid w:val="00156F75"/>
    <w:rsid w:val="00156F79"/>
    <w:rsid w:val="00157D79"/>
    <w:rsid w:val="00160217"/>
    <w:rsid w:val="0016038D"/>
    <w:rsid w:val="001605EB"/>
    <w:rsid w:val="00160B5E"/>
    <w:rsid w:val="00160E13"/>
    <w:rsid w:val="00161834"/>
    <w:rsid w:val="00161AFD"/>
    <w:rsid w:val="0016286E"/>
    <w:rsid w:val="00162871"/>
    <w:rsid w:val="00162962"/>
    <w:rsid w:val="00162D8D"/>
    <w:rsid w:val="001631E5"/>
    <w:rsid w:val="00163283"/>
    <w:rsid w:val="001632F9"/>
    <w:rsid w:val="001637CE"/>
    <w:rsid w:val="0016417B"/>
    <w:rsid w:val="00164D7E"/>
    <w:rsid w:val="00164DE1"/>
    <w:rsid w:val="001659F6"/>
    <w:rsid w:val="00165F03"/>
    <w:rsid w:val="0016756D"/>
    <w:rsid w:val="00167A18"/>
    <w:rsid w:val="00167A52"/>
    <w:rsid w:val="00167C88"/>
    <w:rsid w:val="001715ED"/>
    <w:rsid w:val="00171866"/>
    <w:rsid w:val="00171D41"/>
    <w:rsid w:val="00171E50"/>
    <w:rsid w:val="00171FBA"/>
    <w:rsid w:val="001722B7"/>
    <w:rsid w:val="00172861"/>
    <w:rsid w:val="001729C9"/>
    <w:rsid w:val="001731F9"/>
    <w:rsid w:val="0017326A"/>
    <w:rsid w:val="0017346A"/>
    <w:rsid w:val="00173A68"/>
    <w:rsid w:val="0017512E"/>
    <w:rsid w:val="00175C22"/>
    <w:rsid w:val="00175F15"/>
    <w:rsid w:val="00176969"/>
    <w:rsid w:val="001771C4"/>
    <w:rsid w:val="00177BA7"/>
    <w:rsid w:val="00177C74"/>
    <w:rsid w:val="00180E44"/>
    <w:rsid w:val="00180E48"/>
    <w:rsid w:val="00181097"/>
    <w:rsid w:val="0018144F"/>
    <w:rsid w:val="00181FE6"/>
    <w:rsid w:val="001824A2"/>
    <w:rsid w:val="00182591"/>
    <w:rsid w:val="0018274B"/>
    <w:rsid w:val="00182C44"/>
    <w:rsid w:val="00183B67"/>
    <w:rsid w:val="00183F99"/>
    <w:rsid w:val="001847BB"/>
    <w:rsid w:val="0018483C"/>
    <w:rsid w:val="00184FB8"/>
    <w:rsid w:val="00185017"/>
    <w:rsid w:val="0018511E"/>
    <w:rsid w:val="001856F5"/>
    <w:rsid w:val="00185BCE"/>
    <w:rsid w:val="00185C11"/>
    <w:rsid w:val="00185F8C"/>
    <w:rsid w:val="00186AEC"/>
    <w:rsid w:val="00186E15"/>
    <w:rsid w:val="00187B8C"/>
    <w:rsid w:val="00190147"/>
    <w:rsid w:val="001901BF"/>
    <w:rsid w:val="00190385"/>
    <w:rsid w:val="001906FD"/>
    <w:rsid w:val="001916C4"/>
    <w:rsid w:val="00191E60"/>
    <w:rsid w:val="00192035"/>
    <w:rsid w:val="001926D6"/>
    <w:rsid w:val="001930F4"/>
    <w:rsid w:val="00193545"/>
    <w:rsid w:val="00193BBC"/>
    <w:rsid w:val="00194779"/>
    <w:rsid w:val="0019488C"/>
    <w:rsid w:val="00194BB6"/>
    <w:rsid w:val="00194C0C"/>
    <w:rsid w:val="00194CEA"/>
    <w:rsid w:val="00194E98"/>
    <w:rsid w:val="00194F18"/>
    <w:rsid w:val="001958B4"/>
    <w:rsid w:val="00195AB8"/>
    <w:rsid w:val="001961D9"/>
    <w:rsid w:val="0019621E"/>
    <w:rsid w:val="00196411"/>
    <w:rsid w:val="001977DC"/>
    <w:rsid w:val="00197B29"/>
    <w:rsid w:val="001A0077"/>
    <w:rsid w:val="001A02D2"/>
    <w:rsid w:val="001A07CF"/>
    <w:rsid w:val="001A0C53"/>
    <w:rsid w:val="001A13DB"/>
    <w:rsid w:val="001A1A56"/>
    <w:rsid w:val="001A1AF0"/>
    <w:rsid w:val="001A1EFE"/>
    <w:rsid w:val="001A3255"/>
    <w:rsid w:val="001A3391"/>
    <w:rsid w:val="001A3954"/>
    <w:rsid w:val="001A3B11"/>
    <w:rsid w:val="001A3C68"/>
    <w:rsid w:val="001A464D"/>
    <w:rsid w:val="001A4BCC"/>
    <w:rsid w:val="001A4E36"/>
    <w:rsid w:val="001A501A"/>
    <w:rsid w:val="001A5765"/>
    <w:rsid w:val="001A7571"/>
    <w:rsid w:val="001A7618"/>
    <w:rsid w:val="001A7691"/>
    <w:rsid w:val="001A7B94"/>
    <w:rsid w:val="001B03FB"/>
    <w:rsid w:val="001B04D6"/>
    <w:rsid w:val="001B074C"/>
    <w:rsid w:val="001B08FD"/>
    <w:rsid w:val="001B0D57"/>
    <w:rsid w:val="001B1B44"/>
    <w:rsid w:val="001B2120"/>
    <w:rsid w:val="001B268A"/>
    <w:rsid w:val="001B2A0C"/>
    <w:rsid w:val="001B2E69"/>
    <w:rsid w:val="001B320B"/>
    <w:rsid w:val="001B326C"/>
    <w:rsid w:val="001B3308"/>
    <w:rsid w:val="001B381E"/>
    <w:rsid w:val="001B3993"/>
    <w:rsid w:val="001B39B1"/>
    <w:rsid w:val="001B4200"/>
    <w:rsid w:val="001B57B0"/>
    <w:rsid w:val="001B5DDC"/>
    <w:rsid w:val="001B6460"/>
    <w:rsid w:val="001B68CB"/>
    <w:rsid w:val="001B6B69"/>
    <w:rsid w:val="001B6FD8"/>
    <w:rsid w:val="001B7139"/>
    <w:rsid w:val="001B74DA"/>
    <w:rsid w:val="001B74EE"/>
    <w:rsid w:val="001B78DF"/>
    <w:rsid w:val="001B7A9A"/>
    <w:rsid w:val="001B7F81"/>
    <w:rsid w:val="001C009A"/>
    <w:rsid w:val="001C0890"/>
    <w:rsid w:val="001C1152"/>
    <w:rsid w:val="001C1953"/>
    <w:rsid w:val="001C1A74"/>
    <w:rsid w:val="001C25C9"/>
    <w:rsid w:val="001C2B47"/>
    <w:rsid w:val="001C2F92"/>
    <w:rsid w:val="001C30AE"/>
    <w:rsid w:val="001C3175"/>
    <w:rsid w:val="001C340F"/>
    <w:rsid w:val="001C3431"/>
    <w:rsid w:val="001C350E"/>
    <w:rsid w:val="001C4085"/>
    <w:rsid w:val="001C41DA"/>
    <w:rsid w:val="001C4A80"/>
    <w:rsid w:val="001C4E77"/>
    <w:rsid w:val="001C58FC"/>
    <w:rsid w:val="001C6314"/>
    <w:rsid w:val="001C7185"/>
    <w:rsid w:val="001C7F50"/>
    <w:rsid w:val="001C7F89"/>
    <w:rsid w:val="001D0986"/>
    <w:rsid w:val="001D103D"/>
    <w:rsid w:val="001D19D2"/>
    <w:rsid w:val="001D1B20"/>
    <w:rsid w:val="001D2334"/>
    <w:rsid w:val="001D2618"/>
    <w:rsid w:val="001D26FB"/>
    <w:rsid w:val="001D3169"/>
    <w:rsid w:val="001D36DC"/>
    <w:rsid w:val="001D3C5F"/>
    <w:rsid w:val="001D3F0F"/>
    <w:rsid w:val="001D3F26"/>
    <w:rsid w:val="001D4495"/>
    <w:rsid w:val="001D44F0"/>
    <w:rsid w:val="001D4C8D"/>
    <w:rsid w:val="001D5316"/>
    <w:rsid w:val="001D5703"/>
    <w:rsid w:val="001D58AC"/>
    <w:rsid w:val="001D5B51"/>
    <w:rsid w:val="001D6A3B"/>
    <w:rsid w:val="001D6DBB"/>
    <w:rsid w:val="001D7A89"/>
    <w:rsid w:val="001D7D4E"/>
    <w:rsid w:val="001D7FF6"/>
    <w:rsid w:val="001E002F"/>
    <w:rsid w:val="001E04F0"/>
    <w:rsid w:val="001E06FF"/>
    <w:rsid w:val="001E108F"/>
    <w:rsid w:val="001E11FC"/>
    <w:rsid w:val="001E153F"/>
    <w:rsid w:val="001E243D"/>
    <w:rsid w:val="001E24DA"/>
    <w:rsid w:val="001E296A"/>
    <w:rsid w:val="001E2CCD"/>
    <w:rsid w:val="001E2D3C"/>
    <w:rsid w:val="001E3199"/>
    <w:rsid w:val="001E3388"/>
    <w:rsid w:val="001E3AE8"/>
    <w:rsid w:val="001E3F51"/>
    <w:rsid w:val="001E4477"/>
    <w:rsid w:val="001E4778"/>
    <w:rsid w:val="001E4AD0"/>
    <w:rsid w:val="001E648F"/>
    <w:rsid w:val="001E6A39"/>
    <w:rsid w:val="001E6A62"/>
    <w:rsid w:val="001E6B9D"/>
    <w:rsid w:val="001E6D19"/>
    <w:rsid w:val="001E6E9F"/>
    <w:rsid w:val="001E750B"/>
    <w:rsid w:val="001F0012"/>
    <w:rsid w:val="001F0B0E"/>
    <w:rsid w:val="001F0B95"/>
    <w:rsid w:val="001F0BC9"/>
    <w:rsid w:val="001F0CBC"/>
    <w:rsid w:val="001F1514"/>
    <w:rsid w:val="001F221A"/>
    <w:rsid w:val="001F28A4"/>
    <w:rsid w:val="001F2E7F"/>
    <w:rsid w:val="001F3DA2"/>
    <w:rsid w:val="001F407D"/>
    <w:rsid w:val="001F4D63"/>
    <w:rsid w:val="001F570E"/>
    <w:rsid w:val="001F6005"/>
    <w:rsid w:val="001F647E"/>
    <w:rsid w:val="001F64D7"/>
    <w:rsid w:val="001F669A"/>
    <w:rsid w:val="001F6797"/>
    <w:rsid w:val="001F69A9"/>
    <w:rsid w:val="001F78EB"/>
    <w:rsid w:val="001F7C07"/>
    <w:rsid w:val="00200132"/>
    <w:rsid w:val="00200EF4"/>
    <w:rsid w:val="0020134F"/>
    <w:rsid w:val="00201589"/>
    <w:rsid w:val="00201593"/>
    <w:rsid w:val="00201B37"/>
    <w:rsid w:val="00202B32"/>
    <w:rsid w:val="00202BE3"/>
    <w:rsid w:val="0020353C"/>
    <w:rsid w:val="00203595"/>
    <w:rsid w:val="002036AA"/>
    <w:rsid w:val="00205197"/>
    <w:rsid w:val="0020549D"/>
    <w:rsid w:val="002059D6"/>
    <w:rsid w:val="00205B33"/>
    <w:rsid w:val="00205C15"/>
    <w:rsid w:val="00205CF4"/>
    <w:rsid w:val="0020690E"/>
    <w:rsid w:val="00206E32"/>
    <w:rsid w:val="002070A1"/>
    <w:rsid w:val="002100BE"/>
    <w:rsid w:val="002105F3"/>
    <w:rsid w:val="00210998"/>
    <w:rsid w:val="00210EB1"/>
    <w:rsid w:val="002115A0"/>
    <w:rsid w:val="00212E26"/>
    <w:rsid w:val="00213812"/>
    <w:rsid w:val="00213C6F"/>
    <w:rsid w:val="00213F6E"/>
    <w:rsid w:val="00214CA8"/>
    <w:rsid w:val="00214D5B"/>
    <w:rsid w:val="002153A1"/>
    <w:rsid w:val="00215587"/>
    <w:rsid w:val="0021613D"/>
    <w:rsid w:val="0021672D"/>
    <w:rsid w:val="002168BD"/>
    <w:rsid w:val="00216B60"/>
    <w:rsid w:val="00217149"/>
    <w:rsid w:val="00217796"/>
    <w:rsid w:val="00217E5C"/>
    <w:rsid w:val="00221459"/>
    <w:rsid w:val="002217C5"/>
    <w:rsid w:val="00222307"/>
    <w:rsid w:val="002227ED"/>
    <w:rsid w:val="00222C62"/>
    <w:rsid w:val="00223581"/>
    <w:rsid w:val="00223886"/>
    <w:rsid w:val="002238E2"/>
    <w:rsid w:val="00223AEC"/>
    <w:rsid w:val="00223D35"/>
    <w:rsid w:val="00224F34"/>
    <w:rsid w:val="002261F6"/>
    <w:rsid w:val="0022635A"/>
    <w:rsid w:val="0022645F"/>
    <w:rsid w:val="00226EAE"/>
    <w:rsid w:val="00227846"/>
    <w:rsid w:val="00227E5A"/>
    <w:rsid w:val="002306A3"/>
    <w:rsid w:val="002306F7"/>
    <w:rsid w:val="00230C79"/>
    <w:rsid w:val="002312B0"/>
    <w:rsid w:val="0023189D"/>
    <w:rsid w:val="00231A49"/>
    <w:rsid w:val="00231D3F"/>
    <w:rsid w:val="00232036"/>
    <w:rsid w:val="002320E3"/>
    <w:rsid w:val="00232451"/>
    <w:rsid w:val="00232483"/>
    <w:rsid w:val="00232E8E"/>
    <w:rsid w:val="0023399C"/>
    <w:rsid w:val="00233AF8"/>
    <w:rsid w:val="00233B05"/>
    <w:rsid w:val="00233F75"/>
    <w:rsid w:val="0023446C"/>
    <w:rsid w:val="00235360"/>
    <w:rsid w:val="00235B95"/>
    <w:rsid w:val="00236375"/>
    <w:rsid w:val="00237016"/>
    <w:rsid w:val="00237054"/>
    <w:rsid w:val="00237064"/>
    <w:rsid w:val="002379E0"/>
    <w:rsid w:val="002406B3"/>
    <w:rsid w:val="002409B8"/>
    <w:rsid w:val="00240C23"/>
    <w:rsid w:val="00240F97"/>
    <w:rsid w:val="002413E2"/>
    <w:rsid w:val="00241A6F"/>
    <w:rsid w:val="00241BD3"/>
    <w:rsid w:val="00242404"/>
    <w:rsid w:val="00242458"/>
    <w:rsid w:val="00242B41"/>
    <w:rsid w:val="00243274"/>
    <w:rsid w:val="00244060"/>
    <w:rsid w:val="002446BA"/>
    <w:rsid w:val="00245132"/>
    <w:rsid w:val="00245733"/>
    <w:rsid w:val="0024586B"/>
    <w:rsid w:val="00245AE7"/>
    <w:rsid w:val="00245BAE"/>
    <w:rsid w:val="00246478"/>
    <w:rsid w:val="002468F4"/>
    <w:rsid w:val="00246F13"/>
    <w:rsid w:val="00247115"/>
    <w:rsid w:val="0024716E"/>
    <w:rsid w:val="00247BC3"/>
    <w:rsid w:val="00247E94"/>
    <w:rsid w:val="00250CA8"/>
    <w:rsid w:val="0025101F"/>
    <w:rsid w:val="00251076"/>
    <w:rsid w:val="00251816"/>
    <w:rsid w:val="00251A0E"/>
    <w:rsid w:val="00251EC3"/>
    <w:rsid w:val="0025252D"/>
    <w:rsid w:val="00252791"/>
    <w:rsid w:val="00252E17"/>
    <w:rsid w:val="00252F33"/>
    <w:rsid w:val="00252F4A"/>
    <w:rsid w:val="002532A9"/>
    <w:rsid w:val="00253449"/>
    <w:rsid w:val="00253E0E"/>
    <w:rsid w:val="00254293"/>
    <w:rsid w:val="0025442B"/>
    <w:rsid w:val="00254679"/>
    <w:rsid w:val="002548CF"/>
    <w:rsid w:val="0025527B"/>
    <w:rsid w:val="0025563E"/>
    <w:rsid w:val="002559EF"/>
    <w:rsid w:val="00255AC4"/>
    <w:rsid w:val="0025618F"/>
    <w:rsid w:val="00257F70"/>
    <w:rsid w:val="00260209"/>
    <w:rsid w:val="0026029B"/>
    <w:rsid w:val="00260B58"/>
    <w:rsid w:val="00260D31"/>
    <w:rsid w:val="00261F22"/>
    <w:rsid w:val="0026253B"/>
    <w:rsid w:val="00264012"/>
    <w:rsid w:val="00264389"/>
    <w:rsid w:val="00265348"/>
    <w:rsid w:val="00265845"/>
    <w:rsid w:val="00265F58"/>
    <w:rsid w:val="002665F0"/>
    <w:rsid w:val="00266725"/>
    <w:rsid w:val="00266A78"/>
    <w:rsid w:val="00267442"/>
    <w:rsid w:val="0026751C"/>
    <w:rsid w:val="0026754A"/>
    <w:rsid w:val="002675FB"/>
    <w:rsid w:val="0026772D"/>
    <w:rsid w:val="00267B44"/>
    <w:rsid w:val="00270471"/>
    <w:rsid w:val="00270A52"/>
    <w:rsid w:val="00270E43"/>
    <w:rsid w:val="0027168F"/>
    <w:rsid w:val="002722A3"/>
    <w:rsid w:val="002724C6"/>
    <w:rsid w:val="00272702"/>
    <w:rsid w:val="00272C3B"/>
    <w:rsid w:val="00272CD3"/>
    <w:rsid w:val="002736F0"/>
    <w:rsid w:val="002739A9"/>
    <w:rsid w:val="00274459"/>
    <w:rsid w:val="00274B88"/>
    <w:rsid w:val="00274C6E"/>
    <w:rsid w:val="00274EE7"/>
    <w:rsid w:val="00275081"/>
    <w:rsid w:val="00275084"/>
    <w:rsid w:val="002760DA"/>
    <w:rsid w:val="00276736"/>
    <w:rsid w:val="002772E3"/>
    <w:rsid w:val="00277D63"/>
    <w:rsid w:val="00277EE0"/>
    <w:rsid w:val="00280318"/>
    <w:rsid w:val="00280B88"/>
    <w:rsid w:val="00281D85"/>
    <w:rsid w:val="0028275E"/>
    <w:rsid w:val="00282D3F"/>
    <w:rsid w:val="00282DE0"/>
    <w:rsid w:val="00283A7B"/>
    <w:rsid w:val="0028429A"/>
    <w:rsid w:val="002844FE"/>
    <w:rsid w:val="00284C88"/>
    <w:rsid w:val="002850DD"/>
    <w:rsid w:val="00285170"/>
    <w:rsid w:val="002854A8"/>
    <w:rsid w:val="0028554C"/>
    <w:rsid w:val="0028594C"/>
    <w:rsid w:val="00286748"/>
    <w:rsid w:val="00286CE6"/>
    <w:rsid w:val="00287228"/>
    <w:rsid w:val="00287A82"/>
    <w:rsid w:val="00287B8E"/>
    <w:rsid w:val="002904D3"/>
    <w:rsid w:val="00290C50"/>
    <w:rsid w:val="00290EDF"/>
    <w:rsid w:val="00292688"/>
    <w:rsid w:val="002927A6"/>
    <w:rsid w:val="00292973"/>
    <w:rsid w:val="002930F2"/>
    <w:rsid w:val="002932C4"/>
    <w:rsid w:val="00293326"/>
    <w:rsid w:val="0029349F"/>
    <w:rsid w:val="00293955"/>
    <w:rsid w:val="0029420E"/>
    <w:rsid w:val="00294297"/>
    <w:rsid w:val="0029510C"/>
    <w:rsid w:val="002955C2"/>
    <w:rsid w:val="00295764"/>
    <w:rsid w:val="00295AA7"/>
    <w:rsid w:val="00295D62"/>
    <w:rsid w:val="002960A4"/>
    <w:rsid w:val="002961BE"/>
    <w:rsid w:val="002961D5"/>
    <w:rsid w:val="00296270"/>
    <w:rsid w:val="00296F63"/>
    <w:rsid w:val="0029712A"/>
    <w:rsid w:val="002973DF"/>
    <w:rsid w:val="002A0148"/>
    <w:rsid w:val="002A0302"/>
    <w:rsid w:val="002A0D34"/>
    <w:rsid w:val="002A0E2B"/>
    <w:rsid w:val="002A17CA"/>
    <w:rsid w:val="002A2DF8"/>
    <w:rsid w:val="002A3C37"/>
    <w:rsid w:val="002A431C"/>
    <w:rsid w:val="002A4CC9"/>
    <w:rsid w:val="002A4DCB"/>
    <w:rsid w:val="002A5365"/>
    <w:rsid w:val="002A5952"/>
    <w:rsid w:val="002A65E6"/>
    <w:rsid w:val="002A6FC0"/>
    <w:rsid w:val="002A78D4"/>
    <w:rsid w:val="002A7CBB"/>
    <w:rsid w:val="002B019D"/>
    <w:rsid w:val="002B061B"/>
    <w:rsid w:val="002B092C"/>
    <w:rsid w:val="002B0A43"/>
    <w:rsid w:val="002B0D67"/>
    <w:rsid w:val="002B1278"/>
    <w:rsid w:val="002B17E3"/>
    <w:rsid w:val="002B2C1F"/>
    <w:rsid w:val="002B2C79"/>
    <w:rsid w:val="002B31A3"/>
    <w:rsid w:val="002B3918"/>
    <w:rsid w:val="002B3ED7"/>
    <w:rsid w:val="002B52DE"/>
    <w:rsid w:val="002B59F9"/>
    <w:rsid w:val="002B661A"/>
    <w:rsid w:val="002B6724"/>
    <w:rsid w:val="002B7548"/>
    <w:rsid w:val="002B7C9B"/>
    <w:rsid w:val="002B7E9D"/>
    <w:rsid w:val="002C0882"/>
    <w:rsid w:val="002C088F"/>
    <w:rsid w:val="002C0BC8"/>
    <w:rsid w:val="002C0C9A"/>
    <w:rsid w:val="002C0EF2"/>
    <w:rsid w:val="002C1E0A"/>
    <w:rsid w:val="002C1F0C"/>
    <w:rsid w:val="002C2186"/>
    <w:rsid w:val="002C24B1"/>
    <w:rsid w:val="002C3675"/>
    <w:rsid w:val="002C3D4C"/>
    <w:rsid w:val="002C3DC5"/>
    <w:rsid w:val="002C3E7C"/>
    <w:rsid w:val="002C44DB"/>
    <w:rsid w:val="002C457A"/>
    <w:rsid w:val="002C5A44"/>
    <w:rsid w:val="002C6354"/>
    <w:rsid w:val="002C65ED"/>
    <w:rsid w:val="002C6CC0"/>
    <w:rsid w:val="002C6F9E"/>
    <w:rsid w:val="002C70C5"/>
    <w:rsid w:val="002C747F"/>
    <w:rsid w:val="002C7D5A"/>
    <w:rsid w:val="002D03F3"/>
    <w:rsid w:val="002D07C5"/>
    <w:rsid w:val="002D0977"/>
    <w:rsid w:val="002D0BC5"/>
    <w:rsid w:val="002D0BFC"/>
    <w:rsid w:val="002D1058"/>
    <w:rsid w:val="002D2599"/>
    <w:rsid w:val="002D286E"/>
    <w:rsid w:val="002D3B75"/>
    <w:rsid w:val="002D3DDF"/>
    <w:rsid w:val="002D4055"/>
    <w:rsid w:val="002D44CA"/>
    <w:rsid w:val="002D48E6"/>
    <w:rsid w:val="002D4B8A"/>
    <w:rsid w:val="002D4BEA"/>
    <w:rsid w:val="002D4D29"/>
    <w:rsid w:val="002D4E48"/>
    <w:rsid w:val="002D637A"/>
    <w:rsid w:val="002D6769"/>
    <w:rsid w:val="002D7173"/>
    <w:rsid w:val="002D7571"/>
    <w:rsid w:val="002D79B0"/>
    <w:rsid w:val="002D7CB7"/>
    <w:rsid w:val="002E07CA"/>
    <w:rsid w:val="002E1106"/>
    <w:rsid w:val="002E19C8"/>
    <w:rsid w:val="002E1D13"/>
    <w:rsid w:val="002E1F89"/>
    <w:rsid w:val="002E2B9B"/>
    <w:rsid w:val="002E382B"/>
    <w:rsid w:val="002E3BA9"/>
    <w:rsid w:val="002E4503"/>
    <w:rsid w:val="002E5CB4"/>
    <w:rsid w:val="002E5F67"/>
    <w:rsid w:val="002E6F47"/>
    <w:rsid w:val="002E70A3"/>
    <w:rsid w:val="002E7C8D"/>
    <w:rsid w:val="002F02FC"/>
    <w:rsid w:val="002F0733"/>
    <w:rsid w:val="002F0A1F"/>
    <w:rsid w:val="002F1E12"/>
    <w:rsid w:val="002F212B"/>
    <w:rsid w:val="002F2653"/>
    <w:rsid w:val="002F3C5D"/>
    <w:rsid w:val="002F48F6"/>
    <w:rsid w:val="002F491F"/>
    <w:rsid w:val="002F514D"/>
    <w:rsid w:val="002F54F2"/>
    <w:rsid w:val="002F5A03"/>
    <w:rsid w:val="002F5D01"/>
    <w:rsid w:val="002F5DD9"/>
    <w:rsid w:val="002F5FD3"/>
    <w:rsid w:val="002F61D7"/>
    <w:rsid w:val="002F6290"/>
    <w:rsid w:val="002F679A"/>
    <w:rsid w:val="002F76D8"/>
    <w:rsid w:val="002F7E21"/>
    <w:rsid w:val="0030134C"/>
    <w:rsid w:val="00301B00"/>
    <w:rsid w:val="00301CBB"/>
    <w:rsid w:val="0030215E"/>
    <w:rsid w:val="0030224D"/>
    <w:rsid w:val="00302506"/>
    <w:rsid w:val="0030294E"/>
    <w:rsid w:val="00302FC7"/>
    <w:rsid w:val="00303563"/>
    <w:rsid w:val="00303699"/>
    <w:rsid w:val="00304A4E"/>
    <w:rsid w:val="00305974"/>
    <w:rsid w:val="00306763"/>
    <w:rsid w:val="00306812"/>
    <w:rsid w:val="00307198"/>
    <w:rsid w:val="00307921"/>
    <w:rsid w:val="00307ADD"/>
    <w:rsid w:val="00307EA3"/>
    <w:rsid w:val="00307EF9"/>
    <w:rsid w:val="003105EA"/>
    <w:rsid w:val="003105F7"/>
    <w:rsid w:val="00311EBD"/>
    <w:rsid w:val="00312567"/>
    <w:rsid w:val="00312B8F"/>
    <w:rsid w:val="00312BB9"/>
    <w:rsid w:val="00312BF7"/>
    <w:rsid w:val="00313B47"/>
    <w:rsid w:val="00314339"/>
    <w:rsid w:val="00314605"/>
    <w:rsid w:val="003146B3"/>
    <w:rsid w:val="003153B6"/>
    <w:rsid w:val="00315687"/>
    <w:rsid w:val="00315C9A"/>
    <w:rsid w:val="00316631"/>
    <w:rsid w:val="003166E1"/>
    <w:rsid w:val="003169A3"/>
    <w:rsid w:val="00316C17"/>
    <w:rsid w:val="00317531"/>
    <w:rsid w:val="003176F8"/>
    <w:rsid w:val="00317905"/>
    <w:rsid w:val="003179FE"/>
    <w:rsid w:val="00317CA4"/>
    <w:rsid w:val="00317F60"/>
    <w:rsid w:val="0032024B"/>
    <w:rsid w:val="00320C45"/>
    <w:rsid w:val="00320F8B"/>
    <w:rsid w:val="003212D8"/>
    <w:rsid w:val="0032177B"/>
    <w:rsid w:val="00321A3C"/>
    <w:rsid w:val="00321B87"/>
    <w:rsid w:val="00322A44"/>
    <w:rsid w:val="00322CF0"/>
    <w:rsid w:val="00323CB3"/>
    <w:rsid w:val="00323E00"/>
    <w:rsid w:val="0032411D"/>
    <w:rsid w:val="00324F16"/>
    <w:rsid w:val="00325410"/>
    <w:rsid w:val="00325DD5"/>
    <w:rsid w:val="00325F0D"/>
    <w:rsid w:val="00326096"/>
    <w:rsid w:val="0032639B"/>
    <w:rsid w:val="003265AD"/>
    <w:rsid w:val="00327386"/>
    <w:rsid w:val="0032766E"/>
    <w:rsid w:val="003276A9"/>
    <w:rsid w:val="0032781A"/>
    <w:rsid w:val="003307C3"/>
    <w:rsid w:val="00330900"/>
    <w:rsid w:val="00330CD2"/>
    <w:rsid w:val="0033109B"/>
    <w:rsid w:val="003319EB"/>
    <w:rsid w:val="00331FCF"/>
    <w:rsid w:val="00332960"/>
    <w:rsid w:val="003329DF"/>
    <w:rsid w:val="0033340A"/>
    <w:rsid w:val="003334DF"/>
    <w:rsid w:val="00333D02"/>
    <w:rsid w:val="00334229"/>
    <w:rsid w:val="00334435"/>
    <w:rsid w:val="00334A84"/>
    <w:rsid w:val="00335193"/>
    <w:rsid w:val="003354AA"/>
    <w:rsid w:val="00335CC3"/>
    <w:rsid w:val="00336642"/>
    <w:rsid w:val="00336A6A"/>
    <w:rsid w:val="00336ED3"/>
    <w:rsid w:val="00336EE9"/>
    <w:rsid w:val="00337ED5"/>
    <w:rsid w:val="00337F7B"/>
    <w:rsid w:val="00340298"/>
    <w:rsid w:val="003407B4"/>
    <w:rsid w:val="00340F72"/>
    <w:rsid w:val="00341B5D"/>
    <w:rsid w:val="0034235D"/>
    <w:rsid w:val="003425FB"/>
    <w:rsid w:val="0034280B"/>
    <w:rsid w:val="00342C9C"/>
    <w:rsid w:val="0034399F"/>
    <w:rsid w:val="00343B69"/>
    <w:rsid w:val="00343B91"/>
    <w:rsid w:val="00343C7A"/>
    <w:rsid w:val="00344595"/>
    <w:rsid w:val="00344B51"/>
    <w:rsid w:val="00344D25"/>
    <w:rsid w:val="00345851"/>
    <w:rsid w:val="00345AB5"/>
    <w:rsid w:val="0034676C"/>
    <w:rsid w:val="00347355"/>
    <w:rsid w:val="003509C0"/>
    <w:rsid w:val="0035129F"/>
    <w:rsid w:val="003513ED"/>
    <w:rsid w:val="003519B1"/>
    <w:rsid w:val="003531C2"/>
    <w:rsid w:val="00353505"/>
    <w:rsid w:val="00353971"/>
    <w:rsid w:val="00353BE9"/>
    <w:rsid w:val="003545D9"/>
    <w:rsid w:val="00354C33"/>
    <w:rsid w:val="00354FC0"/>
    <w:rsid w:val="003558CE"/>
    <w:rsid w:val="00355E7A"/>
    <w:rsid w:val="0035619F"/>
    <w:rsid w:val="00356DCA"/>
    <w:rsid w:val="00356F9A"/>
    <w:rsid w:val="0035734F"/>
    <w:rsid w:val="003577F0"/>
    <w:rsid w:val="00357898"/>
    <w:rsid w:val="003578CD"/>
    <w:rsid w:val="00357946"/>
    <w:rsid w:val="00357E1C"/>
    <w:rsid w:val="00360444"/>
    <w:rsid w:val="003604A6"/>
    <w:rsid w:val="0036072D"/>
    <w:rsid w:val="00360AC7"/>
    <w:rsid w:val="00360C72"/>
    <w:rsid w:val="00361016"/>
    <w:rsid w:val="003616E1"/>
    <w:rsid w:val="00361746"/>
    <w:rsid w:val="00361A70"/>
    <w:rsid w:val="0036208A"/>
    <w:rsid w:val="00362183"/>
    <w:rsid w:val="003625EB"/>
    <w:rsid w:val="0036287D"/>
    <w:rsid w:val="003628FB"/>
    <w:rsid w:val="00362BEB"/>
    <w:rsid w:val="00364F88"/>
    <w:rsid w:val="003654F0"/>
    <w:rsid w:val="003655C1"/>
    <w:rsid w:val="0036576E"/>
    <w:rsid w:val="00365ED5"/>
    <w:rsid w:val="003671EA"/>
    <w:rsid w:val="00367912"/>
    <w:rsid w:val="00370408"/>
    <w:rsid w:val="003705F7"/>
    <w:rsid w:val="00370A44"/>
    <w:rsid w:val="00370EB9"/>
    <w:rsid w:val="00370FC9"/>
    <w:rsid w:val="0037151C"/>
    <w:rsid w:val="00372079"/>
    <w:rsid w:val="0037265E"/>
    <w:rsid w:val="00372F94"/>
    <w:rsid w:val="003738B5"/>
    <w:rsid w:val="00373F40"/>
    <w:rsid w:val="003754F9"/>
    <w:rsid w:val="003754FD"/>
    <w:rsid w:val="003755E5"/>
    <w:rsid w:val="00375997"/>
    <w:rsid w:val="0037629E"/>
    <w:rsid w:val="00376DE1"/>
    <w:rsid w:val="003774D7"/>
    <w:rsid w:val="003777D4"/>
    <w:rsid w:val="00380670"/>
    <w:rsid w:val="00380962"/>
    <w:rsid w:val="003818DF"/>
    <w:rsid w:val="003835D5"/>
    <w:rsid w:val="00383DAB"/>
    <w:rsid w:val="00384300"/>
    <w:rsid w:val="003858F8"/>
    <w:rsid w:val="00386255"/>
    <w:rsid w:val="003865D0"/>
    <w:rsid w:val="00386BCC"/>
    <w:rsid w:val="00387276"/>
    <w:rsid w:val="0038776B"/>
    <w:rsid w:val="0038785F"/>
    <w:rsid w:val="003878DE"/>
    <w:rsid w:val="00387CF1"/>
    <w:rsid w:val="00390211"/>
    <w:rsid w:val="0039033F"/>
    <w:rsid w:val="003908D5"/>
    <w:rsid w:val="0039142E"/>
    <w:rsid w:val="003915F5"/>
    <w:rsid w:val="00391856"/>
    <w:rsid w:val="00391867"/>
    <w:rsid w:val="003939D5"/>
    <w:rsid w:val="0039538F"/>
    <w:rsid w:val="00396663"/>
    <w:rsid w:val="0039667C"/>
    <w:rsid w:val="00396B00"/>
    <w:rsid w:val="003971DF"/>
    <w:rsid w:val="003975C4"/>
    <w:rsid w:val="00397796"/>
    <w:rsid w:val="003978E3"/>
    <w:rsid w:val="003A0405"/>
    <w:rsid w:val="003A10E7"/>
    <w:rsid w:val="003A2677"/>
    <w:rsid w:val="003A2FBB"/>
    <w:rsid w:val="003A320F"/>
    <w:rsid w:val="003A3571"/>
    <w:rsid w:val="003A371D"/>
    <w:rsid w:val="003A3996"/>
    <w:rsid w:val="003A3AA5"/>
    <w:rsid w:val="003A3D2E"/>
    <w:rsid w:val="003A4140"/>
    <w:rsid w:val="003A4351"/>
    <w:rsid w:val="003A44C8"/>
    <w:rsid w:val="003A50B6"/>
    <w:rsid w:val="003A6544"/>
    <w:rsid w:val="003A6FE6"/>
    <w:rsid w:val="003A71B6"/>
    <w:rsid w:val="003A76E5"/>
    <w:rsid w:val="003B0BC7"/>
    <w:rsid w:val="003B10EC"/>
    <w:rsid w:val="003B111E"/>
    <w:rsid w:val="003B144C"/>
    <w:rsid w:val="003B1679"/>
    <w:rsid w:val="003B1ACB"/>
    <w:rsid w:val="003B21D7"/>
    <w:rsid w:val="003B227B"/>
    <w:rsid w:val="003B2A4D"/>
    <w:rsid w:val="003B2A84"/>
    <w:rsid w:val="003B3903"/>
    <w:rsid w:val="003B448F"/>
    <w:rsid w:val="003B4757"/>
    <w:rsid w:val="003B4789"/>
    <w:rsid w:val="003B4C03"/>
    <w:rsid w:val="003B4CE7"/>
    <w:rsid w:val="003B52AA"/>
    <w:rsid w:val="003B674D"/>
    <w:rsid w:val="003B6BD4"/>
    <w:rsid w:val="003B6DCA"/>
    <w:rsid w:val="003B7128"/>
    <w:rsid w:val="003B71A2"/>
    <w:rsid w:val="003B7570"/>
    <w:rsid w:val="003B7718"/>
    <w:rsid w:val="003B7AFA"/>
    <w:rsid w:val="003B7B16"/>
    <w:rsid w:val="003B7DB3"/>
    <w:rsid w:val="003C03FF"/>
    <w:rsid w:val="003C08EC"/>
    <w:rsid w:val="003C09C6"/>
    <w:rsid w:val="003C1397"/>
    <w:rsid w:val="003C149F"/>
    <w:rsid w:val="003C16D6"/>
    <w:rsid w:val="003C1936"/>
    <w:rsid w:val="003C1F92"/>
    <w:rsid w:val="003C29F7"/>
    <w:rsid w:val="003C2A4C"/>
    <w:rsid w:val="003C3655"/>
    <w:rsid w:val="003C37A9"/>
    <w:rsid w:val="003C4A58"/>
    <w:rsid w:val="003C542B"/>
    <w:rsid w:val="003C5D5E"/>
    <w:rsid w:val="003C5EBE"/>
    <w:rsid w:val="003C667E"/>
    <w:rsid w:val="003C77D6"/>
    <w:rsid w:val="003C7986"/>
    <w:rsid w:val="003D0281"/>
    <w:rsid w:val="003D0998"/>
    <w:rsid w:val="003D0D57"/>
    <w:rsid w:val="003D0FAE"/>
    <w:rsid w:val="003D11F4"/>
    <w:rsid w:val="003D1D0E"/>
    <w:rsid w:val="003D2CB0"/>
    <w:rsid w:val="003D2CDC"/>
    <w:rsid w:val="003D2F33"/>
    <w:rsid w:val="003D3081"/>
    <w:rsid w:val="003D3758"/>
    <w:rsid w:val="003D44DE"/>
    <w:rsid w:val="003D497A"/>
    <w:rsid w:val="003D498E"/>
    <w:rsid w:val="003D5EA7"/>
    <w:rsid w:val="003D6927"/>
    <w:rsid w:val="003D729F"/>
    <w:rsid w:val="003D7888"/>
    <w:rsid w:val="003D7A6C"/>
    <w:rsid w:val="003D7DAF"/>
    <w:rsid w:val="003E010A"/>
    <w:rsid w:val="003E079F"/>
    <w:rsid w:val="003E0832"/>
    <w:rsid w:val="003E09AC"/>
    <w:rsid w:val="003E0A94"/>
    <w:rsid w:val="003E0D15"/>
    <w:rsid w:val="003E0F38"/>
    <w:rsid w:val="003E1879"/>
    <w:rsid w:val="003E18EC"/>
    <w:rsid w:val="003E26B1"/>
    <w:rsid w:val="003E2C18"/>
    <w:rsid w:val="003E2D74"/>
    <w:rsid w:val="003E31A8"/>
    <w:rsid w:val="003E333B"/>
    <w:rsid w:val="003E43F9"/>
    <w:rsid w:val="003E4904"/>
    <w:rsid w:val="003E5015"/>
    <w:rsid w:val="003E56DF"/>
    <w:rsid w:val="003E5715"/>
    <w:rsid w:val="003E5DAA"/>
    <w:rsid w:val="003E6AFE"/>
    <w:rsid w:val="003E6D9D"/>
    <w:rsid w:val="003E7246"/>
    <w:rsid w:val="003E784D"/>
    <w:rsid w:val="003E7CE3"/>
    <w:rsid w:val="003F0638"/>
    <w:rsid w:val="003F0F58"/>
    <w:rsid w:val="003F0FBC"/>
    <w:rsid w:val="003F1FD3"/>
    <w:rsid w:val="003F21B1"/>
    <w:rsid w:val="003F2532"/>
    <w:rsid w:val="003F2569"/>
    <w:rsid w:val="003F2590"/>
    <w:rsid w:val="003F26EA"/>
    <w:rsid w:val="003F28F6"/>
    <w:rsid w:val="003F2D2B"/>
    <w:rsid w:val="003F2D7D"/>
    <w:rsid w:val="003F37DB"/>
    <w:rsid w:val="003F37FA"/>
    <w:rsid w:val="003F4214"/>
    <w:rsid w:val="003F59F8"/>
    <w:rsid w:val="003F5F01"/>
    <w:rsid w:val="003F645F"/>
    <w:rsid w:val="003F663A"/>
    <w:rsid w:val="003F6686"/>
    <w:rsid w:val="003F6C4D"/>
    <w:rsid w:val="003F6CCB"/>
    <w:rsid w:val="003F6DFB"/>
    <w:rsid w:val="003F71D2"/>
    <w:rsid w:val="003F7E1C"/>
    <w:rsid w:val="003F7E36"/>
    <w:rsid w:val="00400F58"/>
    <w:rsid w:val="0040105D"/>
    <w:rsid w:val="00402FD5"/>
    <w:rsid w:val="0040355E"/>
    <w:rsid w:val="0040373D"/>
    <w:rsid w:val="004046A9"/>
    <w:rsid w:val="00404ED0"/>
    <w:rsid w:val="004062D8"/>
    <w:rsid w:val="00406458"/>
    <w:rsid w:val="0040682A"/>
    <w:rsid w:val="00406E42"/>
    <w:rsid w:val="00407C9A"/>
    <w:rsid w:val="00407D6C"/>
    <w:rsid w:val="0041023E"/>
    <w:rsid w:val="00410AB9"/>
    <w:rsid w:val="00410CF2"/>
    <w:rsid w:val="004119C0"/>
    <w:rsid w:val="00411FA7"/>
    <w:rsid w:val="004126C0"/>
    <w:rsid w:val="00412AE1"/>
    <w:rsid w:val="004133BF"/>
    <w:rsid w:val="00413704"/>
    <w:rsid w:val="00413B81"/>
    <w:rsid w:val="0041406F"/>
    <w:rsid w:val="00414EBD"/>
    <w:rsid w:val="004150A8"/>
    <w:rsid w:val="004150A9"/>
    <w:rsid w:val="004155B7"/>
    <w:rsid w:val="00415B6C"/>
    <w:rsid w:val="004163CC"/>
    <w:rsid w:val="00416524"/>
    <w:rsid w:val="00416A09"/>
    <w:rsid w:val="00416C07"/>
    <w:rsid w:val="00417202"/>
    <w:rsid w:val="0041730A"/>
    <w:rsid w:val="00417B89"/>
    <w:rsid w:val="00417CA6"/>
    <w:rsid w:val="00420077"/>
    <w:rsid w:val="004200A1"/>
    <w:rsid w:val="004214AD"/>
    <w:rsid w:val="00421A5F"/>
    <w:rsid w:val="00421B86"/>
    <w:rsid w:val="00421C95"/>
    <w:rsid w:val="00421F0E"/>
    <w:rsid w:val="0042231C"/>
    <w:rsid w:val="00422519"/>
    <w:rsid w:val="00422837"/>
    <w:rsid w:val="00422E29"/>
    <w:rsid w:val="00422ECA"/>
    <w:rsid w:val="004234B3"/>
    <w:rsid w:val="00423F28"/>
    <w:rsid w:val="00424B38"/>
    <w:rsid w:val="0042532F"/>
    <w:rsid w:val="00425357"/>
    <w:rsid w:val="0042551C"/>
    <w:rsid w:val="00425A43"/>
    <w:rsid w:val="00425DD6"/>
    <w:rsid w:val="00425FCA"/>
    <w:rsid w:val="00426651"/>
    <w:rsid w:val="00426AD7"/>
    <w:rsid w:val="00426EAC"/>
    <w:rsid w:val="0042702F"/>
    <w:rsid w:val="004273FD"/>
    <w:rsid w:val="004274EC"/>
    <w:rsid w:val="00427D4B"/>
    <w:rsid w:val="00427DDD"/>
    <w:rsid w:val="004305E7"/>
    <w:rsid w:val="0043161D"/>
    <w:rsid w:val="00431B26"/>
    <w:rsid w:val="00432052"/>
    <w:rsid w:val="00434698"/>
    <w:rsid w:val="00434899"/>
    <w:rsid w:val="004355E0"/>
    <w:rsid w:val="004359C5"/>
    <w:rsid w:val="004365E3"/>
    <w:rsid w:val="004367F5"/>
    <w:rsid w:val="00436B80"/>
    <w:rsid w:val="00437412"/>
    <w:rsid w:val="00437567"/>
    <w:rsid w:val="00437928"/>
    <w:rsid w:val="004404DC"/>
    <w:rsid w:val="0044179F"/>
    <w:rsid w:val="00441985"/>
    <w:rsid w:val="00442996"/>
    <w:rsid w:val="004429B3"/>
    <w:rsid w:val="00442DF9"/>
    <w:rsid w:val="00442F4D"/>
    <w:rsid w:val="004432F5"/>
    <w:rsid w:val="004432FF"/>
    <w:rsid w:val="00443CF0"/>
    <w:rsid w:val="00443D82"/>
    <w:rsid w:val="00444258"/>
    <w:rsid w:val="00445059"/>
    <w:rsid w:val="00445242"/>
    <w:rsid w:val="004453DE"/>
    <w:rsid w:val="004455C6"/>
    <w:rsid w:val="00445B51"/>
    <w:rsid w:val="0044612B"/>
    <w:rsid w:val="00446E53"/>
    <w:rsid w:val="004473C4"/>
    <w:rsid w:val="004479E6"/>
    <w:rsid w:val="00450C01"/>
    <w:rsid w:val="00450C89"/>
    <w:rsid w:val="00450D27"/>
    <w:rsid w:val="0045110B"/>
    <w:rsid w:val="00451942"/>
    <w:rsid w:val="00451B49"/>
    <w:rsid w:val="004528BB"/>
    <w:rsid w:val="00452DFD"/>
    <w:rsid w:val="00452E38"/>
    <w:rsid w:val="0045317A"/>
    <w:rsid w:val="0045362B"/>
    <w:rsid w:val="00453FA7"/>
    <w:rsid w:val="0045400E"/>
    <w:rsid w:val="004545F5"/>
    <w:rsid w:val="00454A39"/>
    <w:rsid w:val="00454ACB"/>
    <w:rsid w:val="00454D58"/>
    <w:rsid w:val="00455EA4"/>
    <w:rsid w:val="0045652A"/>
    <w:rsid w:val="00456675"/>
    <w:rsid w:val="00456B7A"/>
    <w:rsid w:val="004575CC"/>
    <w:rsid w:val="00457F1E"/>
    <w:rsid w:val="0046012D"/>
    <w:rsid w:val="00460708"/>
    <w:rsid w:val="004607EA"/>
    <w:rsid w:val="00461BCE"/>
    <w:rsid w:val="0046245F"/>
    <w:rsid w:val="00462BA5"/>
    <w:rsid w:val="00463314"/>
    <w:rsid w:val="0046384B"/>
    <w:rsid w:val="00463EA3"/>
    <w:rsid w:val="004641DD"/>
    <w:rsid w:val="004649CB"/>
    <w:rsid w:val="00464EDB"/>
    <w:rsid w:val="00465B7A"/>
    <w:rsid w:val="00466496"/>
    <w:rsid w:val="0046649A"/>
    <w:rsid w:val="00466585"/>
    <w:rsid w:val="00466947"/>
    <w:rsid w:val="00466C85"/>
    <w:rsid w:val="00467370"/>
    <w:rsid w:val="0046764F"/>
    <w:rsid w:val="004677DA"/>
    <w:rsid w:val="00467BE0"/>
    <w:rsid w:val="00467EB0"/>
    <w:rsid w:val="00471112"/>
    <w:rsid w:val="004711E3"/>
    <w:rsid w:val="00471A23"/>
    <w:rsid w:val="00471B79"/>
    <w:rsid w:val="004728E6"/>
    <w:rsid w:val="00472A1D"/>
    <w:rsid w:val="00472B06"/>
    <w:rsid w:val="00473234"/>
    <w:rsid w:val="00473329"/>
    <w:rsid w:val="0047350B"/>
    <w:rsid w:val="00473AB4"/>
    <w:rsid w:val="00473E2C"/>
    <w:rsid w:val="0047433A"/>
    <w:rsid w:val="0047489E"/>
    <w:rsid w:val="00474903"/>
    <w:rsid w:val="00474D78"/>
    <w:rsid w:val="004750D2"/>
    <w:rsid w:val="00475326"/>
    <w:rsid w:val="00476D11"/>
    <w:rsid w:val="00477164"/>
    <w:rsid w:val="0047733C"/>
    <w:rsid w:val="004779A2"/>
    <w:rsid w:val="00477FE1"/>
    <w:rsid w:val="0048071A"/>
    <w:rsid w:val="00480F7D"/>
    <w:rsid w:val="00481287"/>
    <w:rsid w:val="00481E92"/>
    <w:rsid w:val="0048241B"/>
    <w:rsid w:val="00482B98"/>
    <w:rsid w:val="004834A1"/>
    <w:rsid w:val="00483814"/>
    <w:rsid w:val="00483F9A"/>
    <w:rsid w:val="00484009"/>
    <w:rsid w:val="0048422D"/>
    <w:rsid w:val="00484373"/>
    <w:rsid w:val="00484E00"/>
    <w:rsid w:val="00485124"/>
    <w:rsid w:val="004853EF"/>
    <w:rsid w:val="00485D36"/>
    <w:rsid w:val="004864B5"/>
    <w:rsid w:val="00486E3C"/>
    <w:rsid w:val="0048755F"/>
    <w:rsid w:val="0048768C"/>
    <w:rsid w:val="00487A2A"/>
    <w:rsid w:val="00490007"/>
    <w:rsid w:val="00490D86"/>
    <w:rsid w:val="00490EF1"/>
    <w:rsid w:val="004915A1"/>
    <w:rsid w:val="00491A0D"/>
    <w:rsid w:val="00492041"/>
    <w:rsid w:val="0049248E"/>
    <w:rsid w:val="004934C9"/>
    <w:rsid w:val="0049397F"/>
    <w:rsid w:val="00493C2C"/>
    <w:rsid w:val="00494047"/>
    <w:rsid w:val="004948CD"/>
    <w:rsid w:val="00494D3D"/>
    <w:rsid w:val="00494F43"/>
    <w:rsid w:val="0049520E"/>
    <w:rsid w:val="0049636F"/>
    <w:rsid w:val="00496A56"/>
    <w:rsid w:val="00497854"/>
    <w:rsid w:val="00497A72"/>
    <w:rsid w:val="004A064C"/>
    <w:rsid w:val="004A1D79"/>
    <w:rsid w:val="004A3297"/>
    <w:rsid w:val="004A4563"/>
    <w:rsid w:val="004A48F0"/>
    <w:rsid w:val="004A4A43"/>
    <w:rsid w:val="004A4AFF"/>
    <w:rsid w:val="004A4D39"/>
    <w:rsid w:val="004A5470"/>
    <w:rsid w:val="004B0218"/>
    <w:rsid w:val="004B0314"/>
    <w:rsid w:val="004B0AC5"/>
    <w:rsid w:val="004B0CF5"/>
    <w:rsid w:val="004B1E02"/>
    <w:rsid w:val="004B2092"/>
    <w:rsid w:val="004B24B4"/>
    <w:rsid w:val="004B29CB"/>
    <w:rsid w:val="004B2BF1"/>
    <w:rsid w:val="004B2C5A"/>
    <w:rsid w:val="004B34C6"/>
    <w:rsid w:val="004B3AAC"/>
    <w:rsid w:val="004B4206"/>
    <w:rsid w:val="004B422F"/>
    <w:rsid w:val="004B44D0"/>
    <w:rsid w:val="004B507A"/>
    <w:rsid w:val="004B507D"/>
    <w:rsid w:val="004B69FC"/>
    <w:rsid w:val="004B6CFB"/>
    <w:rsid w:val="004B6DD6"/>
    <w:rsid w:val="004B719D"/>
    <w:rsid w:val="004B76A2"/>
    <w:rsid w:val="004B7782"/>
    <w:rsid w:val="004B7F53"/>
    <w:rsid w:val="004C079A"/>
    <w:rsid w:val="004C148A"/>
    <w:rsid w:val="004C17A9"/>
    <w:rsid w:val="004C18D8"/>
    <w:rsid w:val="004C1945"/>
    <w:rsid w:val="004C1BAE"/>
    <w:rsid w:val="004C27D1"/>
    <w:rsid w:val="004C48CE"/>
    <w:rsid w:val="004C4B91"/>
    <w:rsid w:val="004C4BC1"/>
    <w:rsid w:val="004C5181"/>
    <w:rsid w:val="004C568C"/>
    <w:rsid w:val="004C5836"/>
    <w:rsid w:val="004C5A76"/>
    <w:rsid w:val="004C5B51"/>
    <w:rsid w:val="004C5C06"/>
    <w:rsid w:val="004C618B"/>
    <w:rsid w:val="004C629F"/>
    <w:rsid w:val="004C6C49"/>
    <w:rsid w:val="004C7204"/>
    <w:rsid w:val="004C738E"/>
    <w:rsid w:val="004C741D"/>
    <w:rsid w:val="004C76FD"/>
    <w:rsid w:val="004C7B43"/>
    <w:rsid w:val="004C7B55"/>
    <w:rsid w:val="004D0746"/>
    <w:rsid w:val="004D1290"/>
    <w:rsid w:val="004D2A79"/>
    <w:rsid w:val="004D4326"/>
    <w:rsid w:val="004D434F"/>
    <w:rsid w:val="004D4536"/>
    <w:rsid w:val="004D5052"/>
    <w:rsid w:val="004D5AE4"/>
    <w:rsid w:val="004D6445"/>
    <w:rsid w:val="004D746F"/>
    <w:rsid w:val="004D79BD"/>
    <w:rsid w:val="004D7EA8"/>
    <w:rsid w:val="004D7F65"/>
    <w:rsid w:val="004E1183"/>
    <w:rsid w:val="004E189E"/>
    <w:rsid w:val="004E2926"/>
    <w:rsid w:val="004E3003"/>
    <w:rsid w:val="004E30BE"/>
    <w:rsid w:val="004E3454"/>
    <w:rsid w:val="004E3830"/>
    <w:rsid w:val="004E4A73"/>
    <w:rsid w:val="004E57E3"/>
    <w:rsid w:val="004E5982"/>
    <w:rsid w:val="004E5F39"/>
    <w:rsid w:val="004E615A"/>
    <w:rsid w:val="004E69E3"/>
    <w:rsid w:val="004E72CC"/>
    <w:rsid w:val="004E7C0F"/>
    <w:rsid w:val="004F079E"/>
    <w:rsid w:val="004F0B0A"/>
    <w:rsid w:val="004F0BDE"/>
    <w:rsid w:val="004F170D"/>
    <w:rsid w:val="004F1A6B"/>
    <w:rsid w:val="004F1ACA"/>
    <w:rsid w:val="004F1BB9"/>
    <w:rsid w:val="004F2208"/>
    <w:rsid w:val="004F2343"/>
    <w:rsid w:val="004F29F0"/>
    <w:rsid w:val="004F2C4F"/>
    <w:rsid w:val="004F3C2A"/>
    <w:rsid w:val="004F403E"/>
    <w:rsid w:val="004F4200"/>
    <w:rsid w:val="004F4816"/>
    <w:rsid w:val="004F4C42"/>
    <w:rsid w:val="004F5D07"/>
    <w:rsid w:val="004F65FB"/>
    <w:rsid w:val="004F6835"/>
    <w:rsid w:val="004F7201"/>
    <w:rsid w:val="004F7546"/>
    <w:rsid w:val="004F782F"/>
    <w:rsid w:val="004F79B3"/>
    <w:rsid w:val="004F7C2B"/>
    <w:rsid w:val="004F7ED9"/>
    <w:rsid w:val="005000C2"/>
    <w:rsid w:val="005007C4"/>
    <w:rsid w:val="005008DE"/>
    <w:rsid w:val="00500B63"/>
    <w:rsid w:val="00500F20"/>
    <w:rsid w:val="005022E6"/>
    <w:rsid w:val="005030EA"/>
    <w:rsid w:val="00503151"/>
    <w:rsid w:val="0050328F"/>
    <w:rsid w:val="00503C65"/>
    <w:rsid w:val="00503F97"/>
    <w:rsid w:val="005043D4"/>
    <w:rsid w:val="00504616"/>
    <w:rsid w:val="005048D8"/>
    <w:rsid w:val="00504D4D"/>
    <w:rsid w:val="00504D51"/>
    <w:rsid w:val="00505004"/>
    <w:rsid w:val="005052EF"/>
    <w:rsid w:val="0050559A"/>
    <w:rsid w:val="00505D76"/>
    <w:rsid w:val="00505EAC"/>
    <w:rsid w:val="00505FDE"/>
    <w:rsid w:val="00506CA5"/>
    <w:rsid w:val="005079D1"/>
    <w:rsid w:val="00507CAD"/>
    <w:rsid w:val="00510014"/>
    <w:rsid w:val="0051006C"/>
    <w:rsid w:val="005105F0"/>
    <w:rsid w:val="00510699"/>
    <w:rsid w:val="00510958"/>
    <w:rsid w:val="00510B05"/>
    <w:rsid w:val="00511B94"/>
    <w:rsid w:val="00512A83"/>
    <w:rsid w:val="005133D7"/>
    <w:rsid w:val="005134FA"/>
    <w:rsid w:val="00513951"/>
    <w:rsid w:val="005139CB"/>
    <w:rsid w:val="00513B67"/>
    <w:rsid w:val="00513BFC"/>
    <w:rsid w:val="00513E26"/>
    <w:rsid w:val="00514144"/>
    <w:rsid w:val="0051426F"/>
    <w:rsid w:val="00514745"/>
    <w:rsid w:val="00514A96"/>
    <w:rsid w:val="00515829"/>
    <w:rsid w:val="00515850"/>
    <w:rsid w:val="00515C59"/>
    <w:rsid w:val="00515CF9"/>
    <w:rsid w:val="0051655F"/>
    <w:rsid w:val="00516880"/>
    <w:rsid w:val="00516892"/>
    <w:rsid w:val="00516C11"/>
    <w:rsid w:val="0051776F"/>
    <w:rsid w:val="00517ED4"/>
    <w:rsid w:val="00521483"/>
    <w:rsid w:val="00521B72"/>
    <w:rsid w:val="0052211D"/>
    <w:rsid w:val="00522523"/>
    <w:rsid w:val="00522AD4"/>
    <w:rsid w:val="00523518"/>
    <w:rsid w:val="005238BD"/>
    <w:rsid w:val="00523B4C"/>
    <w:rsid w:val="00523CDC"/>
    <w:rsid w:val="00523E3D"/>
    <w:rsid w:val="00523E56"/>
    <w:rsid w:val="00523FF3"/>
    <w:rsid w:val="00524282"/>
    <w:rsid w:val="0052470B"/>
    <w:rsid w:val="00524B48"/>
    <w:rsid w:val="00524CFC"/>
    <w:rsid w:val="00525244"/>
    <w:rsid w:val="00525C59"/>
    <w:rsid w:val="00526EE3"/>
    <w:rsid w:val="0052713B"/>
    <w:rsid w:val="005273D2"/>
    <w:rsid w:val="0052781D"/>
    <w:rsid w:val="00527BB8"/>
    <w:rsid w:val="0053144F"/>
    <w:rsid w:val="00531497"/>
    <w:rsid w:val="0053193D"/>
    <w:rsid w:val="00531A61"/>
    <w:rsid w:val="005330FB"/>
    <w:rsid w:val="00533AF9"/>
    <w:rsid w:val="0053498F"/>
    <w:rsid w:val="005350D4"/>
    <w:rsid w:val="005358B0"/>
    <w:rsid w:val="00535E56"/>
    <w:rsid w:val="00535ED5"/>
    <w:rsid w:val="005362D1"/>
    <w:rsid w:val="00536999"/>
    <w:rsid w:val="00536A5B"/>
    <w:rsid w:val="005375E4"/>
    <w:rsid w:val="00537B19"/>
    <w:rsid w:val="00537D03"/>
    <w:rsid w:val="00537FAA"/>
    <w:rsid w:val="005405EE"/>
    <w:rsid w:val="00540CFF"/>
    <w:rsid w:val="0054128E"/>
    <w:rsid w:val="00541CC4"/>
    <w:rsid w:val="0054200A"/>
    <w:rsid w:val="005420B2"/>
    <w:rsid w:val="00542394"/>
    <w:rsid w:val="00542532"/>
    <w:rsid w:val="00542592"/>
    <w:rsid w:val="00542B53"/>
    <w:rsid w:val="00543203"/>
    <w:rsid w:val="0054329B"/>
    <w:rsid w:val="00543BA5"/>
    <w:rsid w:val="00543D24"/>
    <w:rsid w:val="00544269"/>
    <w:rsid w:val="00544388"/>
    <w:rsid w:val="00544CF4"/>
    <w:rsid w:val="00544E70"/>
    <w:rsid w:val="00544ECA"/>
    <w:rsid w:val="00545939"/>
    <w:rsid w:val="00545B37"/>
    <w:rsid w:val="00546B7A"/>
    <w:rsid w:val="00546BDF"/>
    <w:rsid w:val="00547A8C"/>
    <w:rsid w:val="00547D9E"/>
    <w:rsid w:val="00547F55"/>
    <w:rsid w:val="00550D3F"/>
    <w:rsid w:val="00551161"/>
    <w:rsid w:val="005521EA"/>
    <w:rsid w:val="00552277"/>
    <w:rsid w:val="00552CBE"/>
    <w:rsid w:val="00553CCE"/>
    <w:rsid w:val="00553EC7"/>
    <w:rsid w:val="00554483"/>
    <w:rsid w:val="005544B3"/>
    <w:rsid w:val="00554BA7"/>
    <w:rsid w:val="005553BF"/>
    <w:rsid w:val="00555C65"/>
    <w:rsid w:val="00555D05"/>
    <w:rsid w:val="00556190"/>
    <w:rsid w:val="005568CD"/>
    <w:rsid w:val="00556ABE"/>
    <w:rsid w:val="00556BE8"/>
    <w:rsid w:val="00557A4F"/>
    <w:rsid w:val="005600B4"/>
    <w:rsid w:val="005606F7"/>
    <w:rsid w:val="005610A4"/>
    <w:rsid w:val="00561B45"/>
    <w:rsid w:val="00561E31"/>
    <w:rsid w:val="00561EFC"/>
    <w:rsid w:val="005627F7"/>
    <w:rsid w:val="00562A55"/>
    <w:rsid w:val="00562C17"/>
    <w:rsid w:val="00562EFB"/>
    <w:rsid w:val="00563229"/>
    <w:rsid w:val="0056333D"/>
    <w:rsid w:val="00563368"/>
    <w:rsid w:val="005633D8"/>
    <w:rsid w:val="00563D53"/>
    <w:rsid w:val="00563E36"/>
    <w:rsid w:val="0056410A"/>
    <w:rsid w:val="005644CB"/>
    <w:rsid w:val="00564663"/>
    <w:rsid w:val="00564A71"/>
    <w:rsid w:val="00565D48"/>
    <w:rsid w:val="00565FF9"/>
    <w:rsid w:val="00566346"/>
    <w:rsid w:val="005669BE"/>
    <w:rsid w:val="0056705C"/>
    <w:rsid w:val="005673FA"/>
    <w:rsid w:val="005675EF"/>
    <w:rsid w:val="00567A9B"/>
    <w:rsid w:val="0057027A"/>
    <w:rsid w:val="005709C4"/>
    <w:rsid w:val="00570A15"/>
    <w:rsid w:val="00570C04"/>
    <w:rsid w:val="00571CBF"/>
    <w:rsid w:val="00571D77"/>
    <w:rsid w:val="00572ABC"/>
    <w:rsid w:val="00573047"/>
    <w:rsid w:val="0057319A"/>
    <w:rsid w:val="00573A96"/>
    <w:rsid w:val="0057425D"/>
    <w:rsid w:val="0057458D"/>
    <w:rsid w:val="00574D39"/>
    <w:rsid w:val="00575B82"/>
    <w:rsid w:val="00575D46"/>
    <w:rsid w:val="00575DFF"/>
    <w:rsid w:val="00575F12"/>
    <w:rsid w:val="005762D5"/>
    <w:rsid w:val="00576612"/>
    <w:rsid w:val="005767E0"/>
    <w:rsid w:val="00577039"/>
    <w:rsid w:val="00577332"/>
    <w:rsid w:val="0057763D"/>
    <w:rsid w:val="005809A0"/>
    <w:rsid w:val="00580DA7"/>
    <w:rsid w:val="00581B0A"/>
    <w:rsid w:val="00581CAF"/>
    <w:rsid w:val="005822ED"/>
    <w:rsid w:val="00582780"/>
    <w:rsid w:val="0058279F"/>
    <w:rsid w:val="00582B01"/>
    <w:rsid w:val="00582C59"/>
    <w:rsid w:val="00582C67"/>
    <w:rsid w:val="00582F22"/>
    <w:rsid w:val="005833EF"/>
    <w:rsid w:val="00583D65"/>
    <w:rsid w:val="00584E90"/>
    <w:rsid w:val="00584F11"/>
    <w:rsid w:val="00585299"/>
    <w:rsid w:val="005854AF"/>
    <w:rsid w:val="00585532"/>
    <w:rsid w:val="005858EC"/>
    <w:rsid w:val="00585F9C"/>
    <w:rsid w:val="00586103"/>
    <w:rsid w:val="0058624F"/>
    <w:rsid w:val="00586354"/>
    <w:rsid w:val="0058672E"/>
    <w:rsid w:val="00586B0D"/>
    <w:rsid w:val="00586B10"/>
    <w:rsid w:val="005877BF"/>
    <w:rsid w:val="005878D0"/>
    <w:rsid w:val="00587F08"/>
    <w:rsid w:val="00587F91"/>
    <w:rsid w:val="0059017C"/>
    <w:rsid w:val="00590542"/>
    <w:rsid w:val="00591175"/>
    <w:rsid w:val="0059144B"/>
    <w:rsid w:val="00592ED2"/>
    <w:rsid w:val="00593FC7"/>
    <w:rsid w:val="005943A0"/>
    <w:rsid w:val="0059453E"/>
    <w:rsid w:val="00594CE9"/>
    <w:rsid w:val="005954A8"/>
    <w:rsid w:val="0059592C"/>
    <w:rsid w:val="0059640F"/>
    <w:rsid w:val="0059789F"/>
    <w:rsid w:val="00597A85"/>
    <w:rsid w:val="00597D5A"/>
    <w:rsid w:val="005A1DB4"/>
    <w:rsid w:val="005A286F"/>
    <w:rsid w:val="005A3437"/>
    <w:rsid w:val="005A38FD"/>
    <w:rsid w:val="005A4EAF"/>
    <w:rsid w:val="005A4F0A"/>
    <w:rsid w:val="005A5651"/>
    <w:rsid w:val="005A58CB"/>
    <w:rsid w:val="005A59E1"/>
    <w:rsid w:val="005A6835"/>
    <w:rsid w:val="005A6AFD"/>
    <w:rsid w:val="005A6DDB"/>
    <w:rsid w:val="005A71AE"/>
    <w:rsid w:val="005A7D7B"/>
    <w:rsid w:val="005B08C8"/>
    <w:rsid w:val="005B1EF1"/>
    <w:rsid w:val="005B2087"/>
    <w:rsid w:val="005B2CDA"/>
    <w:rsid w:val="005B3D1D"/>
    <w:rsid w:val="005B46EA"/>
    <w:rsid w:val="005B4984"/>
    <w:rsid w:val="005B4E4B"/>
    <w:rsid w:val="005B4E9D"/>
    <w:rsid w:val="005B71DD"/>
    <w:rsid w:val="005B7D52"/>
    <w:rsid w:val="005B7F7A"/>
    <w:rsid w:val="005C1256"/>
    <w:rsid w:val="005C132A"/>
    <w:rsid w:val="005C1C8F"/>
    <w:rsid w:val="005C249B"/>
    <w:rsid w:val="005C25EB"/>
    <w:rsid w:val="005C317C"/>
    <w:rsid w:val="005C3446"/>
    <w:rsid w:val="005C3768"/>
    <w:rsid w:val="005C3CF5"/>
    <w:rsid w:val="005C3D9D"/>
    <w:rsid w:val="005C4842"/>
    <w:rsid w:val="005C4910"/>
    <w:rsid w:val="005C5FD3"/>
    <w:rsid w:val="005C6273"/>
    <w:rsid w:val="005C6C1D"/>
    <w:rsid w:val="005C707E"/>
    <w:rsid w:val="005C7145"/>
    <w:rsid w:val="005C76E4"/>
    <w:rsid w:val="005D0924"/>
    <w:rsid w:val="005D11DD"/>
    <w:rsid w:val="005D1219"/>
    <w:rsid w:val="005D1DAA"/>
    <w:rsid w:val="005D247D"/>
    <w:rsid w:val="005D24AD"/>
    <w:rsid w:val="005D2593"/>
    <w:rsid w:val="005D3054"/>
    <w:rsid w:val="005D3ABD"/>
    <w:rsid w:val="005D5018"/>
    <w:rsid w:val="005D612D"/>
    <w:rsid w:val="005D6895"/>
    <w:rsid w:val="005D6B04"/>
    <w:rsid w:val="005D708E"/>
    <w:rsid w:val="005D78E3"/>
    <w:rsid w:val="005D78F8"/>
    <w:rsid w:val="005D7E28"/>
    <w:rsid w:val="005E006F"/>
    <w:rsid w:val="005E04AC"/>
    <w:rsid w:val="005E0953"/>
    <w:rsid w:val="005E09E0"/>
    <w:rsid w:val="005E0D8F"/>
    <w:rsid w:val="005E0EF2"/>
    <w:rsid w:val="005E187C"/>
    <w:rsid w:val="005E1D1A"/>
    <w:rsid w:val="005E256C"/>
    <w:rsid w:val="005E28CC"/>
    <w:rsid w:val="005E31C4"/>
    <w:rsid w:val="005E351E"/>
    <w:rsid w:val="005E358B"/>
    <w:rsid w:val="005E37EA"/>
    <w:rsid w:val="005E3EC2"/>
    <w:rsid w:val="005E3FE3"/>
    <w:rsid w:val="005E446A"/>
    <w:rsid w:val="005E5FD3"/>
    <w:rsid w:val="005E66B6"/>
    <w:rsid w:val="005E6DA4"/>
    <w:rsid w:val="005E7F0A"/>
    <w:rsid w:val="005F002B"/>
    <w:rsid w:val="005F0485"/>
    <w:rsid w:val="005F099B"/>
    <w:rsid w:val="005F0C2A"/>
    <w:rsid w:val="005F0D1B"/>
    <w:rsid w:val="005F106C"/>
    <w:rsid w:val="005F119A"/>
    <w:rsid w:val="005F1359"/>
    <w:rsid w:val="005F159B"/>
    <w:rsid w:val="005F19FE"/>
    <w:rsid w:val="005F2271"/>
    <w:rsid w:val="005F2B74"/>
    <w:rsid w:val="005F5599"/>
    <w:rsid w:val="005F56A2"/>
    <w:rsid w:val="005F5A21"/>
    <w:rsid w:val="005F5B45"/>
    <w:rsid w:val="005F6D33"/>
    <w:rsid w:val="005F6DF5"/>
    <w:rsid w:val="005F70D0"/>
    <w:rsid w:val="005F7660"/>
    <w:rsid w:val="005F7759"/>
    <w:rsid w:val="005F7ACB"/>
    <w:rsid w:val="005F7DCB"/>
    <w:rsid w:val="006006A2"/>
    <w:rsid w:val="006006D8"/>
    <w:rsid w:val="00600848"/>
    <w:rsid w:val="00600FF8"/>
    <w:rsid w:val="00601277"/>
    <w:rsid w:val="00602A0E"/>
    <w:rsid w:val="006034DD"/>
    <w:rsid w:val="00603636"/>
    <w:rsid w:val="00603976"/>
    <w:rsid w:val="00603BDA"/>
    <w:rsid w:val="00603DCC"/>
    <w:rsid w:val="00603EFB"/>
    <w:rsid w:val="006048E8"/>
    <w:rsid w:val="006049BE"/>
    <w:rsid w:val="00604A39"/>
    <w:rsid w:val="00605A91"/>
    <w:rsid w:val="00605F2C"/>
    <w:rsid w:val="00606496"/>
    <w:rsid w:val="006068AC"/>
    <w:rsid w:val="00606EAE"/>
    <w:rsid w:val="006077F2"/>
    <w:rsid w:val="00607C92"/>
    <w:rsid w:val="0061039E"/>
    <w:rsid w:val="006106F6"/>
    <w:rsid w:val="00610AE7"/>
    <w:rsid w:val="00610B85"/>
    <w:rsid w:val="00610C60"/>
    <w:rsid w:val="00611487"/>
    <w:rsid w:val="006115EF"/>
    <w:rsid w:val="006118D4"/>
    <w:rsid w:val="006119E8"/>
    <w:rsid w:val="00611CA8"/>
    <w:rsid w:val="0061218E"/>
    <w:rsid w:val="006125A8"/>
    <w:rsid w:val="00613581"/>
    <w:rsid w:val="006136F5"/>
    <w:rsid w:val="0061438E"/>
    <w:rsid w:val="0061575B"/>
    <w:rsid w:val="00615B98"/>
    <w:rsid w:val="00617104"/>
    <w:rsid w:val="0061794F"/>
    <w:rsid w:val="00617E7E"/>
    <w:rsid w:val="006202C0"/>
    <w:rsid w:val="006205F3"/>
    <w:rsid w:val="00620D10"/>
    <w:rsid w:val="0062126E"/>
    <w:rsid w:val="00621E13"/>
    <w:rsid w:val="0062206B"/>
    <w:rsid w:val="006221CD"/>
    <w:rsid w:val="00622C40"/>
    <w:rsid w:val="00622CC8"/>
    <w:rsid w:val="00622E4D"/>
    <w:rsid w:val="006231A3"/>
    <w:rsid w:val="00623A73"/>
    <w:rsid w:val="00623BB2"/>
    <w:rsid w:val="006240C9"/>
    <w:rsid w:val="00624111"/>
    <w:rsid w:val="0062411A"/>
    <w:rsid w:val="006257FE"/>
    <w:rsid w:val="00625A51"/>
    <w:rsid w:val="00626071"/>
    <w:rsid w:val="00626870"/>
    <w:rsid w:val="0063032A"/>
    <w:rsid w:val="00630D4C"/>
    <w:rsid w:val="00631618"/>
    <w:rsid w:val="00632480"/>
    <w:rsid w:val="006325DA"/>
    <w:rsid w:val="00632B42"/>
    <w:rsid w:val="006331E2"/>
    <w:rsid w:val="00633A71"/>
    <w:rsid w:val="00633E19"/>
    <w:rsid w:val="00633F6E"/>
    <w:rsid w:val="00634430"/>
    <w:rsid w:val="006344F9"/>
    <w:rsid w:val="00634805"/>
    <w:rsid w:val="006349ED"/>
    <w:rsid w:val="00634DF5"/>
    <w:rsid w:val="00636102"/>
    <w:rsid w:val="00636498"/>
    <w:rsid w:val="00636AE2"/>
    <w:rsid w:val="00636EB6"/>
    <w:rsid w:val="00637146"/>
    <w:rsid w:val="006373E3"/>
    <w:rsid w:val="00637729"/>
    <w:rsid w:val="00637BE5"/>
    <w:rsid w:val="0064098B"/>
    <w:rsid w:val="006416FE"/>
    <w:rsid w:val="006419F9"/>
    <w:rsid w:val="00641A57"/>
    <w:rsid w:val="006420FC"/>
    <w:rsid w:val="006426D9"/>
    <w:rsid w:val="00642F35"/>
    <w:rsid w:val="00642F68"/>
    <w:rsid w:val="0064311A"/>
    <w:rsid w:val="0064336D"/>
    <w:rsid w:val="00643EE0"/>
    <w:rsid w:val="006460D3"/>
    <w:rsid w:val="0064632A"/>
    <w:rsid w:val="00646333"/>
    <w:rsid w:val="00646708"/>
    <w:rsid w:val="00646880"/>
    <w:rsid w:val="00646E77"/>
    <w:rsid w:val="006476D5"/>
    <w:rsid w:val="006479B5"/>
    <w:rsid w:val="00647B3E"/>
    <w:rsid w:val="00650FCD"/>
    <w:rsid w:val="0065143D"/>
    <w:rsid w:val="006519FA"/>
    <w:rsid w:val="00651BA9"/>
    <w:rsid w:val="00652B1E"/>
    <w:rsid w:val="00652B53"/>
    <w:rsid w:val="00653570"/>
    <w:rsid w:val="00653755"/>
    <w:rsid w:val="00653E6B"/>
    <w:rsid w:val="00654494"/>
    <w:rsid w:val="00654F26"/>
    <w:rsid w:val="00655C49"/>
    <w:rsid w:val="0065610A"/>
    <w:rsid w:val="00656C61"/>
    <w:rsid w:val="00657127"/>
    <w:rsid w:val="006571DF"/>
    <w:rsid w:val="006573DD"/>
    <w:rsid w:val="00657529"/>
    <w:rsid w:val="00657949"/>
    <w:rsid w:val="00657ADF"/>
    <w:rsid w:val="00657F55"/>
    <w:rsid w:val="00660B05"/>
    <w:rsid w:val="00660F3F"/>
    <w:rsid w:val="0066163B"/>
    <w:rsid w:val="00661944"/>
    <w:rsid w:val="00661E5E"/>
    <w:rsid w:val="00662219"/>
    <w:rsid w:val="006628B3"/>
    <w:rsid w:val="0066298C"/>
    <w:rsid w:val="00662DF5"/>
    <w:rsid w:val="00662EA5"/>
    <w:rsid w:val="00663DC1"/>
    <w:rsid w:val="00664218"/>
    <w:rsid w:val="006643C4"/>
    <w:rsid w:val="006648B0"/>
    <w:rsid w:val="00664B18"/>
    <w:rsid w:val="00664B71"/>
    <w:rsid w:val="00664DA6"/>
    <w:rsid w:val="0066511F"/>
    <w:rsid w:val="00665868"/>
    <w:rsid w:val="00666527"/>
    <w:rsid w:val="0066674F"/>
    <w:rsid w:val="006678C7"/>
    <w:rsid w:val="00667B69"/>
    <w:rsid w:val="0067020F"/>
    <w:rsid w:val="006705F0"/>
    <w:rsid w:val="00670633"/>
    <w:rsid w:val="00670E96"/>
    <w:rsid w:val="006711EC"/>
    <w:rsid w:val="006712A3"/>
    <w:rsid w:val="006719E8"/>
    <w:rsid w:val="00671EB6"/>
    <w:rsid w:val="006725DE"/>
    <w:rsid w:val="00672760"/>
    <w:rsid w:val="0067390C"/>
    <w:rsid w:val="00673B5E"/>
    <w:rsid w:val="0067440E"/>
    <w:rsid w:val="0067446C"/>
    <w:rsid w:val="0067446D"/>
    <w:rsid w:val="00675563"/>
    <w:rsid w:val="006766FA"/>
    <w:rsid w:val="00676F31"/>
    <w:rsid w:val="0068033B"/>
    <w:rsid w:val="00680845"/>
    <w:rsid w:val="00680894"/>
    <w:rsid w:val="00681E43"/>
    <w:rsid w:val="006821B3"/>
    <w:rsid w:val="0068261F"/>
    <w:rsid w:val="0068282B"/>
    <w:rsid w:val="00682F3F"/>
    <w:rsid w:val="0068348C"/>
    <w:rsid w:val="00683524"/>
    <w:rsid w:val="006838DB"/>
    <w:rsid w:val="00683DDE"/>
    <w:rsid w:val="00683F7B"/>
    <w:rsid w:val="00684490"/>
    <w:rsid w:val="0068703A"/>
    <w:rsid w:val="00687123"/>
    <w:rsid w:val="00687721"/>
    <w:rsid w:val="00687EBA"/>
    <w:rsid w:val="0069043C"/>
    <w:rsid w:val="006907A2"/>
    <w:rsid w:val="00690F67"/>
    <w:rsid w:val="00691F2F"/>
    <w:rsid w:val="00692708"/>
    <w:rsid w:val="00692BDB"/>
    <w:rsid w:val="00692D05"/>
    <w:rsid w:val="006935BC"/>
    <w:rsid w:val="006935C7"/>
    <w:rsid w:val="00693824"/>
    <w:rsid w:val="006939EB"/>
    <w:rsid w:val="00694773"/>
    <w:rsid w:val="00694986"/>
    <w:rsid w:val="006954DB"/>
    <w:rsid w:val="00696117"/>
    <w:rsid w:val="006969A7"/>
    <w:rsid w:val="0069707C"/>
    <w:rsid w:val="0069738B"/>
    <w:rsid w:val="00697551"/>
    <w:rsid w:val="006976E6"/>
    <w:rsid w:val="00697B55"/>
    <w:rsid w:val="00697F5A"/>
    <w:rsid w:val="006A0B9F"/>
    <w:rsid w:val="006A1CEE"/>
    <w:rsid w:val="006A20FC"/>
    <w:rsid w:val="006A2B4A"/>
    <w:rsid w:val="006A32C4"/>
    <w:rsid w:val="006A394B"/>
    <w:rsid w:val="006A464A"/>
    <w:rsid w:val="006A54C4"/>
    <w:rsid w:val="006A62C3"/>
    <w:rsid w:val="006A635D"/>
    <w:rsid w:val="006A66DB"/>
    <w:rsid w:val="006A6A23"/>
    <w:rsid w:val="006A6D8E"/>
    <w:rsid w:val="006A7327"/>
    <w:rsid w:val="006A7598"/>
    <w:rsid w:val="006A79BE"/>
    <w:rsid w:val="006B0428"/>
    <w:rsid w:val="006B0619"/>
    <w:rsid w:val="006B10EA"/>
    <w:rsid w:val="006B144A"/>
    <w:rsid w:val="006B1B57"/>
    <w:rsid w:val="006B1F7B"/>
    <w:rsid w:val="006B2D18"/>
    <w:rsid w:val="006B2DEB"/>
    <w:rsid w:val="006B334C"/>
    <w:rsid w:val="006B35CD"/>
    <w:rsid w:val="006B3715"/>
    <w:rsid w:val="006B50DB"/>
    <w:rsid w:val="006B629A"/>
    <w:rsid w:val="006B68A6"/>
    <w:rsid w:val="006B6BE1"/>
    <w:rsid w:val="006B7DF8"/>
    <w:rsid w:val="006C0203"/>
    <w:rsid w:val="006C0463"/>
    <w:rsid w:val="006C0AB1"/>
    <w:rsid w:val="006C1490"/>
    <w:rsid w:val="006C14CF"/>
    <w:rsid w:val="006C185E"/>
    <w:rsid w:val="006C1950"/>
    <w:rsid w:val="006C1EB5"/>
    <w:rsid w:val="006C23F3"/>
    <w:rsid w:val="006C327A"/>
    <w:rsid w:val="006C4615"/>
    <w:rsid w:val="006C4BC3"/>
    <w:rsid w:val="006C4CF2"/>
    <w:rsid w:val="006C531B"/>
    <w:rsid w:val="006C5641"/>
    <w:rsid w:val="006C5A39"/>
    <w:rsid w:val="006C6133"/>
    <w:rsid w:val="006C6248"/>
    <w:rsid w:val="006C68AF"/>
    <w:rsid w:val="006C6D99"/>
    <w:rsid w:val="006C6EA5"/>
    <w:rsid w:val="006C745E"/>
    <w:rsid w:val="006D0733"/>
    <w:rsid w:val="006D0891"/>
    <w:rsid w:val="006D0C75"/>
    <w:rsid w:val="006D1B51"/>
    <w:rsid w:val="006D1D7D"/>
    <w:rsid w:val="006D30A3"/>
    <w:rsid w:val="006D3A04"/>
    <w:rsid w:val="006D3D37"/>
    <w:rsid w:val="006D3F93"/>
    <w:rsid w:val="006D40FA"/>
    <w:rsid w:val="006D4D86"/>
    <w:rsid w:val="006D53DD"/>
    <w:rsid w:val="006D5539"/>
    <w:rsid w:val="006D5B38"/>
    <w:rsid w:val="006D5DE9"/>
    <w:rsid w:val="006D61CF"/>
    <w:rsid w:val="006D70CA"/>
    <w:rsid w:val="006D77DD"/>
    <w:rsid w:val="006D789F"/>
    <w:rsid w:val="006D7B67"/>
    <w:rsid w:val="006E0651"/>
    <w:rsid w:val="006E0773"/>
    <w:rsid w:val="006E1126"/>
    <w:rsid w:val="006E2654"/>
    <w:rsid w:val="006E30FE"/>
    <w:rsid w:val="006E3102"/>
    <w:rsid w:val="006E357C"/>
    <w:rsid w:val="006E4425"/>
    <w:rsid w:val="006E4AE3"/>
    <w:rsid w:val="006E4B97"/>
    <w:rsid w:val="006E5237"/>
    <w:rsid w:val="006E5386"/>
    <w:rsid w:val="006E549C"/>
    <w:rsid w:val="006E59F1"/>
    <w:rsid w:val="006E6638"/>
    <w:rsid w:val="006E69E7"/>
    <w:rsid w:val="006E70A4"/>
    <w:rsid w:val="006E762B"/>
    <w:rsid w:val="006E7791"/>
    <w:rsid w:val="006F0440"/>
    <w:rsid w:val="006F106D"/>
    <w:rsid w:val="006F204B"/>
    <w:rsid w:val="006F2185"/>
    <w:rsid w:val="006F24BC"/>
    <w:rsid w:val="006F3323"/>
    <w:rsid w:val="006F35F8"/>
    <w:rsid w:val="006F42D8"/>
    <w:rsid w:val="006F44D3"/>
    <w:rsid w:val="006F53F7"/>
    <w:rsid w:val="006F547B"/>
    <w:rsid w:val="006F565D"/>
    <w:rsid w:val="006F5AB6"/>
    <w:rsid w:val="006F60D2"/>
    <w:rsid w:val="006F63A1"/>
    <w:rsid w:val="006F743C"/>
    <w:rsid w:val="006F7A11"/>
    <w:rsid w:val="006F7B27"/>
    <w:rsid w:val="007001E1"/>
    <w:rsid w:val="00700B91"/>
    <w:rsid w:val="00700F85"/>
    <w:rsid w:val="00701E6C"/>
    <w:rsid w:val="00702F87"/>
    <w:rsid w:val="007032B0"/>
    <w:rsid w:val="007032F3"/>
    <w:rsid w:val="007033FB"/>
    <w:rsid w:val="00704076"/>
    <w:rsid w:val="0070417A"/>
    <w:rsid w:val="00704294"/>
    <w:rsid w:val="00704F67"/>
    <w:rsid w:val="00705388"/>
    <w:rsid w:val="00705BD8"/>
    <w:rsid w:val="00705DBC"/>
    <w:rsid w:val="007061FA"/>
    <w:rsid w:val="007065BA"/>
    <w:rsid w:val="007071CD"/>
    <w:rsid w:val="0070741A"/>
    <w:rsid w:val="00707A9B"/>
    <w:rsid w:val="00707C13"/>
    <w:rsid w:val="00707EDB"/>
    <w:rsid w:val="00710914"/>
    <w:rsid w:val="00710DA5"/>
    <w:rsid w:val="00710DB6"/>
    <w:rsid w:val="00710DF8"/>
    <w:rsid w:val="007110B7"/>
    <w:rsid w:val="00711298"/>
    <w:rsid w:val="0071187E"/>
    <w:rsid w:val="00711AF3"/>
    <w:rsid w:val="0071259A"/>
    <w:rsid w:val="007127D6"/>
    <w:rsid w:val="0071332A"/>
    <w:rsid w:val="00713496"/>
    <w:rsid w:val="007143B5"/>
    <w:rsid w:val="00714734"/>
    <w:rsid w:val="00715198"/>
    <w:rsid w:val="00715B56"/>
    <w:rsid w:val="00715C5E"/>
    <w:rsid w:val="0071607F"/>
    <w:rsid w:val="007168B6"/>
    <w:rsid w:val="0071729E"/>
    <w:rsid w:val="0071746A"/>
    <w:rsid w:val="007201EE"/>
    <w:rsid w:val="007202C5"/>
    <w:rsid w:val="007205F3"/>
    <w:rsid w:val="007206DD"/>
    <w:rsid w:val="00720828"/>
    <w:rsid w:val="007208CD"/>
    <w:rsid w:val="00720F22"/>
    <w:rsid w:val="00721031"/>
    <w:rsid w:val="00721141"/>
    <w:rsid w:val="0072186B"/>
    <w:rsid w:val="007224E9"/>
    <w:rsid w:val="00722556"/>
    <w:rsid w:val="00722827"/>
    <w:rsid w:val="00723E66"/>
    <w:rsid w:val="00723E84"/>
    <w:rsid w:val="0072429D"/>
    <w:rsid w:val="00724414"/>
    <w:rsid w:val="00724767"/>
    <w:rsid w:val="00724ADE"/>
    <w:rsid w:val="0072523C"/>
    <w:rsid w:val="007256AA"/>
    <w:rsid w:val="00725930"/>
    <w:rsid w:val="00725B6D"/>
    <w:rsid w:val="00727251"/>
    <w:rsid w:val="00727996"/>
    <w:rsid w:val="00727BF7"/>
    <w:rsid w:val="00727C74"/>
    <w:rsid w:val="007302CC"/>
    <w:rsid w:val="007308FE"/>
    <w:rsid w:val="00730A22"/>
    <w:rsid w:val="0073126B"/>
    <w:rsid w:val="007313CB"/>
    <w:rsid w:val="00731D0B"/>
    <w:rsid w:val="00731D16"/>
    <w:rsid w:val="00731FAF"/>
    <w:rsid w:val="0073225F"/>
    <w:rsid w:val="007324C9"/>
    <w:rsid w:val="00733427"/>
    <w:rsid w:val="00733A8D"/>
    <w:rsid w:val="00733AC9"/>
    <w:rsid w:val="00734C06"/>
    <w:rsid w:val="007350DD"/>
    <w:rsid w:val="00735298"/>
    <w:rsid w:val="0073661C"/>
    <w:rsid w:val="007375C0"/>
    <w:rsid w:val="0073770A"/>
    <w:rsid w:val="00737B31"/>
    <w:rsid w:val="00737FC7"/>
    <w:rsid w:val="0074058F"/>
    <w:rsid w:val="0074065F"/>
    <w:rsid w:val="00740734"/>
    <w:rsid w:val="00740E45"/>
    <w:rsid w:val="00740F15"/>
    <w:rsid w:val="00740F1E"/>
    <w:rsid w:val="00741398"/>
    <w:rsid w:val="00741487"/>
    <w:rsid w:val="007425B0"/>
    <w:rsid w:val="00743465"/>
    <w:rsid w:val="0074346E"/>
    <w:rsid w:val="007436AB"/>
    <w:rsid w:val="00743A6F"/>
    <w:rsid w:val="00743C9C"/>
    <w:rsid w:val="00743D99"/>
    <w:rsid w:val="00743E2A"/>
    <w:rsid w:val="007446B0"/>
    <w:rsid w:val="00744A66"/>
    <w:rsid w:val="00745568"/>
    <w:rsid w:val="0074587A"/>
    <w:rsid w:val="00745D34"/>
    <w:rsid w:val="00745EDC"/>
    <w:rsid w:val="007461A5"/>
    <w:rsid w:val="0074683F"/>
    <w:rsid w:val="00746AA5"/>
    <w:rsid w:val="00746C15"/>
    <w:rsid w:val="00746E75"/>
    <w:rsid w:val="00746E78"/>
    <w:rsid w:val="0074717F"/>
    <w:rsid w:val="007471D1"/>
    <w:rsid w:val="0074743C"/>
    <w:rsid w:val="00747778"/>
    <w:rsid w:val="0075035B"/>
    <w:rsid w:val="007509DD"/>
    <w:rsid w:val="00750A9F"/>
    <w:rsid w:val="00750C21"/>
    <w:rsid w:val="007516D2"/>
    <w:rsid w:val="007517FF"/>
    <w:rsid w:val="00752E34"/>
    <w:rsid w:val="00752EF6"/>
    <w:rsid w:val="0075316E"/>
    <w:rsid w:val="007531D3"/>
    <w:rsid w:val="00753A8C"/>
    <w:rsid w:val="00753DBF"/>
    <w:rsid w:val="00753E57"/>
    <w:rsid w:val="00753EBE"/>
    <w:rsid w:val="007547F8"/>
    <w:rsid w:val="0075484B"/>
    <w:rsid w:val="007550C3"/>
    <w:rsid w:val="00755407"/>
    <w:rsid w:val="00755B3A"/>
    <w:rsid w:val="007561BE"/>
    <w:rsid w:val="007564BF"/>
    <w:rsid w:val="00756E42"/>
    <w:rsid w:val="007577A3"/>
    <w:rsid w:val="00757AEC"/>
    <w:rsid w:val="00757DAA"/>
    <w:rsid w:val="00757F73"/>
    <w:rsid w:val="0076004F"/>
    <w:rsid w:val="00761098"/>
    <w:rsid w:val="0076120F"/>
    <w:rsid w:val="00761C8D"/>
    <w:rsid w:val="007622E0"/>
    <w:rsid w:val="0076307C"/>
    <w:rsid w:val="007639BF"/>
    <w:rsid w:val="00763A15"/>
    <w:rsid w:val="00763C57"/>
    <w:rsid w:val="007652E6"/>
    <w:rsid w:val="007653DE"/>
    <w:rsid w:val="00765A57"/>
    <w:rsid w:val="007664A6"/>
    <w:rsid w:val="00766A5C"/>
    <w:rsid w:val="00766DDD"/>
    <w:rsid w:val="0076702A"/>
    <w:rsid w:val="0076712C"/>
    <w:rsid w:val="00767217"/>
    <w:rsid w:val="007675D1"/>
    <w:rsid w:val="0076773D"/>
    <w:rsid w:val="00770F93"/>
    <w:rsid w:val="00771123"/>
    <w:rsid w:val="00771214"/>
    <w:rsid w:val="0077130E"/>
    <w:rsid w:val="007714A1"/>
    <w:rsid w:val="00772699"/>
    <w:rsid w:val="007726A6"/>
    <w:rsid w:val="00772790"/>
    <w:rsid w:val="0077281C"/>
    <w:rsid w:val="0077301E"/>
    <w:rsid w:val="00773621"/>
    <w:rsid w:val="00773891"/>
    <w:rsid w:val="00773A87"/>
    <w:rsid w:val="00773FCB"/>
    <w:rsid w:val="00774097"/>
    <w:rsid w:val="00774CED"/>
    <w:rsid w:val="00775C02"/>
    <w:rsid w:val="00775DBC"/>
    <w:rsid w:val="00776092"/>
    <w:rsid w:val="007760C0"/>
    <w:rsid w:val="00776E27"/>
    <w:rsid w:val="0077703C"/>
    <w:rsid w:val="0077769C"/>
    <w:rsid w:val="00777AF2"/>
    <w:rsid w:val="00781D8C"/>
    <w:rsid w:val="00782204"/>
    <w:rsid w:val="007826B5"/>
    <w:rsid w:val="00783369"/>
    <w:rsid w:val="0078337C"/>
    <w:rsid w:val="00783425"/>
    <w:rsid w:val="00784262"/>
    <w:rsid w:val="00786030"/>
    <w:rsid w:val="007865B4"/>
    <w:rsid w:val="00786A4B"/>
    <w:rsid w:val="0078758F"/>
    <w:rsid w:val="007875B5"/>
    <w:rsid w:val="00787B90"/>
    <w:rsid w:val="00787FC8"/>
    <w:rsid w:val="0079077E"/>
    <w:rsid w:val="00790D89"/>
    <w:rsid w:val="00790EEA"/>
    <w:rsid w:val="00791049"/>
    <w:rsid w:val="00791F74"/>
    <w:rsid w:val="007923A9"/>
    <w:rsid w:val="0079256A"/>
    <w:rsid w:val="00792A48"/>
    <w:rsid w:val="00793D33"/>
    <w:rsid w:val="00793D69"/>
    <w:rsid w:val="00793EF2"/>
    <w:rsid w:val="00794690"/>
    <w:rsid w:val="00794E13"/>
    <w:rsid w:val="0079517D"/>
    <w:rsid w:val="007957D5"/>
    <w:rsid w:val="00795C12"/>
    <w:rsid w:val="007966A4"/>
    <w:rsid w:val="00796703"/>
    <w:rsid w:val="007968F6"/>
    <w:rsid w:val="00797E5E"/>
    <w:rsid w:val="007A0106"/>
    <w:rsid w:val="007A1F42"/>
    <w:rsid w:val="007A2267"/>
    <w:rsid w:val="007A2384"/>
    <w:rsid w:val="007A286C"/>
    <w:rsid w:val="007A2945"/>
    <w:rsid w:val="007A2E02"/>
    <w:rsid w:val="007A3244"/>
    <w:rsid w:val="007A37D5"/>
    <w:rsid w:val="007A37FC"/>
    <w:rsid w:val="007A4DBF"/>
    <w:rsid w:val="007A4FE6"/>
    <w:rsid w:val="007A5467"/>
    <w:rsid w:val="007A5597"/>
    <w:rsid w:val="007A5723"/>
    <w:rsid w:val="007A57CE"/>
    <w:rsid w:val="007A7822"/>
    <w:rsid w:val="007A7E15"/>
    <w:rsid w:val="007B00EF"/>
    <w:rsid w:val="007B00FF"/>
    <w:rsid w:val="007B0DB9"/>
    <w:rsid w:val="007B17D8"/>
    <w:rsid w:val="007B19ED"/>
    <w:rsid w:val="007B1AB3"/>
    <w:rsid w:val="007B1CF1"/>
    <w:rsid w:val="007B2443"/>
    <w:rsid w:val="007B2AD0"/>
    <w:rsid w:val="007B351C"/>
    <w:rsid w:val="007B37F9"/>
    <w:rsid w:val="007B3B7F"/>
    <w:rsid w:val="007B4B56"/>
    <w:rsid w:val="007B50C2"/>
    <w:rsid w:val="007B5471"/>
    <w:rsid w:val="007B5615"/>
    <w:rsid w:val="007B57FF"/>
    <w:rsid w:val="007B61A5"/>
    <w:rsid w:val="007B633C"/>
    <w:rsid w:val="007B640F"/>
    <w:rsid w:val="007B68FB"/>
    <w:rsid w:val="007B69A0"/>
    <w:rsid w:val="007B69F0"/>
    <w:rsid w:val="007B6C49"/>
    <w:rsid w:val="007B701B"/>
    <w:rsid w:val="007B7103"/>
    <w:rsid w:val="007C0ABE"/>
    <w:rsid w:val="007C0ED8"/>
    <w:rsid w:val="007C1157"/>
    <w:rsid w:val="007C1597"/>
    <w:rsid w:val="007C1D90"/>
    <w:rsid w:val="007C296C"/>
    <w:rsid w:val="007C3219"/>
    <w:rsid w:val="007C3375"/>
    <w:rsid w:val="007C3C1F"/>
    <w:rsid w:val="007C3F1C"/>
    <w:rsid w:val="007C4232"/>
    <w:rsid w:val="007C4ADA"/>
    <w:rsid w:val="007C5554"/>
    <w:rsid w:val="007C59DA"/>
    <w:rsid w:val="007C5A5E"/>
    <w:rsid w:val="007C7EC5"/>
    <w:rsid w:val="007D01A8"/>
    <w:rsid w:val="007D01BD"/>
    <w:rsid w:val="007D0A1F"/>
    <w:rsid w:val="007D0B28"/>
    <w:rsid w:val="007D13C1"/>
    <w:rsid w:val="007D1C22"/>
    <w:rsid w:val="007D1CF0"/>
    <w:rsid w:val="007D2095"/>
    <w:rsid w:val="007D2411"/>
    <w:rsid w:val="007D2553"/>
    <w:rsid w:val="007D3038"/>
    <w:rsid w:val="007D3329"/>
    <w:rsid w:val="007D39E7"/>
    <w:rsid w:val="007D3A7A"/>
    <w:rsid w:val="007D3B8D"/>
    <w:rsid w:val="007D4355"/>
    <w:rsid w:val="007D4CA0"/>
    <w:rsid w:val="007D4D69"/>
    <w:rsid w:val="007D5198"/>
    <w:rsid w:val="007D52CB"/>
    <w:rsid w:val="007D543A"/>
    <w:rsid w:val="007D569F"/>
    <w:rsid w:val="007D632E"/>
    <w:rsid w:val="007D6CDC"/>
    <w:rsid w:val="007D6CF7"/>
    <w:rsid w:val="007D777B"/>
    <w:rsid w:val="007D7AE3"/>
    <w:rsid w:val="007D7FF4"/>
    <w:rsid w:val="007E061B"/>
    <w:rsid w:val="007E1B2E"/>
    <w:rsid w:val="007E1B7E"/>
    <w:rsid w:val="007E1F27"/>
    <w:rsid w:val="007E215B"/>
    <w:rsid w:val="007E26D4"/>
    <w:rsid w:val="007E2C31"/>
    <w:rsid w:val="007E313D"/>
    <w:rsid w:val="007E36EF"/>
    <w:rsid w:val="007E37ED"/>
    <w:rsid w:val="007E4DEF"/>
    <w:rsid w:val="007E5200"/>
    <w:rsid w:val="007E5478"/>
    <w:rsid w:val="007E54C0"/>
    <w:rsid w:val="007E56A0"/>
    <w:rsid w:val="007E5A8E"/>
    <w:rsid w:val="007E5B74"/>
    <w:rsid w:val="007E5BC2"/>
    <w:rsid w:val="007E61E9"/>
    <w:rsid w:val="007E647E"/>
    <w:rsid w:val="007E6604"/>
    <w:rsid w:val="007E6DA7"/>
    <w:rsid w:val="007F1397"/>
    <w:rsid w:val="007F1806"/>
    <w:rsid w:val="007F1D20"/>
    <w:rsid w:val="007F2215"/>
    <w:rsid w:val="007F2788"/>
    <w:rsid w:val="007F2B68"/>
    <w:rsid w:val="007F31E6"/>
    <w:rsid w:val="007F48BF"/>
    <w:rsid w:val="007F4DE5"/>
    <w:rsid w:val="007F4E0D"/>
    <w:rsid w:val="007F55C9"/>
    <w:rsid w:val="007F6787"/>
    <w:rsid w:val="007F6914"/>
    <w:rsid w:val="007F7051"/>
    <w:rsid w:val="007F7078"/>
    <w:rsid w:val="007F7ABD"/>
    <w:rsid w:val="008017B5"/>
    <w:rsid w:val="00802101"/>
    <w:rsid w:val="00802125"/>
    <w:rsid w:val="00802ACC"/>
    <w:rsid w:val="00802B0A"/>
    <w:rsid w:val="008031D0"/>
    <w:rsid w:val="008033B5"/>
    <w:rsid w:val="00803BA7"/>
    <w:rsid w:val="00803F8F"/>
    <w:rsid w:val="00804117"/>
    <w:rsid w:val="008047B0"/>
    <w:rsid w:val="008051CC"/>
    <w:rsid w:val="008060C5"/>
    <w:rsid w:val="00806BC7"/>
    <w:rsid w:val="00806DA5"/>
    <w:rsid w:val="00806FA2"/>
    <w:rsid w:val="00807C1B"/>
    <w:rsid w:val="00807ED8"/>
    <w:rsid w:val="008108BB"/>
    <w:rsid w:val="00810BB6"/>
    <w:rsid w:val="00811295"/>
    <w:rsid w:val="008113D5"/>
    <w:rsid w:val="00811695"/>
    <w:rsid w:val="00811A27"/>
    <w:rsid w:val="00811D91"/>
    <w:rsid w:val="00812E73"/>
    <w:rsid w:val="00813389"/>
    <w:rsid w:val="0081396F"/>
    <w:rsid w:val="00813A66"/>
    <w:rsid w:val="008141B7"/>
    <w:rsid w:val="00814664"/>
    <w:rsid w:val="008147CB"/>
    <w:rsid w:val="0081483E"/>
    <w:rsid w:val="00814A4D"/>
    <w:rsid w:val="00814C34"/>
    <w:rsid w:val="00814F25"/>
    <w:rsid w:val="008154EE"/>
    <w:rsid w:val="008164A3"/>
    <w:rsid w:val="00816685"/>
    <w:rsid w:val="00816B23"/>
    <w:rsid w:val="00817203"/>
    <w:rsid w:val="00820B70"/>
    <w:rsid w:val="00821B0F"/>
    <w:rsid w:val="00821C67"/>
    <w:rsid w:val="008227A8"/>
    <w:rsid w:val="00823923"/>
    <w:rsid w:val="008239AD"/>
    <w:rsid w:val="00823E54"/>
    <w:rsid w:val="00823F0A"/>
    <w:rsid w:val="008241A1"/>
    <w:rsid w:val="008258BF"/>
    <w:rsid w:val="00826437"/>
    <w:rsid w:val="0082663A"/>
    <w:rsid w:val="008268C5"/>
    <w:rsid w:val="00826C63"/>
    <w:rsid w:val="008270E1"/>
    <w:rsid w:val="008275CA"/>
    <w:rsid w:val="0082767A"/>
    <w:rsid w:val="00827AA4"/>
    <w:rsid w:val="00827D81"/>
    <w:rsid w:val="008306BB"/>
    <w:rsid w:val="00830712"/>
    <w:rsid w:val="00830801"/>
    <w:rsid w:val="00830C56"/>
    <w:rsid w:val="00831FA1"/>
    <w:rsid w:val="008322D9"/>
    <w:rsid w:val="00832A2A"/>
    <w:rsid w:val="0083335B"/>
    <w:rsid w:val="00833404"/>
    <w:rsid w:val="00833FF9"/>
    <w:rsid w:val="008349EC"/>
    <w:rsid w:val="00835EB3"/>
    <w:rsid w:val="0083670C"/>
    <w:rsid w:val="00836A3B"/>
    <w:rsid w:val="008371B1"/>
    <w:rsid w:val="00837A2E"/>
    <w:rsid w:val="00840061"/>
    <w:rsid w:val="00840198"/>
    <w:rsid w:val="00840D06"/>
    <w:rsid w:val="008410BE"/>
    <w:rsid w:val="008415F3"/>
    <w:rsid w:val="00841854"/>
    <w:rsid w:val="00841C9B"/>
    <w:rsid w:val="008424C4"/>
    <w:rsid w:val="008426D2"/>
    <w:rsid w:val="00842DB6"/>
    <w:rsid w:val="00843B5B"/>
    <w:rsid w:val="00843C3E"/>
    <w:rsid w:val="0084411D"/>
    <w:rsid w:val="0084413E"/>
    <w:rsid w:val="0084450E"/>
    <w:rsid w:val="00844844"/>
    <w:rsid w:val="008449CE"/>
    <w:rsid w:val="00844ADF"/>
    <w:rsid w:val="00844CF7"/>
    <w:rsid w:val="00845640"/>
    <w:rsid w:val="0084616C"/>
    <w:rsid w:val="00846452"/>
    <w:rsid w:val="008469BE"/>
    <w:rsid w:val="008476D6"/>
    <w:rsid w:val="00847839"/>
    <w:rsid w:val="0084789B"/>
    <w:rsid w:val="00847E86"/>
    <w:rsid w:val="00850282"/>
    <w:rsid w:val="008503BD"/>
    <w:rsid w:val="00850512"/>
    <w:rsid w:val="00850703"/>
    <w:rsid w:val="008509DB"/>
    <w:rsid w:val="008517BB"/>
    <w:rsid w:val="0085253D"/>
    <w:rsid w:val="00852AC3"/>
    <w:rsid w:val="00852EF7"/>
    <w:rsid w:val="00853E82"/>
    <w:rsid w:val="00854A2C"/>
    <w:rsid w:val="00854A40"/>
    <w:rsid w:val="00854D2B"/>
    <w:rsid w:val="008552B5"/>
    <w:rsid w:val="0085586E"/>
    <w:rsid w:val="00855C5B"/>
    <w:rsid w:val="00855E7E"/>
    <w:rsid w:val="008560A7"/>
    <w:rsid w:val="008569FC"/>
    <w:rsid w:val="00856B74"/>
    <w:rsid w:val="0086050E"/>
    <w:rsid w:val="00860D0C"/>
    <w:rsid w:val="00860DAB"/>
    <w:rsid w:val="0086394A"/>
    <w:rsid w:val="008647E1"/>
    <w:rsid w:val="00864BC4"/>
    <w:rsid w:val="00864E9A"/>
    <w:rsid w:val="008652C8"/>
    <w:rsid w:val="0086546C"/>
    <w:rsid w:val="00865882"/>
    <w:rsid w:val="00865A6D"/>
    <w:rsid w:val="0086626E"/>
    <w:rsid w:val="00866400"/>
    <w:rsid w:val="00867282"/>
    <w:rsid w:val="0086740C"/>
    <w:rsid w:val="00870D0A"/>
    <w:rsid w:val="00871300"/>
    <w:rsid w:val="00871696"/>
    <w:rsid w:val="00871AAD"/>
    <w:rsid w:val="00871EB2"/>
    <w:rsid w:val="008722F8"/>
    <w:rsid w:val="00872C79"/>
    <w:rsid w:val="008733BF"/>
    <w:rsid w:val="008749E1"/>
    <w:rsid w:val="008757E5"/>
    <w:rsid w:val="0087698C"/>
    <w:rsid w:val="0087764C"/>
    <w:rsid w:val="0088022D"/>
    <w:rsid w:val="00880353"/>
    <w:rsid w:val="0088092C"/>
    <w:rsid w:val="00880B9C"/>
    <w:rsid w:val="00880CB1"/>
    <w:rsid w:val="00880F9F"/>
    <w:rsid w:val="00881FBA"/>
    <w:rsid w:val="00882006"/>
    <w:rsid w:val="00882E39"/>
    <w:rsid w:val="00882EDD"/>
    <w:rsid w:val="00883627"/>
    <w:rsid w:val="008850A6"/>
    <w:rsid w:val="008858D9"/>
    <w:rsid w:val="00885CFE"/>
    <w:rsid w:val="00887BE1"/>
    <w:rsid w:val="00891242"/>
    <w:rsid w:val="008914AC"/>
    <w:rsid w:val="0089167A"/>
    <w:rsid w:val="00891682"/>
    <w:rsid w:val="008918F6"/>
    <w:rsid w:val="00891A70"/>
    <w:rsid w:val="008925D7"/>
    <w:rsid w:val="00892795"/>
    <w:rsid w:val="00892B46"/>
    <w:rsid w:val="00893086"/>
    <w:rsid w:val="0089328B"/>
    <w:rsid w:val="00893777"/>
    <w:rsid w:val="008938BB"/>
    <w:rsid w:val="00893E8D"/>
    <w:rsid w:val="008945B3"/>
    <w:rsid w:val="008945D4"/>
    <w:rsid w:val="0089464F"/>
    <w:rsid w:val="0089465E"/>
    <w:rsid w:val="00895259"/>
    <w:rsid w:val="008958A5"/>
    <w:rsid w:val="00895942"/>
    <w:rsid w:val="008959A6"/>
    <w:rsid w:val="008970C7"/>
    <w:rsid w:val="008975FC"/>
    <w:rsid w:val="00897825"/>
    <w:rsid w:val="008A002C"/>
    <w:rsid w:val="008A0D88"/>
    <w:rsid w:val="008A1B02"/>
    <w:rsid w:val="008A1C36"/>
    <w:rsid w:val="008A1DAB"/>
    <w:rsid w:val="008A1EAE"/>
    <w:rsid w:val="008A2192"/>
    <w:rsid w:val="008A2455"/>
    <w:rsid w:val="008A2604"/>
    <w:rsid w:val="008A28A8"/>
    <w:rsid w:val="008A35AE"/>
    <w:rsid w:val="008A3763"/>
    <w:rsid w:val="008A377C"/>
    <w:rsid w:val="008A414C"/>
    <w:rsid w:val="008A4411"/>
    <w:rsid w:val="008A449E"/>
    <w:rsid w:val="008A4521"/>
    <w:rsid w:val="008A4646"/>
    <w:rsid w:val="008A50A0"/>
    <w:rsid w:val="008A5349"/>
    <w:rsid w:val="008A5EBE"/>
    <w:rsid w:val="008A6385"/>
    <w:rsid w:val="008A644D"/>
    <w:rsid w:val="008A658D"/>
    <w:rsid w:val="008A6B4E"/>
    <w:rsid w:val="008A7AEB"/>
    <w:rsid w:val="008B0101"/>
    <w:rsid w:val="008B1194"/>
    <w:rsid w:val="008B1974"/>
    <w:rsid w:val="008B206B"/>
    <w:rsid w:val="008B2A1E"/>
    <w:rsid w:val="008B352B"/>
    <w:rsid w:val="008B35FC"/>
    <w:rsid w:val="008B368D"/>
    <w:rsid w:val="008B3E95"/>
    <w:rsid w:val="008B49D3"/>
    <w:rsid w:val="008B4D94"/>
    <w:rsid w:val="008B5228"/>
    <w:rsid w:val="008B5E97"/>
    <w:rsid w:val="008B632D"/>
    <w:rsid w:val="008B72BB"/>
    <w:rsid w:val="008B738C"/>
    <w:rsid w:val="008B7A7A"/>
    <w:rsid w:val="008B7CA0"/>
    <w:rsid w:val="008C1026"/>
    <w:rsid w:val="008C198A"/>
    <w:rsid w:val="008C1A3C"/>
    <w:rsid w:val="008C22FC"/>
    <w:rsid w:val="008C355E"/>
    <w:rsid w:val="008C3800"/>
    <w:rsid w:val="008C3873"/>
    <w:rsid w:val="008C3D5D"/>
    <w:rsid w:val="008C3DDA"/>
    <w:rsid w:val="008C4CEF"/>
    <w:rsid w:val="008C58E4"/>
    <w:rsid w:val="008C5CDD"/>
    <w:rsid w:val="008C62AF"/>
    <w:rsid w:val="008C6540"/>
    <w:rsid w:val="008C692A"/>
    <w:rsid w:val="008C6C9F"/>
    <w:rsid w:val="008C6D05"/>
    <w:rsid w:val="008C781C"/>
    <w:rsid w:val="008C7DDF"/>
    <w:rsid w:val="008C7DE7"/>
    <w:rsid w:val="008D0C84"/>
    <w:rsid w:val="008D0E92"/>
    <w:rsid w:val="008D13D3"/>
    <w:rsid w:val="008D1F4B"/>
    <w:rsid w:val="008D2A60"/>
    <w:rsid w:val="008D2DF8"/>
    <w:rsid w:val="008D36C9"/>
    <w:rsid w:val="008D4A3F"/>
    <w:rsid w:val="008D5568"/>
    <w:rsid w:val="008D5A38"/>
    <w:rsid w:val="008D5A7C"/>
    <w:rsid w:val="008D6645"/>
    <w:rsid w:val="008D6ABE"/>
    <w:rsid w:val="008D6C9B"/>
    <w:rsid w:val="008D78D2"/>
    <w:rsid w:val="008E054D"/>
    <w:rsid w:val="008E0B2B"/>
    <w:rsid w:val="008E140F"/>
    <w:rsid w:val="008E202D"/>
    <w:rsid w:val="008E20C8"/>
    <w:rsid w:val="008E23A8"/>
    <w:rsid w:val="008E29E4"/>
    <w:rsid w:val="008E2AAA"/>
    <w:rsid w:val="008E2EBC"/>
    <w:rsid w:val="008E3E7F"/>
    <w:rsid w:val="008E45C4"/>
    <w:rsid w:val="008E4CDE"/>
    <w:rsid w:val="008E51BF"/>
    <w:rsid w:val="008E5C30"/>
    <w:rsid w:val="008E64D3"/>
    <w:rsid w:val="008E67DE"/>
    <w:rsid w:val="008E6E2D"/>
    <w:rsid w:val="008E70FB"/>
    <w:rsid w:val="008E7855"/>
    <w:rsid w:val="008E7D39"/>
    <w:rsid w:val="008F0172"/>
    <w:rsid w:val="008F122A"/>
    <w:rsid w:val="008F148D"/>
    <w:rsid w:val="008F15C9"/>
    <w:rsid w:val="008F1F95"/>
    <w:rsid w:val="008F29EC"/>
    <w:rsid w:val="008F2C5A"/>
    <w:rsid w:val="008F3027"/>
    <w:rsid w:val="008F325D"/>
    <w:rsid w:val="008F348D"/>
    <w:rsid w:val="008F357A"/>
    <w:rsid w:val="008F38AA"/>
    <w:rsid w:val="008F3C16"/>
    <w:rsid w:val="008F462D"/>
    <w:rsid w:val="008F52BD"/>
    <w:rsid w:val="008F5968"/>
    <w:rsid w:val="008F6548"/>
    <w:rsid w:val="008F72BB"/>
    <w:rsid w:val="00900B40"/>
    <w:rsid w:val="00900E85"/>
    <w:rsid w:val="00901232"/>
    <w:rsid w:val="00901235"/>
    <w:rsid w:val="00901544"/>
    <w:rsid w:val="00901D8F"/>
    <w:rsid w:val="00902030"/>
    <w:rsid w:val="009021CE"/>
    <w:rsid w:val="00902C85"/>
    <w:rsid w:val="0090340F"/>
    <w:rsid w:val="009037CA"/>
    <w:rsid w:val="00903BBE"/>
    <w:rsid w:val="009042AF"/>
    <w:rsid w:val="00904952"/>
    <w:rsid w:val="00904F80"/>
    <w:rsid w:val="009050EC"/>
    <w:rsid w:val="0090538B"/>
    <w:rsid w:val="0090571B"/>
    <w:rsid w:val="009057CE"/>
    <w:rsid w:val="009059F5"/>
    <w:rsid w:val="0090624C"/>
    <w:rsid w:val="0090629D"/>
    <w:rsid w:val="009063B5"/>
    <w:rsid w:val="00906A9B"/>
    <w:rsid w:val="00906AC9"/>
    <w:rsid w:val="00906C57"/>
    <w:rsid w:val="00910E2E"/>
    <w:rsid w:val="009110F3"/>
    <w:rsid w:val="00911685"/>
    <w:rsid w:val="00911F56"/>
    <w:rsid w:val="00912C7C"/>
    <w:rsid w:val="00912FD3"/>
    <w:rsid w:val="009133D7"/>
    <w:rsid w:val="009146D0"/>
    <w:rsid w:val="0091482B"/>
    <w:rsid w:val="00914AD2"/>
    <w:rsid w:val="00914FC4"/>
    <w:rsid w:val="00916346"/>
    <w:rsid w:val="00916B8A"/>
    <w:rsid w:val="00917137"/>
    <w:rsid w:val="009172A2"/>
    <w:rsid w:val="0091738F"/>
    <w:rsid w:val="00920D6C"/>
    <w:rsid w:val="00920D7E"/>
    <w:rsid w:val="0092109D"/>
    <w:rsid w:val="00921AE1"/>
    <w:rsid w:val="00921C43"/>
    <w:rsid w:val="009224FD"/>
    <w:rsid w:val="009228B4"/>
    <w:rsid w:val="00922BEF"/>
    <w:rsid w:val="0092372B"/>
    <w:rsid w:val="009237D2"/>
    <w:rsid w:val="009240EA"/>
    <w:rsid w:val="00924A20"/>
    <w:rsid w:val="00925278"/>
    <w:rsid w:val="00926381"/>
    <w:rsid w:val="009268D5"/>
    <w:rsid w:val="00926935"/>
    <w:rsid w:val="00926CAB"/>
    <w:rsid w:val="00926DF6"/>
    <w:rsid w:val="00926F0A"/>
    <w:rsid w:val="0092749D"/>
    <w:rsid w:val="0092753B"/>
    <w:rsid w:val="00927866"/>
    <w:rsid w:val="00927982"/>
    <w:rsid w:val="00927B35"/>
    <w:rsid w:val="00927C17"/>
    <w:rsid w:val="00927DC3"/>
    <w:rsid w:val="009300F1"/>
    <w:rsid w:val="0093024C"/>
    <w:rsid w:val="009302D2"/>
    <w:rsid w:val="0093061A"/>
    <w:rsid w:val="00930635"/>
    <w:rsid w:val="009306E1"/>
    <w:rsid w:val="0093081E"/>
    <w:rsid w:val="00930EB8"/>
    <w:rsid w:val="00931449"/>
    <w:rsid w:val="0093296E"/>
    <w:rsid w:val="00932CBE"/>
    <w:rsid w:val="0093351F"/>
    <w:rsid w:val="00933573"/>
    <w:rsid w:val="009335C6"/>
    <w:rsid w:val="0093468D"/>
    <w:rsid w:val="0093468E"/>
    <w:rsid w:val="00934CC9"/>
    <w:rsid w:val="00935584"/>
    <w:rsid w:val="00935A73"/>
    <w:rsid w:val="00936DF5"/>
    <w:rsid w:val="00936FA7"/>
    <w:rsid w:val="0093708F"/>
    <w:rsid w:val="009374BD"/>
    <w:rsid w:val="00937D2E"/>
    <w:rsid w:val="00937F4A"/>
    <w:rsid w:val="0094007E"/>
    <w:rsid w:val="009411DA"/>
    <w:rsid w:val="00941525"/>
    <w:rsid w:val="00941E6E"/>
    <w:rsid w:val="00942554"/>
    <w:rsid w:val="00942B1D"/>
    <w:rsid w:val="00942DD7"/>
    <w:rsid w:val="00942DE5"/>
    <w:rsid w:val="00942EF5"/>
    <w:rsid w:val="009437E0"/>
    <w:rsid w:val="00943C78"/>
    <w:rsid w:val="009442C1"/>
    <w:rsid w:val="009450D7"/>
    <w:rsid w:val="009455C2"/>
    <w:rsid w:val="00945D46"/>
    <w:rsid w:val="0094655D"/>
    <w:rsid w:val="009469FE"/>
    <w:rsid w:val="009475EC"/>
    <w:rsid w:val="00947E96"/>
    <w:rsid w:val="00950169"/>
    <w:rsid w:val="00950564"/>
    <w:rsid w:val="00950EF4"/>
    <w:rsid w:val="00951277"/>
    <w:rsid w:val="0095129D"/>
    <w:rsid w:val="0095136C"/>
    <w:rsid w:val="00951907"/>
    <w:rsid w:val="0095218B"/>
    <w:rsid w:val="00953654"/>
    <w:rsid w:val="00953825"/>
    <w:rsid w:val="00953B3E"/>
    <w:rsid w:val="0095416D"/>
    <w:rsid w:val="009541CB"/>
    <w:rsid w:val="009541F0"/>
    <w:rsid w:val="00954222"/>
    <w:rsid w:val="00954AA6"/>
    <w:rsid w:val="00954B91"/>
    <w:rsid w:val="009558B5"/>
    <w:rsid w:val="00955CAF"/>
    <w:rsid w:val="0095692B"/>
    <w:rsid w:val="00956B74"/>
    <w:rsid w:val="00956F31"/>
    <w:rsid w:val="009574AF"/>
    <w:rsid w:val="0095782B"/>
    <w:rsid w:val="00960013"/>
    <w:rsid w:val="009601EF"/>
    <w:rsid w:val="00960E78"/>
    <w:rsid w:val="009615D7"/>
    <w:rsid w:val="0096171F"/>
    <w:rsid w:val="00961FEF"/>
    <w:rsid w:val="009620B7"/>
    <w:rsid w:val="0096271D"/>
    <w:rsid w:val="00963924"/>
    <w:rsid w:val="00963946"/>
    <w:rsid w:val="00964699"/>
    <w:rsid w:val="0096469E"/>
    <w:rsid w:val="00965220"/>
    <w:rsid w:val="009653A9"/>
    <w:rsid w:val="009654A6"/>
    <w:rsid w:val="00965E32"/>
    <w:rsid w:val="009661CE"/>
    <w:rsid w:val="009665C1"/>
    <w:rsid w:val="00966D24"/>
    <w:rsid w:val="00966DCB"/>
    <w:rsid w:val="00970700"/>
    <w:rsid w:val="009707A3"/>
    <w:rsid w:val="009707F7"/>
    <w:rsid w:val="009708A9"/>
    <w:rsid w:val="00971639"/>
    <w:rsid w:val="00971B06"/>
    <w:rsid w:val="0097200B"/>
    <w:rsid w:val="0097430F"/>
    <w:rsid w:val="00974BB6"/>
    <w:rsid w:val="00974FE8"/>
    <w:rsid w:val="0097535C"/>
    <w:rsid w:val="009757A3"/>
    <w:rsid w:val="00975D53"/>
    <w:rsid w:val="009768D9"/>
    <w:rsid w:val="00976A83"/>
    <w:rsid w:val="009779CE"/>
    <w:rsid w:val="00977FB8"/>
    <w:rsid w:val="009800AB"/>
    <w:rsid w:val="009800FC"/>
    <w:rsid w:val="00980175"/>
    <w:rsid w:val="00980350"/>
    <w:rsid w:val="00980817"/>
    <w:rsid w:val="00980BD8"/>
    <w:rsid w:val="00982BAB"/>
    <w:rsid w:val="009832C5"/>
    <w:rsid w:val="00984986"/>
    <w:rsid w:val="00985076"/>
    <w:rsid w:val="00985700"/>
    <w:rsid w:val="009875C5"/>
    <w:rsid w:val="009877E9"/>
    <w:rsid w:val="009878C8"/>
    <w:rsid w:val="009904E3"/>
    <w:rsid w:val="0099072C"/>
    <w:rsid w:val="009914DB"/>
    <w:rsid w:val="00991FD9"/>
    <w:rsid w:val="00992205"/>
    <w:rsid w:val="009922BF"/>
    <w:rsid w:val="00993524"/>
    <w:rsid w:val="0099367F"/>
    <w:rsid w:val="009938AA"/>
    <w:rsid w:val="00994ABA"/>
    <w:rsid w:val="00994B10"/>
    <w:rsid w:val="0099510E"/>
    <w:rsid w:val="00995B9A"/>
    <w:rsid w:val="00995F5D"/>
    <w:rsid w:val="00996229"/>
    <w:rsid w:val="00996D06"/>
    <w:rsid w:val="00997C2F"/>
    <w:rsid w:val="009A0117"/>
    <w:rsid w:val="009A0503"/>
    <w:rsid w:val="009A0EB2"/>
    <w:rsid w:val="009A1018"/>
    <w:rsid w:val="009A1C32"/>
    <w:rsid w:val="009A2365"/>
    <w:rsid w:val="009A26F3"/>
    <w:rsid w:val="009A2D94"/>
    <w:rsid w:val="009A3058"/>
    <w:rsid w:val="009A306F"/>
    <w:rsid w:val="009A30CD"/>
    <w:rsid w:val="009A4142"/>
    <w:rsid w:val="009A43C7"/>
    <w:rsid w:val="009A46EE"/>
    <w:rsid w:val="009A49F1"/>
    <w:rsid w:val="009A5237"/>
    <w:rsid w:val="009A5619"/>
    <w:rsid w:val="009A642B"/>
    <w:rsid w:val="009A76D4"/>
    <w:rsid w:val="009A7751"/>
    <w:rsid w:val="009A78BC"/>
    <w:rsid w:val="009A7EA9"/>
    <w:rsid w:val="009B0151"/>
    <w:rsid w:val="009B024D"/>
    <w:rsid w:val="009B05B5"/>
    <w:rsid w:val="009B06C2"/>
    <w:rsid w:val="009B07A3"/>
    <w:rsid w:val="009B0E79"/>
    <w:rsid w:val="009B1714"/>
    <w:rsid w:val="009B2368"/>
    <w:rsid w:val="009B27C5"/>
    <w:rsid w:val="009B30B4"/>
    <w:rsid w:val="009B3322"/>
    <w:rsid w:val="009B34F4"/>
    <w:rsid w:val="009B38C2"/>
    <w:rsid w:val="009B4356"/>
    <w:rsid w:val="009B4410"/>
    <w:rsid w:val="009B464B"/>
    <w:rsid w:val="009B56E3"/>
    <w:rsid w:val="009B5EB2"/>
    <w:rsid w:val="009B5EC2"/>
    <w:rsid w:val="009B7276"/>
    <w:rsid w:val="009B7606"/>
    <w:rsid w:val="009C01BA"/>
    <w:rsid w:val="009C02DD"/>
    <w:rsid w:val="009C0722"/>
    <w:rsid w:val="009C1262"/>
    <w:rsid w:val="009C1988"/>
    <w:rsid w:val="009C20E2"/>
    <w:rsid w:val="009C2351"/>
    <w:rsid w:val="009C2689"/>
    <w:rsid w:val="009C2B07"/>
    <w:rsid w:val="009C2C7A"/>
    <w:rsid w:val="009C3765"/>
    <w:rsid w:val="009C3A94"/>
    <w:rsid w:val="009C3BD7"/>
    <w:rsid w:val="009C3C26"/>
    <w:rsid w:val="009C3DF5"/>
    <w:rsid w:val="009C3EA4"/>
    <w:rsid w:val="009C3EA7"/>
    <w:rsid w:val="009C3FFD"/>
    <w:rsid w:val="009C404C"/>
    <w:rsid w:val="009C4114"/>
    <w:rsid w:val="009C4593"/>
    <w:rsid w:val="009C4D62"/>
    <w:rsid w:val="009C5196"/>
    <w:rsid w:val="009C5587"/>
    <w:rsid w:val="009C5CDD"/>
    <w:rsid w:val="009C5E87"/>
    <w:rsid w:val="009C6C39"/>
    <w:rsid w:val="009C6C53"/>
    <w:rsid w:val="009C6DA2"/>
    <w:rsid w:val="009C7357"/>
    <w:rsid w:val="009C76A9"/>
    <w:rsid w:val="009C7A3E"/>
    <w:rsid w:val="009D0381"/>
    <w:rsid w:val="009D06D0"/>
    <w:rsid w:val="009D0ABE"/>
    <w:rsid w:val="009D0E12"/>
    <w:rsid w:val="009D22F7"/>
    <w:rsid w:val="009D30A3"/>
    <w:rsid w:val="009D3240"/>
    <w:rsid w:val="009D350E"/>
    <w:rsid w:val="009D3565"/>
    <w:rsid w:val="009D3668"/>
    <w:rsid w:val="009D3C63"/>
    <w:rsid w:val="009D41E2"/>
    <w:rsid w:val="009D41FD"/>
    <w:rsid w:val="009D54F0"/>
    <w:rsid w:val="009D59AC"/>
    <w:rsid w:val="009D603E"/>
    <w:rsid w:val="009D6C0E"/>
    <w:rsid w:val="009D7C7E"/>
    <w:rsid w:val="009E042F"/>
    <w:rsid w:val="009E051D"/>
    <w:rsid w:val="009E064C"/>
    <w:rsid w:val="009E0D34"/>
    <w:rsid w:val="009E19EB"/>
    <w:rsid w:val="009E28D1"/>
    <w:rsid w:val="009E2EB8"/>
    <w:rsid w:val="009E2F66"/>
    <w:rsid w:val="009E3538"/>
    <w:rsid w:val="009E36CE"/>
    <w:rsid w:val="009E3ADA"/>
    <w:rsid w:val="009E3B92"/>
    <w:rsid w:val="009E41EC"/>
    <w:rsid w:val="009E48FD"/>
    <w:rsid w:val="009E4EF1"/>
    <w:rsid w:val="009E4F1E"/>
    <w:rsid w:val="009E523F"/>
    <w:rsid w:val="009E5327"/>
    <w:rsid w:val="009E5444"/>
    <w:rsid w:val="009E5475"/>
    <w:rsid w:val="009E5D8A"/>
    <w:rsid w:val="009E6980"/>
    <w:rsid w:val="009E6A51"/>
    <w:rsid w:val="009E702F"/>
    <w:rsid w:val="009E70CD"/>
    <w:rsid w:val="009E785B"/>
    <w:rsid w:val="009E7E2E"/>
    <w:rsid w:val="009E7F18"/>
    <w:rsid w:val="009F0931"/>
    <w:rsid w:val="009F100E"/>
    <w:rsid w:val="009F1B37"/>
    <w:rsid w:val="009F1F15"/>
    <w:rsid w:val="009F1F28"/>
    <w:rsid w:val="009F1F32"/>
    <w:rsid w:val="009F27FC"/>
    <w:rsid w:val="009F3304"/>
    <w:rsid w:val="009F3344"/>
    <w:rsid w:val="009F3611"/>
    <w:rsid w:val="009F4058"/>
    <w:rsid w:val="009F4194"/>
    <w:rsid w:val="009F4972"/>
    <w:rsid w:val="009F4C14"/>
    <w:rsid w:val="009F4CC9"/>
    <w:rsid w:val="009F5272"/>
    <w:rsid w:val="009F5EC9"/>
    <w:rsid w:val="009F6259"/>
    <w:rsid w:val="009F6698"/>
    <w:rsid w:val="009F720F"/>
    <w:rsid w:val="00A0000E"/>
    <w:rsid w:val="00A0020B"/>
    <w:rsid w:val="00A00AD5"/>
    <w:rsid w:val="00A01782"/>
    <w:rsid w:val="00A02790"/>
    <w:rsid w:val="00A02B49"/>
    <w:rsid w:val="00A043D5"/>
    <w:rsid w:val="00A04461"/>
    <w:rsid w:val="00A046BB"/>
    <w:rsid w:val="00A04BB0"/>
    <w:rsid w:val="00A05270"/>
    <w:rsid w:val="00A05D00"/>
    <w:rsid w:val="00A05E97"/>
    <w:rsid w:val="00A06386"/>
    <w:rsid w:val="00A06790"/>
    <w:rsid w:val="00A06D5D"/>
    <w:rsid w:val="00A07AEF"/>
    <w:rsid w:val="00A10477"/>
    <w:rsid w:val="00A105BB"/>
    <w:rsid w:val="00A11282"/>
    <w:rsid w:val="00A11F35"/>
    <w:rsid w:val="00A1210B"/>
    <w:rsid w:val="00A12B05"/>
    <w:rsid w:val="00A13193"/>
    <w:rsid w:val="00A1337A"/>
    <w:rsid w:val="00A13A63"/>
    <w:rsid w:val="00A13AFB"/>
    <w:rsid w:val="00A13E9E"/>
    <w:rsid w:val="00A140C7"/>
    <w:rsid w:val="00A14B2F"/>
    <w:rsid w:val="00A14C5A"/>
    <w:rsid w:val="00A14C6C"/>
    <w:rsid w:val="00A14F82"/>
    <w:rsid w:val="00A15F59"/>
    <w:rsid w:val="00A171DD"/>
    <w:rsid w:val="00A173BD"/>
    <w:rsid w:val="00A17660"/>
    <w:rsid w:val="00A17E28"/>
    <w:rsid w:val="00A206BD"/>
    <w:rsid w:val="00A20E3F"/>
    <w:rsid w:val="00A21AC7"/>
    <w:rsid w:val="00A21DB5"/>
    <w:rsid w:val="00A22298"/>
    <w:rsid w:val="00A225E5"/>
    <w:rsid w:val="00A22A02"/>
    <w:rsid w:val="00A22DF0"/>
    <w:rsid w:val="00A22E65"/>
    <w:rsid w:val="00A22F24"/>
    <w:rsid w:val="00A23DF1"/>
    <w:rsid w:val="00A24120"/>
    <w:rsid w:val="00A245D0"/>
    <w:rsid w:val="00A25AF5"/>
    <w:rsid w:val="00A260A8"/>
    <w:rsid w:val="00A2615F"/>
    <w:rsid w:val="00A263CB"/>
    <w:rsid w:val="00A2686D"/>
    <w:rsid w:val="00A268FD"/>
    <w:rsid w:val="00A26DE8"/>
    <w:rsid w:val="00A307BF"/>
    <w:rsid w:val="00A30BDD"/>
    <w:rsid w:val="00A31361"/>
    <w:rsid w:val="00A316EF"/>
    <w:rsid w:val="00A31A35"/>
    <w:rsid w:val="00A31A71"/>
    <w:rsid w:val="00A31B39"/>
    <w:rsid w:val="00A32051"/>
    <w:rsid w:val="00A325C4"/>
    <w:rsid w:val="00A328A7"/>
    <w:rsid w:val="00A336C9"/>
    <w:rsid w:val="00A35095"/>
    <w:rsid w:val="00A350B7"/>
    <w:rsid w:val="00A351C9"/>
    <w:rsid w:val="00A352BF"/>
    <w:rsid w:val="00A355C4"/>
    <w:rsid w:val="00A36353"/>
    <w:rsid w:val="00A36FB8"/>
    <w:rsid w:val="00A37888"/>
    <w:rsid w:val="00A4011D"/>
    <w:rsid w:val="00A410F4"/>
    <w:rsid w:val="00A41702"/>
    <w:rsid w:val="00A421A1"/>
    <w:rsid w:val="00A42324"/>
    <w:rsid w:val="00A42704"/>
    <w:rsid w:val="00A42B94"/>
    <w:rsid w:val="00A43011"/>
    <w:rsid w:val="00A439F1"/>
    <w:rsid w:val="00A43BD9"/>
    <w:rsid w:val="00A44146"/>
    <w:rsid w:val="00A4554C"/>
    <w:rsid w:val="00A455B8"/>
    <w:rsid w:val="00A45734"/>
    <w:rsid w:val="00A4581F"/>
    <w:rsid w:val="00A45AA8"/>
    <w:rsid w:val="00A46610"/>
    <w:rsid w:val="00A46C73"/>
    <w:rsid w:val="00A474EA"/>
    <w:rsid w:val="00A47571"/>
    <w:rsid w:val="00A50128"/>
    <w:rsid w:val="00A501FD"/>
    <w:rsid w:val="00A5050E"/>
    <w:rsid w:val="00A520C4"/>
    <w:rsid w:val="00A523AA"/>
    <w:rsid w:val="00A541F9"/>
    <w:rsid w:val="00A544B0"/>
    <w:rsid w:val="00A5533A"/>
    <w:rsid w:val="00A561DC"/>
    <w:rsid w:val="00A567B0"/>
    <w:rsid w:val="00A56D6D"/>
    <w:rsid w:val="00A57383"/>
    <w:rsid w:val="00A57400"/>
    <w:rsid w:val="00A579F2"/>
    <w:rsid w:val="00A60449"/>
    <w:rsid w:val="00A60788"/>
    <w:rsid w:val="00A607B4"/>
    <w:rsid w:val="00A608AE"/>
    <w:rsid w:val="00A60B5B"/>
    <w:rsid w:val="00A61324"/>
    <w:rsid w:val="00A614D3"/>
    <w:rsid w:val="00A61C52"/>
    <w:rsid w:val="00A61C61"/>
    <w:rsid w:val="00A629C1"/>
    <w:rsid w:val="00A62B6F"/>
    <w:rsid w:val="00A62C3F"/>
    <w:rsid w:val="00A62E48"/>
    <w:rsid w:val="00A632A1"/>
    <w:rsid w:val="00A6438F"/>
    <w:rsid w:val="00A652CB"/>
    <w:rsid w:val="00A65D08"/>
    <w:rsid w:val="00A66572"/>
    <w:rsid w:val="00A67352"/>
    <w:rsid w:val="00A6799F"/>
    <w:rsid w:val="00A67E0C"/>
    <w:rsid w:val="00A701EE"/>
    <w:rsid w:val="00A708EE"/>
    <w:rsid w:val="00A71392"/>
    <w:rsid w:val="00A717FB"/>
    <w:rsid w:val="00A71EDE"/>
    <w:rsid w:val="00A720E1"/>
    <w:rsid w:val="00A729D2"/>
    <w:rsid w:val="00A734DE"/>
    <w:rsid w:val="00A73877"/>
    <w:rsid w:val="00A741BE"/>
    <w:rsid w:val="00A742B6"/>
    <w:rsid w:val="00A74345"/>
    <w:rsid w:val="00A7496C"/>
    <w:rsid w:val="00A74E85"/>
    <w:rsid w:val="00A75579"/>
    <w:rsid w:val="00A75840"/>
    <w:rsid w:val="00A759F6"/>
    <w:rsid w:val="00A75A91"/>
    <w:rsid w:val="00A763D1"/>
    <w:rsid w:val="00A76CE1"/>
    <w:rsid w:val="00A7708C"/>
    <w:rsid w:val="00A771FD"/>
    <w:rsid w:val="00A77266"/>
    <w:rsid w:val="00A80772"/>
    <w:rsid w:val="00A812F5"/>
    <w:rsid w:val="00A816EC"/>
    <w:rsid w:val="00A81709"/>
    <w:rsid w:val="00A81A72"/>
    <w:rsid w:val="00A81B70"/>
    <w:rsid w:val="00A81CFA"/>
    <w:rsid w:val="00A81DC7"/>
    <w:rsid w:val="00A81E6E"/>
    <w:rsid w:val="00A81F9E"/>
    <w:rsid w:val="00A824B6"/>
    <w:rsid w:val="00A832A5"/>
    <w:rsid w:val="00A83D4A"/>
    <w:rsid w:val="00A83E5A"/>
    <w:rsid w:val="00A841A1"/>
    <w:rsid w:val="00A85120"/>
    <w:rsid w:val="00A857FE"/>
    <w:rsid w:val="00A859BE"/>
    <w:rsid w:val="00A85CFF"/>
    <w:rsid w:val="00A867FB"/>
    <w:rsid w:val="00A86D4A"/>
    <w:rsid w:val="00A876D2"/>
    <w:rsid w:val="00A87C9D"/>
    <w:rsid w:val="00A90E88"/>
    <w:rsid w:val="00A91956"/>
    <w:rsid w:val="00A91A9D"/>
    <w:rsid w:val="00A91EFD"/>
    <w:rsid w:val="00A9200F"/>
    <w:rsid w:val="00A92CC9"/>
    <w:rsid w:val="00A93469"/>
    <w:rsid w:val="00A94007"/>
    <w:rsid w:val="00A944BA"/>
    <w:rsid w:val="00A947B8"/>
    <w:rsid w:val="00A94A0D"/>
    <w:rsid w:val="00A95D88"/>
    <w:rsid w:val="00A95E22"/>
    <w:rsid w:val="00A96B08"/>
    <w:rsid w:val="00AA023A"/>
    <w:rsid w:val="00AA1243"/>
    <w:rsid w:val="00AA1736"/>
    <w:rsid w:val="00AA1947"/>
    <w:rsid w:val="00AA1A28"/>
    <w:rsid w:val="00AA1DA7"/>
    <w:rsid w:val="00AA1DE4"/>
    <w:rsid w:val="00AA1E6B"/>
    <w:rsid w:val="00AA24B2"/>
    <w:rsid w:val="00AA3279"/>
    <w:rsid w:val="00AA34B1"/>
    <w:rsid w:val="00AA37AD"/>
    <w:rsid w:val="00AA41A2"/>
    <w:rsid w:val="00AA5348"/>
    <w:rsid w:val="00AA56C4"/>
    <w:rsid w:val="00AA5936"/>
    <w:rsid w:val="00AA60C7"/>
    <w:rsid w:val="00AA632B"/>
    <w:rsid w:val="00AA6B0D"/>
    <w:rsid w:val="00AA78CC"/>
    <w:rsid w:val="00AA7B16"/>
    <w:rsid w:val="00AB044F"/>
    <w:rsid w:val="00AB0809"/>
    <w:rsid w:val="00AB085B"/>
    <w:rsid w:val="00AB1408"/>
    <w:rsid w:val="00AB16B6"/>
    <w:rsid w:val="00AB18FC"/>
    <w:rsid w:val="00AB1C78"/>
    <w:rsid w:val="00AB223C"/>
    <w:rsid w:val="00AB23EC"/>
    <w:rsid w:val="00AB2431"/>
    <w:rsid w:val="00AB28EC"/>
    <w:rsid w:val="00AB2A4B"/>
    <w:rsid w:val="00AB2A89"/>
    <w:rsid w:val="00AB2AD6"/>
    <w:rsid w:val="00AB2D73"/>
    <w:rsid w:val="00AB2F9B"/>
    <w:rsid w:val="00AB3104"/>
    <w:rsid w:val="00AB3349"/>
    <w:rsid w:val="00AB3672"/>
    <w:rsid w:val="00AB3A33"/>
    <w:rsid w:val="00AB3CD3"/>
    <w:rsid w:val="00AB3FDB"/>
    <w:rsid w:val="00AB486D"/>
    <w:rsid w:val="00AB4BAB"/>
    <w:rsid w:val="00AB5146"/>
    <w:rsid w:val="00AB57FE"/>
    <w:rsid w:val="00AB7037"/>
    <w:rsid w:val="00AB70D4"/>
    <w:rsid w:val="00AB7BFB"/>
    <w:rsid w:val="00AC0408"/>
    <w:rsid w:val="00AC1323"/>
    <w:rsid w:val="00AC166C"/>
    <w:rsid w:val="00AC1CB3"/>
    <w:rsid w:val="00AC2C8D"/>
    <w:rsid w:val="00AC2F66"/>
    <w:rsid w:val="00AC308E"/>
    <w:rsid w:val="00AC3711"/>
    <w:rsid w:val="00AC39CD"/>
    <w:rsid w:val="00AC3DC8"/>
    <w:rsid w:val="00AC4C64"/>
    <w:rsid w:val="00AC50CC"/>
    <w:rsid w:val="00AC5220"/>
    <w:rsid w:val="00AC586F"/>
    <w:rsid w:val="00AC58C0"/>
    <w:rsid w:val="00AC5BE2"/>
    <w:rsid w:val="00AC6F59"/>
    <w:rsid w:val="00AC781D"/>
    <w:rsid w:val="00AC7A76"/>
    <w:rsid w:val="00AD004D"/>
    <w:rsid w:val="00AD00AC"/>
    <w:rsid w:val="00AD03A3"/>
    <w:rsid w:val="00AD0C61"/>
    <w:rsid w:val="00AD156F"/>
    <w:rsid w:val="00AD1E64"/>
    <w:rsid w:val="00AD211B"/>
    <w:rsid w:val="00AD265A"/>
    <w:rsid w:val="00AD2BBB"/>
    <w:rsid w:val="00AD3F53"/>
    <w:rsid w:val="00AD40DD"/>
    <w:rsid w:val="00AD484B"/>
    <w:rsid w:val="00AD48B4"/>
    <w:rsid w:val="00AD4E4A"/>
    <w:rsid w:val="00AD5620"/>
    <w:rsid w:val="00AD59A5"/>
    <w:rsid w:val="00AD5F00"/>
    <w:rsid w:val="00AD5F28"/>
    <w:rsid w:val="00AD6920"/>
    <w:rsid w:val="00AD6D74"/>
    <w:rsid w:val="00AD73AE"/>
    <w:rsid w:val="00AD74BB"/>
    <w:rsid w:val="00AD77F0"/>
    <w:rsid w:val="00AE05C2"/>
    <w:rsid w:val="00AE0CA7"/>
    <w:rsid w:val="00AE1326"/>
    <w:rsid w:val="00AE1505"/>
    <w:rsid w:val="00AE1DFA"/>
    <w:rsid w:val="00AE216D"/>
    <w:rsid w:val="00AE2208"/>
    <w:rsid w:val="00AE30D0"/>
    <w:rsid w:val="00AE379D"/>
    <w:rsid w:val="00AE3808"/>
    <w:rsid w:val="00AE3C50"/>
    <w:rsid w:val="00AE4900"/>
    <w:rsid w:val="00AE4991"/>
    <w:rsid w:val="00AE5DCC"/>
    <w:rsid w:val="00AE66D1"/>
    <w:rsid w:val="00AE68B6"/>
    <w:rsid w:val="00AE764A"/>
    <w:rsid w:val="00AF02D5"/>
    <w:rsid w:val="00AF0596"/>
    <w:rsid w:val="00AF0A9D"/>
    <w:rsid w:val="00AF10AC"/>
    <w:rsid w:val="00AF12A6"/>
    <w:rsid w:val="00AF1355"/>
    <w:rsid w:val="00AF3A8C"/>
    <w:rsid w:val="00AF40A9"/>
    <w:rsid w:val="00AF41C8"/>
    <w:rsid w:val="00AF434B"/>
    <w:rsid w:val="00AF4851"/>
    <w:rsid w:val="00AF4F08"/>
    <w:rsid w:val="00AF5534"/>
    <w:rsid w:val="00AF56B0"/>
    <w:rsid w:val="00AF5721"/>
    <w:rsid w:val="00AF5A79"/>
    <w:rsid w:val="00AF6305"/>
    <w:rsid w:val="00AF7165"/>
    <w:rsid w:val="00AF7831"/>
    <w:rsid w:val="00B002B7"/>
    <w:rsid w:val="00B00F3A"/>
    <w:rsid w:val="00B01FF8"/>
    <w:rsid w:val="00B0211A"/>
    <w:rsid w:val="00B0251A"/>
    <w:rsid w:val="00B0261B"/>
    <w:rsid w:val="00B0291A"/>
    <w:rsid w:val="00B029F2"/>
    <w:rsid w:val="00B02ABE"/>
    <w:rsid w:val="00B02CA2"/>
    <w:rsid w:val="00B02D24"/>
    <w:rsid w:val="00B03E80"/>
    <w:rsid w:val="00B03F9D"/>
    <w:rsid w:val="00B04236"/>
    <w:rsid w:val="00B0447D"/>
    <w:rsid w:val="00B04494"/>
    <w:rsid w:val="00B049A3"/>
    <w:rsid w:val="00B0505C"/>
    <w:rsid w:val="00B05426"/>
    <w:rsid w:val="00B05433"/>
    <w:rsid w:val="00B05BE0"/>
    <w:rsid w:val="00B064DC"/>
    <w:rsid w:val="00B0674F"/>
    <w:rsid w:val="00B06CC2"/>
    <w:rsid w:val="00B10424"/>
    <w:rsid w:val="00B10643"/>
    <w:rsid w:val="00B10D48"/>
    <w:rsid w:val="00B110B5"/>
    <w:rsid w:val="00B11E96"/>
    <w:rsid w:val="00B125AB"/>
    <w:rsid w:val="00B139FB"/>
    <w:rsid w:val="00B14393"/>
    <w:rsid w:val="00B14618"/>
    <w:rsid w:val="00B14AF4"/>
    <w:rsid w:val="00B14BC7"/>
    <w:rsid w:val="00B14C2F"/>
    <w:rsid w:val="00B151F2"/>
    <w:rsid w:val="00B1552E"/>
    <w:rsid w:val="00B172AA"/>
    <w:rsid w:val="00B17703"/>
    <w:rsid w:val="00B2011C"/>
    <w:rsid w:val="00B2037E"/>
    <w:rsid w:val="00B2086C"/>
    <w:rsid w:val="00B2091B"/>
    <w:rsid w:val="00B2145B"/>
    <w:rsid w:val="00B21A36"/>
    <w:rsid w:val="00B21BF6"/>
    <w:rsid w:val="00B21CF9"/>
    <w:rsid w:val="00B22C66"/>
    <w:rsid w:val="00B22F50"/>
    <w:rsid w:val="00B230D5"/>
    <w:rsid w:val="00B231F9"/>
    <w:rsid w:val="00B232D5"/>
    <w:rsid w:val="00B2386C"/>
    <w:rsid w:val="00B23D99"/>
    <w:rsid w:val="00B23E2D"/>
    <w:rsid w:val="00B23E32"/>
    <w:rsid w:val="00B24DDA"/>
    <w:rsid w:val="00B253EA"/>
    <w:rsid w:val="00B26123"/>
    <w:rsid w:val="00B26C8A"/>
    <w:rsid w:val="00B26D37"/>
    <w:rsid w:val="00B278C3"/>
    <w:rsid w:val="00B30243"/>
    <w:rsid w:val="00B310B6"/>
    <w:rsid w:val="00B311BE"/>
    <w:rsid w:val="00B3177D"/>
    <w:rsid w:val="00B31DD6"/>
    <w:rsid w:val="00B31E39"/>
    <w:rsid w:val="00B32B6E"/>
    <w:rsid w:val="00B32E6C"/>
    <w:rsid w:val="00B332B8"/>
    <w:rsid w:val="00B336E2"/>
    <w:rsid w:val="00B33AAB"/>
    <w:rsid w:val="00B33E53"/>
    <w:rsid w:val="00B34013"/>
    <w:rsid w:val="00B342D8"/>
    <w:rsid w:val="00B343AC"/>
    <w:rsid w:val="00B34A9C"/>
    <w:rsid w:val="00B34C59"/>
    <w:rsid w:val="00B34EB8"/>
    <w:rsid w:val="00B355DC"/>
    <w:rsid w:val="00B35746"/>
    <w:rsid w:val="00B357EB"/>
    <w:rsid w:val="00B364E6"/>
    <w:rsid w:val="00B36728"/>
    <w:rsid w:val="00B36ABE"/>
    <w:rsid w:val="00B36CD2"/>
    <w:rsid w:val="00B3721F"/>
    <w:rsid w:val="00B37D07"/>
    <w:rsid w:val="00B40169"/>
    <w:rsid w:val="00B4021F"/>
    <w:rsid w:val="00B4025B"/>
    <w:rsid w:val="00B408CE"/>
    <w:rsid w:val="00B40B12"/>
    <w:rsid w:val="00B425D1"/>
    <w:rsid w:val="00B42774"/>
    <w:rsid w:val="00B429F2"/>
    <w:rsid w:val="00B42E4C"/>
    <w:rsid w:val="00B42EA2"/>
    <w:rsid w:val="00B4365B"/>
    <w:rsid w:val="00B43BF6"/>
    <w:rsid w:val="00B43E9B"/>
    <w:rsid w:val="00B442DA"/>
    <w:rsid w:val="00B445B6"/>
    <w:rsid w:val="00B45281"/>
    <w:rsid w:val="00B45994"/>
    <w:rsid w:val="00B46139"/>
    <w:rsid w:val="00B469D4"/>
    <w:rsid w:val="00B46D7B"/>
    <w:rsid w:val="00B47258"/>
    <w:rsid w:val="00B473F5"/>
    <w:rsid w:val="00B47842"/>
    <w:rsid w:val="00B503D9"/>
    <w:rsid w:val="00B50A8D"/>
    <w:rsid w:val="00B5167C"/>
    <w:rsid w:val="00B5195A"/>
    <w:rsid w:val="00B528EC"/>
    <w:rsid w:val="00B52BF9"/>
    <w:rsid w:val="00B52E49"/>
    <w:rsid w:val="00B53530"/>
    <w:rsid w:val="00B54674"/>
    <w:rsid w:val="00B54DAF"/>
    <w:rsid w:val="00B54E8B"/>
    <w:rsid w:val="00B5514E"/>
    <w:rsid w:val="00B556D6"/>
    <w:rsid w:val="00B559BA"/>
    <w:rsid w:val="00B55F17"/>
    <w:rsid w:val="00B57757"/>
    <w:rsid w:val="00B57CC8"/>
    <w:rsid w:val="00B60C65"/>
    <w:rsid w:val="00B60ED4"/>
    <w:rsid w:val="00B612B3"/>
    <w:rsid w:val="00B617E6"/>
    <w:rsid w:val="00B619F8"/>
    <w:rsid w:val="00B61AF6"/>
    <w:rsid w:val="00B61C75"/>
    <w:rsid w:val="00B62251"/>
    <w:rsid w:val="00B6237A"/>
    <w:rsid w:val="00B62CD5"/>
    <w:rsid w:val="00B62F89"/>
    <w:rsid w:val="00B6372C"/>
    <w:rsid w:val="00B639FE"/>
    <w:rsid w:val="00B63ABC"/>
    <w:rsid w:val="00B63F1E"/>
    <w:rsid w:val="00B63F33"/>
    <w:rsid w:val="00B641C8"/>
    <w:rsid w:val="00B64F63"/>
    <w:rsid w:val="00B65217"/>
    <w:rsid w:val="00B65313"/>
    <w:rsid w:val="00B66126"/>
    <w:rsid w:val="00B66BDF"/>
    <w:rsid w:val="00B67198"/>
    <w:rsid w:val="00B67A92"/>
    <w:rsid w:val="00B703A5"/>
    <w:rsid w:val="00B70D74"/>
    <w:rsid w:val="00B71A8A"/>
    <w:rsid w:val="00B71DC9"/>
    <w:rsid w:val="00B7226E"/>
    <w:rsid w:val="00B7276A"/>
    <w:rsid w:val="00B740BA"/>
    <w:rsid w:val="00B74559"/>
    <w:rsid w:val="00B74A0C"/>
    <w:rsid w:val="00B74E7F"/>
    <w:rsid w:val="00B750F3"/>
    <w:rsid w:val="00B755C7"/>
    <w:rsid w:val="00B75DA9"/>
    <w:rsid w:val="00B76547"/>
    <w:rsid w:val="00B765F9"/>
    <w:rsid w:val="00B76EF6"/>
    <w:rsid w:val="00B7740B"/>
    <w:rsid w:val="00B80A40"/>
    <w:rsid w:val="00B80A7C"/>
    <w:rsid w:val="00B80C38"/>
    <w:rsid w:val="00B80F36"/>
    <w:rsid w:val="00B81793"/>
    <w:rsid w:val="00B81975"/>
    <w:rsid w:val="00B81AC8"/>
    <w:rsid w:val="00B823F4"/>
    <w:rsid w:val="00B82A05"/>
    <w:rsid w:val="00B82D76"/>
    <w:rsid w:val="00B83087"/>
    <w:rsid w:val="00B831E9"/>
    <w:rsid w:val="00B84BBB"/>
    <w:rsid w:val="00B85D67"/>
    <w:rsid w:val="00B8725D"/>
    <w:rsid w:val="00B8757E"/>
    <w:rsid w:val="00B879C4"/>
    <w:rsid w:val="00B90068"/>
    <w:rsid w:val="00B905C5"/>
    <w:rsid w:val="00B90BC3"/>
    <w:rsid w:val="00B9110F"/>
    <w:rsid w:val="00B91436"/>
    <w:rsid w:val="00B918F6"/>
    <w:rsid w:val="00B926B1"/>
    <w:rsid w:val="00B93156"/>
    <w:rsid w:val="00B934DA"/>
    <w:rsid w:val="00B93533"/>
    <w:rsid w:val="00B93836"/>
    <w:rsid w:val="00B93FC5"/>
    <w:rsid w:val="00B941F6"/>
    <w:rsid w:val="00B944D9"/>
    <w:rsid w:val="00B94994"/>
    <w:rsid w:val="00B94D4E"/>
    <w:rsid w:val="00B95162"/>
    <w:rsid w:val="00B95288"/>
    <w:rsid w:val="00B957F6"/>
    <w:rsid w:val="00B96867"/>
    <w:rsid w:val="00B96C91"/>
    <w:rsid w:val="00B9731B"/>
    <w:rsid w:val="00B97376"/>
    <w:rsid w:val="00B97386"/>
    <w:rsid w:val="00B97396"/>
    <w:rsid w:val="00B974D1"/>
    <w:rsid w:val="00B97740"/>
    <w:rsid w:val="00B97DF0"/>
    <w:rsid w:val="00B97EFA"/>
    <w:rsid w:val="00BA09D0"/>
    <w:rsid w:val="00BA0B3A"/>
    <w:rsid w:val="00BA13D5"/>
    <w:rsid w:val="00BA1594"/>
    <w:rsid w:val="00BA19D9"/>
    <w:rsid w:val="00BA1A22"/>
    <w:rsid w:val="00BA1BB9"/>
    <w:rsid w:val="00BA2579"/>
    <w:rsid w:val="00BA2878"/>
    <w:rsid w:val="00BA2FD8"/>
    <w:rsid w:val="00BA3562"/>
    <w:rsid w:val="00BA38AB"/>
    <w:rsid w:val="00BA3E4D"/>
    <w:rsid w:val="00BA4574"/>
    <w:rsid w:val="00BA46AC"/>
    <w:rsid w:val="00BA5019"/>
    <w:rsid w:val="00BA5166"/>
    <w:rsid w:val="00BA57C2"/>
    <w:rsid w:val="00BA5B3E"/>
    <w:rsid w:val="00BA6220"/>
    <w:rsid w:val="00BA63B4"/>
    <w:rsid w:val="00BA6F7A"/>
    <w:rsid w:val="00BA76B5"/>
    <w:rsid w:val="00BB028A"/>
    <w:rsid w:val="00BB034F"/>
    <w:rsid w:val="00BB05AD"/>
    <w:rsid w:val="00BB0B9A"/>
    <w:rsid w:val="00BB2069"/>
    <w:rsid w:val="00BB20FE"/>
    <w:rsid w:val="00BB22B0"/>
    <w:rsid w:val="00BB2620"/>
    <w:rsid w:val="00BB31BB"/>
    <w:rsid w:val="00BB3B0C"/>
    <w:rsid w:val="00BB41FE"/>
    <w:rsid w:val="00BB526D"/>
    <w:rsid w:val="00BB59F6"/>
    <w:rsid w:val="00BB5E62"/>
    <w:rsid w:val="00BB6C7A"/>
    <w:rsid w:val="00BB7067"/>
    <w:rsid w:val="00BB79B3"/>
    <w:rsid w:val="00BC078A"/>
    <w:rsid w:val="00BC0F00"/>
    <w:rsid w:val="00BC1285"/>
    <w:rsid w:val="00BC168E"/>
    <w:rsid w:val="00BC1B1A"/>
    <w:rsid w:val="00BC24C9"/>
    <w:rsid w:val="00BC278B"/>
    <w:rsid w:val="00BC2DD2"/>
    <w:rsid w:val="00BC2F3E"/>
    <w:rsid w:val="00BC3626"/>
    <w:rsid w:val="00BC4201"/>
    <w:rsid w:val="00BC46CB"/>
    <w:rsid w:val="00BC4D67"/>
    <w:rsid w:val="00BC5A1E"/>
    <w:rsid w:val="00BC5EA1"/>
    <w:rsid w:val="00BC6648"/>
    <w:rsid w:val="00BC6BCD"/>
    <w:rsid w:val="00BC74C2"/>
    <w:rsid w:val="00BC7965"/>
    <w:rsid w:val="00BC7DA8"/>
    <w:rsid w:val="00BD12FA"/>
    <w:rsid w:val="00BD1939"/>
    <w:rsid w:val="00BD2122"/>
    <w:rsid w:val="00BD2448"/>
    <w:rsid w:val="00BD2AC9"/>
    <w:rsid w:val="00BD2EF9"/>
    <w:rsid w:val="00BD359D"/>
    <w:rsid w:val="00BD35B4"/>
    <w:rsid w:val="00BD4074"/>
    <w:rsid w:val="00BD43D1"/>
    <w:rsid w:val="00BD4D5E"/>
    <w:rsid w:val="00BD5248"/>
    <w:rsid w:val="00BD57AA"/>
    <w:rsid w:val="00BD72C9"/>
    <w:rsid w:val="00BD73D6"/>
    <w:rsid w:val="00BD79A3"/>
    <w:rsid w:val="00BD7CBC"/>
    <w:rsid w:val="00BE014D"/>
    <w:rsid w:val="00BE0221"/>
    <w:rsid w:val="00BE15A3"/>
    <w:rsid w:val="00BE22CD"/>
    <w:rsid w:val="00BE2B5D"/>
    <w:rsid w:val="00BE37BF"/>
    <w:rsid w:val="00BE3814"/>
    <w:rsid w:val="00BE3DCC"/>
    <w:rsid w:val="00BE456D"/>
    <w:rsid w:val="00BE48EC"/>
    <w:rsid w:val="00BE48FB"/>
    <w:rsid w:val="00BE53B4"/>
    <w:rsid w:val="00BE55A5"/>
    <w:rsid w:val="00BE5DE2"/>
    <w:rsid w:val="00BE5F92"/>
    <w:rsid w:val="00BE6BEC"/>
    <w:rsid w:val="00BE7042"/>
    <w:rsid w:val="00BE7071"/>
    <w:rsid w:val="00BE7950"/>
    <w:rsid w:val="00BF01B8"/>
    <w:rsid w:val="00BF0407"/>
    <w:rsid w:val="00BF0BE9"/>
    <w:rsid w:val="00BF13C4"/>
    <w:rsid w:val="00BF1604"/>
    <w:rsid w:val="00BF1768"/>
    <w:rsid w:val="00BF1C02"/>
    <w:rsid w:val="00BF2A39"/>
    <w:rsid w:val="00BF3C1C"/>
    <w:rsid w:val="00BF435A"/>
    <w:rsid w:val="00BF529F"/>
    <w:rsid w:val="00BF62D8"/>
    <w:rsid w:val="00BF699D"/>
    <w:rsid w:val="00BF6E69"/>
    <w:rsid w:val="00BF70A6"/>
    <w:rsid w:val="00BF7A03"/>
    <w:rsid w:val="00BF7D6A"/>
    <w:rsid w:val="00C0059D"/>
    <w:rsid w:val="00C008DF"/>
    <w:rsid w:val="00C013AC"/>
    <w:rsid w:val="00C014EE"/>
    <w:rsid w:val="00C03148"/>
    <w:rsid w:val="00C0364D"/>
    <w:rsid w:val="00C040A4"/>
    <w:rsid w:val="00C0489A"/>
    <w:rsid w:val="00C0528A"/>
    <w:rsid w:val="00C056E4"/>
    <w:rsid w:val="00C05BA0"/>
    <w:rsid w:val="00C05BDA"/>
    <w:rsid w:val="00C05CE4"/>
    <w:rsid w:val="00C069BF"/>
    <w:rsid w:val="00C06A47"/>
    <w:rsid w:val="00C06F22"/>
    <w:rsid w:val="00C074F0"/>
    <w:rsid w:val="00C1053C"/>
    <w:rsid w:val="00C11057"/>
    <w:rsid w:val="00C11D34"/>
    <w:rsid w:val="00C11D71"/>
    <w:rsid w:val="00C1214B"/>
    <w:rsid w:val="00C12660"/>
    <w:rsid w:val="00C1287D"/>
    <w:rsid w:val="00C132BE"/>
    <w:rsid w:val="00C133F4"/>
    <w:rsid w:val="00C14459"/>
    <w:rsid w:val="00C154AE"/>
    <w:rsid w:val="00C154CC"/>
    <w:rsid w:val="00C15E7D"/>
    <w:rsid w:val="00C16DC6"/>
    <w:rsid w:val="00C17F34"/>
    <w:rsid w:val="00C17F38"/>
    <w:rsid w:val="00C20524"/>
    <w:rsid w:val="00C20EEC"/>
    <w:rsid w:val="00C21BE6"/>
    <w:rsid w:val="00C21FC4"/>
    <w:rsid w:val="00C2222C"/>
    <w:rsid w:val="00C226EB"/>
    <w:rsid w:val="00C22A61"/>
    <w:rsid w:val="00C22F3E"/>
    <w:rsid w:val="00C2306F"/>
    <w:rsid w:val="00C2376D"/>
    <w:rsid w:val="00C23859"/>
    <w:rsid w:val="00C24029"/>
    <w:rsid w:val="00C2520E"/>
    <w:rsid w:val="00C25307"/>
    <w:rsid w:val="00C256BB"/>
    <w:rsid w:val="00C25837"/>
    <w:rsid w:val="00C25925"/>
    <w:rsid w:val="00C2612D"/>
    <w:rsid w:val="00C26DD4"/>
    <w:rsid w:val="00C26F8E"/>
    <w:rsid w:val="00C27476"/>
    <w:rsid w:val="00C2774A"/>
    <w:rsid w:val="00C3000E"/>
    <w:rsid w:val="00C30B79"/>
    <w:rsid w:val="00C30B9C"/>
    <w:rsid w:val="00C316E8"/>
    <w:rsid w:val="00C31954"/>
    <w:rsid w:val="00C3251B"/>
    <w:rsid w:val="00C334D7"/>
    <w:rsid w:val="00C338D4"/>
    <w:rsid w:val="00C33B35"/>
    <w:rsid w:val="00C347C4"/>
    <w:rsid w:val="00C34E3B"/>
    <w:rsid w:val="00C35366"/>
    <w:rsid w:val="00C35D7A"/>
    <w:rsid w:val="00C36BE6"/>
    <w:rsid w:val="00C3719F"/>
    <w:rsid w:val="00C373CE"/>
    <w:rsid w:val="00C37B56"/>
    <w:rsid w:val="00C37BA4"/>
    <w:rsid w:val="00C400C4"/>
    <w:rsid w:val="00C4028D"/>
    <w:rsid w:val="00C4032F"/>
    <w:rsid w:val="00C405DD"/>
    <w:rsid w:val="00C40620"/>
    <w:rsid w:val="00C4093B"/>
    <w:rsid w:val="00C411B3"/>
    <w:rsid w:val="00C41521"/>
    <w:rsid w:val="00C42069"/>
    <w:rsid w:val="00C4256F"/>
    <w:rsid w:val="00C42733"/>
    <w:rsid w:val="00C42759"/>
    <w:rsid w:val="00C42CA2"/>
    <w:rsid w:val="00C4389F"/>
    <w:rsid w:val="00C43FDB"/>
    <w:rsid w:val="00C4448D"/>
    <w:rsid w:val="00C44587"/>
    <w:rsid w:val="00C44D94"/>
    <w:rsid w:val="00C451B7"/>
    <w:rsid w:val="00C451E3"/>
    <w:rsid w:val="00C45548"/>
    <w:rsid w:val="00C457A4"/>
    <w:rsid w:val="00C4583D"/>
    <w:rsid w:val="00C463C9"/>
    <w:rsid w:val="00C46530"/>
    <w:rsid w:val="00C4667C"/>
    <w:rsid w:val="00C466FE"/>
    <w:rsid w:val="00C469F6"/>
    <w:rsid w:val="00C475B4"/>
    <w:rsid w:val="00C47BA8"/>
    <w:rsid w:val="00C47DA0"/>
    <w:rsid w:val="00C47DA6"/>
    <w:rsid w:val="00C47F4B"/>
    <w:rsid w:val="00C51AC0"/>
    <w:rsid w:val="00C52787"/>
    <w:rsid w:val="00C53879"/>
    <w:rsid w:val="00C53BD0"/>
    <w:rsid w:val="00C540C0"/>
    <w:rsid w:val="00C5419E"/>
    <w:rsid w:val="00C54A03"/>
    <w:rsid w:val="00C5588E"/>
    <w:rsid w:val="00C55A09"/>
    <w:rsid w:val="00C55C11"/>
    <w:rsid w:val="00C56EE8"/>
    <w:rsid w:val="00C57F1A"/>
    <w:rsid w:val="00C612F0"/>
    <w:rsid w:val="00C61876"/>
    <w:rsid w:val="00C6282E"/>
    <w:rsid w:val="00C63222"/>
    <w:rsid w:val="00C63652"/>
    <w:rsid w:val="00C63FD1"/>
    <w:rsid w:val="00C64FEB"/>
    <w:rsid w:val="00C651ED"/>
    <w:rsid w:val="00C656FD"/>
    <w:rsid w:val="00C658E3"/>
    <w:rsid w:val="00C65F02"/>
    <w:rsid w:val="00C674B8"/>
    <w:rsid w:val="00C67B87"/>
    <w:rsid w:val="00C67CF1"/>
    <w:rsid w:val="00C702CD"/>
    <w:rsid w:val="00C7033C"/>
    <w:rsid w:val="00C70A85"/>
    <w:rsid w:val="00C70C83"/>
    <w:rsid w:val="00C71393"/>
    <w:rsid w:val="00C718E8"/>
    <w:rsid w:val="00C7227C"/>
    <w:rsid w:val="00C7229F"/>
    <w:rsid w:val="00C738A6"/>
    <w:rsid w:val="00C74007"/>
    <w:rsid w:val="00C7447E"/>
    <w:rsid w:val="00C74B21"/>
    <w:rsid w:val="00C7510B"/>
    <w:rsid w:val="00C75E16"/>
    <w:rsid w:val="00C7745B"/>
    <w:rsid w:val="00C77F37"/>
    <w:rsid w:val="00C80105"/>
    <w:rsid w:val="00C801DF"/>
    <w:rsid w:val="00C808E2"/>
    <w:rsid w:val="00C8185D"/>
    <w:rsid w:val="00C81D4A"/>
    <w:rsid w:val="00C82118"/>
    <w:rsid w:val="00C82211"/>
    <w:rsid w:val="00C8263E"/>
    <w:rsid w:val="00C82656"/>
    <w:rsid w:val="00C8284A"/>
    <w:rsid w:val="00C82EEE"/>
    <w:rsid w:val="00C83172"/>
    <w:rsid w:val="00C83428"/>
    <w:rsid w:val="00C83495"/>
    <w:rsid w:val="00C8387C"/>
    <w:rsid w:val="00C83CAA"/>
    <w:rsid w:val="00C84FED"/>
    <w:rsid w:val="00C862C2"/>
    <w:rsid w:val="00C86640"/>
    <w:rsid w:val="00C867C9"/>
    <w:rsid w:val="00C86D21"/>
    <w:rsid w:val="00C873BB"/>
    <w:rsid w:val="00C87443"/>
    <w:rsid w:val="00C8775C"/>
    <w:rsid w:val="00C87DBD"/>
    <w:rsid w:val="00C9012F"/>
    <w:rsid w:val="00C902F5"/>
    <w:rsid w:val="00C90977"/>
    <w:rsid w:val="00C90AD8"/>
    <w:rsid w:val="00C90E53"/>
    <w:rsid w:val="00C91560"/>
    <w:rsid w:val="00C925AD"/>
    <w:rsid w:val="00C9273D"/>
    <w:rsid w:val="00C92C46"/>
    <w:rsid w:val="00C9337D"/>
    <w:rsid w:val="00C950CA"/>
    <w:rsid w:val="00C95740"/>
    <w:rsid w:val="00C957B4"/>
    <w:rsid w:val="00C95DAD"/>
    <w:rsid w:val="00C95E1F"/>
    <w:rsid w:val="00C96AB9"/>
    <w:rsid w:val="00C97E75"/>
    <w:rsid w:val="00CA03F4"/>
    <w:rsid w:val="00CA1626"/>
    <w:rsid w:val="00CA1649"/>
    <w:rsid w:val="00CA2163"/>
    <w:rsid w:val="00CA36B3"/>
    <w:rsid w:val="00CA37EF"/>
    <w:rsid w:val="00CA3805"/>
    <w:rsid w:val="00CA3F6C"/>
    <w:rsid w:val="00CA417F"/>
    <w:rsid w:val="00CA4ABE"/>
    <w:rsid w:val="00CA5013"/>
    <w:rsid w:val="00CA515D"/>
    <w:rsid w:val="00CA51DA"/>
    <w:rsid w:val="00CA5499"/>
    <w:rsid w:val="00CA5606"/>
    <w:rsid w:val="00CA5A0B"/>
    <w:rsid w:val="00CA6B14"/>
    <w:rsid w:val="00CA6BAE"/>
    <w:rsid w:val="00CA6BEA"/>
    <w:rsid w:val="00CA6CAB"/>
    <w:rsid w:val="00CA7194"/>
    <w:rsid w:val="00CB0D17"/>
    <w:rsid w:val="00CB1005"/>
    <w:rsid w:val="00CB19F6"/>
    <w:rsid w:val="00CB1DBD"/>
    <w:rsid w:val="00CB267E"/>
    <w:rsid w:val="00CB3672"/>
    <w:rsid w:val="00CB3782"/>
    <w:rsid w:val="00CB3A96"/>
    <w:rsid w:val="00CB3D55"/>
    <w:rsid w:val="00CB3E7A"/>
    <w:rsid w:val="00CB41D1"/>
    <w:rsid w:val="00CB46F3"/>
    <w:rsid w:val="00CB516C"/>
    <w:rsid w:val="00CB5777"/>
    <w:rsid w:val="00CB5790"/>
    <w:rsid w:val="00CB5946"/>
    <w:rsid w:val="00CB5B56"/>
    <w:rsid w:val="00CB5C4B"/>
    <w:rsid w:val="00CB5E66"/>
    <w:rsid w:val="00CB5F52"/>
    <w:rsid w:val="00CB6BCA"/>
    <w:rsid w:val="00CB7410"/>
    <w:rsid w:val="00CC0E40"/>
    <w:rsid w:val="00CC0E4A"/>
    <w:rsid w:val="00CC0EBD"/>
    <w:rsid w:val="00CC0FDE"/>
    <w:rsid w:val="00CC141E"/>
    <w:rsid w:val="00CC1950"/>
    <w:rsid w:val="00CC3BE8"/>
    <w:rsid w:val="00CC3EEB"/>
    <w:rsid w:val="00CC40E7"/>
    <w:rsid w:val="00CC433B"/>
    <w:rsid w:val="00CC458C"/>
    <w:rsid w:val="00CC4A01"/>
    <w:rsid w:val="00CC5F86"/>
    <w:rsid w:val="00CC6385"/>
    <w:rsid w:val="00CC7325"/>
    <w:rsid w:val="00CD05BA"/>
    <w:rsid w:val="00CD05EE"/>
    <w:rsid w:val="00CD08F7"/>
    <w:rsid w:val="00CD0CBD"/>
    <w:rsid w:val="00CD13EE"/>
    <w:rsid w:val="00CD1C8C"/>
    <w:rsid w:val="00CD1CAD"/>
    <w:rsid w:val="00CD2536"/>
    <w:rsid w:val="00CD28AA"/>
    <w:rsid w:val="00CD34A6"/>
    <w:rsid w:val="00CD37A8"/>
    <w:rsid w:val="00CD3984"/>
    <w:rsid w:val="00CD3A80"/>
    <w:rsid w:val="00CD4660"/>
    <w:rsid w:val="00CD4CD7"/>
    <w:rsid w:val="00CD4FAD"/>
    <w:rsid w:val="00CD54B8"/>
    <w:rsid w:val="00CD6346"/>
    <w:rsid w:val="00CD6B77"/>
    <w:rsid w:val="00CD6F03"/>
    <w:rsid w:val="00CD7BB2"/>
    <w:rsid w:val="00CD7BF4"/>
    <w:rsid w:val="00CE0343"/>
    <w:rsid w:val="00CE0AA1"/>
    <w:rsid w:val="00CE0CD4"/>
    <w:rsid w:val="00CE0DFA"/>
    <w:rsid w:val="00CE0FD4"/>
    <w:rsid w:val="00CE1490"/>
    <w:rsid w:val="00CE1FA9"/>
    <w:rsid w:val="00CE2273"/>
    <w:rsid w:val="00CE3406"/>
    <w:rsid w:val="00CE3464"/>
    <w:rsid w:val="00CE3BF8"/>
    <w:rsid w:val="00CE4274"/>
    <w:rsid w:val="00CE4D14"/>
    <w:rsid w:val="00CE571D"/>
    <w:rsid w:val="00CE6478"/>
    <w:rsid w:val="00CE6695"/>
    <w:rsid w:val="00CE66FD"/>
    <w:rsid w:val="00CE679E"/>
    <w:rsid w:val="00CE6BDC"/>
    <w:rsid w:val="00CE72B2"/>
    <w:rsid w:val="00CE7B42"/>
    <w:rsid w:val="00CE7C99"/>
    <w:rsid w:val="00CE7E5B"/>
    <w:rsid w:val="00CF00DD"/>
    <w:rsid w:val="00CF035E"/>
    <w:rsid w:val="00CF041A"/>
    <w:rsid w:val="00CF0A05"/>
    <w:rsid w:val="00CF1484"/>
    <w:rsid w:val="00CF1E96"/>
    <w:rsid w:val="00CF2741"/>
    <w:rsid w:val="00CF274E"/>
    <w:rsid w:val="00CF283C"/>
    <w:rsid w:val="00CF2A02"/>
    <w:rsid w:val="00CF3601"/>
    <w:rsid w:val="00CF421C"/>
    <w:rsid w:val="00CF44DE"/>
    <w:rsid w:val="00CF44E2"/>
    <w:rsid w:val="00CF45D0"/>
    <w:rsid w:val="00CF4956"/>
    <w:rsid w:val="00CF4F1E"/>
    <w:rsid w:val="00CF5344"/>
    <w:rsid w:val="00CF5503"/>
    <w:rsid w:val="00CF5789"/>
    <w:rsid w:val="00CF5B45"/>
    <w:rsid w:val="00CF5DF8"/>
    <w:rsid w:val="00CF5E68"/>
    <w:rsid w:val="00CF60FB"/>
    <w:rsid w:val="00CF643C"/>
    <w:rsid w:val="00CF77B5"/>
    <w:rsid w:val="00CF79D3"/>
    <w:rsid w:val="00D00193"/>
    <w:rsid w:val="00D00FCF"/>
    <w:rsid w:val="00D01642"/>
    <w:rsid w:val="00D018EF"/>
    <w:rsid w:val="00D0194F"/>
    <w:rsid w:val="00D01E66"/>
    <w:rsid w:val="00D01F9D"/>
    <w:rsid w:val="00D020CD"/>
    <w:rsid w:val="00D027F6"/>
    <w:rsid w:val="00D02D07"/>
    <w:rsid w:val="00D02F82"/>
    <w:rsid w:val="00D02F9A"/>
    <w:rsid w:val="00D03346"/>
    <w:rsid w:val="00D03B78"/>
    <w:rsid w:val="00D04764"/>
    <w:rsid w:val="00D04916"/>
    <w:rsid w:val="00D0530E"/>
    <w:rsid w:val="00D05C03"/>
    <w:rsid w:val="00D05F5D"/>
    <w:rsid w:val="00D05FE9"/>
    <w:rsid w:val="00D066B8"/>
    <w:rsid w:val="00D06AC4"/>
    <w:rsid w:val="00D06CAA"/>
    <w:rsid w:val="00D070F2"/>
    <w:rsid w:val="00D07823"/>
    <w:rsid w:val="00D07D29"/>
    <w:rsid w:val="00D07F39"/>
    <w:rsid w:val="00D07F81"/>
    <w:rsid w:val="00D102B2"/>
    <w:rsid w:val="00D10D3C"/>
    <w:rsid w:val="00D1194E"/>
    <w:rsid w:val="00D11F77"/>
    <w:rsid w:val="00D126C1"/>
    <w:rsid w:val="00D12733"/>
    <w:rsid w:val="00D12A6C"/>
    <w:rsid w:val="00D12C07"/>
    <w:rsid w:val="00D13054"/>
    <w:rsid w:val="00D1332E"/>
    <w:rsid w:val="00D13D93"/>
    <w:rsid w:val="00D141E5"/>
    <w:rsid w:val="00D146E4"/>
    <w:rsid w:val="00D14C8D"/>
    <w:rsid w:val="00D14CD6"/>
    <w:rsid w:val="00D15633"/>
    <w:rsid w:val="00D1567E"/>
    <w:rsid w:val="00D15A8B"/>
    <w:rsid w:val="00D15C18"/>
    <w:rsid w:val="00D15FE2"/>
    <w:rsid w:val="00D16433"/>
    <w:rsid w:val="00D17792"/>
    <w:rsid w:val="00D208B6"/>
    <w:rsid w:val="00D20A20"/>
    <w:rsid w:val="00D219BC"/>
    <w:rsid w:val="00D22033"/>
    <w:rsid w:val="00D225AB"/>
    <w:rsid w:val="00D227D7"/>
    <w:rsid w:val="00D22CA7"/>
    <w:rsid w:val="00D22EC5"/>
    <w:rsid w:val="00D22FA0"/>
    <w:rsid w:val="00D235C8"/>
    <w:rsid w:val="00D2447B"/>
    <w:rsid w:val="00D25453"/>
    <w:rsid w:val="00D256EC"/>
    <w:rsid w:val="00D25D98"/>
    <w:rsid w:val="00D25F07"/>
    <w:rsid w:val="00D26BB7"/>
    <w:rsid w:val="00D2765A"/>
    <w:rsid w:val="00D2771A"/>
    <w:rsid w:val="00D27ACE"/>
    <w:rsid w:val="00D27F4A"/>
    <w:rsid w:val="00D30CEB"/>
    <w:rsid w:val="00D30DCB"/>
    <w:rsid w:val="00D311C8"/>
    <w:rsid w:val="00D3189A"/>
    <w:rsid w:val="00D32C0F"/>
    <w:rsid w:val="00D32C12"/>
    <w:rsid w:val="00D32EE2"/>
    <w:rsid w:val="00D33164"/>
    <w:rsid w:val="00D34128"/>
    <w:rsid w:val="00D34327"/>
    <w:rsid w:val="00D349CC"/>
    <w:rsid w:val="00D34C59"/>
    <w:rsid w:val="00D34F53"/>
    <w:rsid w:val="00D3500B"/>
    <w:rsid w:val="00D35649"/>
    <w:rsid w:val="00D35E77"/>
    <w:rsid w:val="00D361A4"/>
    <w:rsid w:val="00D36626"/>
    <w:rsid w:val="00D367A2"/>
    <w:rsid w:val="00D36E30"/>
    <w:rsid w:val="00D37445"/>
    <w:rsid w:val="00D4036A"/>
    <w:rsid w:val="00D4041C"/>
    <w:rsid w:val="00D40550"/>
    <w:rsid w:val="00D40718"/>
    <w:rsid w:val="00D40F83"/>
    <w:rsid w:val="00D4144D"/>
    <w:rsid w:val="00D41C57"/>
    <w:rsid w:val="00D42866"/>
    <w:rsid w:val="00D43047"/>
    <w:rsid w:val="00D4309F"/>
    <w:rsid w:val="00D43142"/>
    <w:rsid w:val="00D434F7"/>
    <w:rsid w:val="00D43661"/>
    <w:rsid w:val="00D439B3"/>
    <w:rsid w:val="00D43D89"/>
    <w:rsid w:val="00D4431E"/>
    <w:rsid w:val="00D44876"/>
    <w:rsid w:val="00D44E41"/>
    <w:rsid w:val="00D455B0"/>
    <w:rsid w:val="00D4560A"/>
    <w:rsid w:val="00D4593F"/>
    <w:rsid w:val="00D46243"/>
    <w:rsid w:val="00D46540"/>
    <w:rsid w:val="00D468A2"/>
    <w:rsid w:val="00D47434"/>
    <w:rsid w:val="00D47691"/>
    <w:rsid w:val="00D47784"/>
    <w:rsid w:val="00D477EF"/>
    <w:rsid w:val="00D4784D"/>
    <w:rsid w:val="00D501BC"/>
    <w:rsid w:val="00D510FA"/>
    <w:rsid w:val="00D5121D"/>
    <w:rsid w:val="00D529CB"/>
    <w:rsid w:val="00D52D1C"/>
    <w:rsid w:val="00D52F2D"/>
    <w:rsid w:val="00D53892"/>
    <w:rsid w:val="00D53948"/>
    <w:rsid w:val="00D539C0"/>
    <w:rsid w:val="00D555EA"/>
    <w:rsid w:val="00D555FA"/>
    <w:rsid w:val="00D55DB6"/>
    <w:rsid w:val="00D560FE"/>
    <w:rsid w:val="00D568F7"/>
    <w:rsid w:val="00D5792F"/>
    <w:rsid w:val="00D57B6A"/>
    <w:rsid w:val="00D60047"/>
    <w:rsid w:val="00D60448"/>
    <w:rsid w:val="00D6218A"/>
    <w:rsid w:val="00D62867"/>
    <w:rsid w:val="00D638EE"/>
    <w:rsid w:val="00D649B1"/>
    <w:rsid w:val="00D64B00"/>
    <w:rsid w:val="00D64D82"/>
    <w:rsid w:val="00D64F2E"/>
    <w:rsid w:val="00D6521E"/>
    <w:rsid w:val="00D656E5"/>
    <w:rsid w:val="00D65C47"/>
    <w:rsid w:val="00D6682B"/>
    <w:rsid w:val="00D67D58"/>
    <w:rsid w:val="00D70188"/>
    <w:rsid w:val="00D70230"/>
    <w:rsid w:val="00D70522"/>
    <w:rsid w:val="00D70D99"/>
    <w:rsid w:val="00D71D71"/>
    <w:rsid w:val="00D727FE"/>
    <w:rsid w:val="00D72EE3"/>
    <w:rsid w:val="00D7339B"/>
    <w:rsid w:val="00D7393E"/>
    <w:rsid w:val="00D74940"/>
    <w:rsid w:val="00D74C91"/>
    <w:rsid w:val="00D753B0"/>
    <w:rsid w:val="00D76B08"/>
    <w:rsid w:val="00D771BA"/>
    <w:rsid w:val="00D7774C"/>
    <w:rsid w:val="00D77790"/>
    <w:rsid w:val="00D77F89"/>
    <w:rsid w:val="00D80953"/>
    <w:rsid w:val="00D80C5C"/>
    <w:rsid w:val="00D81148"/>
    <w:rsid w:val="00D81438"/>
    <w:rsid w:val="00D81ED8"/>
    <w:rsid w:val="00D82020"/>
    <w:rsid w:val="00D821AF"/>
    <w:rsid w:val="00D8251C"/>
    <w:rsid w:val="00D829E3"/>
    <w:rsid w:val="00D82D82"/>
    <w:rsid w:val="00D83230"/>
    <w:rsid w:val="00D8337A"/>
    <w:rsid w:val="00D83425"/>
    <w:rsid w:val="00D8374A"/>
    <w:rsid w:val="00D83FC8"/>
    <w:rsid w:val="00D8485F"/>
    <w:rsid w:val="00D85152"/>
    <w:rsid w:val="00D85217"/>
    <w:rsid w:val="00D85D26"/>
    <w:rsid w:val="00D86345"/>
    <w:rsid w:val="00D86EA8"/>
    <w:rsid w:val="00D87345"/>
    <w:rsid w:val="00D87938"/>
    <w:rsid w:val="00D87C3C"/>
    <w:rsid w:val="00D87FC3"/>
    <w:rsid w:val="00D900CE"/>
    <w:rsid w:val="00D90962"/>
    <w:rsid w:val="00D916F8"/>
    <w:rsid w:val="00D91FCC"/>
    <w:rsid w:val="00D92911"/>
    <w:rsid w:val="00D92E6D"/>
    <w:rsid w:val="00D94186"/>
    <w:rsid w:val="00D944C1"/>
    <w:rsid w:val="00D949F4"/>
    <w:rsid w:val="00D94CE9"/>
    <w:rsid w:val="00D94F75"/>
    <w:rsid w:val="00D974A5"/>
    <w:rsid w:val="00D97A28"/>
    <w:rsid w:val="00D97DC0"/>
    <w:rsid w:val="00D97FCC"/>
    <w:rsid w:val="00DA0602"/>
    <w:rsid w:val="00DA0C71"/>
    <w:rsid w:val="00DA15D7"/>
    <w:rsid w:val="00DA21E2"/>
    <w:rsid w:val="00DA262C"/>
    <w:rsid w:val="00DA35B4"/>
    <w:rsid w:val="00DA3D73"/>
    <w:rsid w:val="00DA3FA0"/>
    <w:rsid w:val="00DA45DE"/>
    <w:rsid w:val="00DA4944"/>
    <w:rsid w:val="00DA6608"/>
    <w:rsid w:val="00DA68C2"/>
    <w:rsid w:val="00DA6957"/>
    <w:rsid w:val="00DA6C27"/>
    <w:rsid w:val="00DA6C8E"/>
    <w:rsid w:val="00DA6DAD"/>
    <w:rsid w:val="00DA6FC6"/>
    <w:rsid w:val="00DA75FE"/>
    <w:rsid w:val="00DA7608"/>
    <w:rsid w:val="00DB004B"/>
    <w:rsid w:val="00DB0115"/>
    <w:rsid w:val="00DB0800"/>
    <w:rsid w:val="00DB0845"/>
    <w:rsid w:val="00DB1AD0"/>
    <w:rsid w:val="00DB20F4"/>
    <w:rsid w:val="00DB27F9"/>
    <w:rsid w:val="00DB2DA1"/>
    <w:rsid w:val="00DB313C"/>
    <w:rsid w:val="00DB3460"/>
    <w:rsid w:val="00DB36DB"/>
    <w:rsid w:val="00DB36F0"/>
    <w:rsid w:val="00DB3D83"/>
    <w:rsid w:val="00DB4811"/>
    <w:rsid w:val="00DB490A"/>
    <w:rsid w:val="00DB4931"/>
    <w:rsid w:val="00DB5669"/>
    <w:rsid w:val="00DB5FC1"/>
    <w:rsid w:val="00DB666F"/>
    <w:rsid w:val="00DB6D42"/>
    <w:rsid w:val="00DB7808"/>
    <w:rsid w:val="00DB7E67"/>
    <w:rsid w:val="00DC0D51"/>
    <w:rsid w:val="00DC1392"/>
    <w:rsid w:val="00DC13DF"/>
    <w:rsid w:val="00DC1B90"/>
    <w:rsid w:val="00DC2FE0"/>
    <w:rsid w:val="00DC487A"/>
    <w:rsid w:val="00DC48E3"/>
    <w:rsid w:val="00DC5038"/>
    <w:rsid w:val="00DC5105"/>
    <w:rsid w:val="00DC543A"/>
    <w:rsid w:val="00DC5FFA"/>
    <w:rsid w:val="00DC6376"/>
    <w:rsid w:val="00DC6F88"/>
    <w:rsid w:val="00DC6FF1"/>
    <w:rsid w:val="00DC7708"/>
    <w:rsid w:val="00DC787C"/>
    <w:rsid w:val="00DD0500"/>
    <w:rsid w:val="00DD155A"/>
    <w:rsid w:val="00DD21F0"/>
    <w:rsid w:val="00DD2201"/>
    <w:rsid w:val="00DD2782"/>
    <w:rsid w:val="00DD28B0"/>
    <w:rsid w:val="00DD2C5F"/>
    <w:rsid w:val="00DD31D7"/>
    <w:rsid w:val="00DD3F09"/>
    <w:rsid w:val="00DD4044"/>
    <w:rsid w:val="00DD445A"/>
    <w:rsid w:val="00DD4A30"/>
    <w:rsid w:val="00DD4DF4"/>
    <w:rsid w:val="00DD5148"/>
    <w:rsid w:val="00DD672A"/>
    <w:rsid w:val="00DD6764"/>
    <w:rsid w:val="00DD67B1"/>
    <w:rsid w:val="00DD6AB9"/>
    <w:rsid w:val="00DD7267"/>
    <w:rsid w:val="00DE0216"/>
    <w:rsid w:val="00DE0275"/>
    <w:rsid w:val="00DE0CFC"/>
    <w:rsid w:val="00DE12B5"/>
    <w:rsid w:val="00DE16C5"/>
    <w:rsid w:val="00DE1A18"/>
    <w:rsid w:val="00DE1A59"/>
    <w:rsid w:val="00DE23DF"/>
    <w:rsid w:val="00DE289A"/>
    <w:rsid w:val="00DE36FA"/>
    <w:rsid w:val="00DE379E"/>
    <w:rsid w:val="00DE3DF3"/>
    <w:rsid w:val="00DE4548"/>
    <w:rsid w:val="00DE4E0F"/>
    <w:rsid w:val="00DE51BC"/>
    <w:rsid w:val="00DE565C"/>
    <w:rsid w:val="00DE6D35"/>
    <w:rsid w:val="00DE71E8"/>
    <w:rsid w:val="00DE7AD7"/>
    <w:rsid w:val="00DE7F4B"/>
    <w:rsid w:val="00DF00F3"/>
    <w:rsid w:val="00DF02B7"/>
    <w:rsid w:val="00DF0567"/>
    <w:rsid w:val="00DF0829"/>
    <w:rsid w:val="00DF09F9"/>
    <w:rsid w:val="00DF1A0A"/>
    <w:rsid w:val="00DF269F"/>
    <w:rsid w:val="00DF3BB0"/>
    <w:rsid w:val="00DF5A88"/>
    <w:rsid w:val="00DF5E1F"/>
    <w:rsid w:val="00DF5FD1"/>
    <w:rsid w:val="00DF6EE7"/>
    <w:rsid w:val="00DF6F20"/>
    <w:rsid w:val="00DF7096"/>
    <w:rsid w:val="00DF731D"/>
    <w:rsid w:val="00DF76B8"/>
    <w:rsid w:val="00DF7788"/>
    <w:rsid w:val="00DF7A36"/>
    <w:rsid w:val="00DF7E31"/>
    <w:rsid w:val="00E00091"/>
    <w:rsid w:val="00E00379"/>
    <w:rsid w:val="00E00840"/>
    <w:rsid w:val="00E00A48"/>
    <w:rsid w:val="00E00B5D"/>
    <w:rsid w:val="00E00F61"/>
    <w:rsid w:val="00E013C2"/>
    <w:rsid w:val="00E0185E"/>
    <w:rsid w:val="00E01C28"/>
    <w:rsid w:val="00E01C50"/>
    <w:rsid w:val="00E03BF7"/>
    <w:rsid w:val="00E03E94"/>
    <w:rsid w:val="00E04417"/>
    <w:rsid w:val="00E04769"/>
    <w:rsid w:val="00E04DAA"/>
    <w:rsid w:val="00E055BD"/>
    <w:rsid w:val="00E05B8D"/>
    <w:rsid w:val="00E05C83"/>
    <w:rsid w:val="00E06A58"/>
    <w:rsid w:val="00E06C0E"/>
    <w:rsid w:val="00E07043"/>
    <w:rsid w:val="00E072CF"/>
    <w:rsid w:val="00E0737C"/>
    <w:rsid w:val="00E07BDB"/>
    <w:rsid w:val="00E1061E"/>
    <w:rsid w:val="00E11343"/>
    <w:rsid w:val="00E1186E"/>
    <w:rsid w:val="00E12159"/>
    <w:rsid w:val="00E12620"/>
    <w:rsid w:val="00E129D9"/>
    <w:rsid w:val="00E13F23"/>
    <w:rsid w:val="00E142EC"/>
    <w:rsid w:val="00E144A7"/>
    <w:rsid w:val="00E14D94"/>
    <w:rsid w:val="00E15514"/>
    <w:rsid w:val="00E1563A"/>
    <w:rsid w:val="00E160BD"/>
    <w:rsid w:val="00E161F3"/>
    <w:rsid w:val="00E16694"/>
    <w:rsid w:val="00E16859"/>
    <w:rsid w:val="00E16E9A"/>
    <w:rsid w:val="00E17289"/>
    <w:rsid w:val="00E176FD"/>
    <w:rsid w:val="00E17E85"/>
    <w:rsid w:val="00E2026C"/>
    <w:rsid w:val="00E21F96"/>
    <w:rsid w:val="00E22737"/>
    <w:rsid w:val="00E23358"/>
    <w:rsid w:val="00E237D8"/>
    <w:rsid w:val="00E24220"/>
    <w:rsid w:val="00E24245"/>
    <w:rsid w:val="00E2431B"/>
    <w:rsid w:val="00E25101"/>
    <w:rsid w:val="00E25606"/>
    <w:rsid w:val="00E266EF"/>
    <w:rsid w:val="00E26B9E"/>
    <w:rsid w:val="00E26D11"/>
    <w:rsid w:val="00E27B2A"/>
    <w:rsid w:val="00E27B87"/>
    <w:rsid w:val="00E27EE0"/>
    <w:rsid w:val="00E30368"/>
    <w:rsid w:val="00E3096E"/>
    <w:rsid w:val="00E30997"/>
    <w:rsid w:val="00E30ACB"/>
    <w:rsid w:val="00E319F0"/>
    <w:rsid w:val="00E31B74"/>
    <w:rsid w:val="00E31C59"/>
    <w:rsid w:val="00E31E2F"/>
    <w:rsid w:val="00E322E2"/>
    <w:rsid w:val="00E33E39"/>
    <w:rsid w:val="00E34E4F"/>
    <w:rsid w:val="00E35B5B"/>
    <w:rsid w:val="00E35E25"/>
    <w:rsid w:val="00E36E1E"/>
    <w:rsid w:val="00E37214"/>
    <w:rsid w:val="00E37956"/>
    <w:rsid w:val="00E4017C"/>
    <w:rsid w:val="00E4035C"/>
    <w:rsid w:val="00E40378"/>
    <w:rsid w:val="00E403B6"/>
    <w:rsid w:val="00E411F8"/>
    <w:rsid w:val="00E41688"/>
    <w:rsid w:val="00E41695"/>
    <w:rsid w:val="00E41EBC"/>
    <w:rsid w:val="00E428A5"/>
    <w:rsid w:val="00E43330"/>
    <w:rsid w:val="00E435B5"/>
    <w:rsid w:val="00E43625"/>
    <w:rsid w:val="00E43691"/>
    <w:rsid w:val="00E43B1B"/>
    <w:rsid w:val="00E44137"/>
    <w:rsid w:val="00E441A2"/>
    <w:rsid w:val="00E441BA"/>
    <w:rsid w:val="00E4449A"/>
    <w:rsid w:val="00E4452D"/>
    <w:rsid w:val="00E449A0"/>
    <w:rsid w:val="00E451AD"/>
    <w:rsid w:val="00E453B3"/>
    <w:rsid w:val="00E45716"/>
    <w:rsid w:val="00E45DF0"/>
    <w:rsid w:val="00E45E0E"/>
    <w:rsid w:val="00E46070"/>
    <w:rsid w:val="00E4646F"/>
    <w:rsid w:val="00E4754E"/>
    <w:rsid w:val="00E47A69"/>
    <w:rsid w:val="00E50415"/>
    <w:rsid w:val="00E5090A"/>
    <w:rsid w:val="00E516C7"/>
    <w:rsid w:val="00E5240E"/>
    <w:rsid w:val="00E52DB3"/>
    <w:rsid w:val="00E5346F"/>
    <w:rsid w:val="00E53505"/>
    <w:rsid w:val="00E53777"/>
    <w:rsid w:val="00E5428A"/>
    <w:rsid w:val="00E546BC"/>
    <w:rsid w:val="00E54989"/>
    <w:rsid w:val="00E5597B"/>
    <w:rsid w:val="00E56275"/>
    <w:rsid w:val="00E57022"/>
    <w:rsid w:val="00E57321"/>
    <w:rsid w:val="00E6020C"/>
    <w:rsid w:val="00E60368"/>
    <w:rsid w:val="00E60424"/>
    <w:rsid w:val="00E61285"/>
    <w:rsid w:val="00E61535"/>
    <w:rsid w:val="00E61ECE"/>
    <w:rsid w:val="00E61FD3"/>
    <w:rsid w:val="00E621F1"/>
    <w:rsid w:val="00E627E2"/>
    <w:rsid w:val="00E63106"/>
    <w:rsid w:val="00E63191"/>
    <w:rsid w:val="00E63966"/>
    <w:rsid w:val="00E63EB5"/>
    <w:rsid w:val="00E6573B"/>
    <w:rsid w:val="00E65881"/>
    <w:rsid w:val="00E665D2"/>
    <w:rsid w:val="00E66871"/>
    <w:rsid w:val="00E66A2B"/>
    <w:rsid w:val="00E66A3B"/>
    <w:rsid w:val="00E66A76"/>
    <w:rsid w:val="00E672F8"/>
    <w:rsid w:val="00E67998"/>
    <w:rsid w:val="00E67DD4"/>
    <w:rsid w:val="00E70069"/>
    <w:rsid w:val="00E70A40"/>
    <w:rsid w:val="00E710DB"/>
    <w:rsid w:val="00E715CA"/>
    <w:rsid w:val="00E720CE"/>
    <w:rsid w:val="00E72692"/>
    <w:rsid w:val="00E72934"/>
    <w:rsid w:val="00E72B2E"/>
    <w:rsid w:val="00E72FEB"/>
    <w:rsid w:val="00E73033"/>
    <w:rsid w:val="00E742C6"/>
    <w:rsid w:val="00E7494C"/>
    <w:rsid w:val="00E74A09"/>
    <w:rsid w:val="00E75372"/>
    <w:rsid w:val="00E7681F"/>
    <w:rsid w:val="00E76FAE"/>
    <w:rsid w:val="00E77374"/>
    <w:rsid w:val="00E77AA4"/>
    <w:rsid w:val="00E77E9E"/>
    <w:rsid w:val="00E80342"/>
    <w:rsid w:val="00E80599"/>
    <w:rsid w:val="00E8130A"/>
    <w:rsid w:val="00E8253C"/>
    <w:rsid w:val="00E826DA"/>
    <w:rsid w:val="00E82867"/>
    <w:rsid w:val="00E82AC7"/>
    <w:rsid w:val="00E8345C"/>
    <w:rsid w:val="00E8370A"/>
    <w:rsid w:val="00E844AB"/>
    <w:rsid w:val="00E84E92"/>
    <w:rsid w:val="00E85A20"/>
    <w:rsid w:val="00E8661D"/>
    <w:rsid w:val="00E871C6"/>
    <w:rsid w:val="00E87400"/>
    <w:rsid w:val="00E8748F"/>
    <w:rsid w:val="00E87618"/>
    <w:rsid w:val="00E87846"/>
    <w:rsid w:val="00E9010C"/>
    <w:rsid w:val="00E90456"/>
    <w:rsid w:val="00E90520"/>
    <w:rsid w:val="00E912A7"/>
    <w:rsid w:val="00E91F26"/>
    <w:rsid w:val="00E92253"/>
    <w:rsid w:val="00E9246A"/>
    <w:rsid w:val="00E93A3A"/>
    <w:rsid w:val="00E94FD5"/>
    <w:rsid w:val="00E95223"/>
    <w:rsid w:val="00E95EB4"/>
    <w:rsid w:val="00E9625C"/>
    <w:rsid w:val="00E96B97"/>
    <w:rsid w:val="00E96E03"/>
    <w:rsid w:val="00EA0077"/>
    <w:rsid w:val="00EA02C9"/>
    <w:rsid w:val="00EA1E9A"/>
    <w:rsid w:val="00EA20BD"/>
    <w:rsid w:val="00EA26CE"/>
    <w:rsid w:val="00EA28CB"/>
    <w:rsid w:val="00EA30FB"/>
    <w:rsid w:val="00EA317E"/>
    <w:rsid w:val="00EA3779"/>
    <w:rsid w:val="00EA389F"/>
    <w:rsid w:val="00EA3A91"/>
    <w:rsid w:val="00EA3CAD"/>
    <w:rsid w:val="00EA3E3B"/>
    <w:rsid w:val="00EA4562"/>
    <w:rsid w:val="00EA5C0F"/>
    <w:rsid w:val="00EA5F80"/>
    <w:rsid w:val="00EA6176"/>
    <w:rsid w:val="00EA73C3"/>
    <w:rsid w:val="00EA77C0"/>
    <w:rsid w:val="00EA7BB5"/>
    <w:rsid w:val="00EB0127"/>
    <w:rsid w:val="00EB0706"/>
    <w:rsid w:val="00EB07D0"/>
    <w:rsid w:val="00EB1BD9"/>
    <w:rsid w:val="00EB2E5F"/>
    <w:rsid w:val="00EB2FCE"/>
    <w:rsid w:val="00EB32C1"/>
    <w:rsid w:val="00EB366A"/>
    <w:rsid w:val="00EB377F"/>
    <w:rsid w:val="00EB4772"/>
    <w:rsid w:val="00EB4980"/>
    <w:rsid w:val="00EB5631"/>
    <w:rsid w:val="00EB5670"/>
    <w:rsid w:val="00EB6117"/>
    <w:rsid w:val="00EB63BD"/>
    <w:rsid w:val="00EB69B8"/>
    <w:rsid w:val="00EB746A"/>
    <w:rsid w:val="00EB7908"/>
    <w:rsid w:val="00EC0305"/>
    <w:rsid w:val="00EC044D"/>
    <w:rsid w:val="00EC0D30"/>
    <w:rsid w:val="00EC19EB"/>
    <w:rsid w:val="00EC2552"/>
    <w:rsid w:val="00EC29E8"/>
    <w:rsid w:val="00EC2DD2"/>
    <w:rsid w:val="00EC304F"/>
    <w:rsid w:val="00EC34E7"/>
    <w:rsid w:val="00EC3E64"/>
    <w:rsid w:val="00EC50F5"/>
    <w:rsid w:val="00EC5AC5"/>
    <w:rsid w:val="00EC5ADF"/>
    <w:rsid w:val="00EC5DF8"/>
    <w:rsid w:val="00EC604D"/>
    <w:rsid w:val="00EC6483"/>
    <w:rsid w:val="00EC6B0E"/>
    <w:rsid w:val="00EC6F25"/>
    <w:rsid w:val="00EC790E"/>
    <w:rsid w:val="00EC7EB2"/>
    <w:rsid w:val="00ED0866"/>
    <w:rsid w:val="00ED1389"/>
    <w:rsid w:val="00ED1B17"/>
    <w:rsid w:val="00ED2273"/>
    <w:rsid w:val="00ED234F"/>
    <w:rsid w:val="00ED2669"/>
    <w:rsid w:val="00ED2CE6"/>
    <w:rsid w:val="00ED304C"/>
    <w:rsid w:val="00ED30A6"/>
    <w:rsid w:val="00ED3CCC"/>
    <w:rsid w:val="00ED423F"/>
    <w:rsid w:val="00ED450F"/>
    <w:rsid w:val="00ED4844"/>
    <w:rsid w:val="00ED4973"/>
    <w:rsid w:val="00ED58F0"/>
    <w:rsid w:val="00ED5983"/>
    <w:rsid w:val="00ED5AAA"/>
    <w:rsid w:val="00ED5BA1"/>
    <w:rsid w:val="00ED6106"/>
    <w:rsid w:val="00ED61F6"/>
    <w:rsid w:val="00ED67B8"/>
    <w:rsid w:val="00ED69FD"/>
    <w:rsid w:val="00ED7367"/>
    <w:rsid w:val="00ED7693"/>
    <w:rsid w:val="00ED7C4F"/>
    <w:rsid w:val="00ED7DDD"/>
    <w:rsid w:val="00EE0304"/>
    <w:rsid w:val="00EE0A83"/>
    <w:rsid w:val="00EE24D2"/>
    <w:rsid w:val="00EE276E"/>
    <w:rsid w:val="00EE3115"/>
    <w:rsid w:val="00EE3AC8"/>
    <w:rsid w:val="00EE3AD1"/>
    <w:rsid w:val="00EE4022"/>
    <w:rsid w:val="00EE49F2"/>
    <w:rsid w:val="00EE4A1F"/>
    <w:rsid w:val="00EE6220"/>
    <w:rsid w:val="00EE6340"/>
    <w:rsid w:val="00EE64D3"/>
    <w:rsid w:val="00EE6622"/>
    <w:rsid w:val="00EE7BBA"/>
    <w:rsid w:val="00EE7D0F"/>
    <w:rsid w:val="00EF09C0"/>
    <w:rsid w:val="00EF0B80"/>
    <w:rsid w:val="00EF0E01"/>
    <w:rsid w:val="00EF12DB"/>
    <w:rsid w:val="00EF1658"/>
    <w:rsid w:val="00EF20EA"/>
    <w:rsid w:val="00EF2329"/>
    <w:rsid w:val="00EF2DC6"/>
    <w:rsid w:val="00EF2E47"/>
    <w:rsid w:val="00EF3148"/>
    <w:rsid w:val="00EF320B"/>
    <w:rsid w:val="00EF3414"/>
    <w:rsid w:val="00EF3D9F"/>
    <w:rsid w:val="00EF3DFA"/>
    <w:rsid w:val="00EF40F8"/>
    <w:rsid w:val="00EF4A8F"/>
    <w:rsid w:val="00EF59D6"/>
    <w:rsid w:val="00EF5CBF"/>
    <w:rsid w:val="00EF5EE8"/>
    <w:rsid w:val="00EF5FD7"/>
    <w:rsid w:val="00EF668C"/>
    <w:rsid w:val="00EF6B57"/>
    <w:rsid w:val="00EF6CAC"/>
    <w:rsid w:val="00EF6E36"/>
    <w:rsid w:val="00EF70BF"/>
    <w:rsid w:val="00EF732F"/>
    <w:rsid w:val="00EF74FD"/>
    <w:rsid w:val="00EF794C"/>
    <w:rsid w:val="00EF7A77"/>
    <w:rsid w:val="00EF7C8D"/>
    <w:rsid w:val="00F00205"/>
    <w:rsid w:val="00F0082E"/>
    <w:rsid w:val="00F00E82"/>
    <w:rsid w:val="00F01573"/>
    <w:rsid w:val="00F021E0"/>
    <w:rsid w:val="00F037A9"/>
    <w:rsid w:val="00F037C3"/>
    <w:rsid w:val="00F04936"/>
    <w:rsid w:val="00F0510F"/>
    <w:rsid w:val="00F054C6"/>
    <w:rsid w:val="00F05979"/>
    <w:rsid w:val="00F07473"/>
    <w:rsid w:val="00F075A5"/>
    <w:rsid w:val="00F077CF"/>
    <w:rsid w:val="00F079DE"/>
    <w:rsid w:val="00F1085E"/>
    <w:rsid w:val="00F1124F"/>
    <w:rsid w:val="00F1168A"/>
    <w:rsid w:val="00F13399"/>
    <w:rsid w:val="00F134DC"/>
    <w:rsid w:val="00F139DD"/>
    <w:rsid w:val="00F140D9"/>
    <w:rsid w:val="00F1415C"/>
    <w:rsid w:val="00F1418E"/>
    <w:rsid w:val="00F14504"/>
    <w:rsid w:val="00F14538"/>
    <w:rsid w:val="00F1460D"/>
    <w:rsid w:val="00F14C16"/>
    <w:rsid w:val="00F14EAC"/>
    <w:rsid w:val="00F14F2F"/>
    <w:rsid w:val="00F16219"/>
    <w:rsid w:val="00F16619"/>
    <w:rsid w:val="00F1677A"/>
    <w:rsid w:val="00F1697D"/>
    <w:rsid w:val="00F171E3"/>
    <w:rsid w:val="00F17727"/>
    <w:rsid w:val="00F17906"/>
    <w:rsid w:val="00F17B74"/>
    <w:rsid w:val="00F20425"/>
    <w:rsid w:val="00F2097F"/>
    <w:rsid w:val="00F20EEC"/>
    <w:rsid w:val="00F210B9"/>
    <w:rsid w:val="00F21328"/>
    <w:rsid w:val="00F219CC"/>
    <w:rsid w:val="00F228FE"/>
    <w:rsid w:val="00F229A3"/>
    <w:rsid w:val="00F2324B"/>
    <w:rsid w:val="00F234C7"/>
    <w:rsid w:val="00F236BD"/>
    <w:rsid w:val="00F23A89"/>
    <w:rsid w:val="00F23E37"/>
    <w:rsid w:val="00F24072"/>
    <w:rsid w:val="00F245FE"/>
    <w:rsid w:val="00F24B09"/>
    <w:rsid w:val="00F24B3B"/>
    <w:rsid w:val="00F24F6A"/>
    <w:rsid w:val="00F258CE"/>
    <w:rsid w:val="00F2666F"/>
    <w:rsid w:val="00F268B0"/>
    <w:rsid w:val="00F26AD4"/>
    <w:rsid w:val="00F27226"/>
    <w:rsid w:val="00F27F49"/>
    <w:rsid w:val="00F30321"/>
    <w:rsid w:val="00F310F9"/>
    <w:rsid w:val="00F31A4A"/>
    <w:rsid w:val="00F31CE6"/>
    <w:rsid w:val="00F32176"/>
    <w:rsid w:val="00F325C7"/>
    <w:rsid w:val="00F32CC4"/>
    <w:rsid w:val="00F333D1"/>
    <w:rsid w:val="00F33FF2"/>
    <w:rsid w:val="00F34224"/>
    <w:rsid w:val="00F34A32"/>
    <w:rsid w:val="00F34D15"/>
    <w:rsid w:val="00F351D6"/>
    <w:rsid w:val="00F3529E"/>
    <w:rsid w:val="00F35D60"/>
    <w:rsid w:val="00F360E9"/>
    <w:rsid w:val="00F367FE"/>
    <w:rsid w:val="00F36A01"/>
    <w:rsid w:val="00F3711D"/>
    <w:rsid w:val="00F3724D"/>
    <w:rsid w:val="00F3735F"/>
    <w:rsid w:val="00F37C94"/>
    <w:rsid w:val="00F40749"/>
    <w:rsid w:val="00F40D7B"/>
    <w:rsid w:val="00F40D95"/>
    <w:rsid w:val="00F421F2"/>
    <w:rsid w:val="00F42BEE"/>
    <w:rsid w:val="00F42C7B"/>
    <w:rsid w:val="00F42F7F"/>
    <w:rsid w:val="00F43F85"/>
    <w:rsid w:val="00F4465F"/>
    <w:rsid w:val="00F45082"/>
    <w:rsid w:val="00F45BE0"/>
    <w:rsid w:val="00F471ED"/>
    <w:rsid w:val="00F47256"/>
    <w:rsid w:val="00F47901"/>
    <w:rsid w:val="00F50139"/>
    <w:rsid w:val="00F50817"/>
    <w:rsid w:val="00F50B38"/>
    <w:rsid w:val="00F50DC5"/>
    <w:rsid w:val="00F5119D"/>
    <w:rsid w:val="00F51414"/>
    <w:rsid w:val="00F51C30"/>
    <w:rsid w:val="00F51EF8"/>
    <w:rsid w:val="00F52EF4"/>
    <w:rsid w:val="00F52F6D"/>
    <w:rsid w:val="00F536C4"/>
    <w:rsid w:val="00F539C9"/>
    <w:rsid w:val="00F53DD4"/>
    <w:rsid w:val="00F53E45"/>
    <w:rsid w:val="00F54911"/>
    <w:rsid w:val="00F54A06"/>
    <w:rsid w:val="00F54F8C"/>
    <w:rsid w:val="00F55920"/>
    <w:rsid w:val="00F5740B"/>
    <w:rsid w:val="00F5775F"/>
    <w:rsid w:val="00F57AAF"/>
    <w:rsid w:val="00F60215"/>
    <w:rsid w:val="00F60D65"/>
    <w:rsid w:val="00F615B5"/>
    <w:rsid w:val="00F62805"/>
    <w:rsid w:val="00F628EA"/>
    <w:rsid w:val="00F62FC8"/>
    <w:rsid w:val="00F6310D"/>
    <w:rsid w:val="00F63D89"/>
    <w:rsid w:val="00F64D7C"/>
    <w:rsid w:val="00F64E1F"/>
    <w:rsid w:val="00F65235"/>
    <w:rsid w:val="00F6776D"/>
    <w:rsid w:val="00F67922"/>
    <w:rsid w:val="00F67E37"/>
    <w:rsid w:val="00F7036B"/>
    <w:rsid w:val="00F70ACD"/>
    <w:rsid w:val="00F722A6"/>
    <w:rsid w:val="00F7249B"/>
    <w:rsid w:val="00F72555"/>
    <w:rsid w:val="00F72A72"/>
    <w:rsid w:val="00F73B0B"/>
    <w:rsid w:val="00F74F35"/>
    <w:rsid w:val="00F754ED"/>
    <w:rsid w:val="00F755BA"/>
    <w:rsid w:val="00F75AA4"/>
    <w:rsid w:val="00F75C69"/>
    <w:rsid w:val="00F76339"/>
    <w:rsid w:val="00F76CEA"/>
    <w:rsid w:val="00F76F00"/>
    <w:rsid w:val="00F8028C"/>
    <w:rsid w:val="00F8061E"/>
    <w:rsid w:val="00F80977"/>
    <w:rsid w:val="00F80BB9"/>
    <w:rsid w:val="00F80E2D"/>
    <w:rsid w:val="00F814A2"/>
    <w:rsid w:val="00F81764"/>
    <w:rsid w:val="00F822C8"/>
    <w:rsid w:val="00F82CA5"/>
    <w:rsid w:val="00F83484"/>
    <w:rsid w:val="00F841C8"/>
    <w:rsid w:val="00F8441F"/>
    <w:rsid w:val="00F846F1"/>
    <w:rsid w:val="00F84817"/>
    <w:rsid w:val="00F849C4"/>
    <w:rsid w:val="00F85C51"/>
    <w:rsid w:val="00F860F1"/>
    <w:rsid w:val="00F86599"/>
    <w:rsid w:val="00F90CA5"/>
    <w:rsid w:val="00F91133"/>
    <w:rsid w:val="00F91C7D"/>
    <w:rsid w:val="00F92203"/>
    <w:rsid w:val="00F92A64"/>
    <w:rsid w:val="00F92AC9"/>
    <w:rsid w:val="00F93218"/>
    <w:rsid w:val="00F963B8"/>
    <w:rsid w:val="00F97780"/>
    <w:rsid w:val="00F977CB"/>
    <w:rsid w:val="00F977D2"/>
    <w:rsid w:val="00FA00CC"/>
    <w:rsid w:val="00FA0509"/>
    <w:rsid w:val="00FA0C38"/>
    <w:rsid w:val="00FA12A1"/>
    <w:rsid w:val="00FA12B8"/>
    <w:rsid w:val="00FA13C5"/>
    <w:rsid w:val="00FA1D86"/>
    <w:rsid w:val="00FA29D8"/>
    <w:rsid w:val="00FA2D69"/>
    <w:rsid w:val="00FA2FA7"/>
    <w:rsid w:val="00FA37B0"/>
    <w:rsid w:val="00FA3DE2"/>
    <w:rsid w:val="00FA3E0F"/>
    <w:rsid w:val="00FA3FE6"/>
    <w:rsid w:val="00FA4193"/>
    <w:rsid w:val="00FA43B2"/>
    <w:rsid w:val="00FA4AF5"/>
    <w:rsid w:val="00FA58A1"/>
    <w:rsid w:val="00FA600F"/>
    <w:rsid w:val="00FA631B"/>
    <w:rsid w:val="00FA655A"/>
    <w:rsid w:val="00FA6B1E"/>
    <w:rsid w:val="00FA7226"/>
    <w:rsid w:val="00FB0051"/>
    <w:rsid w:val="00FB0613"/>
    <w:rsid w:val="00FB0F7C"/>
    <w:rsid w:val="00FB136A"/>
    <w:rsid w:val="00FB13DC"/>
    <w:rsid w:val="00FB13E3"/>
    <w:rsid w:val="00FB16F5"/>
    <w:rsid w:val="00FB1716"/>
    <w:rsid w:val="00FB1BFA"/>
    <w:rsid w:val="00FB259D"/>
    <w:rsid w:val="00FB29FE"/>
    <w:rsid w:val="00FB2A7D"/>
    <w:rsid w:val="00FB2D99"/>
    <w:rsid w:val="00FB33A9"/>
    <w:rsid w:val="00FB3564"/>
    <w:rsid w:val="00FB3DA2"/>
    <w:rsid w:val="00FB40FA"/>
    <w:rsid w:val="00FB4153"/>
    <w:rsid w:val="00FB4438"/>
    <w:rsid w:val="00FB469A"/>
    <w:rsid w:val="00FB5016"/>
    <w:rsid w:val="00FB503A"/>
    <w:rsid w:val="00FB58FA"/>
    <w:rsid w:val="00FB5F84"/>
    <w:rsid w:val="00FB5FDD"/>
    <w:rsid w:val="00FB6948"/>
    <w:rsid w:val="00FB7730"/>
    <w:rsid w:val="00FB78C2"/>
    <w:rsid w:val="00FC0471"/>
    <w:rsid w:val="00FC0C49"/>
    <w:rsid w:val="00FC1F98"/>
    <w:rsid w:val="00FC26C1"/>
    <w:rsid w:val="00FC2CCE"/>
    <w:rsid w:val="00FC2ED3"/>
    <w:rsid w:val="00FC37E4"/>
    <w:rsid w:val="00FC3A3F"/>
    <w:rsid w:val="00FC4AE1"/>
    <w:rsid w:val="00FC51D4"/>
    <w:rsid w:val="00FC53CA"/>
    <w:rsid w:val="00FC5AD1"/>
    <w:rsid w:val="00FC6C63"/>
    <w:rsid w:val="00FC6C66"/>
    <w:rsid w:val="00FD00B5"/>
    <w:rsid w:val="00FD0B09"/>
    <w:rsid w:val="00FD0DDC"/>
    <w:rsid w:val="00FD2A3E"/>
    <w:rsid w:val="00FD3193"/>
    <w:rsid w:val="00FD42FB"/>
    <w:rsid w:val="00FD442F"/>
    <w:rsid w:val="00FD4B66"/>
    <w:rsid w:val="00FD4E21"/>
    <w:rsid w:val="00FD502E"/>
    <w:rsid w:val="00FD558A"/>
    <w:rsid w:val="00FD5829"/>
    <w:rsid w:val="00FD5EB2"/>
    <w:rsid w:val="00FD636C"/>
    <w:rsid w:val="00FD658F"/>
    <w:rsid w:val="00FD6A94"/>
    <w:rsid w:val="00FD6C34"/>
    <w:rsid w:val="00FD75AF"/>
    <w:rsid w:val="00FD760A"/>
    <w:rsid w:val="00FE07F2"/>
    <w:rsid w:val="00FE07FD"/>
    <w:rsid w:val="00FE09A8"/>
    <w:rsid w:val="00FE0B3D"/>
    <w:rsid w:val="00FE0C7B"/>
    <w:rsid w:val="00FE0DEA"/>
    <w:rsid w:val="00FE18BC"/>
    <w:rsid w:val="00FE1C18"/>
    <w:rsid w:val="00FE21E9"/>
    <w:rsid w:val="00FE2594"/>
    <w:rsid w:val="00FE29DC"/>
    <w:rsid w:val="00FE29F4"/>
    <w:rsid w:val="00FE3EB6"/>
    <w:rsid w:val="00FE4282"/>
    <w:rsid w:val="00FE549A"/>
    <w:rsid w:val="00FE6EA0"/>
    <w:rsid w:val="00FE74C2"/>
    <w:rsid w:val="00FE75D1"/>
    <w:rsid w:val="00FE760A"/>
    <w:rsid w:val="00FE76FE"/>
    <w:rsid w:val="00FE7E5A"/>
    <w:rsid w:val="00FF0AF7"/>
    <w:rsid w:val="00FF1221"/>
    <w:rsid w:val="00FF1763"/>
    <w:rsid w:val="00FF1D70"/>
    <w:rsid w:val="00FF2CA5"/>
    <w:rsid w:val="00FF303F"/>
    <w:rsid w:val="00FF36D3"/>
    <w:rsid w:val="00FF41A3"/>
    <w:rsid w:val="00FF4772"/>
    <w:rsid w:val="00FF48DD"/>
    <w:rsid w:val="00FF4A17"/>
    <w:rsid w:val="00FF4C8C"/>
    <w:rsid w:val="00FF5810"/>
    <w:rsid w:val="00FF62FD"/>
    <w:rsid w:val="00FF664B"/>
    <w:rsid w:val="00FF7362"/>
    <w:rsid w:val="00FF7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6D5B036"/>
  <w15:chartTrackingRefBased/>
  <w15:docId w15:val="{10310069-9E52-4B8B-A94C-971B6B3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B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link w:val="Heading4Char"/>
    <w:qFormat/>
    <w:rsid w:val="00B14618"/>
    <w:pPr>
      <w:keepNext/>
      <w:spacing w:after="0"/>
      <w:outlineLvl w:val="3"/>
    </w:pPr>
    <w:rPr>
      <w:b/>
      <w:bCs/>
      <w:color w:val="333333"/>
    </w:rPr>
  </w:style>
  <w:style w:type="paragraph" w:styleId="Heading5">
    <w:name w:val="heading 5"/>
    <w:basedOn w:val="Normal"/>
    <w:next w:val="Normal"/>
    <w:link w:val="Heading5Char"/>
    <w:qFormat/>
    <w:rsid w:val="00B14618"/>
    <w:pPr>
      <w:spacing w:after="0"/>
      <w:outlineLvl w:val="4"/>
    </w:pPr>
    <w:rPr>
      <w:b/>
      <w:bCs/>
      <w:i/>
      <w:iCs/>
      <w:szCs w:val="26"/>
    </w:rPr>
  </w:style>
  <w:style w:type="paragraph" w:styleId="Heading6">
    <w:name w:val="heading 6"/>
    <w:basedOn w:val="Normal"/>
    <w:next w:val="Normal"/>
    <w:link w:val="Heading6Char"/>
    <w:qFormat/>
    <w:rsid w:val="00B14618"/>
    <w:pPr>
      <w:spacing w:after="0"/>
      <w:outlineLvl w:val="5"/>
    </w:pPr>
    <w:rPr>
      <w:b/>
      <w:bCs/>
      <w:i/>
      <w:sz w:val="22"/>
      <w:szCs w:val="22"/>
    </w:rPr>
  </w:style>
  <w:style w:type="paragraph" w:styleId="Heading7">
    <w:name w:val="heading 7"/>
    <w:basedOn w:val="Normal"/>
    <w:next w:val="Normal"/>
    <w:link w:val="Heading7Char"/>
    <w:qFormat/>
    <w:rsid w:val="00B14618"/>
    <w:pPr>
      <w:keepNext/>
      <w:spacing w:after="0"/>
      <w:jc w:val="center"/>
      <w:outlineLvl w:val="6"/>
    </w:pPr>
    <w:rPr>
      <w:rFonts w:cs="Arial"/>
      <w:b/>
      <w:sz w:val="22"/>
      <w:szCs w:val="40"/>
    </w:rPr>
  </w:style>
  <w:style w:type="paragraph" w:styleId="Heading8">
    <w:name w:val="heading 8"/>
    <w:basedOn w:val="Normal"/>
    <w:next w:val="Normal"/>
    <w:link w:val="Heading8Char"/>
    <w:qFormat/>
    <w:rsid w:val="00B14618"/>
    <w:pPr>
      <w:keepNext/>
      <w:spacing w:after="0"/>
      <w:outlineLvl w:val="7"/>
    </w:pPr>
    <w:rPr>
      <w:b/>
      <w:i/>
      <w:sz w:val="22"/>
    </w:rPr>
  </w:style>
  <w:style w:type="paragraph" w:styleId="Heading9">
    <w:name w:val="heading 9"/>
    <w:basedOn w:val="Normal"/>
    <w:next w:val="Normal"/>
    <w:link w:val="Heading9Char"/>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rPr>
      <w:rFonts w:ascii="Arial" w:hAnsi="Arial"/>
      <w:sz w:val="20"/>
      <w:lang w:val="x-none"/>
    </w:rPr>
  </w:style>
  <w:style w:type="character" w:customStyle="1" w:styleId="CommentTextChar">
    <w:name w:val="Comment Text Char"/>
    <w:link w:val="CommentText"/>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A046BB"/>
    <w:pPr>
      <w:keepNext/>
      <w:keepLines/>
      <w:tabs>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link w:val="DateChar"/>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link w:val="DocumentMapChar"/>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link w:val="SubtitleChar"/>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021E30"/>
    <w:pPr>
      <w:autoSpaceDE w:val="0"/>
      <w:autoSpaceDN w:val="0"/>
      <w:adjustRightInd w:val="0"/>
    </w:pPr>
    <w:rPr>
      <w:rFonts w:ascii="Tahoma" w:eastAsiaTheme="minorHAnsi" w:hAnsi="Tahoma" w:cs="Tahoma"/>
      <w:color w:val="000000"/>
      <w:sz w:val="24"/>
      <w:szCs w:val="24"/>
      <w:lang w:eastAsia="en-US"/>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E72B2E"/>
    <w:pPr>
      <w:ind w:left="720"/>
      <w:contextualSpacing/>
    </w:pPr>
    <w:rPr>
      <w:rFonts w:ascii="Gill Sans" w:hAnsi="Gill Sans"/>
    </w:rPr>
  </w:style>
  <w:style w:type="paragraph" w:styleId="TOCHeading">
    <w:name w:val="TOC Heading"/>
    <w:basedOn w:val="Heading1"/>
    <w:next w:val="Normal"/>
    <w:uiPriority w:val="39"/>
    <w:unhideWhenUsed/>
    <w:qFormat/>
    <w:rsid w:val="00BF01B8"/>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BF01B8"/>
    <w:pPr>
      <w:spacing w:after="100"/>
      <w:ind w:left="520"/>
    </w:pPr>
  </w:style>
  <w:style w:type="paragraph" w:customStyle="1" w:styleId="Pa4">
    <w:name w:val="Pa4"/>
    <w:basedOn w:val="Default"/>
    <w:next w:val="Default"/>
    <w:uiPriority w:val="99"/>
    <w:rsid w:val="00E17289"/>
    <w:pPr>
      <w:spacing w:line="261" w:lineRule="atLeast"/>
    </w:pPr>
    <w:rPr>
      <w:rFonts w:ascii="Gotham Rounded Bold" w:eastAsia="SimSun" w:hAnsi="Gotham Rounded Bold" w:cs="Times New Roman"/>
      <w:color w:val="auto"/>
      <w:lang w:eastAsia="en-IE"/>
    </w:rPr>
  </w:style>
  <w:style w:type="character" w:customStyle="1" w:styleId="A7">
    <w:name w:val="A7"/>
    <w:uiPriority w:val="99"/>
    <w:rsid w:val="00E17289"/>
    <w:rPr>
      <w:rFonts w:ascii="Univers LT Std 45 Light" w:hAnsi="Univers LT Std 45 Light" w:cs="Univers LT Std 45 Light"/>
      <w:color w:val="000000"/>
      <w:sz w:val="14"/>
      <w:szCs w:val="14"/>
    </w:rPr>
  </w:style>
  <w:style w:type="character" w:customStyle="1" w:styleId="A11">
    <w:name w:val="A11"/>
    <w:uiPriority w:val="99"/>
    <w:rsid w:val="00E17289"/>
    <w:rPr>
      <w:rFonts w:ascii="Univers LT Std 45 Light" w:hAnsi="Univers LT Std 45 Light" w:cs="Univers LT Std 45 Light"/>
      <w:color w:val="000000"/>
      <w:u w:val="single"/>
    </w:rPr>
  </w:style>
  <w:style w:type="paragraph" w:customStyle="1" w:styleId="Pa3">
    <w:name w:val="Pa3"/>
    <w:basedOn w:val="Default"/>
    <w:next w:val="Default"/>
    <w:uiPriority w:val="99"/>
    <w:rsid w:val="00E17289"/>
    <w:pPr>
      <w:spacing w:line="201" w:lineRule="atLeast"/>
    </w:pPr>
    <w:rPr>
      <w:rFonts w:ascii="Univers LT Std 45 Light" w:eastAsia="SimSun" w:hAnsi="Univers LT Std 45 Light" w:cs="Times New Roman"/>
      <w:color w:val="auto"/>
      <w:lang w:eastAsia="en-IE"/>
    </w:rPr>
  </w:style>
  <w:style w:type="character" w:customStyle="1" w:styleId="A8">
    <w:name w:val="A8"/>
    <w:uiPriority w:val="99"/>
    <w:rsid w:val="00E17289"/>
    <w:rPr>
      <w:rFonts w:cs="Univers LT Std 45 Light"/>
      <w:color w:val="000000"/>
      <w:sz w:val="11"/>
      <w:szCs w:val="11"/>
    </w:rPr>
  </w:style>
  <w:style w:type="paragraph" w:customStyle="1" w:styleId="Pa2">
    <w:name w:val="Pa2"/>
    <w:basedOn w:val="Default"/>
    <w:next w:val="Default"/>
    <w:uiPriority w:val="99"/>
    <w:rsid w:val="00E17289"/>
    <w:pPr>
      <w:spacing w:line="241" w:lineRule="atLeast"/>
    </w:pPr>
    <w:rPr>
      <w:rFonts w:ascii="Univers LT Std 45 Light" w:eastAsia="SimSun" w:hAnsi="Univers LT Std 45 Light" w:cs="Times New Roman"/>
      <w:color w:val="auto"/>
      <w:lang w:eastAsia="en-IE"/>
    </w:rPr>
  </w:style>
  <w:style w:type="paragraph" w:customStyle="1" w:styleId="Pa11">
    <w:name w:val="Pa11"/>
    <w:basedOn w:val="Default"/>
    <w:next w:val="Default"/>
    <w:uiPriority w:val="99"/>
    <w:rsid w:val="00E17289"/>
    <w:pPr>
      <w:spacing w:line="241" w:lineRule="atLeast"/>
    </w:pPr>
    <w:rPr>
      <w:rFonts w:ascii="Univers LT Std 45 Light" w:eastAsia="SimSun" w:hAnsi="Univers LT Std 45 Light" w:cs="Times New Roman"/>
      <w:color w:val="auto"/>
      <w:lang w:eastAsia="en-IE"/>
    </w:rPr>
  </w:style>
  <w:style w:type="character" w:customStyle="1" w:styleId="A17">
    <w:name w:val="A17"/>
    <w:uiPriority w:val="99"/>
    <w:rsid w:val="00E17289"/>
    <w:rPr>
      <w:rFonts w:cs="Univers LT Std 45 Light"/>
      <w:b/>
      <w:bCs/>
      <w:color w:val="000000"/>
      <w:sz w:val="22"/>
      <w:szCs w:val="22"/>
    </w:rPr>
  </w:style>
  <w:style w:type="character" w:customStyle="1" w:styleId="FootnoteTextChar">
    <w:name w:val="Footnote Text Char"/>
    <w:basedOn w:val="DefaultParagraphFont"/>
    <w:link w:val="FootnoteText"/>
    <w:semiHidden/>
    <w:rsid w:val="00C463C9"/>
    <w:rPr>
      <w:rFonts w:ascii="Gill Sans MT" w:eastAsia="Times New Roman" w:hAnsi="Gill Sans MT"/>
      <w:sz w:val="22"/>
      <w:lang w:eastAsia="en-US"/>
    </w:rPr>
  </w:style>
  <w:style w:type="character" w:customStyle="1" w:styleId="Heading3Char">
    <w:name w:val="Heading 3 Char"/>
    <w:basedOn w:val="DefaultParagraphFont"/>
    <w:link w:val="Heading3"/>
    <w:rsid w:val="00B84BBB"/>
    <w:rPr>
      <w:rFonts w:ascii="Gill Sans MT" w:eastAsia="Times New Roman" w:hAnsi="Gill Sans MT" w:cs="Arial Bold"/>
      <w:b/>
      <w:bCs/>
      <w:sz w:val="26"/>
      <w:szCs w:val="24"/>
      <w:lang w:eastAsia="en-US"/>
    </w:rPr>
  </w:style>
  <w:style w:type="character" w:customStyle="1" w:styleId="FooterChar">
    <w:name w:val="Footer Char"/>
    <w:basedOn w:val="DefaultParagraphFont"/>
    <w:link w:val="Footer"/>
    <w:rsid w:val="000C20B6"/>
    <w:rPr>
      <w:rFonts w:ascii="Gill Sans MT" w:eastAsia="Times New Roman" w:hAnsi="Gill Sans MT"/>
      <w:color w:val="323232"/>
      <w:lang w:eastAsia="en-US"/>
    </w:rPr>
  </w:style>
  <w:style w:type="character" w:styleId="CommentReference">
    <w:name w:val="annotation reference"/>
    <w:basedOn w:val="DefaultParagraphFont"/>
    <w:unhideWhenUsed/>
    <w:rsid w:val="000C20B6"/>
    <w:rPr>
      <w:sz w:val="16"/>
      <w:szCs w:val="16"/>
    </w:rPr>
  </w:style>
  <w:style w:type="paragraph" w:styleId="BalloonText">
    <w:name w:val="Balloon Text"/>
    <w:basedOn w:val="Normal"/>
    <w:link w:val="BalloonTextChar"/>
    <w:rsid w:val="000C20B6"/>
    <w:pPr>
      <w:spacing w:after="0"/>
    </w:pPr>
    <w:rPr>
      <w:rFonts w:ascii="Segoe UI" w:hAnsi="Segoe UI" w:cs="Segoe UI"/>
      <w:sz w:val="18"/>
      <w:szCs w:val="18"/>
    </w:rPr>
  </w:style>
  <w:style w:type="character" w:customStyle="1" w:styleId="BalloonTextChar">
    <w:name w:val="Balloon Text Char"/>
    <w:basedOn w:val="DefaultParagraphFont"/>
    <w:link w:val="BalloonText"/>
    <w:rsid w:val="000C20B6"/>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57027A"/>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57027A"/>
    <w:rPr>
      <w:rFonts w:ascii="Gill Sans MT" w:eastAsia="Times New Roman" w:hAnsi="Gill Sans MT" w:cs="Arial Bold"/>
      <w:b/>
      <w:bCs/>
      <w:iCs/>
      <w:sz w:val="28"/>
      <w:szCs w:val="28"/>
      <w:lang w:eastAsia="en-US"/>
    </w:rPr>
  </w:style>
  <w:style w:type="character" w:customStyle="1" w:styleId="Heading4Char">
    <w:name w:val="Heading 4 Char"/>
    <w:basedOn w:val="DefaultParagraphFont"/>
    <w:link w:val="Heading4"/>
    <w:rsid w:val="0057027A"/>
    <w:rPr>
      <w:rFonts w:ascii="Gill Sans MT" w:eastAsia="Times New Roman" w:hAnsi="Gill Sans MT"/>
      <w:b/>
      <w:bCs/>
      <w:color w:val="333333"/>
      <w:sz w:val="26"/>
      <w:szCs w:val="24"/>
      <w:lang w:eastAsia="en-US"/>
    </w:rPr>
  </w:style>
  <w:style w:type="paragraph" w:styleId="CommentSubject">
    <w:name w:val="annotation subject"/>
    <w:basedOn w:val="CommentText"/>
    <w:next w:val="CommentText"/>
    <w:link w:val="CommentSubjectChar"/>
    <w:unhideWhenUsed/>
    <w:rsid w:val="0057027A"/>
    <w:rPr>
      <w:rFonts w:ascii="Gill Sans MT" w:hAnsi="Gill Sans MT"/>
      <w:b/>
      <w:bCs/>
      <w:szCs w:val="20"/>
      <w:lang w:val="en-IE"/>
    </w:rPr>
  </w:style>
  <w:style w:type="character" w:customStyle="1" w:styleId="CommentSubjectChar">
    <w:name w:val="Comment Subject Char"/>
    <w:basedOn w:val="CommentTextChar"/>
    <w:link w:val="CommentSubject"/>
    <w:rsid w:val="0057027A"/>
    <w:rPr>
      <w:rFonts w:ascii="Gill Sans MT" w:eastAsia="Times New Roman" w:hAnsi="Gill Sans MT"/>
      <w:b/>
      <w:bCs/>
      <w:szCs w:val="24"/>
      <w:lang w:eastAsia="en-US"/>
    </w:rPr>
  </w:style>
  <w:style w:type="paragraph" w:styleId="NormalWeb">
    <w:name w:val="Normal (Web)"/>
    <w:basedOn w:val="Normal"/>
    <w:uiPriority w:val="99"/>
    <w:unhideWhenUsed/>
    <w:rsid w:val="00E4017C"/>
    <w:pPr>
      <w:spacing w:before="100" w:beforeAutospacing="1" w:after="100" w:afterAutospacing="1"/>
    </w:pPr>
    <w:rPr>
      <w:rFonts w:ascii="Times New Roman" w:hAnsi="Times New Roman"/>
      <w:sz w:val="24"/>
      <w:lang w:eastAsia="en-IE"/>
    </w:rPr>
  </w:style>
  <w:style w:type="table" w:styleId="TableGrid">
    <w:name w:val="Table Grid"/>
    <w:basedOn w:val="TableNormal"/>
    <w:rsid w:val="0047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F62FC8"/>
    <w:rPr>
      <w:rFonts w:cs="YFEWFP+ArialMT"/>
      <w:color w:val="000000"/>
      <w:sz w:val="28"/>
      <w:szCs w:val="28"/>
    </w:rPr>
  </w:style>
  <w:style w:type="paragraph" w:styleId="Revision">
    <w:name w:val="Revision"/>
    <w:hidden/>
    <w:uiPriority w:val="99"/>
    <w:semiHidden/>
    <w:rsid w:val="006C6133"/>
    <w:rPr>
      <w:rFonts w:ascii="Gill Sans MT" w:eastAsia="Times New Roman" w:hAnsi="Gill Sans MT"/>
      <w:sz w:val="26"/>
      <w:szCs w:val="24"/>
      <w:lang w:eastAsia="en-US"/>
    </w:rPr>
  </w:style>
  <w:style w:type="paragraph" w:styleId="TableofFigures">
    <w:name w:val="table of figures"/>
    <w:basedOn w:val="Normal"/>
    <w:next w:val="Normal"/>
    <w:uiPriority w:val="99"/>
    <w:rsid w:val="008410BE"/>
    <w:pPr>
      <w:spacing w:after="0"/>
    </w:pPr>
  </w:style>
  <w:style w:type="character" w:customStyle="1" w:styleId="TitleChar">
    <w:name w:val="Title Char"/>
    <w:basedOn w:val="DefaultParagraphFont"/>
    <w:link w:val="Title"/>
    <w:rsid w:val="00DB5669"/>
    <w:rPr>
      <w:rFonts w:ascii="Gill Sans MT" w:eastAsia="Times New Roman" w:hAnsi="Gill Sans MT" w:cs="Arial"/>
      <w:b/>
      <w:bCs/>
      <w:kern w:val="28"/>
      <w:sz w:val="36"/>
      <w:szCs w:val="32"/>
      <w:lang w:eastAsia="en-US"/>
    </w:rPr>
  </w:style>
  <w:style w:type="character" w:customStyle="1" w:styleId="Heading5Char">
    <w:name w:val="Heading 5 Char"/>
    <w:basedOn w:val="DefaultParagraphFont"/>
    <w:link w:val="Heading5"/>
    <w:rsid w:val="00DB5669"/>
    <w:rPr>
      <w:rFonts w:ascii="Gill Sans MT" w:eastAsia="Times New Roman" w:hAnsi="Gill Sans MT"/>
      <w:b/>
      <w:bCs/>
      <w:i/>
      <w:iCs/>
      <w:sz w:val="26"/>
      <w:szCs w:val="26"/>
      <w:lang w:eastAsia="en-US"/>
    </w:rPr>
  </w:style>
  <w:style w:type="character" w:customStyle="1" w:styleId="Heading6Char">
    <w:name w:val="Heading 6 Char"/>
    <w:basedOn w:val="DefaultParagraphFont"/>
    <w:link w:val="Heading6"/>
    <w:rsid w:val="00DB5669"/>
    <w:rPr>
      <w:rFonts w:ascii="Gill Sans MT" w:eastAsia="Times New Roman" w:hAnsi="Gill Sans MT"/>
      <w:b/>
      <w:bCs/>
      <w:i/>
      <w:sz w:val="22"/>
      <w:szCs w:val="22"/>
      <w:lang w:eastAsia="en-US"/>
    </w:rPr>
  </w:style>
  <w:style w:type="character" w:customStyle="1" w:styleId="Heading7Char">
    <w:name w:val="Heading 7 Char"/>
    <w:basedOn w:val="DefaultParagraphFont"/>
    <w:link w:val="Heading7"/>
    <w:rsid w:val="00DB5669"/>
    <w:rPr>
      <w:rFonts w:ascii="Gill Sans MT" w:eastAsia="Times New Roman" w:hAnsi="Gill Sans MT" w:cs="Arial"/>
      <w:b/>
      <w:sz w:val="22"/>
      <w:szCs w:val="40"/>
      <w:lang w:eastAsia="en-US"/>
    </w:rPr>
  </w:style>
  <w:style w:type="character" w:customStyle="1" w:styleId="Heading8Char">
    <w:name w:val="Heading 8 Char"/>
    <w:basedOn w:val="DefaultParagraphFont"/>
    <w:link w:val="Heading8"/>
    <w:rsid w:val="00DB5669"/>
    <w:rPr>
      <w:rFonts w:ascii="Gill Sans MT" w:eastAsia="Times New Roman" w:hAnsi="Gill Sans MT"/>
      <w:b/>
      <w:i/>
      <w:sz w:val="22"/>
      <w:szCs w:val="24"/>
      <w:lang w:eastAsia="en-US"/>
    </w:rPr>
  </w:style>
  <w:style w:type="character" w:customStyle="1" w:styleId="Heading9Char">
    <w:name w:val="Heading 9 Char"/>
    <w:basedOn w:val="DefaultParagraphFont"/>
    <w:link w:val="Heading9"/>
    <w:rsid w:val="00DB5669"/>
    <w:rPr>
      <w:rFonts w:ascii="Gill Sans MT" w:eastAsia="Times New Roman" w:hAnsi="Gill Sans MT" w:cs="Arial"/>
      <w:i/>
      <w:sz w:val="22"/>
      <w:szCs w:val="32"/>
      <w:lang w:eastAsia="en-US"/>
    </w:rPr>
  </w:style>
  <w:style w:type="character" w:customStyle="1" w:styleId="DateChar">
    <w:name w:val="Date Char"/>
    <w:basedOn w:val="DefaultParagraphFont"/>
    <w:link w:val="Date"/>
    <w:rsid w:val="00DB5669"/>
    <w:rPr>
      <w:rFonts w:ascii="Gill Sans MT" w:eastAsia="Times New Roman" w:hAnsi="Gill Sans MT"/>
      <w:i/>
      <w:sz w:val="26"/>
      <w:szCs w:val="24"/>
      <w:lang w:eastAsia="en-US"/>
    </w:rPr>
  </w:style>
  <w:style w:type="character" w:customStyle="1" w:styleId="DocumentMapChar">
    <w:name w:val="Document Map Char"/>
    <w:basedOn w:val="DefaultParagraphFont"/>
    <w:link w:val="DocumentMap"/>
    <w:semiHidden/>
    <w:rsid w:val="00DB5669"/>
    <w:rPr>
      <w:rFonts w:ascii="Tahoma" w:eastAsia="Times New Roman" w:hAnsi="Tahoma" w:cs="Tahoma"/>
      <w:szCs w:val="24"/>
      <w:shd w:val="clear" w:color="auto" w:fill="000080"/>
      <w:lang w:eastAsia="en-US"/>
    </w:rPr>
  </w:style>
  <w:style w:type="character" w:customStyle="1" w:styleId="HeaderChar">
    <w:name w:val="Header Char"/>
    <w:basedOn w:val="DefaultParagraphFont"/>
    <w:link w:val="Header"/>
    <w:rsid w:val="00DB5669"/>
    <w:rPr>
      <w:rFonts w:ascii="Gill Sans MT" w:eastAsia="Times New Roman" w:hAnsi="Gill Sans MT"/>
      <w:color w:val="333333"/>
      <w:sz w:val="22"/>
      <w:lang w:eastAsia="en-US"/>
    </w:rPr>
  </w:style>
  <w:style w:type="character" w:customStyle="1" w:styleId="MacroTextChar">
    <w:name w:val="Macro Text Char"/>
    <w:basedOn w:val="DefaultParagraphFont"/>
    <w:link w:val="MacroText"/>
    <w:semiHidden/>
    <w:rsid w:val="00DB5669"/>
    <w:rPr>
      <w:rFonts w:ascii="Courier New" w:eastAsia="Times New Roman" w:hAnsi="Courier New" w:cs="Courier New"/>
      <w:lang w:eastAsia="en-US"/>
    </w:rPr>
  </w:style>
  <w:style w:type="character" w:customStyle="1" w:styleId="SubtitleChar">
    <w:name w:val="Subtitle Char"/>
    <w:basedOn w:val="DefaultParagraphFont"/>
    <w:link w:val="Subtitle"/>
    <w:rsid w:val="00DB5669"/>
    <w:rPr>
      <w:rFonts w:ascii="Gill Sans MT" w:eastAsia="Times New Roman" w:hAnsi="Gill Sans MT"/>
      <w:sz w:val="28"/>
      <w:szCs w:val="24"/>
      <w:lang w:eastAsia="en-US"/>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qFormat/>
    <w:locked/>
    <w:rsid w:val="004F29F0"/>
    <w:rPr>
      <w:rFonts w:ascii="Gill Sans" w:eastAsia="Times New Roman" w:hAnsi="Gill San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281">
      <w:bodyDiv w:val="1"/>
      <w:marLeft w:val="0"/>
      <w:marRight w:val="0"/>
      <w:marTop w:val="0"/>
      <w:marBottom w:val="0"/>
      <w:divBdr>
        <w:top w:val="none" w:sz="0" w:space="0" w:color="auto"/>
        <w:left w:val="none" w:sz="0" w:space="0" w:color="auto"/>
        <w:bottom w:val="none" w:sz="0" w:space="0" w:color="auto"/>
        <w:right w:val="none" w:sz="0" w:space="0" w:color="auto"/>
      </w:divBdr>
    </w:div>
    <w:div w:id="37969947">
      <w:bodyDiv w:val="1"/>
      <w:marLeft w:val="0"/>
      <w:marRight w:val="0"/>
      <w:marTop w:val="0"/>
      <w:marBottom w:val="0"/>
      <w:divBdr>
        <w:top w:val="none" w:sz="0" w:space="0" w:color="auto"/>
        <w:left w:val="none" w:sz="0" w:space="0" w:color="auto"/>
        <w:bottom w:val="none" w:sz="0" w:space="0" w:color="auto"/>
        <w:right w:val="none" w:sz="0" w:space="0" w:color="auto"/>
      </w:divBdr>
    </w:div>
    <w:div w:id="57167715">
      <w:bodyDiv w:val="1"/>
      <w:marLeft w:val="0"/>
      <w:marRight w:val="0"/>
      <w:marTop w:val="0"/>
      <w:marBottom w:val="0"/>
      <w:divBdr>
        <w:top w:val="none" w:sz="0" w:space="0" w:color="auto"/>
        <w:left w:val="none" w:sz="0" w:space="0" w:color="auto"/>
        <w:bottom w:val="none" w:sz="0" w:space="0" w:color="auto"/>
        <w:right w:val="none" w:sz="0" w:space="0" w:color="auto"/>
      </w:divBdr>
    </w:div>
    <w:div w:id="67921165">
      <w:bodyDiv w:val="1"/>
      <w:marLeft w:val="0"/>
      <w:marRight w:val="0"/>
      <w:marTop w:val="0"/>
      <w:marBottom w:val="0"/>
      <w:divBdr>
        <w:top w:val="none" w:sz="0" w:space="0" w:color="auto"/>
        <w:left w:val="none" w:sz="0" w:space="0" w:color="auto"/>
        <w:bottom w:val="none" w:sz="0" w:space="0" w:color="auto"/>
        <w:right w:val="none" w:sz="0" w:space="0" w:color="auto"/>
      </w:divBdr>
    </w:div>
    <w:div w:id="81995069">
      <w:bodyDiv w:val="1"/>
      <w:marLeft w:val="0"/>
      <w:marRight w:val="0"/>
      <w:marTop w:val="0"/>
      <w:marBottom w:val="0"/>
      <w:divBdr>
        <w:top w:val="none" w:sz="0" w:space="0" w:color="auto"/>
        <w:left w:val="none" w:sz="0" w:space="0" w:color="auto"/>
        <w:bottom w:val="none" w:sz="0" w:space="0" w:color="auto"/>
        <w:right w:val="none" w:sz="0" w:space="0" w:color="auto"/>
      </w:divBdr>
    </w:div>
    <w:div w:id="93282283">
      <w:bodyDiv w:val="1"/>
      <w:marLeft w:val="0"/>
      <w:marRight w:val="0"/>
      <w:marTop w:val="0"/>
      <w:marBottom w:val="0"/>
      <w:divBdr>
        <w:top w:val="none" w:sz="0" w:space="0" w:color="auto"/>
        <w:left w:val="none" w:sz="0" w:space="0" w:color="auto"/>
        <w:bottom w:val="none" w:sz="0" w:space="0" w:color="auto"/>
        <w:right w:val="none" w:sz="0" w:space="0" w:color="auto"/>
      </w:divBdr>
    </w:div>
    <w:div w:id="94831033">
      <w:bodyDiv w:val="1"/>
      <w:marLeft w:val="0"/>
      <w:marRight w:val="0"/>
      <w:marTop w:val="0"/>
      <w:marBottom w:val="0"/>
      <w:divBdr>
        <w:top w:val="none" w:sz="0" w:space="0" w:color="auto"/>
        <w:left w:val="none" w:sz="0" w:space="0" w:color="auto"/>
        <w:bottom w:val="none" w:sz="0" w:space="0" w:color="auto"/>
        <w:right w:val="none" w:sz="0" w:space="0" w:color="auto"/>
      </w:divBdr>
    </w:div>
    <w:div w:id="103306777">
      <w:bodyDiv w:val="1"/>
      <w:marLeft w:val="0"/>
      <w:marRight w:val="0"/>
      <w:marTop w:val="0"/>
      <w:marBottom w:val="0"/>
      <w:divBdr>
        <w:top w:val="none" w:sz="0" w:space="0" w:color="auto"/>
        <w:left w:val="none" w:sz="0" w:space="0" w:color="auto"/>
        <w:bottom w:val="none" w:sz="0" w:space="0" w:color="auto"/>
        <w:right w:val="none" w:sz="0" w:space="0" w:color="auto"/>
      </w:divBdr>
    </w:div>
    <w:div w:id="117649406">
      <w:bodyDiv w:val="1"/>
      <w:marLeft w:val="0"/>
      <w:marRight w:val="0"/>
      <w:marTop w:val="0"/>
      <w:marBottom w:val="0"/>
      <w:divBdr>
        <w:top w:val="none" w:sz="0" w:space="0" w:color="auto"/>
        <w:left w:val="none" w:sz="0" w:space="0" w:color="auto"/>
        <w:bottom w:val="none" w:sz="0" w:space="0" w:color="auto"/>
        <w:right w:val="none" w:sz="0" w:space="0" w:color="auto"/>
      </w:divBdr>
    </w:div>
    <w:div w:id="146285035">
      <w:bodyDiv w:val="1"/>
      <w:marLeft w:val="0"/>
      <w:marRight w:val="0"/>
      <w:marTop w:val="0"/>
      <w:marBottom w:val="0"/>
      <w:divBdr>
        <w:top w:val="none" w:sz="0" w:space="0" w:color="auto"/>
        <w:left w:val="none" w:sz="0" w:space="0" w:color="auto"/>
        <w:bottom w:val="none" w:sz="0" w:space="0" w:color="auto"/>
        <w:right w:val="none" w:sz="0" w:space="0" w:color="auto"/>
      </w:divBdr>
    </w:div>
    <w:div w:id="220751048">
      <w:bodyDiv w:val="1"/>
      <w:marLeft w:val="0"/>
      <w:marRight w:val="0"/>
      <w:marTop w:val="0"/>
      <w:marBottom w:val="0"/>
      <w:divBdr>
        <w:top w:val="none" w:sz="0" w:space="0" w:color="auto"/>
        <w:left w:val="none" w:sz="0" w:space="0" w:color="auto"/>
        <w:bottom w:val="none" w:sz="0" w:space="0" w:color="auto"/>
        <w:right w:val="none" w:sz="0" w:space="0" w:color="auto"/>
      </w:divBdr>
    </w:div>
    <w:div w:id="367145732">
      <w:bodyDiv w:val="1"/>
      <w:marLeft w:val="0"/>
      <w:marRight w:val="0"/>
      <w:marTop w:val="0"/>
      <w:marBottom w:val="0"/>
      <w:divBdr>
        <w:top w:val="none" w:sz="0" w:space="0" w:color="auto"/>
        <w:left w:val="none" w:sz="0" w:space="0" w:color="auto"/>
        <w:bottom w:val="none" w:sz="0" w:space="0" w:color="auto"/>
        <w:right w:val="none" w:sz="0" w:space="0" w:color="auto"/>
      </w:divBdr>
    </w:div>
    <w:div w:id="407506685">
      <w:bodyDiv w:val="1"/>
      <w:marLeft w:val="0"/>
      <w:marRight w:val="0"/>
      <w:marTop w:val="0"/>
      <w:marBottom w:val="0"/>
      <w:divBdr>
        <w:top w:val="none" w:sz="0" w:space="0" w:color="auto"/>
        <w:left w:val="none" w:sz="0" w:space="0" w:color="auto"/>
        <w:bottom w:val="none" w:sz="0" w:space="0" w:color="auto"/>
        <w:right w:val="none" w:sz="0" w:space="0" w:color="auto"/>
      </w:divBdr>
    </w:div>
    <w:div w:id="429159341">
      <w:bodyDiv w:val="1"/>
      <w:marLeft w:val="0"/>
      <w:marRight w:val="0"/>
      <w:marTop w:val="0"/>
      <w:marBottom w:val="0"/>
      <w:divBdr>
        <w:top w:val="none" w:sz="0" w:space="0" w:color="auto"/>
        <w:left w:val="none" w:sz="0" w:space="0" w:color="auto"/>
        <w:bottom w:val="none" w:sz="0" w:space="0" w:color="auto"/>
        <w:right w:val="none" w:sz="0" w:space="0" w:color="auto"/>
      </w:divBdr>
    </w:div>
    <w:div w:id="462236140">
      <w:bodyDiv w:val="1"/>
      <w:marLeft w:val="0"/>
      <w:marRight w:val="0"/>
      <w:marTop w:val="0"/>
      <w:marBottom w:val="0"/>
      <w:divBdr>
        <w:top w:val="none" w:sz="0" w:space="0" w:color="auto"/>
        <w:left w:val="none" w:sz="0" w:space="0" w:color="auto"/>
        <w:bottom w:val="none" w:sz="0" w:space="0" w:color="auto"/>
        <w:right w:val="none" w:sz="0" w:space="0" w:color="auto"/>
      </w:divBdr>
    </w:div>
    <w:div w:id="476648223">
      <w:bodyDiv w:val="1"/>
      <w:marLeft w:val="0"/>
      <w:marRight w:val="0"/>
      <w:marTop w:val="0"/>
      <w:marBottom w:val="0"/>
      <w:divBdr>
        <w:top w:val="none" w:sz="0" w:space="0" w:color="auto"/>
        <w:left w:val="none" w:sz="0" w:space="0" w:color="auto"/>
        <w:bottom w:val="none" w:sz="0" w:space="0" w:color="auto"/>
        <w:right w:val="none" w:sz="0" w:space="0" w:color="auto"/>
      </w:divBdr>
    </w:div>
    <w:div w:id="550458307">
      <w:bodyDiv w:val="1"/>
      <w:marLeft w:val="0"/>
      <w:marRight w:val="0"/>
      <w:marTop w:val="0"/>
      <w:marBottom w:val="0"/>
      <w:divBdr>
        <w:top w:val="none" w:sz="0" w:space="0" w:color="auto"/>
        <w:left w:val="none" w:sz="0" w:space="0" w:color="auto"/>
        <w:bottom w:val="none" w:sz="0" w:space="0" w:color="auto"/>
        <w:right w:val="none" w:sz="0" w:space="0" w:color="auto"/>
      </w:divBdr>
    </w:div>
    <w:div w:id="554894483">
      <w:bodyDiv w:val="1"/>
      <w:marLeft w:val="0"/>
      <w:marRight w:val="0"/>
      <w:marTop w:val="0"/>
      <w:marBottom w:val="0"/>
      <w:divBdr>
        <w:top w:val="none" w:sz="0" w:space="0" w:color="auto"/>
        <w:left w:val="none" w:sz="0" w:space="0" w:color="auto"/>
        <w:bottom w:val="none" w:sz="0" w:space="0" w:color="auto"/>
        <w:right w:val="none" w:sz="0" w:space="0" w:color="auto"/>
      </w:divBdr>
    </w:div>
    <w:div w:id="645016191">
      <w:bodyDiv w:val="1"/>
      <w:marLeft w:val="0"/>
      <w:marRight w:val="0"/>
      <w:marTop w:val="0"/>
      <w:marBottom w:val="0"/>
      <w:divBdr>
        <w:top w:val="none" w:sz="0" w:space="0" w:color="auto"/>
        <w:left w:val="none" w:sz="0" w:space="0" w:color="auto"/>
        <w:bottom w:val="none" w:sz="0" w:space="0" w:color="auto"/>
        <w:right w:val="none" w:sz="0" w:space="0" w:color="auto"/>
      </w:divBdr>
    </w:div>
    <w:div w:id="686251143">
      <w:bodyDiv w:val="1"/>
      <w:marLeft w:val="0"/>
      <w:marRight w:val="0"/>
      <w:marTop w:val="0"/>
      <w:marBottom w:val="0"/>
      <w:divBdr>
        <w:top w:val="none" w:sz="0" w:space="0" w:color="auto"/>
        <w:left w:val="none" w:sz="0" w:space="0" w:color="auto"/>
        <w:bottom w:val="none" w:sz="0" w:space="0" w:color="auto"/>
        <w:right w:val="none" w:sz="0" w:space="0" w:color="auto"/>
      </w:divBdr>
    </w:div>
    <w:div w:id="699627028">
      <w:bodyDiv w:val="1"/>
      <w:marLeft w:val="0"/>
      <w:marRight w:val="0"/>
      <w:marTop w:val="0"/>
      <w:marBottom w:val="0"/>
      <w:divBdr>
        <w:top w:val="none" w:sz="0" w:space="0" w:color="auto"/>
        <w:left w:val="none" w:sz="0" w:space="0" w:color="auto"/>
        <w:bottom w:val="none" w:sz="0" w:space="0" w:color="auto"/>
        <w:right w:val="none" w:sz="0" w:space="0" w:color="auto"/>
      </w:divBdr>
    </w:div>
    <w:div w:id="709646283">
      <w:bodyDiv w:val="1"/>
      <w:marLeft w:val="0"/>
      <w:marRight w:val="0"/>
      <w:marTop w:val="0"/>
      <w:marBottom w:val="0"/>
      <w:divBdr>
        <w:top w:val="none" w:sz="0" w:space="0" w:color="auto"/>
        <w:left w:val="none" w:sz="0" w:space="0" w:color="auto"/>
        <w:bottom w:val="none" w:sz="0" w:space="0" w:color="auto"/>
        <w:right w:val="none" w:sz="0" w:space="0" w:color="auto"/>
      </w:divBdr>
    </w:div>
    <w:div w:id="793988325">
      <w:bodyDiv w:val="1"/>
      <w:marLeft w:val="0"/>
      <w:marRight w:val="0"/>
      <w:marTop w:val="0"/>
      <w:marBottom w:val="0"/>
      <w:divBdr>
        <w:top w:val="none" w:sz="0" w:space="0" w:color="auto"/>
        <w:left w:val="none" w:sz="0" w:space="0" w:color="auto"/>
        <w:bottom w:val="none" w:sz="0" w:space="0" w:color="auto"/>
        <w:right w:val="none" w:sz="0" w:space="0" w:color="auto"/>
      </w:divBdr>
    </w:div>
    <w:div w:id="808789616">
      <w:bodyDiv w:val="1"/>
      <w:marLeft w:val="0"/>
      <w:marRight w:val="0"/>
      <w:marTop w:val="0"/>
      <w:marBottom w:val="0"/>
      <w:divBdr>
        <w:top w:val="none" w:sz="0" w:space="0" w:color="auto"/>
        <w:left w:val="none" w:sz="0" w:space="0" w:color="auto"/>
        <w:bottom w:val="none" w:sz="0" w:space="0" w:color="auto"/>
        <w:right w:val="none" w:sz="0" w:space="0" w:color="auto"/>
      </w:divBdr>
    </w:div>
    <w:div w:id="818768189">
      <w:bodyDiv w:val="1"/>
      <w:marLeft w:val="0"/>
      <w:marRight w:val="0"/>
      <w:marTop w:val="0"/>
      <w:marBottom w:val="0"/>
      <w:divBdr>
        <w:top w:val="none" w:sz="0" w:space="0" w:color="auto"/>
        <w:left w:val="none" w:sz="0" w:space="0" w:color="auto"/>
        <w:bottom w:val="none" w:sz="0" w:space="0" w:color="auto"/>
        <w:right w:val="none" w:sz="0" w:space="0" w:color="auto"/>
      </w:divBdr>
    </w:div>
    <w:div w:id="842427659">
      <w:bodyDiv w:val="1"/>
      <w:marLeft w:val="0"/>
      <w:marRight w:val="0"/>
      <w:marTop w:val="0"/>
      <w:marBottom w:val="0"/>
      <w:divBdr>
        <w:top w:val="none" w:sz="0" w:space="0" w:color="auto"/>
        <w:left w:val="none" w:sz="0" w:space="0" w:color="auto"/>
        <w:bottom w:val="none" w:sz="0" w:space="0" w:color="auto"/>
        <w:right w:val="none" w:sz="0" w:space="0" w:color="auto"/>
      </w:divBdr>
    </w:div>
    <w:div w:id="851795291">
      <w:bodyDiv w:val="1"/>
      <w:marLeft w:val="0"/>
      <w:marRight w:val="0"/>
      <w:marTop w:val="0"/>
      <w:marBottom w:val="0"/>
      <w:divBdr>
        <w:top w:val="none" w:sz="0" w:space="0" w:color="auto"/>
        <w:left w:val="none" w:sz="0" w:space="0" w:color="auto"/>
        <w:bottom w:val="none" w:sz="0" w:space="0" w:color="auto"/>
        <w:right w:val="none" w:sz="0" w:space="0" w:color="auto"/>
      </w:divBdr>
    </w:div>
    <w:div w:id="872576599">
      <w:bodyDiv w:val="1"/>
      <w:marLeft w:val="0"/>
      <w:marRight w:val="0"/>
      <w:marTop w:val="0"/>
      <w:marBottom w:val="0"/>
      <w:divBdr>
        <w:top w:val="none" w:sz="0" w:space="0" w:color="auto"/>
        <w:left w:val="none" w:sz="0" w:space="0" w:color="auto"/>
        <w:bottom w:val="none" w:sz="0" w:space="0" w:color="auto"/>
        <w:right w:val="none" w:sz="0" w:space="0" w:color="auto"/>
      </w:divBdr>
    </w:div>
    <w:div w:id="879318147">
      <w:bodyDiv w:val="1"/>
      <w:marLeft w:val="0"/>
      <w:marRight w:val="0"/>
      <w:marTop w:val="0"/>
      <w:marBottom w:val="0"/>
      <w:divBdr>
        <w:top w:val="none" w:sz="0" w:space="0" w:color="auto"/>
        <w:left w:val="none" w:sz="0" w:space="0" w:color="auto"/>
        <w:bottom w:val="none" w:sz="0" w:space="0" w:color="auto"/>
        <w:right w:val="none" w:sz="0" w:space="0" w:color="auto"/>
      </w:divBdr>
    </w:div>
    <w:div w:id="882525296">
      <w:bodyDiv w:val="1"/>
      <w:marLeft w:val="0"/>
      <w:marRight w:val="0"/>
      <w:marTop w:val="0"/>
      <w:marBottom w:val="0"/>
      <w:divBdr>
        <w:top w:val="none" w:sz="0" w:space="0" w:color="auto"/>
        <w:left w:val="none" w:sz="0" w:space="0" w:color="auto"/>
        <w:bottom w:val="none" w:sz="0" w:space="0" w:color="auto"/>
        <w:right w:val="none" w:sz="0" w:space="0" w:color="auto"/>
      </w:divBdr>
    </w:div>
    <w:div w:id="890652668">
      <w:bodyDiv w:val="1"/>
      <w:marLeft w:val="0"/>
      <w:marRight w:val="0"/>
      <w:marTop w:val="0"/>
      <w:marBottom w:val="0"/>
      <w:divBdr>
        <w:top w:val="none" w:sz="0" w:space="0" w:color="auto"/>
        <w:left w:val="none" w:sz="0" w:space="0" w:color="auto"/>
        <w:bottom w:val="none" w:sz="0" w:space="0" w:color="auto"/>
        <w:right w:val="none" w:sz="0" w:space="0" w:color="auto"/>
      </w:divBdr>
    </w:div>
    <w:div w:id="891576051">
      <w:bodyDiv w:val="1"/>
      <w:marLeft w:val="0"/>
      <w:marRight w:val="0"/>
      <w:marTop w:val="0"/>
      <w:marBottom w:val="0"/>
      <w:divBdr>
        <w:top w:val="none" w:sz="0" w:space="0" w:color="auto"/>
        <w:left w:val="none" w:sz="0" w:space="0" w:color="auto"/>
        <w:bottom w:val="none" w:sz="0" w:space="0" w:color="auto"/>
        <w:right w:val="none" w:sz="0" w:space="0" w:color="auto"/>
      </w:divBdr>
    </w:div>
    <w:div w:id="947270510">
      <w:bodyDiv w:val="1"/>
      <w:marLeft w:val="0"/>
      <w:marRight w:val="0"/>
      <w:marTop w:val="0"/>
      <w:marBottom w:val="0"/>
      <w:divBdr>
        <w:top w:val="none" w:sz="0" w:space="0" w:color="auto"/>
        <w:left w:val="none" w:sz="0" w:space="0" w:color="auto"/>
        <w:bottom w:val="none" w:sz="0" w:space="0" w:color="auto"/>
        <w:right w:val="none" w:sz="0" w:space="0" w:color="auto"/>
      </w:divBdr>
    </w:div>
    <w:div w:id="961418265">
      <w:bodyDiv w:val="1"/>
      <w:marLeft w:val="0"/>
      <w:marRight w:val="0"/>
      <w:marTop w:val="0"/>
      <w:marBottom w:val="0"/>
      <w:divBdr>
        <w:top w:val="none" w:sz="0" w:space="0" w:color="auto"/>
        <w:left w:val="none" w:sz="0" w:space="0" w:color="auto"/>
        <w:bottom w:val="none" w:sz="0" w:space="0" w:color="auto"/>
        <w:right w:val="none" w:sz="0" w:space="0" w:color="auto"/>
      </w:divBdr>
    </w:div>
    <w:div w:id="969214361">
      <w:bodyDiv w:val="1"/>
      <w:marLeft w:val="0"/>
      <w:marRight w:val="0"/>
      <w:marTop w:val="0"/>
      <w:marBottom w:val="0"/>
      <w:divBdr>
        <w:top w:val="none" w:sz="0" w:space="0" w:color="auto"/>
        <w:left w:val="none" w:sz="0" w:space="0" w:color="auto"/>
        <w:bottom w:val="none" w:sz="0" w:space="0" w:color="auto"/>
        <w:right w:val="none" w:sz="0" w:space="0" w:color="auto"/>
      </w:divBdr>
    </w:div>
    <w:div w:id="1012759835">
      <w:bodyDiv w:val="1"/>
      <w:marLeft w:val="0"/>
      <w:marRight w:val="0"/>
      <w:marTop w:val="0"/>
      <w:marBottom w:val="0"/>
      <w:divBdr>
        <w:top w:val="none" w:sz="0" w:space="0" w:color="auto"/>
        <w:left w:val="none" w:sz="0" w:space="0" w:color="auto"/>
        <w:bottom w:val="none" w:sz="0" w:space="0" w:color="auto"/>
        <w:right w:val="none" w:sz="0" w:space="0" w:color="auto"/>
      </w:divBdr>
    </w:div>
    <w:div w:id="1126892146">
      <w:bodyDiv w:val="1"/>
      <w:marLeft w:val="0"/>
      <w:marRight w:val="0"/>
      <w:marTop w:val="0"/>
      <w:marBottom w:val="0"/>
      <w:divBdr>
        <w:top w:val="none" w:sz="0" w:space="0" w:color="auto"/>
        <w:left w:val="none" w:sz="0" w:space="0" w:color="auto"/>
        <w:bottom w:val="none" w:sz="0" w:space="0" w:color="auto"/>
        <w:right w:val="none" w:sz="0" w:space="0" w:color="auto"/>
      </w:divBdr>
    </w:div>
    <w:div w:id="1130326007">
      <w:bodyDiv w:val="1"/>
      <w:marLeft w:val="0"/>
      <w:marRight w:val="0"/>
      <w:marTop w:val="0"/>
      <w:marBottom w:val="0"/>
      <w:divBdr>
        <w:top w:val="none" w:sz="0" w:space="0" w:color="auto"/>
        <w:left w:val="none" w:sz="0" w:space="0" w:color="auto"/>
        <w:bottom w:val="none" w:sz="0" w:space="0" w:color="auto"/>
        <w:right w:val="none" w:sz="0" w:space="0" w:color="auto"/>
      </w:divBdr>
    </w:div>
    <w:div w:id="1159345536">
      <w:bodyDiv w:val="1"/>
      <w:marLeft w:val="0"/>
      <w:marRight w:val="0"/>
      <w:marTop w:val="0"/>
      <w:marBottom w:val="0"/>
      <w:divBdr>
        <w:top w:val="none" w:sz="0" w:space="0" w:color="auto"/>
        <w:left w:val="none" w:sz="0" w:space="0" w:color="auto"/>
        <w:bottom w:val="none" w:sz="0" w:space="0" w:color="auto"/>
        <w:right w:val="none" w:sz="0" w:space="0" w:color="auto"/>
      </w:divBdr>
    </w:div>
    <w:div w:id="1177229461">
      <w:bodyDiv w:val="1"/>
      <w:marLeft w:val="0"/>
      <w:marRight w:val="0"/>
      <w:marTop w:val="0"/>
      <w:marBottom w:val="0"/>
      <w:divBdr>
        <w:top w:val="none" w:sz="0" w:space="0" w:color="auto"/>
        <w:left w:val="none" w:sz="0" w:space="0" w:color="auto"/>
        <w:bottom w:val="none" w:sz="0" w:space="0" w:color="auto"/>
        <w:right w:val="none" w:sz="0" w:space="0" w:color="auto"/>
      </w:divBdr>
    </w:div>
    <w:div w:id="1189836413">
      <w:bodyDiv w:val="1"/>
      <w:marLeft w:val="0"/>
      <w:marRight w:val="0"/>
      <w:marTop w:val="0"/>
      <w:marBottom w:val="0"/>
      <w:divBdr>
        <w:top w:val="none" w:sz="0" w:space="0" w:color="auto"/>
        <w:left w:val="none" w:sz="0" w:space="0" w:color="auto"/>
        <w:bottom w:val="none" w:sz="0" w:space="0" w:color="auto"/>
        <w:right w:val="none" w:sz="0" w:space="0" w:color="auto"/>
      </w:divBdr>
    </w:div>
    <w:div w:id="1192913162">
      <w:bodyDiv w:val="1"/>
      <w:marLeft w:val="0"/>
      <w:marRight w:val="0"/>
      <w:marTop w:val="0"/>
      <w:marBottom w:val="0"/>
      <w:divBdr>
        <w:top w:val="none" w:sz="0" w:space="0" w:color="auto"/>
        <w:left w:val="none" w:sz="0" w:space="0" w:color="auto"/>
        <w:bottom w:val="none" w:sz="0" w:space="0" w:color="auto"/>
        <w:right w:val="none" w:sz="0" w:space="0" w:color="auto"/>
      </w:divBdr>
    </w:div>
    <w:div w:id="1315335393">
      <w:bodyDiv w:val="1"/>
      <w:marLeft w:val="0"/>
      <w:marRight w:val="0"/>
      <w:marTop w:val="0"/>
      <w:marBottom w:val="0"/>
      <w:divBdr>
        <w:top w:val="none" w:sz="0" w:space="0" w:color="auto"/>
        <w:left w:val="none" w:sz="0" w:space="0" w:color="auto"/>
        <w:bottom w:val="none" w:sz="0" w:space="0" w:color="auto"/>
        <w:right w:val="none" w:sz="0" w:space="0" w:color="auto"/>
      </w:divBdr>
    </w:div>
    <w:div w:id="1323240469">
      <w:bodyDiv w:val="1"/>
      <w:marLeft w:val="0"/>
      <w:marRight w:val="0"/>
      <w:marTop w:val="0"/>
      <w:marBottom w:val="0"/>
      <w:divBdr>
        <w:top w:val="none" w:sz="0" w:space="0" w:color="auto"/>
        <w:left w:val="none" w:sz="0" w:space="0" w:color="auto"/>
        <w:bottom w:val="none" w:sz="0" w:space="0" w:color="auto"/>
        <w:right w:val="none" w:sz="0" w:space="0" w:color="auto"/>
      </w:divBdr>
    </w:div>
    <w:div w:id="1431898673">
      <w:bodyDiv w:val="1"/>
      <w:marLeft w:val="0"/>
      <w:marRight w:val="0"/>
      <w:marTop w:val="0"/>
      <w:marBottom w:val="0"/>
      <w:divBdr>
        <w:top w:val="none" w:sz="0" w:space="0" w:color="auto"/>
        <w:left w:val="none" w:sz="0" w:space="0" w:color="auto"/>
        <w:bottom w:val="none" w:sz="0" w:space="0" w:color="auto"/>
        <w:right w:val="none" w:sz="0" w:space="0" w:color="auto"/>
      </w:divBdr>
    </w:div>
    <w:div w:id="1468279613">
      <w:bodyDiv w:val="1"/>
      <w:marLeft w:val="0"/>
      <w:marRight w:val="0"/>
      <w:marTop w:val="0"/>
      <w:marBottom w:val="0"/>
      <w:divBdr>
        <w:top w:val="none" w:sz="0" w:space="0" w:color="auto"/>
        <w:left w:val="none" w:sz="0" w:space="0" w:color="auto"/>
        <w:bottom w:val="none" w:sz="0" w:space="0" w:color="auto"/>
        <w:right w:val="none" w:sz="0" w:space="0" w:color="auto"/>
      </w:divBdr>
    </w:div>
    <w:div w:id="1477526181">
      <w:bodyDiv w:val="1"/>
      <w:marLeft w:val="0"/>
      <w:marRight w:val="0"/>
      <w:marTop w:val="0"/>
      <w:marBottom w:val="0"/>
      <w:divBdr>
        <w:top w:val="none" w:sz="0" w:space="0" w:color="auto"/>
        <w:left w:val="none" w:sz="0" w:space="0" w:color="auto"/>
        <w:bottom w:val="none" w:sz="0" w:space="0" w:color="auto"/>
        <w:right w:val="none" w:sz="0" w:space="0" w:color="auto"/>
      </w:divBdr>
    </w:div>
    <w:div w:id="1483962182">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
    <w:div w:id="1532767029">
      <w:bodyDiv w:val="1"/>
      <w:marLeft w:val="0"/>
      <w:marRight w:val="0"/>
      <w:marTop w:val="0"/>
      <w:marBottom w:val="0"/>
      <w:divBdr>
        <w:top w:val="none" w:sz="0" w:space="0" w:color="auto"/>
        <w:left w:val="none" w:sz="0" w:space="0" w:color="auto"/>
        <w:bottom w:val="none" w:sz="0" w:space="0" w:color="auto"/>
        <w:right w:val="none" w:sz="0" w:space="0" w:color="auto"/>
      </w:divBdr>
    </w:div>
    <w:div w:id="1568220594">
      <w:bodyDiv w:val="1"/>
      <w:marLeft w:val="0"/>
      <w:marRight w:val="0"/>
      <w:marTop w:val="0"/>
      <w:marBottom w:val="0"/>
      <w:divBdr>
        <w:top w:val="none" w:sz="0" w:space="0" w:color="auto"/>
        <w:left w:val="none" w:sz="0" w:space="0" w:color="auto"/>
        <w:bottom w:val="none" w:sz="0" w:space="0" w:color="auto"/>
        <w:right w:val="none" w:sz="0" w:space="0" w:color="auto"/>
      </w:divBdr>
    </w:div>
    <w:div w:id="1590575573">
      <w:bodyDiv w:val="1"/>
      <w:marLeft w:val="0"/>
      <w:marRight w:val="0"/>
      <w:marTop w:val="0"/>
      <w:marBottom w:val="0"/>
      <w:divBdr>
        <w:top w:val="none" w:sz="0" w:space="0" w:color="auto"/>
        <w:left w:val="none" w:sz="0" w:space="0" w:color="auto"/>
        <w:bottom w:val="none" w:sz="0" w:space="0" w:color="auto"/>
        <w:right w:val="none" w:sz="0" w:space="0" w:color="auto"/>
      </w:divBdr>
    </w:div>
    <w:div w:id="1649555285">
      <w:bodyDiv w:val="1"/>
      <w:marLeft w:val="0"/>
      <w:marRight w:val="0"/>
      <w:marTop w:val="0"/>
      <w:marBottom w:val="0"/>
      <w:divBdr>
        <w:top w:val="none" w:sz="0" w:space="0" w:color="auto"/>
        <w:left w:val="none" w:sz="0" w:space="0" w:color="auto"/>
        <w:bottom w:val="none" w:sz="0" w:space="0" w:color="auto"/>
        <w:right w:val="none" w:sz="0" w:space="0" w:color="auto"/>
      </w:divBdr>
    </w:div>
    <w:div w:id="1721323902">
      <w:bodyDiv w:val="1"/>
      <w:marLeft w:val="0"/>
      <w:marRight w:val="0"/>
      <w:marTop w:val="0"/>
      <w:marBottom w:val="0"/>
      <w:divBdr>
        <w:top w:val="none" w:sz="0" w:space="0" w:color="auto"/>
        <w:left w:val="none" w:sz="0" w:space="0" w:color="auto"/>
        <w:bottom w:val="none" w:sz="0" w:space="0" w:color="auto"/>
        <w:right w:val="none" w:sz="0" w:space="0" w:color="auto"/>
      </w:divBdr>
    </w:div>
    <w:div w:id="1763604076">
      <w:bodyDiv w:val="1"/>
      <w:marLeft w:val="0"/>
      <w:marRight w:val="0"/>
      <w:marTop w:val="0"/>
      <w:marBottom w:val="0"/>
      <w:divBdr>
        <w:top w:val="none" w:sz="0" w:space="0" w:color="auto"/>
        <w:left w:val="none" w:sz="0" w:space="0" w:color="auto"/>
        <w:bottom w:val="none" w:sz="0" w:space="0" w:color="auto"/>
        <w:right w:val="none" w:sz="0" w:space="0" w:color="auto"/>
      </w:divBdr>
    </w:div>
    <w:div w:id="1766731770">
      <w:bodyDiv w:val="1"/>
      <w:marLeft w:val="0"/>
      <w:marRight w:val="0"/>
      <w:marTop w:val="0"/>
      <w:marBottom w:val="0"/>
      <w:divBdr>
        <w:top w:val="none" w:sz="0" w:space="0" w:color="auto"/>
        <w:left w:val="none" w:sz="0" w:space="0" w:color="auto"/>
        <w:bottom w:val="none" w:sz="0" w:space="0" w:color="auto"/>
        <w:right w:val="none" w:sz="0" w:space="0" w:color="auto"/>
      </w:divBdr>
    </w:div>
    <w:div w:id="1812669009">
      <w:bodyDiv w:val="1"/>
      <w:marLeft w:val="0"/>
      <w:marRight w:val="0"/>
      <w:marTop w:val="0"/>
      <w:marBottom w:val="0"/>
      <w:divBdr>
        <w:top w:val="none" w:sz="0" w:space="0" w:color="auto"/>
        <w:left w:val="none" w:sz="0" w:space="0" w:color="auto"/>
        <w:bottom w:val="none" w:sz="0" w:space="0" w:color="auto"/>
        <w:right w:val="none" w:sz="0" w:space="0" w:color="auto"/>
      </w:divBdr>
    </w:div>
    <w:div w:id="1884949968">
      <w:bodyDiv w:val="1"/>
      <w:marLeft w:val="0"/>
      <w:marRight w:val="0"/>
      <w:marTop w:val="0"/>
      <w:marBottom w:val="0"/>
      <w:divBdr>
        <w:top w:val="none" w:sz="0" w:space="0" w:color="auto"/>
        <w:left w:val="none" w:sz="0" w:space="0" w:color="auto"/>
        <w:bottom w:val="none" w:sz="0" w:space="0" w:color="auto"/>
        <w:right w:val="none" w:sz="0" w:space="0" w:color="auto"/>
      </w:divBdr>
    </w:div>
    <w:div w:id="1901668507">
      <w:bodyDiv w:val="1"/>
      <w:marLeft w:val="0"/>
      <w:marRight w:val="0"/>
      <w:marTop w:val="0"/>
      <w:marBottom w:val="0"/>
      <w:divBdr>
        <w:top w:val="none" w:sz="0" w:space="0" w:color="auto"/>
        <w:left w:val="none" w:sz="0" w:space="0" w:color="auto"/>
        <w:bottom w:val="none" w:sz="0" w:space="0" w:color="auto"/>
        <w:right w:val="none" w:sz="0" w:space="0" w:color="auto"/>
      </w:divBdr>
    </w:div>
    <w:div w:id="1913732146">
      <w:bodyDiv w:val="1"/>
      <w:marLeft w:val="0"/>
      <w:marRight w:val="0"/>
      <w:marTop w:val="0"/>
      <w:marBottom w:val="0"/>
      <w:divBdr>
        <w:top w:val="none" w:sz="0" w:space="0" w:color="auto"/>
        <w:left w:val="none" w:sz="0" w:space="0" w:color="auto"/>
        <w:bottom w:val="none" w:sz="0" w:space="0" w:color="auto"/>
        <w:right w:val="none" w:sz="0" w:space="0" w:color="auto"/>
      </w:divBdr>
    </w:div>
    <w:div w:id="1999725167">
      <w:bodyDiv w:val="1"/>
      <w:marLeft w:val="0"/>
      <w:marRight w:val="0"/>
      <w:marTop w:val="0"/>
      <w:marBottom w:val="0"/>
      <w:divBdr>
        <w:top w:val="none" w:sz="0" w:space="0" w:color="auto"/>
        <w:left w:val="none" w:sz="0" w:space="0" w:color="auto"/>
        <w:bottom w:val="none" w:sz="0" w:space="0" w:color="auto"/>
        <w:right w:val="none" w:sz="0" w:space="0" w:color="auto"/>
      </w:divBdr>
    </w:div>
    <w:div w:id="2015061184">
      <w:bodyDiv w:val="1"/>
      <w:marLeft w:val="0"/>
      <w:marRight w:val="0"/>
      <w:marTop w:val="0"/>
      <w:marBottom w:val="0"/>
      <w:divBdr>
        <w:top w:val="none" w:sz="0" w:space="0" w:color="auto"/>
        <w:left w:val="none" w:sz="0" w:space="0" w:color="auto"/>
        <w:bottom w:val="none" w:sz="0" w:space="0" w:color="auto"/>
        <w:right w:val="none" w:sz="0" w:space="0" w:color="auto"/>
      </w:divBdr>
    </w:div>
    <w:div w:id="2016222085">
      <w:bodyDiv w:val="1"/>
      <w:marLeft w:val="0"/>
      <w:marRight w:val="0"/>
      <w:marTop w:val="0"/>
      <w:marBottom w:val="0"/>
      <w:divBdr>
        <w:top w:val="none" w:sz="0" w:space="0" w:color="auto"/>
        <w:left w:val="none" w:sz="0" w:space="0" w:color="auto"/>
        <w:bottom w:val="none" w:sz="0" w:space="0" w:color="auto"/>
        <w:right w:val="none" w:sz="0" w:space="0" w:color="auto"/>
      </w:divBdr>
    </w:div>
    <w:div w:id="2072923933">
      <w:bodyDiv w:val="1"/>
      <w:marLeft w:val="0"/>
      <w:marRight w:val="0"/>
      <w:marTop w:val="0"/>
      <w:marBottom w:val="0"/>
      <w:divBdr>
        <w:top w:val="none" w:sz="0" w:space="0" w:color="auto"/>
        <w:left w:val="none" w:sz="0" w:space="0" w:color="auto"/>
        <w:bottom w:val="none" w:sz="0" w:space="0" w:color="auto"/>
        <w:right w:val="none" w:sz="0" w:space="0" w:color="auto"/>
      </w:divBdr>
    </w:div>
    <w:div w:id="20881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i.org/10.3109/13668251003716425" TargetMode="External"/><Relationship Id="rId117" Type="http://schemas.openxmlformats.org/officeDocument/2006/relationships/hyperlink" Target="https://doi.org/10.1111/hex.12426" TargetMode="External"/><Relationship Id="rId21" Type="http://schemas.openxmlformats.org/officeDocument/2006/relationships/hyperlink" Target="https://ulir.ul.ie/handle/10344/574" TargetMode="External"/><Relationship Id="rId42" Type="http://schemas.openxmlformats.org/officeDocument/2006/relationships/hyperlink" Target="https://doi.org/10.1146/annurev.publhealth.29.091307.083824" TargetMode="External"/><Relationship Id="rId47" Type="http://schemas.openxmlformats.org/officeDocument/2006/relationships/hyperlink" Target="https://doi.org/10.1080/09687599.2017.1320273" TargetMode="External"/><Relationship Id="rId63" Type="http://schemas.openxmlformats.org/officeDocument/2006/relationships/hyperlink" Target="https://doi.org/10.1111/jppi.12248" TargetMode="External"/><Relationship Id="rId68" Type="http://schemas.openxmlformats.org/officeDocument/2006/relationships/hyperlink" Target="http://www.nuigalway.ie/ilas/project-lifecourse/thethreecitiesproject/outputs/" TargetMode="External"/><Relationship Id="rId84" Type="http://schemas.openxmlformats.org/officeDocument/2006/relationships/hyperlink" Target="https://doi.org/10.5463/DCID.v28i1.630" TargetMode="External"/><Relationship Id="rId89" Type="http://schemas.openxmlformats.org/officeDocument/2006/relationships/hyperlink" Target="https://www.drilluk.org.uk/wp-content/uploads/2020/07/Barriers-faced-by-autistic-people.pdf" TargetMode="External"/><Relationship Id="rId112" Type="http://schemas.openxmlformats.org/officeDocument/2006/relationships/hyperlink" Target="https://doi.org/10.2345/0899-8205-46.s2.49" TargetMode="External"/><Relationship Id="rId133" Type="http://schemas.openxmlformats.org/officeDocument/2006/relationships/hyperlink" Target="https://doi.org/10.1177/1471301219876414" TargetMode="External"/><Relationship Id="rId138" Type="http://schemas.openxmlformats.org/officeDocument/2006/relationships/hyperlink" Target="https://doi.org/10.1177/1556264619858524a" TargetMode="External"/><Relationship Id="rId154" Type="http://schemas.openxmlformats.org/officeDocument/2006/relationships/hyperlink" Target="http://www.cadr.org.au" TargetMode="External"/><Relationship Id="rId159" Type="http://schemas.openxmlformats.org/officeDocument/2006/relationships/hyperlink" Target="https://doi.org/10.1177/1471301217690904" TargetMode="External"/><Relationship Id="rId175" Type="http://schemas.openxmlformats.org/officeDocument/2006/relationships/hyperlink" Target="https://doi.org/10.1111/jppi.12354" TargetMode="External"/><Relationship Id="rId170" Type="http://schemas.openxmlformats.org/officeDocument/2006/relationships/hyperlink" Target="https://doi.org/10.1186/s40900-020-00234-1" TargetMode="External"/><Relationship Id="rId191" Type="http://schemas.openxmlformats.org/officeDocument/2006/relationships/fontTable" Target="fontTable.xml"/><Relationship Id="rId16" Type="http://schemas.openxmlformats.org/officeDocument/2006/relationships/hyperlink" Target="https://doi.org/10.3109/09638237.2015.1101424" TargetMode="External"/><Relationship Id="rId107" Type="http://schemas.openxmlformats.org/officeDocument/2006/relationships/hyperlink" Target="https://doi.org/10.3109/09638237.2014.998810" TargetMode="External"/><Relationship Id="rId11" Type="http://schemas.openxmlformats.org/officeDocument/2006/relationships/image" Target="media/image2.png"/><Relationship Id="rId32" Type="http://schemas.openxmlformats.org/officeDocument/2006/relationships/hyperlink" Target="https://doi.org/10.1186/s40900-018-0115-1" TargetMode="External"/><Relationship Id="rId37" Type="http://schemas.openxmlformats.org/officeDocument/2006/relationships/hyperlink" Target="https://doi.org/10.1097/YCO.0000000000000548" TargetMode="External"/><Relationship Id="rId53" Type="http://schemas.openxmlformats.org/officeDocument/2006/relationships/hyperlink" Target="https://pure.ulster.ac.uk/ws/files/99260045/Supported_decision_making_standard_report_online.pdf" TargetMode="External"/><Relationship Id="rId58" Type="http://schemas.openxmlformats.org/officeDocument/2006/relationships/hyperlink" Target="https://doi.org/10.21853/jhd.2018.46" TargetMode="External"/><Relationship Id="rId74" Type="http://schemas.openxmlformats.org/officeDocument/2006/relationships/hyperlink" Target="https://doi.org/10.1177/1471301216687698" TargetMode="External"/><Relationship Id="rId79" Type="http://schemas.openxmlformats.org/officeDocument/2006/relationships/hyperlink" Target="https://doi.org/10.1080/13607863.2017.1317334" TargetMode="External"/><Relationship Id="rId102" Type="http://schemas.openxmlformats.org/officeDocument/2006/relationships/hyperlink" Target="https://doi.org/10.1111/hex.12908" TargetMode="External"/><Relationship Id="rId123" Type="http://schemas.openxmlformats.org/officeDocument/2006/relationships/hyperlink" Target="https://doi.org/10.1353/cpr.2015.0037" TargetMode="External"/><Relationship Id="rId128" Type="http://schemas.openxmlformats.org/officeDocument/2006/relationships/hyperlink" Target="https://doi.org/10.1186/s40900-020-00220-7" TargetMode="External"/><Relationship Id="rId144" Type="http://schemas.openxmlformats.org/officeDocument/2006/relationships/hyperlink" Target="https://doi.org/10.1177/1471301219876402" TargetMode="External"/><Relationship Id="rId149" Type="http://schemas.openxmlformats.org/officeDocument/2006/relationships/hyperlink" Target="https://doi.org/10.1111/inm.12594" TargetMode="External"/><Relationship Id="rId5" Type="http://schemas.openxmlformats.org/officeDocument/2006/relationships/webSettings" Target="webSettings.xml"/><Relationship Id="rId90" Type="http://schemas.openxmlformats.org/officeDocument/2006/relationships/hyperlink" Target="http://oro.open.ac.uk/44255/" TargetMode="External"/><Relationship Id="rId95" Type="http://schemas.openxmlformats.org/officeDocument/2006/relationships/hyperlink" Target="https://www.drilluk.org.uk/wp-content/uploads/2020/06/Services-for-who-final-report-1.pdf" TargetMode="External"/><Relationship Id="rId160" Type="http://schemas.openxmlformats.org/officeDocument/2006/relationships/hyperlink" Target="https://doi.org/10.1352/1934-9556-56.5.251" TargetMode="External"/><Relationship Id="rId165" Type="http://schemas.openxmlformats.org/officeDocument/2006/relationships/hyperlink" Target="https://doi.org/10.1111/bld.12132" TargetMode="External"/><Relationship Id="rId181" Type="http://schemas.openxmlformats.org/officeDocument/2006/relationships/hyperlink" Target="https://doi.org/10.1177/1556264619858524" TargetMode="External"/><Relationship Id="rId186" Type="http://schemas.openxmlformats.org/officeDocument/2006/relationships/hyperlink" Target="https://doi.org/10.1080/09687599.2015.1031880" TargetMode="External"/><Relationship Id="rId22" Type="http://schemas.openxmlformats.org/officeDocument/2006/relationships/hyperlink" Target="https://doi.org/10.1136/jech.2004.028662" TargetMode="External"/><Relationship Id="rId27" Type="http://schemas.openxmlformats.org/officeDocument/2006/relationships/hyperlink" Target="https://doi.org/10.1111/jar.12082" TargetMode="External"/><Relationship Id="rId43" Type="http://schemas.openxmlformats.org/officeDocument/2006/relationships/hyperlink" Target="https://doi.org/10.1080/09687599.2019.1608424" TargetMode="External"/><Relationship Id="rId48" Type="http://schemas.openxmlformats.org/officeDocument/2006/relationships/hyperlink" Target="https://doi.org/10.1177/1049732318774768" TargetMode="External"/><Relationship Id="rId64" Type="http://schemas.openxmlformats.org/officeDocument/2006/relationships/hyperlink" Target="https://doi.org/10.1186/s40900-020-00185-7" TargetMode="External"/><Relationship Id="rId69" Type="http://schemas.openxmlformats.org/officeDocument/2006/relationships/hyperlink" Target="https://doi.org/10.1177/1362361318786721" TargetMode="External"/><Relationship Id="rId113" Type="http://schemas.openxmlformats.org/officeDocument/2006/relationships/hyperlink" Target="https://doi.org/10.1007/s10597-015-9890-4" TargetMode="External"/><Relationship Id="rId118" Type="http://schemas.openxmlformats.org/officeDocument/2006/relationships/hyperlink" Target="https://uobrep.openrepository.com/handle/10547/623168" TargetMode="External"/><Relationship Id="rId134" Type="http://schemas.openxmlformats.org/officeDocument/2006/relationships/hyperlink" Target="https://doi.org/10.12688/hrbopenres.12896.1" TargetMode="External"/><Relationship Id="rId139" Type="http://schemas.openxmlformats.org/officeDocument/2006/relationships/hyperlink" Target="https://doi.org/10.1177/1540796916686564" TargetMode="External"/><Relationship Id="rId80" Type="http://schemas.openxmlformats.org/officeDocument/2006/relationships/hyperlink" Target="https://doi.org/10.1111/bld.12303" TargetMode="External"/><Relationship Id="rId85" Type="http://schemas.openxmlformats.org/officeDocumen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mats.org/officeDocument/2006/relationships/hyperlink" Target="https://doi.org/10.1145/3385010.3385023" TargetMode="External"/><Relationship Id="rId171" Type="http://schemas.openxmlformats.org/officeDocument/2006/relationships/hyperlink" Target="http://hdl.handle.net/10545/621893" TargetMode="External"/><Relationship Id="rId176" Type="http://schemas.openxmlformats.org/officeDocument/2006/relationships/hyperlink" Target="https://doi.org/10.3390/ijerph17030794" TargetMode="External"/><Relationship Id="rId192" Type="http://schemas.openxmlformats.org/officeDocument/2006/relationships/theme" Target="theme/theme1.xml"/><Relationship Id="rId12" Type="http://schemas.openxmlformats.org/officeDocument/2006/relationships/hyperlink" Target="https://doi.org/10.5463/dcid.v29i2.730" TargetMode="External"/><Relationship Id="rId17" Type="http://schemas.openxmlformats.org/officeDocument/2006/relationships/hyperlink" Target="https://doi.org/10.1111/cch.12197" TargetMode="External"/><Relationship Id="rId33" Type="http://schemas.openxmlformats.org/officeDocument/2006/relationships/hyperlink" Target="https://doi.org/10.1108/JAT-12-2015-0033" TargetMode="External"/><Relationship Id="rId38" Type="http://schemas.openxmlformats.org/officeDocument/2006/relationships/hyperlink" Target="https://www.drilluk.org.uk/wp-content/uploads/2020/09/young-people-and-friendships-what-matters-to-us.pdf" TargetMode="External"/><Relationship Id="rId59" Type="http://schemas.openxmlformats.org/officeDocument/2006/relationships/hyperlink" Target="https://doi.org/10.2752/175630615X14212498964312" TargetMode="External"/><Relationship Id="rId103" Type="http://schemas.openxmlformats.org/officeDocument/2006/relationships/hyperlink" Target="https://doi.org/10.1080/11038128.2018.1502344" TargetMode="External"/><Relationship Id="rId108" Type="http://schemas.openxmlformats.org/officeDocument/2006/relationships/hyperlink" Target="https://www.mentalhealth.org.uk/our-work/research/empowering-people-through-physical-activity" TargetMode="External"/><Relationship Id="rId124" Type="http://schemas.openxmlformats.org/officeDocument/2006/relationships/hyperlink" Target="https://doi.org/10.1111/bld.12013" TargetMode="External"/><Relationship Id="rId129" Type="http://schemas.openxmlformats.org/officeDocument/2006/relationships/hyperlink" Target="https://doi.org/10.1111/jocn.12702" TargetMode="External"/><Relationship Id="rId54" Type="http://schemas.openxmlformats.org/officeDocument/2006/relationships/hyperlink" Target="https://doi.org/10.1111/hex.13088" TargetMode="External"/><Relationship Id="rId70" Type="http://schemas.openxmlformats.org/officeDocument/2006/relationships/hyperlink" Target="https://doi.org/10.1016/j.ridd.2015.08.004" TargetMode="External"/><Relationship Id="rId75" Type="http://schemas.openxmlformats.org/officeDocument/2006/relationships/hyperlink" Target="https://doi.org/10.1111/ajag.12635" TargetMode="External"/><Relationship Id="rId91" Type="http://schemas.openxmlformats.org/officeDocument/2006/relationships/hyperlink" Target="https://doi.org/10.1080/13691457.2018.1564736" TargetMode="External"/><Relationship Id="rId96" Type="http://schemas.openxmlformats.org/officeDocument/2006/relationships/hyperlink" Target="https://www.invo.org.uk/wp-content/uploads/2019/04/Copro_Guidance_Feb19.pdf" TargetMode="External"/><Relationship Id="rId140" Type="http://schemas.openxmlformats.org/officeDocument/2006/relationships/hyperlink" Target="https://doi.org/10.1080/15017419.2013.859178" TargetMode="External"/><Relationship Id="rId145" Type="http://schemas.openxmlformats.org/officeDocument/2006/relationships/hyperlink" Target="https://doi.org/10.1186/s40900-020-00217-2" TargetMode="External"/><Relationship Id="rId161" Type="http://schemas.openxmlformats.org/officeDocument/2006/relationships/hyperlink" Target="https://doi.org/10.1080/15017419.2014.964766" TargetMode="External"/><Relationship Id="rId166" Type="http://schemas.openxmlformats.org/officeDocument/2006/relationships/hyperlink" Target="https://doi.org/10.26633/rpsp.2018.45" TargetMode="External"/><Relationship Id="rId182" Type="http://schemas.openxmlformats.org/officeDocument/2006/relationships/hyperlink" Target="https://doi.org/10.1080/1743727X.2014.909402" TargetMode="External"/><Relationship Id="rId187" Type="http://schemas.openxmlformats.org/officeDocument/2006/relationships/hyperlink" Target="https://doi.org/10.1353/aad.2017.000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108/TLDR-03-2019-0012" TargetMode="External"/><Relationship Id="rId28" Type="http://schemas.openxmlformats.org/officeDocument/2006/relationships/hyperlink" Target="https://doi.org/10.1111/jar.12083" TargetMode="External"/><Relationship Id="rId49" Type="http://schemas.openxmlformats.org/officeDocument/2006/relationships/hyperlink" Target="https://doi.org/10.1111/bld.12209" TargetMode="External"/><Relationship Id="rId114" Type="http://schemas.openxmlformats.org/officeDocument/2006/relationships/hyperlink" Target="https://doi.org/10.1186/s12877-019-1217-9" TargetMode="External"/><Relationship Id="rId119" Type="http://schemas.openxmlformats.org/officeDocument/2006/relationships/hyperlink" Target="https://www.ndti.org.uk/assets/files/The_Right_to_a_Relationship_final_July_2019.pdf" TargetMode="External"/><Relationship Id="rId44" Type="http://schemas.openxmlformats.org/officeDocument/2006/relationships/hyperlink" Target="https://doi.org/10.1016/j.pec.2016.07.026" TargetMode="External"/><Relationship Id="rId60" Type="http://schemas.openxmlformats.org/officeDocument/2006/relationships/hyperlink" Target="https://www.drilluk.org.uk/wp-content/uploads/2020/07/Getting-on-Keeping-on.pdf" TargetMode="External"/><Relationship Id="rId65" Type="http://schemas.openxmlformats.org/officeDocument/2006/relationships/hyperlink" Target="https://doi.org/10.1111/hex.12963" TargetMode="External"/><Relationship Id="rId81" Type="http://schemas.openxmlformats.org/officeDocument/2006/relationships/hyperlink" Target="https://doi.org/10.1108/JMHTEP-02-2016-0011" TargetMode="External"/><Relationship Id="rId86" Type="http://schemas.openxmlformats.org/officeDocument/2006/relationships/hyperlink" Target="https://doi.org/10.1080/11038128.2018.1502350" TargetMode="External"/><Relationship Id="rId130" Type="http://schemas.openxmlformats.org/officeDocument/2006/relationships/hyperlink" Target="https://doi.org/10.1111/hsc.13105" TargetMode="External"/><Relationship Id="rId135" Type="http://schemas.openxmlformats.org/officeDocument/2006/relationships/hyperlink" Target="https://doi.org/10.1186/s40900-020-00224-3" TargetMode="External"/><Relationship Id="rId151" Type="http://schemas.openxmlformats.org/officeDocument/2006/relationships/hyperlink" Target="https://doi.org/10.1111/bld.12305" TargetMode="External"/><Relationship Id="rId156" Type="http://schemas.openxmlformats.org/officeDocument/2006/relationships/hyperlink" Target="https://doi.org/10.1111/jppi.12236" TargetMode="External"/><Relationship Id="rId177" Type="http://schemas.openxmlformats.org/officeDocument/2006/relationships/hyperlink" Target="https://doi.org/10.1186/s40900-019-0149-z" TargetMode="External"/><Relationship Id="rId172" Type="http://schemas.openxmlformats.org/officeDocument/2006/relationships/hyperlink" Target="https://doi.org/10.1177/1049732318808249" TargetMode="External"/><Relationship Id="rId13" Type="http://schemas.openxmlformats.org/officeDocument/2006/relationships/hyperlink" Target="https://doi.org/10.1177/1049732318779050" TargetMode="External"/><Relationship Id="rId18" Type="http://schemas.openxmlformats.org/officeDocument/2006/relationships/hyperlink" Target="https://doi.org/10.1177/1355819618811866" TargetMode="External"/><Relationship Id="rId39" Type="http://schemas.openxmlformats.org/officeDocument/2006/relationships/hyperlink" Target="https://doi.org/10.1080/09687599.2019.1632693" TargetMode="External"/><Relationship Id="rId109" Type="http://schemas.openxmlformats.org/officeDocument/2006/relationships/hyperlink" Target="https://doi.org/10.1111/jir.12543" TargetMode="External"/><Relationship Id="rId34" Type="http://schemas.openxmlformats.org/officeDocument/2006/relationships/hyperlink" Target="https://doi.org/10.3389/fresc.2022.878231" TargetMode="External"/><Relationship Id="rId50" Type="http://schemas.openxmlformats.org/officeDocument/2006/relationships/hyperlink" Target="https://doi.org/10.3109/09638237.2015.1101423" TargetMode="External"/><Relationship Id="rId55" Type="http://schemas.openxmlformats.org/officeDocument/2006/relationships/hyperlink" Target="https://doi.org/10.1002/gps.4577" TargetMode="External"/><Relationship Id="rId76" Type="http://schemas.openxmlformats.org/officeDocument/2006/relationships/hyperlink" Target="https://doi.org/10.3390/ijerph17145123" TargetMode="External"/><Relationship Id="rId97" Type="http://schemas.openxmlformats.org/officeDocument/2006/relationships/hyperlink" Target="http://www.fedvol.ie/_fileupload/Inclusive%20Research%20Network/IRN%20Doctors%20and%20Us%20Report%20Final.pdf" TargetMode="External"/><Relationship Id="rId104" Type="http://schemas.openxmlformats.org/officeDocument/2006/relationships/hyperlink" Target="https://doi.org/10.1108/JPMH-07-2018-0053" TargetMode="External"/><Relationship Id="rId120" Type="http://schemas.openxmlformats.org/officeDocument/2006/relationships/hyperlink" Target="https://nda.ie/nda-files/guidelines-for-including-people-with-disabilities-in-research.pdf" TargetMode="External"/><Relationship Id="rId125" Type="http://schemas.openxmlformats.org/officeDocument/2006/relationships/hyperlink" Target="http://dx.doi.org/10.5040/9781849668149.ch-001" TargetMode="External"/><Relationship Id="rId141" Type="http://schemas.openxmlformats.org/officeDocument/2006/relationships/hyperlink" Target="https://doi.org/10.1111/jar.12165" TargetMode="External"/><Relationship Id="rId146" Type="http://schemas.openxmlformats.org/officeDocument/2006/relationships/hyperlink" Target="https://doi.org/10.1111/bld.12342" TargetMode="External"/><Relationship Id="rId167" Type="http://schemas.openxmlformats.org/officeDocument/2006/relationships/hyperlink" Target="https://doi.org/10.1111/hex.12917" TargetMode="External"/><Relationship Id="rId188" Type="http://schemas.openxmlformats.org/officeDocument/2006/relationships/hyperlink" Target="https://doi.org/10.1177/1471301218789567" TargetMode="External"/><Relationship Id="rId7" Type="http://schemas.openxmlformats.org/officeDocument/2006/relationships/endnotes" Target="endnotes.xml"/><Relationship Id="rId71" Type="http://schemas.openxmlformats.org/officeDocument/2006/relationships/hyperlink" Target="https://doi.org/10.1111/jir.12486" TargetMode="External"/><Relationship Id="rId92" Type="http://schemas.openxmlformats.org/officeDocument/2006/relationships/hyperlink" Target="https://doi.org/10.1080/13814788.2018.1470620" TargetMode="External"/><Relationship Id="rId162" Type="http://schemas.openxmlformats.org/officeDocument/2006/relationships/hyperlink" Target="https://doi.org/10.3233/JAD-190050" TargetMode="External"/><Relationship Id="rId183" Type="http://schemas.openxmlformats.org/officeDocument/2006/relationships/hyperlink" Target="https://doi.org/10.1177/1049732319837232" TargetMode="External"/><Relationship Id="rId2" Type="http://schemas.openxmlformats.org/officeDocument/2006/relationships/numbering" Target="numbering.xml"/><Relationship Id="rId29" Type="http://schemas.openxmlformats.org/officeDocument/2006/relationships/hyperlink" Target="https://doi.org/10.1111/hsc.12291" TargetMode="External"/><Relationship Id="rId24" Type="http://schemas.openxmlformats.org/officeDocument/2006/relationships/hyperlink" Target="https://doi.org/10.1177/1744629517723485" TargetMode="External"/><Relationship Id="rId40" Type="http://schemas.openxmlformats.org/officeDocument/2006/relationships/hyperlink" Target="https://doi.org/10.1080/09687599.2019.1602511" TargetMode="External"/><Relationship Id="rId45" Type="http://schemas.openxmlformats.org/officeDocument/2006/relationships/hyperlink" Target="https://doi.org/10.1177/2397172X18802501" TargetMode="External"/><Relationship Id="rId66" Type="http://schemas.openxmlformats.org/officeDocument/2006/relationships/hyperlink" Target="https://www.gov.uk/government/publications/involving-disabled-people-in-social-reseach" TargetMode="External"/><Relationship Id="rId87" Type="http://schemas.openxmlformats.org/officeDocument/2006/relationships/hyperlink" Target="https://doi.org/10.1080/17482631.2018.1468198" TargetMode="External"/><Relationship Id="rId110" Type="http://schemas.openxmlformats.org/officeDocument/2006/relationships/hyperlink" Target="https://doi.org/10.1186/s40900-019-0154-2" TargetMode="External"/><Relationship Id="rId115" Type="http://schemas.openxmlformats.org/officeDocument/2006/relationships/hyperlink" Target="https://doi.org/10.1111/bld.12283" TargetMode="External"/><Relationship Id="rId131" Type="http://schemas.openxmlformats.org/officeDocument/2006/relationships/hyperlink" Target="https://doi.org/10.1186/s40900-017-0068-9" TargetMode="External"/><Relationship Id="rId136" Type="http://schemas.openxmlformats.org/officeDocument/2006/relationships/hyperlink" Target="https://doi.org/10.1177/1471301218789558" TargetMode="External"/><Relationship Id="rId157" Type="http://schemas.openxmlformats.org/officeDocument/2006/relationships/hyperlink" Target="https://doi.org/10.1136/bmj.j3453" TargetMode="External"/><Relationship Id="rId178" Type="http://schemas.openxmlformats.org/officeDocument/2006/relationships/hyperlink" Target="https://doi.org/10.1111/hex.12891" TargetMode="External"/><Relationship Id="rId61" Type="http://schemas.openxmlformats.org/officeDocument/2006/relationships/hyperlink" Target="https://www.nursingtimes.net/roles/learning-disability-nurses/research-with-and-by-people-with-learning-disabilities-08-02-2016/" TargetMode="External"/><Relationship Id="rId82" Type="http://schemas.openxmlformats.org/officeDocument/2006/relationships/hyperlink" Target="https://doi.org/10.1108/JAT-10-2014-0026" TargetMode="External"/><Relationship Id="rId152" Type="http://schemas.openxmlformats.org/officeDocument/2006/relationships/hyperlink" Target="https://doi.org/10.1177/1049732319869620" TargetMode="External"/><Relationship Id="rId173" Type="http://schemas.openxmlformats.org/officeDocument/2006/relationships/hyperlink" Target="https://doi.org/10.1080/09687599.2019.1603103" TargetMode="External"/><Relationship Id="rId19" Type="http://schemas.openxmlformats.org/officeDocument/2006/relationships/hyperlink" Target="http://www.leeds.ac.uk/disability-studies/archiveuk/Barnes/glasgow%20lecture.pdf" TargetMode="External"/><Relationship Id="rId14" Type="http://schemas.openxmlformats.org/officeDocument/2006/relationships/hyperlink" Target="https://www.housinglin.org.uk/Topics/type/Match-Me-What-works-for-adapted-social-housing-lettings/" TargetMode="External"/><Relationship Id="rId30" Type="http://schemas.openxmlformats.org/officeDocument/2006/relationships/hyperlink" Target="https://doi.org/10.1108/JCS-03-2019-0016" TargetMode="External"/><Relationship Id="rId35" Type="http://schemas.openxmlformats.org/officeDocument/2006/relationships/hyperlink" Target="https://doi.org/10.1177/1473325018763515" TargetMode="External"/><Relationship Id="rId56" Type="http://schemas.openxmlformats.org/officeDocument/2006/relationships/hyperlink" Target="https://doi.org/10.1111/jar.12435" TargetMode="External"/><Relationship Id="rId77" Type="http://schemas.openxmlformats.org/officeDocument/2006/relationships/hyperlink" Target="https://doi.org/10.1111/jppi.12081" TargetMode="External"/><Relationship Id="rId100" Type="http://schemas.openxmlformats.org/officeDocument/2006/relationships/hyperlink" Target="https://uwe-repository.worktribe.com/output/856715" TargetMode="External"/><Relationship Id="rId105" Type="http://schemas.openxmlformats.org/officeDocument/2006/relationships/hyperlink" Target="https://doi.org/10.1080/09687599.2020.1867508" TargetMode="External"/><Relationship Id="rId126" Type="http://schemas.openxmlformats.org/officeDocument/2006/relationships/hyperlink" Target="https://doi.org/10.1177/1468794117708123" TargetMode="External"/><Relationship Id="rId147" Type="http://schemas.openxmlformats.org/officeDocument/2006/relationships/hyperlink" Target="https://doi.org/10.1080/1743727X.2015.1099154" TargetMode="External"/><Relationship Id="rId168" Type="http://schemas.openxmlformats.org/officeDocument/2006/relationships/hyperlink" Target="https://doi.org/10.1111/bld.12331" TargetMode="External"/><Relationship Id="rId8" Type="http://schemas.openxmlformats.org/officeDocument/2006/relationships/image" Target="media/image1.jpeg"/><Relationship Id="rId51" Type="http://schemas.openxmlformats.org/officeDocument/2006/relationships/hyperlink" Target="https://doi.org/10.1016/0277-9536(95)00127-S" TargetMode="External"/><Relationship Id="rId72" Type="http://schemas.openxmlformats.org/officeDocument/2006/relationships/hyperlink" Target="https://doi.org/10.1111/jar.12567" TargetMode="External"/><Relationship Id="rId93" Type="http://schemas.openxmlformats.org/officeDocument/2006/relationships/hyperlink" Target="https://doi.org/10.1177/1476750318787005" TargetMode="External"/><Relationship Id="rId98" Type="http://schemas.openxmlformats.org/officeDocument/2006/relationships/hyperlink" Target="https://doi.org/10.1017/S0144686X21002014" TargetMode="External"/><Relationship Id="rId121" Type="http://schemas.openxmlformats.org/officeDocument/2006/relationships/hyperlink" Target="https://nda.ie/news-and-events/news/nda-advice-paper-on-disability-language-and-terminology.html" TargetMode="External"/><Relationship Id="rId142" Type="http://schemas.openxmlformats.org/officeDocument/2006/relationships/hyperlink" Target="https://doi.org/10.1111/bld.12199" TargetMode="External"/><Relationship Id="rId163" Type="http://schemas.openxmlformats.org/officeDocument/2006/relationships/hyperlink" Target="https://doi.org/10.1177/1471301216674559" TargetMode="External"/><Relationship Id="rId184" Type="http://schemas.openxmlformats.org/officeDocument/2006/relationships/hyperlink" Target="https://doi.org/10.1111/bld.12123" TargetMode="External"/><Relationship Id="rId189" Type="http://schemas.openxmlformats.org/officeDocument/2006/relationships/hyperlink" Target="https://doi.org/10.1080/02674649266780161" TargetMode="External"/><Relationship Id="rId3" Type="http://schemas.openxmlformats.org/officeDocument/2006/relationships/styles" Target="styles.xml"/><Relationship Id="rId25" Type="http://schemas.openxmlformats.org/officeDocument/2006/relationships/hyperlink" Target="https://doi.org/10.1080/09687599.2019.1603102" TargetMode="External"/><Relationship Id="rId46" Type="http://schemas.openxmlformats.org/officeDocument/2006/relationships/hyperlink" Target="https://doi.org/10.1080/14606925.2018.1472441" TargetMode="External"/><Relationship Id="rId67" Type="http://schemas.openxmlformats.org/officeDocument/2006/relationships/hyperlink" Target="https://doi.org/10.1093/bjsw/bcn144" TargetMode="External"/><Relationship Id="rId116" Type="http://schemas.openxmlformats.org/officeDocument/2006/relationships/hyperlink" Target="https://doi.org/10.1186/s13063-018-3069-6" TargetMode="External"/><Relationship Id="rId137" Type="http://schemas.openxmlformats.org/officeDocument/2006/relationships/hyperlink" Target="https://doi.org/10.1111/jpm.12404" TargetMode="External"/><Relationship Id="rId158" Type="http://schemas.openxmlformats.org/officeDocument/2006/relationships/hyperlink" Target="https://doi.org/10.1080/09687599.2019.1619232" TargetMode="External"/><Relationship Id="rId20" Type="http://schemas.openxmlformats.org/officeDocument/2006/relationships/hyperlink" Target="https://www.drilluk.org.uk/wp-content/uploads/2020/08/factsheet-behind-the-scenes-1.pdf" TargetMode="External"/><Relationship Id="rId41" Type="http://schemas.openxmlformats.org/officeDocument/2006/relationships/hyperlink" Target="https://www.iua.ie/publications/engaged-research-society-and-higher-education-addressing-grand-societal-challenges-together/" TargetMode="External"/><Relationship Id="rId62" Type="http://schemas.openxmlformats.org/officeDocument/2006/relationships/hyperlink" Target="https://doi.org/10.1080/09687599.2017.1392932" TargetMode="External"/><Relationship Id="rId83" Type="http://schemas.openxmlformats.org/officeDocument/2006/relationships/hyperlink" Target="https://www.cerrisweb.com/wp-content/uploads/Recherche-participative-Hanley.pdf" TargetMode="External"/><Relationship Id="rId88" Type="http://schemas.openxmlformats.org/officeDocument/2006/relationships/hyperlink" Target="https://doi.org/10.1111/bld.12147" TargetMode="External"/><Relationship Id="rId111" Type="http://schemas.openxmlformats.org/officeDocument/2006/relationships/hyperlink" Target="https://doi.org/10.1093/bjsw/bcp064" TargetMode="External"/><Relationship Id="rId132" Type="http://schemas.openxmlformats.org/officeDocument/2006/relationships/hyperlink" Target="https://doi.org/10.1080/02674649266780141" TargetMode="External"/><Relationship Id="rId153" Type="http://schemas.openxmlformats.org/officeDocument/2006/relationships/hyperlink" Target="https://doi.org/10.1080/13511610.2015.1081558" TargetMode="External"/><Relationship Id="rId174" Type="http://schemas.openxmlformats.org/officeDocument/2006/relationships/hyperlink" Target="https://doi.org/10.35844/001c.13244" TargetMode="External"/><Relationship Id="rId179" Type="http://schemas.openxmlformats.org/officeDocument/2006/relationships/hyperlink" Target="https://doi.org/10.1111/jar.12431" TargetMode="External"/><Relationship Id="rId190" Type="http://schemas.openxmlformats.org/officeDocument/2006/relationships/footer" Target="footer3.xml"/><Relationship Id="rId15" Type="http://schemas.openxmlformats.org/officeDocument/2006/relationships/hyperlink" Target="https://doi.org/10.1080/01944366908977225" TargetMode="External"/><Relationship Id="rId36" Type="http://schemas.openxmlformats.org/officeDocument/2006/relationships/hyperlink" Target="http://ingridburkett.com/wp-content/uploads/2017/09/Introduction-to-Codesign-2.pdf" TargetMode="External"/><Relationship Id="rId57" Type="http://schemas.openxmlformats.org/officeDocument/2006/relationships/hyperlink" Target="https://www.drilluk.org.uk/documents/2019/11/working-with-peer-researchers-developing-future-strategies.pdf/" TargetMode="External"/><Relationship Id="rId106" Type="http://schemas.openxmlformats.org/officeDocument/2006/relationships/hyperlink" Target="https://doi.org/10.1093/heapro/daz043" TargetMode="External"/><Relationship Id="rId127" Type="http://schemas.openxmlformats.org/officeDocument/2006/relationships/hyperlink" Target="https://doi.org/10.1111/hex.12865" TargetMode="External"/><Relationship Id="rId10" Type="http://schemas.openxmlformats.org/officeDocument/2006/relationships/footer" Target="footer2.xml"/><Relationship Id="rId31" Type="http://schemas.openxmlformats.org/officeDocument/2006/relationships/hyperlink" Target="https://doi.org/10.9778/cmajo.20180034" TargetMode="External"/><Relationship Id="rId52" Type="http://schemas.openxmlformats.org/officeDocument/2006/relationships/hyperlink" Target="https://doi.org/10.1177/1757913919835231" TargetMode="External"/><Relationship Id="rId73" Type="http://schemas.openxmlformats.org/officeDocument/2006/relationships/hyperlink" Target="https://doi.org/10.1111/jppi.12293" TargetMode="External"/><Relationship Id="rId78" Type="http://schemas.openxmlformats.org/officeDocument/2006/relationships/hyperlink" Target="https://doin.org/10.3233/WOR-172577" TargetMode="External"/><Relationship Id="rId94" Type="http://schemas.openxmlformats.org/officeDocument/2006/relationships/hyperlink" Target="https://inclusionireland.ie/wp-content/uploads/2020/11/causesandpreventionbooklet.pdf" TargetMode="External"/><Relationship Id="rId99" Type="http://schemas.openxmlformats.org/officeDocument/2006/relationships/hyperlink" Target="https://doi.org/10.1186/s12888-018-1794-8" TargetMode="External"/><Relationship Id="rId101" Type="http://schemas.openxmlformats.org/officeDocument/2006/relationships/hyperlink" Target="https://doi.org/10.1016/j.dhjo.2015.10.001" TargetMode="External"/><Relationship Id="rId122" Type="http://schemas.openxmlformats.org/officeDocument/2006/relationships/hyperlink" Target="https://www.nda.ie/publications/others/uncrpd/participation-matters-guidelines.html" TargetMode="External"/><Relationship Id="rId143" Type="http://schemas.openxmlformats.org/officeDocument/2006/relationships/hyperlink" Target="https://doi.org/10.1111/bld.12324" TargetMode="External"/><Relationship Id="rId148" Type="http://schemas.openxmlformats.org/officeDocument/2006/relationships/hyperlink" Target="https://doi.org/10.1111/bld.12247" TargetMode="External"/><Relationship Id="rId164" Type="http://schemas.openxmlformats.org/officeDocument/2006/relationships/hyperlink" Target="https://www.drilluk.org.uk/wp-content/uploads/2020/12/Humare-Avaaz-summary.pdf" TargetMode="External"/><Relationship Id="rId169" Type="http://schemas.openxmlformats.org/officeDocument/2006/relationships/hyperlink" Target="https://doi.org/10.1111/hex.13069" TargetMode="External"/><Relationship Id="rId185" Type="http://schemas.openxmlformats.org/officeDocument/2006/relationships/hyperlink" Target="https://doi.org/10.1177/1468794119893608"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doi.org/10.12688/hrbopenres.12803.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alkingmats.com/" TargetMode="External"/><Relationship Id="rId2" Type="http://schemas.openxmlformats.org/officeDocument/2006/relationships/hyperlink" Target="https://www.nihr.ac.uk/documents/payment-guidance-for-researchers-and-professionals/27392" TargetMode="External"/><Relationship Id="rId1" Type="http://schemas.openxmlformats.org/officeDocument/2006/relationships/hyperlink" Target="https://www.invo.org.uk/wp-content/uploads/2016/05/INVOLVE-internal-payment-policy-2016-final-1.pdf" TargetMode="External"/><Relationship Id="rId4" Type="http://schemas.openxmlformats.org/officeDocument/2006/relationships/hyperlink" Target="https://www.talkingma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C508-98B5-4EB1-AE40-2F10C7B3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62</TotalTime>
  <Pages>129</Pages>
  <Words>30338</Words>
  <Characters>201549</Characters>
  <Application>Microsoft Office Word</Application>
  <DocSecurity>0</DocSecurity>
  <Lines>1679</Lines>
  <Paragraphs>462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Cheevers</dc:creator>
  <cp:keywords/>
  <dc:description/>
  <cp:lastModifiedBy>Chloe M. Walsh</cp:lastModifiedBy>
  <cp:revision>8</cp:revision>
  <cp:lastPrinted>2022-10-17T15:23:00Z</cp:lastPrinted>
  <dcterms:created xsi:type="dcterms:W3CDTF">2022-10-17T13:57:00Z</dcterms:created>
  <dcterms:modified xsi:type="dcterms:W3CDTF">2022-10-17T15:27:00Z</dcterms:modified>
</cp:coreProperties>
</file>