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D62" w:rsidRDefault="0012686A" w:rsidP="009C3BD7">
      <w:pPr>
        <w:pStyle w:val="Title"/>
      </w:pPr>
      <w:r w:rsidRPr="001D6EF2">
        <w:t>Department of Trade Ente</w:t>
      </w:r>
      <w:r>
        <w:t>rprise and Employment</w:t>
      </w:r>
      <w:bookmarkStart w:id="0" w:name="_GoBack"/>
      <w:bookmarkEnd w:id="0"/>
      <w:r w:rsidRPr="001D6EF2">
        <w:t xml:space="preserve"> </w:t>
      </w:r>
      <w:r w:rsidR="00875493">
        <w:t>White paper on enterprise p</w:t>
      </w:r>
      <w:r w:rsidR="00672E4D">
        <w:t xml:space="preserve">olicy </w:t>
      </w:r>
    </w:p>
    <w:p w:rsidR="00875493" w:rsidRPr="00875493" w:rsidRDefault="00875493" w:rsidP="00875493">
      <w:pPr>
        <w:jc w:val="center"/>
      </w:pPr>
      <w:r w:rsidRPr="00875493">
        <w:t>NDA submission</w:t>
      </w:r>
      <w:r w:rsidR="00A678A3">
        <w:t xml:space="preserve"> August 2022 </w:t>
      </w:r>
    </w:p>
    <w:p w:rsidR="009C3BD7" w:rsidRDefault="00672E4D" w:rsidP="009C3BD7">
      <w:pPr>
        <w:pStyle w:val="Heading1"/>
      </w:pPr>
      <w:r>
        <w:t>Introduction</w:t>
      </w:r>
    </w:p>
    <w:p w:rsidR="00823BA6" w:rsidRPr="000B6AC0" w:rsidRDefault="00834BA6" w:rsidP="00E62B8C">
      <w:r w:rsidRPr="001D6EF2">
        <w:t xml:space="preserve">The National Disability Authority (NDA) is the independent statutory advisory body on disability policy and practice, and on Universal Design.  It is within this remit and area of expertise that the following </w:t>
      </w:r>
      <w:r w:rsidR="00BB2F37">
        <w:t>comments</w:t>
      </w:r>
      <w:r w:rsidRPr="001D6EF2">
        <w:t xml:space="preserve"> regarding the Department of </w:t>
      </w:r>
      <w:r w:rsidR="001D6EF2" w:rsidRPr="001D6EF2">
        <w:t xml:space="preserve">Trade Enterprise and Employments </w:t>
      </w:r>
      <w:r w:rsidR="00BA0DF6">
        <w:t xml:space="preserve">(DETE) </w:t>
      </w:r>
      <w:r w:rsidR="00B50649">
        <w:t xml:space="preserve">development of a </w:t>
      </w:r>
      <w:r w:rsidR="001D6EF2" w:rsidRPr="001D6EF2">
        <w:rPr>
          <w:rFonts w:cs="Arial"/>
        </w:rPr>
        <w:t>White Paper on Enterprise</w:t>
      </w:r>
      <w:r w:rsidR="001D6EF2" w:rsidRPr="001D6EF2">
        <w:t xml:space="preserve"> </w:t>
      </w:r>
      <w:r w:rsidR="00BB2F37">
        <w:t>are</w:t>
      </w:r>
      <w:r w:rsidRPr="001D6EF2">
        <w:t xml:space="preserve"> offered. </w:t>
      </w:r>
    </w:p>
    <w:p w:rsidR="00F71375" w:rsidRDefault="00F71375" w:rsidP="00F71375">
      <w:pPr>
        <w:pStyle w:val="Heading2"/>
      </w:pPr>
      <w:r>
        <w:t>Employment and Inclusive enterprise</w:t>
      </w:r>
    </w:p>
    <w:p w:rsidR="00421BF9" w:rsidRDefault="00B50649" w:rsidP="00E62B8C">
      <w:r>
        <w:rPr>
          <w:rFonts w:cs="Arial"/>
        </w:rPr>
        <w:t>The NDA advis</w:t>
      </w:r>
      <w:r w:rsidR="00875493">
        <w:rPr>
          <w:rFonts w:cs="Arial"/>
        </w:rPr>
        <w:t>e</w:t>
      </w:r>
      <w:r w:rsidR="00B34454" w:rsidRPr="00662FA3">
        <w:rPr>
          <w:rFonts w:cs="Arial"/>
        </w:rPr>
        <w:t xml:space="preserve"> that a concerted effort is required to address the </w:t>
      </w:r>
      <w:r w:rsidR="006F4531">
        <w:rPr>
          <w:rFonts w:cs="Arial"/>
        </w:rPr>
        <w:t xml:space="preserve">persistent </w:t>
      </w:r>
      <w:r w:rsidR="00B34454" w:rsidRPr="00662FA3">
        <w:rPr>
          <w:rFonts w:cs="Arial"/>
        </w:rPr>
        <w:t>employment gap for persons with disabilities in Ireland</w:t>
      </w:r>
      <w:r w:rsidR="00B34454" w:rsidRPr="00662FA3">
        <w:rPr>
          <w:rFonts w:cs="Arial"/>
          <w:b/>
        </w:rPr>
        <w:t xml:space="preserve">. </w:t>
      </w:r>
      <w:r w:rsidR="00B34454" w:rsidRPr="00CC1EBA">
        <w:rPr>
          <w:rFonts w:cs="Arial"/>
        </w:rPr>
        <w:t>Currently</w:t>
      </w:r>
      <w:r w:rsidR="00B34454" w:rsidRPr="00662FA3">
        <w:rPr>
          <w:rFonts w:cs="Arial"/>
          <w:b/>
        </w:rPr>
        <w:t xml:space="preserve"> </w:t>
      </w:r>
      <w:r w:rsidR="00B34454" w:rsidRPr="00662FA3">
        <w:rPr>
          <w:rFonts w:cs="Arial"/>
        </w:rPr>
        <w:t>the employment rate of persons with disabilities in Ireland is about half of the rate for persons without disabilities - 36.5% vs. 72.8%</w:t>
      </w:r>
      <w:r w:rsidR="00B34454">
        <w:rPr>
          <w:rFonts w:cs="Arial"/>
        </w:rPr>
        <w:t xml:space="preserve"> (aged 20-64)</w:t>
      </w:r>
      <w:r w:rsidR="00B34454" w:rsidRPr="00662FA3">
        <w:rPr>
          <w:rFonts w:cs="Arial"/>
        </w:rPr>
        <w:t xml:space="preserve"> in 2016</w:t>
      </w:r>
      <w:r w:rsidR="00421BF9">
        <w:rPr>
          <w:rStyle w:val="FootnoteReference"/>
          <w:szCs w:val="26"/>
          <w:lang w:val="en"/>
        </w:rPr>
        <w:footnoteReference w:id="1"/>
      </w:r>
      <w:r w:rsidR="00421BF9">
        <w:rPr>
          <w:lang w:val="en"/>
        </w:rPr>
        <w:t>.</w:t>
      </w:r>
      <w:r w:rsidR="00B34454" w:rsidRPr="00662FA3">
        <w:rPr>
          <w:rFonts w:cs="Arial"/>
        </w:rPr>
        <w:t xml:space="preserve"> Within the EU, Ireland has one of the largest disability employment gaps. </w:t>
      </w:r>
      <w:r w:rsidR="00421BF9">
        <w:rPr>
          <w:rFonts w:cs="Arial"/>
        </w:rPr>
        <w:t>However</w:t>
      </w:r>
      <w:r w:rsidR="006F5D8C">
        <w:rPr>
          <w:rFonts w:cs="Arial"/>
        </w:rPr>
        <w:t>,</w:t>
      </w:r>
      <w:r w:rsidR="00421BF9">
        <w:rPr>
          <w:rFonts w:cs="Arial"/>
        </w:rPr>
        <w:t xml:space="preserve"> </w:t>
      </w:r>
      <w:r w:rsidR="00421BF9">
        <w:t>a</w:t>
      </w:r>
      <w:r w:rsidR="00421BF9" w:rsidRPr="00CB43DC">
        <w:t>mong people with a disability who are employed</w:t>
      </w:r>
      <w:r w:rsidR="00421BF9">
        <w:t>,</w:t>
      </w:r>
      <w:r w:rsidR="00421BF9" w:rsidRPr="00CB43DC">
        <w:t xml:space="preserve"> </w:t>
      </w:r>
      <w:r w:rsidR="00421BF9" w:rsidRPr="00701488">
        <w:t>14.8% are self-employed</w:t>
      </w:r>
      <w:r>
        <w:t xml:space="preserve"> in </w:t>
      </w:r>
      <w:r w:rsidR="00BA0DF6">
        <w:t>Ireland</w:t>
      </w:r>
      <w:r w:rsidR="00421BF9" w:rsidRPr="00CB43DC">
        <w:t>.</w:t>
      </w:r>
    </w:p>
    <w:p w:rsidR="006E743D" w:rsidRDefault="00BB2F37" w:rsidP="00E62B8C">
      <w:r>
        <w:t>D</w:t>
      </w:r>
      <w:r w:rsidR="006E743D">
        <w:t xml:space="preserve">ata from Europe and the US suggests that self-employment rates are higher among disabled people than those without (e.g. </w:t>
      </w:r>
      <w:proofErr w:type="spellStart"/>
      <w:r w:rsidR="006E743D">
        <w:t>Schur</w:t>
      </w:r>
      <w:proofErr w:type="spellEnd"/>
      <w:r w:rsidR="006E743D">
        <w:t xml:space="preserve"> 1997; </w:t>
      </w:r>
      <w:proofErr w:type="spellStart"/>
      <w:r w:rsidR="006E743D">
        <w:t>Blanck</w:t>
      </w:r>
      <w:proofErr w:type="spellEnd"/>
      <w:r w:rsidR="006E743D">
        <w:t xml:space="preserve"> et al. 2000; Boylan and </w:t>
      </w:r>
      <w:proofErr w:type="spellStart"/>
      <w:r w:rsidR="006E743D">
        <w:t>Burchardt</w:t>
      </w:r>
      <w:proofErr w:type="spellEnd"/>
      <w:r w:rsidR="006E743D">
        <w:t xml:space="preserve"> 2002; </w:t>
      </w:r>
      <w:proofErr w:type="spellStart"/>
      <w:r w:rsidR="006E743D">
        <w:t>Meager</w:t>
      </w:r>
      <w:proofErr w:type="spellEnd"/>
      <w:r w:rsidR="006E743D">
        <w:t xml:space="preserve"> and Higgins 2011). A study of 13 of the then 15 EU member states using European Community Household Panel data for the period 1995-2001 found that self-employment rates among disabled people are higher than among people with</w:t>
      </w:r>
      <w:r w:rsidR="00E62B8C">
        <w:t>out disabilities</w:t>
      </w:r>
      <w:r w:rsidR="00E62B8C">
        <w:rPr>
          <w:rStyle w:val="FootnoteReference"/>
        </w:rPr>
        <w:footnoteReference w:id="2"/>
      </w:r>
      <w:r w:rsidR="00E62B8C">
        <w:t>.</w:t>
      </w:r>
    </w:p>
    <w:p w:rsidR="00424E5B" w:rsidRDefault="006E743D" w:rsidP="00424E5B">
      <w:r>
        <w:rPr>
          <w:rFonts w:cs="Arial"/>
        </w:rPr>
        <w:t xml:space="preserve">This evidence illustrates </w:t>
      </w:r>
      <w:r w:rsidR="009F07B0">
        <w:rPr>
          <w:rFonts w:cs="Arial"/>
        </w:rPr>
        <w:t>how enterprise routes such as</w:t>
      </w:r>
      <w:r>
        <w:rPr>
          <w:rFonts w:cs="Arial"/>
        </w:rPr>
        <w:t xml:space="preserve"> s</w:t>
      </w:r>
      <w:r w:rsidR="00421BF9">
        <w:rPr>
          <w:rFonts w:cs="Arial"/>
        </w:rPr>
        <w:t>elf-employment</w:t>
      </w:r>
      <w:r w:rsidR="001B788D">
        <w:rPr>
          <w:rFonts w:cs="Arial"/>
        </w:rPr>
        <w:t xml:space="preserve"> and </w:t>
      </w:r>
      <w:r w:rsidR="00421BF9">
        <w:rPr>
          <w:rFonts w:cs="Arial"/>
        </w:rPr>
        <w:t xml:space="preserve">entrepreneurship are increasingly important </w:t>
      </w:r>
      <w:r w:rsidR="009F07B0">
        <w:rPr>
          <w:rFonts w:cs="Arial"/>
        </w:rPr>
        <w:t xml:space="preserve">employment </w:t>
      </w:r>
      <w:r w:rsidR="00421BF9">
        <w:rPr>
          <w:rFonts w:cs="Arial"/>
        </w:rPr>
        <w:t>options for people with disabilities.</w:t>
      </w:r>
      <w:r w:rsidR="00424E5B">
        <w:rPr>
          <w:rFonts w:cs="Arial"/>
        </w:rPr>
        <w:t xml:space="preserve"> </w:t>
      </w:r>
      <w:r w:rsidR="009F07B0">
        <w:rPr>
          <w:rFonts w:cs="Arial"/>
        </w:rPr>
        <w:t>This fact is further evidenced i</w:t>
      </w:r>
      <w:r w:rsidR="00424E5B">
        <w:rPr>
          <w:rFonts w:cs="Arial"/>
        </w:rPr>
        <w:t xml:space="preserve">n </w:t>
      </w:r>
      <w:r w:rsidR="00424E5B">
        <w:t xml:space="preserve">a 2021 consultation with people with acquired disabilities in Ireland, </w:t>
      </w:r>
      <w:r w:rsidR="00701488">
        <w:t xml:space="preserve">where </w:t>
      </w:r>
      <w:r w:rsidR="00424E5B">
        <w:t xml:space="preserve">respondents stated that they found it challenging to find information and services to support them back to work after </w:t>
      </w:r>
      <w:r w:rsidR="00424E5B">
        <w:lastRenderedPageBreak/>
        <w:t>acquiring their disability or condition, with 47% finding it very difficult or difficult.</w:t>
      </w:r>
      <w:r w:rsidR="00424E5B">
        <w:rPr>
          <w:rStyle w:val="FootnoteReference"/>
        </w:rPr>
        <w:footnoteReference w:id="3"/>
      </w:r>
      <w:r w:rsidR="0002411A">
        <w:t xml:space="preserve"> With some of these respondents suggesting</w:t>
      </w:r>
      <w:r w:rsidR="00701488">
        <w:t xml:space="preserve"> that</w:t>
      </w:r>
      <w:r w:rsidR="0002411A">
        <w:t xml:space="preserve"> self-employment was their preferred employment option. </w:t>
      </w:r>
    </w:p>
    <w:p w:rsidR="00F71375" w:rsidRDefault="00F71375" w:rsidP="00F71375">
      <w:pPr>
        <w:pStyle w:val="Heading2"/>
      </w:pPr>
      <w:r>
        <w:t>Recommendations</w:t>
      </w:r>
    </w:p>
    <w:p w:rsidR="003B25AD" w:rsidRPr="00B27FAE" w:rsidRDefault="00421BF9" w:rsidP="00E62B8C">
      <w:pPr>
        <w:rPr>
          <w:rFonts w:ascii="Calibri" w:hAnsi="Calibri"/>
          <w:szCs w:val="26"/>
        </w:rPr>
      </w:pPr>
      <w:r w:rsidRPr="007A0D0B">
        <w:rPr>
          <w:rFonts w:cs="Arial"/>
          <w:szCs w:val="26"/>
        </w:rPr>
        <w:t xml:space="preserve">The NDA </w:t>
      </w:r>
      <w:r w:rsidR="008760E7" w:rsidRPr="007A0D0B">
        <w:rPr>
          <w:rFonts w:cs="Arial"/>
          <w:szCs w:val="26"/>
        </w:rPr>
        <w:t xml:space="preserve">recommend </w:t>
      </w:r>
      <w:r w:rsidRPr="007A0D0B">
        <w:rPr>
          <w:rFonts w:cs="Arial"/>
          <w:szCs w:val="26"/>
        </w:rPr>
        <w:t xml:space="preserve">that </w:t>
      </w:r>
      <w:r w:rsidR="008760E7" w:rsidRPr="007A0D0B">
        <w:rPr>
          <w:rFonts w:cs="Arial"/>
          <w:szCs w:val="26"/>
        </w:rPr>
        <w:t>DETE’s white paper on enterprise policy requires a detailed section on inclusive enterprise</w:t>
      </w:r>
      <w:r w:rsidR="003B25AD">
        <w:rPr>
          <w:rFonts w:cs="Arial"/>
          <w:szCs w:val="26"/>
        </w:rPr>
        <w:t xml:space="preserve"> and what inclusive enterprise means in an Irish context</w:t>
      </w:r>
      <w:r w:rsidRPr="007A0D0B">
        <w:rPr>
          <w:rFonts w:cs="Arial"/>
          <w:szCs w:val="26"/>
        </w:rPr>
        <w:t xml:space="preserve">. </w:t>
      </w:r>
      <w:r w:rsidR="003B25AD">
        <w:rPr>
          <w:rFonts w:cs="Arial"/>
          <w:szCs w:val="26"/>
        </w:rPr>
        <w:t xml:space="preserve">Designing an </w:t>
      </w:r>
      <w:r w:rsidR="001B788D" w:rsidRPr="007A0D0B">
        <w:rPr>
          <w:szCs w:val="26"/>
        </w:rPr>
        <w:t>enterprise policy</w:t>
      </w:r>
      <w:r w:rsidR="00BB2F37" w:rsidRPr="007A0D0B">
        <w:rPr>
          <w:szCs w:val="26"/>
        </w:rPr>
        <w:t xml:space="preserve"> that is both </w:t>
      </w:r>
      <w:r w:rsidRPr="007A0D0B">
        <w:rPr>
          <w:szCs w:val="26"/>
        </w:rPr>
        <w:t xml:space="preserve">inclusive </w:t>
      </w:r>
      <w:r w:rsidR="001B788D" w:rsidRPr="007A0D0B">
        <w:rPr>
          <w:szCs w:val="26"/>
        </w:rPr>
        <w:t>and</w:t>
      </w:r>
      <w:r w:rsidRPr="007A0D0B">
        <w:rPr>
          <w:szCs w:val="26"/>
        </w:rPr>
        <w:t xml:space="preserve"> responsive to marginalised groups</w:t>
      </w:r>
      <w:r w:rsidR="003B25AD">
        <w:rPr>
          <w:szCs w:val="26"/>
        </w:rPr>
        <w:t xml:space="preserve"> can</w:t>
      </w:r>
      <w:r w:rsidR="00BB2F37" w:rsidRPr="007A0D0B">
        <w:rPr>
          <w:szCs w:val="26"/>
        </w:rPr>
        <w:t xml:space="preserve"> bring people </w:t>
      </w:r>
      <w:r w:rsidR="008760E7" w:rsidRPr="007A0D0B">
        <w:rPr>
          <w:szCs w:val="26"/>
        </w:rPr>
        <w:t xml:space="preserve">from diverse backgrounds </w:t>
      </w:r>
      <w:r w:rsidR="00BB2F37" w:rsidRPr="007A0D0B">
        <w:rPr>
          <w:szCs w:val="26"/>
        </w:rPr>
        <w:t>in from the margins</w:t>
      </w:r>
      <w:r w:rsidRPr="007A0D0B">
        <w:rPr>
          <w:szCs w:val="26"/>
        </w:rPr>
        <w:t>.</w:t>
      </w:r>
      <w:r w:rsidR="00F71375" w:rsidRPr="00F71375">
        <w:rPr>
          <w:color w:val="1F497D"/>
          <w:sz w:val="28"/>
          <w:szCs w:val="28"/>
        </w:rPr>
        <w:t xml:space="preserve"> </w:t>
      </w:r>
      <w:r w:rsidR="00F71375" w:rsidRPr="00F71375">
        <w:rPr>
          <w:szCs w:val="26"/>
        </w:rPr>
        <w:t>Universal Design Principles and Guidelines</w:t>
      </w:r>
      <w:r w:rsidR="00F71375" w:rsidRPr="00F71375">
        <w:rPr>
          <w:szCs w:val="26"/>
          <w:vertAlign w:val="superscript"/>
        </w:rPr>
        <w:t>1</w:t>
      </w:r>
      <w:r w:rsidR="00F71375" w:rsidRPr="00F71375">
        <w:rPr>
          <w:szCs w:val="26"/>
        </w:rPr>
        <w:t xml:space="preserve"> can be used to ensure that the next enterprise policy is more equitable for all.</w:t>
      </w:r>
      <w:r w:rsidR="00F71375" w:rsidRPr="00F71375">
        <w:rPr>
          <w:sz w:val="28"/>
          <w:szCs w:val="28"/>
        </w:rPr>
        <w:t xml:space="preserve"> </w:t>
      </w:r>
      <w:r w:rsidR="003B25AD" w:rsidRPr="00F71375">
        <w:rPr>
          <w:szCs w:val="26"/>
        </w:rPr>
        <w:t xml:space="preserve"> </w:t>
      </w:r>
      <w:r w:rsidR="00B27FAE" w:rsidRPr="00B27FAE">
        <w:rPr>
          <w:szCs w:val="26"/>
        </w:rPr>
        <w:t xml:space="preserve">The NDA </w:t>
      </w:r>
      <w:r w:rsidR="00B27FAE">
        <w:rPr>
          <w:szCs w:val="26"/>
        </w:rPr>
        <w:t>also recommend</w:t>
      </w:r>
      <w:r w:rsidR="00B27FAE" w:rsidRPr="00B27FAE">
        <w:rPr>
          <w:szCs w:val="26"/>
        </w:rPr>
        <w:t xml:space="preserve"> that all parties involved with preparing enterprise related communications</w:t>
      </w:r>
      <w:r w:rsidR="00B60B89">
        <w:rPr>
          <w:szCs w:val="26"/>
        </w:rPr>
        <w:t>,</w:t>
      </w:r>
      <w:r w:rsidR="00B27FAE" w:rsidRPr="00B27FAE">
        <w:rPr>
          <w:szCs w:val="26"/>
        </w:rPr>
        <w:t xml:space="preserve"> work to align </w:t>
      </w:r>
      <w:r w:rsidR="00B60B89">
        <w:rPr>
          <w:szCs w:val="26"/>
        </w:rPr>
        <w:t xml:space="preserve">these communications </w:t>
      </w:r>
      <w:r w:rsidR="00B27FAE" w:rsidRPr="00B27FAE">
        <w:rPr>
          <w:szCs w:val="26"/>
        </w:rPr>
        <w:t>with the design guidance in the NDA/CEUD – DPER co-published,</w:t>
      </w:r>
      <w:hyperlink r:id="rId8" w:history="1">
        <w:r w:rsidR="00B27FAE" w:rsidRPr="00B27FAE">
          <w:rPr>
            <w:rStyle w:val="Hyperlink"/>
            <w:color w:val="auto"/>
            <w:szCs w:val="26"/>
          </w:rPr>
          <w:t xml:space="preserve"> Customer Communications Toolkit for the Public Service - A Universal Design Approach</w:t>
        </w:r>
      </w:hyperlink>
      <w:r w:rsidR="00B27FAE">
        <w:rPr>
          <w:rFonts w:ascii="Calibri" w:hAnsi="Calibri"/>
          <w:szCs w:val="26"/>
        </w:rPr>
        <w:t>.</w:t>
      </w:r>
    </w:p>
    <w:p w:rsidR="00B27FAE" w:rsidRPr="00F9243F" w:rsidRDefault="00D35E1F" w:rsidP="00E62B8C">
      <w:pPr>
        <w:rPr>
          <w:rFonts w:cs="Arial"/>
          <w:szCs w:val="26"/>
        </w:rPr>
      </w:pPr>
      <w:r w:rsidRPr="007A0D0B">
        <w:rPr>
          <w:szCs w:val="26"/>
        </w:rPr>
        <w:t xml:space="preserve">The </w:t>
      </w:r>
      <w:r w:rsidR="008760E7" w:rsidRPr="007A0D0B">
        <w:rPr>
          <w:szCs w:val="26"/>
        </w:rPr>
        <w:t xml:space="preserve">NDA </w:t>
      </w:r>
      <w:r w:rsidR="00BA0DF6">
        <w:rPr>
          <w:szCs w:val="26"/>
        </w:rPr>
        <w:t xml:space="preserve">also </w:t>
      </w:r>
      <w:r w:rsidR="008760E7" w:rsidRPr="007A0D0B">
        <w:rPr>
          <w:szCs w:val="26"/>
        </w:rPr>
        <w:t xml:space="preserve">recommend that the white paper on </w:t>
      </w:r>
      <w:r w:rsidRPr="007A0D0B">
        <w:rPr>
          <w:szCs w:val="26"/>
        </w:rPr>
        <w:t>enterprise policy to 2030 requires a statement of intent regarding the inclusion of disabled people as entrepreneurs and business owners</w:t>
      </w:r>
      <w:r w:rsidR="00263744">
        <w:rPr>
          <w:szCs w:val="26"/>
        </w:rPr>
        <w:t>, and requires measures and interventions that will support more people with disabilities to access supports and services</w:t>
      </w:r>
      <w:r w:rsidRPr="007A0D0B">
        <w:rPr>
          <w:szCs w:val="26"/>
        </w:rPr>
        <w:t xml:space="preserve">. </w:t>
      </w:r>
      <w:r w:rsidR="00263744">
        <w:rPr>
          <w:szCs w:val="26"/>
        </w:rPr>
        <w:t xml:space="preserve">A </w:t>
      </w:r>
      <w:r w:rsidR="00B50649">
        <w:rPr>
          <w:szCs w:val="26"/>
        </w:rPr>
        <w:t xml:space="preserve"> narrative </w:t>
      </w:r>
      <w:r w:rsidR="00263744">
        <w:rPr>
          <w:szCs w:val="26"/>
        </w:rPr>
        <w:t xml:space="preserve">within the white paper </w:t>
      </w:r>
      <w:r w:rsidR="00B50649">
        <w:rPr>
          <w:szCs w:val="26"/>
        </w:rPr>
        <w:t xml:space="preserve">can include </w:t>
      </w:r>
      <w:r w:rsidRPr="007A0D0B">
        <w:rPr>
          <w:szCs w:val="26"/>
        </w:rPr>
        <w:t xml:space="preserve">the innovations that disabled people have designed and introduced </w:t>
      </w:r>
      <w:r w:rsidR="008760E7" w:rsidRPr="007A0D0B">
        <w:rPr>
          <w:szCs w:val="26"/>
        </w:rPr>
        <w:t xml:space="preserve">both </w:t>
      </w:r>
      <w:r w:rsidRPr="007A0D0B">
        <w:rPr>
          <w:szCs w:val="26"/>
        </w:rPr>
        <w:t>locally and nationally</w:t>
      </w:r>
      <w:r w:rsidR="00263744">
        <w:rPr>
          <w:szCs w:val="26"/>
        </w:rPr>
        <w:t>,</w:t>
      </w:r>
      <w:r w:rsidRPr="007A0D0B">
        <w:rPr>
          <w:szCs w:val="26"/>
        </w:rPr>
        <w:t xml:space="preserve"> </w:t>
      </w:r>
      <w:r w:rsidR="00B50649">
        <w:rPr>
          <w:szCs w:val="26"/>
        </w:rPr>
        <w:t>f</w:t>
      </w:r>
      <w:r w:rsidRPr="007A0D0B">
        <w:rPr>
          <w:szCs w:val="26"/>
        </w:rPr>
        <w:t>or example Izzie’s wheels</w:t>
      </w:r>
      <w:r w:rsidR="00263744">
        <w:rPr>
          <w:rStyle w:val="FootnoteReference"/>
          <w:szCs w:val="26"/>
        </w:rPr>
        <w:footnoteReference w:id="4"/>
      </w:r>
      <w:r w:rsidRPr="007A0D0B">
        <w:rPr>
          <w:szCs w:val="26"/>
        </w:rPr>
        <w:t>, Mobility Mojo</w:t>
      </w:r>
      <w:r w:rsidR="00263744">
        <w:rPr>
          <w:rStyle w:val="FootnoteReference"/>
          <w:szCs w:val="26"/>
        </w:rPr>
        <w:footnoteReference w:id="5"/>
      </w:r>
      <w:r w:rsidR="00986FA9">
        <w:rPr>
          <w:szCs w:val="26"/>
        </w:rPr>
        <w:t xml:space="preserve"> and other Irish entrepreneurs with disabilities</w:t>
      </w:r>
      <w:r w:rsidR="00986FA9">
        <w:rPr>
          <w:rStyle w:val="FootnoteReference"/>
          <w:szCs w:val="26"/>
        </w:rPr>
        <w:footnoteReference w:id="6"/>
      </w:r>
      <w:r w:rsidRPr="007A0D0B">
        <w:rPr>
          <w:szCs w:val="26"/>
        </w:rPr>
        <w:t>.</w:t>
      </w:r>
      <w:r w:rsidR="007A0D0B">
        <w:rPr>
          <w:szCs w:val="26"/>
        </w:rPr>
        <w:t xml:space="preserve"> Moreover this </w:t>
      </w:r>
      <w:r w:rsidR="007A0D0B" w:rsidRPr="007A0D0B">
        <w:rPr>
          <w:szCs w:val="26"/>
        </w:rPr>
        <w:t xml:space="preserve">section of the white paper should be informed by </w:t>
      </w:r>
      <w:r w:rsidR="007D5825" w:rsidRPr="007A0D0B">
        <w:rPr>
          <w:rFonts w:cs="Arial"/>
          <w:color w:val="000000" w:themeColor="text1"/>
          <w:szCs w:val="26"/>
        </w:rPr>
        <w:t>the OECD</w:t>
      </w:r>
      <w:r w:rsidR="007A0D0B">
        <w:rPr>
          <w:rStyle w:val="FootnoteReference"/>
          <w:rFonts w:cs="Arial"/>
          <w:color w:val="000000" w:themeColor="text1"/>
          <w:szCs w:val="26"/>
        </w:rPr>
        <w:footnoteReference w:id="7"/>
      </w:r>
      <w:r w:rsidR="007D5825" w:rsidRPr="007A0D0B">
        <w:rPr>
          <w:rFonts w:cs="Arial"/>
          <w:color w:val="000000" w:themeColor="text1"/>
          <w:szCs w:val="26"/>
        </w:rPr>
        <w:t xml:space="preserve"> </w:t>
      </w:r>
      <w:r w:rsidR="00986FA9">
        <w:rPr>
          <w:rFonts w:cs="Arial"/>
          <w:color w:val="000000" w:themeColor="text1"/>
          <w:szCs w:val="26"/>
        </w:rPr>
        <w:t xml:space="preserve">who </w:t>
      </w:r>
      <w:r w:rsidR="007D5825" w:rsidRPr="007A0D0B">
        <w:rPr>
          <w:rFonts w:cs="Arial"/>
          <w:color w:val="000000" w:themeColor="text1"/>
          <w:szCs w:val="26"/>
        </w:rPr>
        <w:t>facilitated a workshop</w:t>
      </w:r>
      <w:r w:rsidR="007A0D0B" w:rsidRPr="007A0D0B">
        <w:rPr>
          <w:rFonts w:cs="Arial"/>
          <w:color w:val="000000" w:themeColor="text1"/>
          <w:szCs w:val="26"/>
        </w:rPr>
        <w:t xml:space="preserve"> examining inclusive entr</w:t>
      </w:r>
      <w:r w:rsidR="00BA0DF6">
        <w:rPr>
          <w:rFonts w:cs="Arial"/>
          <w:color w:val="000000" w:themeColor="text1"/>
          <w:szCs w:val="26"/>
        </w:rPr>
        <w:t>epreneurship for Ireland, resulting in the</w:t>
      </w:r>
      <w:r w:rsidR="007A0D0B" w:rsidRPr="007A0D0B">
        <w:rPr>
          <w:rFonts w:cs="Arial"/>
          <w:color w:val="000000" w:themeColor="text1"/>
          <w:szCs w:val="26"/>
        </w:rPr>
        <w:t xml:space="preserve"> production of</w:t>
      </w:r>
      <w:r w:rsidR="007D5825" w:rsidRPr="007A0D0B">
        <w:rPr>
          <w:rFonts w:cs="Arial"/>
          <w:color w:val="000000" w:themeColor="text1"/>
          <w:szCs w:val="26"/>
        </w:rPr>
        <w:t xml:space="preserve"> a high-level roadmap </w:t>
      </w:r>
      <w:r w:rsidR="00BA0DF6">
        <w:rPr>
          <w:rFonts w:cs="Arial"/>
          <w:color w:val="000000" w:themeColor="text1"/>
          <w:szCs w:val="26"/>
        </w:rPr>
        <w:t>describing</w:t>
      </w:r>
      <w:r w:rsidR="007D5825" w:rsidRPr="007A0D0B">
        <w:rPr>
          <w:rFonts w:cs="Arial"/>
          <w:color w:val="000000" w:themeColor="text1"/>
          <w:szCs w:val="26"/>
        </w:rPr>
        <w:t xml:space="preserve"> steps that can be taken in Ireland to strengthen entrepreneurship training schemes</w:t>
      </w:r>
      <w:r w:rsidR="00BA0DF6">
        <w:rPr>
          <w:rFonts w:cs="Arial"/>
          <w:color w:val="000000" w:themeColor="text1"/>
          <w:szCs w:val="26"/>
        </w:rPr>
        <w:t xml:space="preserve"> and supports</w:t>
      </w:r>
      <w:r w:rsidR="007D5825" w:rsidRPr="007A0D0B">
        <w:rPr>
          <w:rFonts w:cs="Arial"/>
          <w:color w:val="000000" w:themeColor="text1"/>
          <w:szCs w:val="26"/>
        </w:rPr>
        <w:t xml:space="preserve"> for the noted </w:t>
      </w:r>
      <w:r w:rsidR="007D5825" w:rsidRPr="00B27FAE">
        <w:rPr>
          <w:rFonts w:cs="Arial"/>
          <w:szCs w:val="26"/>
        </w:rPr>
        <w:t>target groups.</w:t>
      </w:r>
    </w:p>
    <w:p w:rsidR="000035B0" w:rsidRDefault="00880849" w:rsidP="00880849">
      <w:pPr>
        <w:pStyle w:val="Heading1"/>
        <w:pBdr>
          <w:right w:val="single" w:sz="4" w:space="20" w:color="auto"/>
        </w:pBdr>
      </w:pPr>
      <w:r>
        <w:lastRenderedPageBreak/>
        <w:t>Establishing inclusive e</w:t>
      </w:r>
      <w:r w:rsidRPr="00C01BB5">
        <w:t xml:space="preserve">nterprise growth policies </w:t>
      </w:r>
    </w:p>
    <w:p w:rsidR="00F655BC" w:rsidRDefault="00D35E1F" w:rsidP="00F655BC">
      <w:r>
        <w:t>T</w:t>
      </w:r>
      <w:r w:rsidR="00390F24">
        <w:t>he Departme</w:t>
      </w:r>
      <w:r w:rsidR="009F07B0">
        <w:t>nt of Trade Enterprise and E</w:t>
      </w:r>
      <w:r w:rsidR="00390F24">
        <w:t xml:space="preserve">mployment </w:t>
      </w:r>
      <w:r>
        <w:t>acknowledge</w:t>
      </w:r>
      <w:r w:rsidR="00032685">
        <w:t>s</w:t>
      </w:r>
      <w:r>
        <w:t xml:space="preserve"> the diverse reach a future focused</w:t>
      </w:r>
      <w:r w:rsidR="00076A9E">
        <w:t xml:space="preserve"> enterprise</w:t>
      </w:r>
      <w:r w:rsidR="00390F24">
        <w:t xml:space="preserve"> policy</w:t>
      </w:r>
      <w:r w:rsidR="00032685">
        <w:t xml:space="preserve"> fit for Ireland requires. By </w:t>
      </w:r>
      <w:r w:rsidR="00076A9E">
        <w:t>address</w:t>
      </w:r>
      <w:r w:rsidR="00032685">
        <w:t>ing</w:t>
      </w:r>
      <w:r w:rsidR="00390F24">
        <w:t xml:space="preserve"> challenges faced by </w:t>
      </w:r>
      <w:r w:rsidR="00E24234">
        <w:t>businesses</w:t>
      </w:r>
      <w:r w:rsidR="00390F24">
        <w:t xml:space="preserve"> including</w:t>
      </w:r>
      <w:r w:rsidR="00076A9E">
        <w:t xml:space="preserve"> micro e</w:t>
      </w:r>
      <w:r w:rsidR="00390F24">
        <w:t xml:space="preserve">nterprises and SMEs to the Multi-National firms based </w:t>
      </w:r>
      <w:r w:rsidR="00076A9E">
        <w:t>in Ireland</w:t>
      </w:r>
      <w:r w:rsidR="00032685">
        <w:t xml:space="preserve"> such a policy must have a level of specialism relevant for each sector</w:t>
      </w:r>
      <w:r w:rsidR="008760E7">
        <w:t>.</w:t>
      </w:r>
      <w:r w:rsidR="00F655BC">
        <w:t xml:space="preserve"> </w:t>
      </w:r>
      <w:r w:rsidR="00E8299B">
        <w:t xml:space="preserve">This recognition of specialism and individual target groups can be informed by </w:t>
      </w:r>
      <w:r w:rsidR="00023AF7">
        <w:t xml:space="preserve">OECD </w:t>
      </w:r>
      <w:r w:rsidR="00F655BC">
        <w:t>reporting on c</w:t>
      </w:r>
      <w:r w:rsidR="009F07B0">
        <w:t xml:space="preserve">ountries </w:t>
      </w:r>
      <w:r w:rsidR="00F655BC">
        <w:t>entrepreneurial practices</w:t>
      </w:r>
      <w:r w:rsidR="00E8299B">
        <w:t>. OECD work in this area has</w:t>
      </w:r>
      <w:r w:rsidR="002B1EEB">
        <w:t xml:space="preserve"> consistently reported</w:t>
      </w:r>
      <w:r w:rsidR="00023AF7">
        <w:t xml:space="preserve"> on </w:t>
      </w:r>
      <w:r w:rsidR="002B1EEB">
        <w:t>the omission of marginalised groups in enterprise and more specifically entrepreneurship policies. This omission has led to a series of publications</w:t>
      </w:r>
      <w:r w:rsidR="00D32479">
        <w:t xml:space="preserve"> called ‘u</w:t>
      </w:r>
      <w:r w:rsidR="00023AF7">
        <w:t xml:space="preserve">ntapped </w:t>
      </w:r>
      <w:r w:rsidR="002B1EEB">
        <w:t>potential</w:t>
      </w:r>
      <w:r w:rsidR="00D32479">
        <w:t>’</w:t>
      </w:r>
      <w:r w:rsidR="002B1EEB">
        <w:t>.</w:t>
      </w:r>
      <w:r w:rsidR="00023AF7">
        <w:rPr>
          <w:rStyle w:val="FootnoteReference"/>
        </w:rPr>
        <w:footnoteReference w:id="8"/>
      </w:r>
      <w:r w:rsidR="00E8299B">
        <w:t xml:space="preserve"> This work should be referenced in the DETE white paper. </w:t>
      </w:r>
      <w:r w:rsidR="002B1EEB">
        <w:t xml:space="preserve">To ensure inclusion of diverse or marginalised </w:t>
      </w:r>
      <w:r w:rsidR="001D3E56">
        <w:t>groups’</w:t>
      </w:r>
      <w:r w:rsidR="002B1EEB">
        <w:t xml:space="preserve"> </w:t>
      </w:r>
      <w:r w:rsidR="00390F24">
        <w:t xml:space="preserve">enterprise policy concerns, strategies and instruments </w:t>
      </w:r>
      <w:r w:rsidR="002B1EEB">
        <w:t>will need</w:t>
      </w:r>
      <w:r w:rsidR="00390F24">
        <w:t xml:space="preserve"> to vary across different subgroups within the enterprise cohorts</w:t>
      </w:r>
      <w:r w:rsidR="00F655BC">
        <w:t>. Therefore policy action will need to address multiple sources of disadvantage in order to improve self-employment/ enterpris</w:t>
      </w:r>
      <w:r w:rsidR="008C2E97">
        <w:t>e inclusion rates among multiple</w:t>
      </w:r>
      <w:r w:rsidR="00F655BC">
        <w:t xml:space="preserve"> disadvantaged groups. </w:t>
      </w:r>
      <w:r w:rsidR="005476BD">
        <w:t>DETE can acknowledge the role of t</w:t>
      </w:r>
      <w:r w:rsidR="009B1621">
        <w:t>he wider ecosystem of social welfare</w:t>
      </w:r>
      <w:r w:rsidR="00F655BC">
        <w:t xml:space="preserve"> benefits and educational programmes </w:t>
      </w:r>
      <w:r w:rsidR="005476BD">
        <w:t xml:space="preserve">which </w:t>
      </w:r>
      <w:r w:rsidR="00F655BC">
        <w:t>need to ensure that disabled people are not penalised because they embark on entrepreneurship or self-employment.</w:t>
      </w:r>
    </w:p>
    <w:p w:rsidR="001D3E56" w:rsidRPr="001D3E56" w:rsidRDefault="001D3E56" w:rsidP="001D3E56">
      <w:pPr>
        <w:pStyle w:val="Heading3"/>
      </w:pPr>
      <w:r w:rsidRPr="001D3E56">
        <w:t>Regional development</w:t>
      </w:r>
    </w:p>
    <w:p w:rsidR="00BB2F37" w:rsidRDefault="0036208C" w:rsidP="00C70980">
      <w:r>
        <w:t xml:space="preserve">An enterprise policy that is ‘fit for purpose’ will </w:t>
      </w:r>
      <w:r w:rsidR="000956FE">
        <w:t>require</w:t>
      </w:r>
      <w:r>
        <w:t xml:space="preserve"> fu</w:t>
      </w:r>
      <w:r w:rsidR="00383589">
        <w:t xml:space="preserve">rther support </w:t>
      </w:r>
      <w:r>
        <w:t>and develop</w:t>
      </w:r>
      <w:r w:rsidR="00383589">
        <w:t xml:space="preserve"> local infrastructure</w:t>
      </w:r>
      <w:r>
        <w:t xml:space="preserve">. </w:t>
      </w:r>
      <w:r w:rsidR="00383589">
        <w:t xml:space="preserve"> </w:t>
      </w:r>
      <w:r w:rsidR="000F1371">
        <w:t xml:space="preserve">Local and regional supports </w:t>
      </w:r>
      <w:r w:rsidR="005476BD">
        <w:t>can be redesigned to</w:t>
      </w:r>
      <w:r w:rsidR="00383589">
        <w:t xml:space="preserve"> ensure that people with disabilities are informed </w:t>
      </w:r>
      <w:r w:rsidR="00E86D73">
        <w:t xml:space="preserve">about </w:t>
      </w:r>
      <w:r w:rsidR="00383589">
        <w:t xml:space="preserve">and supported in enterprise endeavours. This </w:t>
      </w:r>
      <w:r w:rsidR="00E86D73">
        <w:t xml:space="preserve">action </w:t>
      </w:r>
      <w:r w:rsidR="00383589">
        <w:t xml:space="preserve">should include local enterprise offices </w:t>
      </w:r>
      <w:r w:rsidR="005476BD">
        <w:t xml:space="preserve">(LEO) </w:t>
      </w:r>
      <w:r w:rsidR="00383589">
        <w:t>being accessible and that mentors and</w:t>
      </w:r>
      <w:r w:rsidR="00E86D73" w:rsidRPr="00E86D73">
        <w:t xml:space="preserve"> </w:t>
      </w:r>
      <w:r w:rsidR="00E86D73">
        <w:t xml:space="preserve">contractors employed by LEO are competent in supporting people with disabilities who make contact with their </w:t>
      </w:r>
      <w:r w:rsidR="005476BD">
        <w:t>local offices</w:t>
      </w:r>
      <w:r w:rsidR="00E86D73">
        <w:t>. A study from</w:t>
      </w:r>
      <w:r w:rsidR="00E86D73" w:rsidRPr="006F2742">
        <w:t xml:space="preserve"> Harper and </w:t>
      </w:r>
      <w:proofErr w:type="spellStart"/>
      <w:r w:rsidR="00E86D73" w:rsidRPr="006F2742">
        <w:t>Momm</w:t>
      </w:r>
      <w:proofErr w:type="spellEnd"/>
      <w:r w:rsidR="00E86D73">
        <w:rPr>
          <w:rStyle w:val="FootnoteReference"/>
        </w:rPr>
        <w:footnoteReference w:id="9"/>
      </w:r>
      <w:r w:rsidR="00E86D73" w:rsidRPr="006F2742">
        <w:t xml:space="preserve"> identified that many people with disabilities who are in business for themselves, like most other entrepreneurs, never received any help from official institutions but merely made the best of their resources, using whatever family or other supports available at that time. </w:t>
      </w:r>
      <w:r w:rsidR="00E86D73">
        <w:t xml:space="preserve">This study also found that </w:t>
      </w:r>
      <w:r w:rsidR="00E86D73" w:rsidRPr="006F2742">
        <w:t>many enterprise support agencies still do not recognise or appreciate that people with disabilities face additional and distinctive challenges when establishing their own business and that tailored solutions are required if agencies wish to address such challenges in a supportive fashion.</w:t>
      </w:r>
      <w:r w:rsidR="00D32479">
        <w:t xml:space="preserve"> Addressing these barriers is through l</w:t>
      </w:r>
      <w:r w:rsidR="005476BD">
        <w:t xml:space="preserve">ocal </w:t>
      </w:r>
      <w:r w:rsidR="00CF50C6">
        <w:t xml:space="preserve">and </w:t>
      </w:r>
      <w:r w:rsidR="005476BD">
        <w:t xml:space="preserve">regional </w:t>
      </w:r>
      <w:r w:rsidR="0020178B">
        <w:t xml:space="preserve">development plans </w:t>
      </w:r>
      <w:r w:rsidR="00D32479">
        <w:t>with clearly</w:t>
      </w:r>
      <w:r w:rsidR="00CF50C6">
        <w:t xml:space="preserve"> </w:t>
      </w:r>
      <w:r w:rsidR="0020178B">
        <w:t>described goals relevant to disabled people</w:t>
      </w:r>
      <w:r w:rsidR="00CF50C6">
        <w:t>,</w:t>
      </w:r>
      <w:r w:rsidR="0020178B">
        <w:t xml:space="preserve"> with resources and implementation timelines. </w:t>
      </w:r>
    </w:p>
    <w:p w:rsidR="000956FE" w:rsidRPr="00F06070" w:rsidRDefault="000956FE" w:rsidP="00BE41C6">
      <w:pPr>
        <w:rPr>
          <w:rFonts w:cs="Arial"/>
          <w:szCs w:val="26"/>
          <w:lang w:eastAsia="en-IE"/>
        </w:rPr>
      </w:pPr>
      <w:r w:rsidRPr="00F06070">
        <w:rPr>
          <w:szCs w:val="26"/>
        </w:rPr>
        <w:t xml:space="preserve">Ireland through the offices of </w:t>
      </w:r>
      <w:proofErr w:type="spellStart"/>
      <w:r w:rsidRPr="00F06070">
        <w:rPr>
          <w:szCs w:val="26"/>
        </w:rPr>
        <w:t>Pobal</w:t>
      </w:r>
      <w:proofErr w:type="spellEnd"/>
      <w:r w:rsidRPr="00F06070">
        <w:rPr>
          <w:szCs w:val="26"/>
        </w:rPr>
        <w:t xml:space="preserve"> </w:t>
      </w:r>
      <w:r w:rsidR="00BE41C6" w:rsidRPr="00F06070">
        <w:rPr>
          <w:szCs w:val="26"/>
        </w:rPr>
        <w:t>work</w:t>
      </w:r>
      <w:r w:rsidRPr="00F06070">
        <w:rPr>
          <w:szCs w:val="26"/>
        </w:rPr>
        <w:t xml:space="preserve"> with </w:t>
      </w:r>
      <w:r w:rsidR="00BE41C6" w:rsidRPr="00F06070">
        <w:rPr>
          <w:szCs w:val="26"/>
        </w:rPr>
        <w:t xml:space="preserve">OECD’s </w:t>
      </w:r>
      <w:r w:rsidRPr="00F06070">
        <w:rPr>
          <w:szCs w:val="26"/>
        </w:rPr>
        <w:t xml:space="preserve">Local Economic and Employment </w:t>
      </w:r>
      <w:r w:rsidR="00BE41C6" w:rsidRPr="00F06070">
        <w:rPr>
          <w:szCs w:val="26"/>
        </w:rPr>
        <w:t>Development Pr</w:t>
      </w:r>
      <w:r w:rsidR="00D722CE" w:rsidRPr="00F06070">
        <w:rPr>
          <w:szCs w:val="26"/>
        </w:rPr>
        <w:t xml:space="preserve">ogramme have </w:t>
      </w:r>
      <w:r w:rsidR="00BE41C6" w:rsidRPr="00F06070">
        <w:rPr>
          <w:szCs w:val="26"/>
        </w:rPr>
        <w:t>work</w:t>
      </w:r>
      <w:r w:rsidR="00D722CE" w:rsidRPr="00F06070">
        <w:rPr>
          <w:szCs w:val="26"/>
        </w:rPr>
        <w:t>ed on</w:t>
      </w:r>
      <w:r w:rsidR="00BE41C6" w:rsidRPr="00F06070">
        <w:rPr>
          <w:szCs w:val="26"/>
        </w:rPr>
        <w:t xml:space="preserve"> </w:t>
      </w:r>
      <w:r w:rsidRPr="00F06070">
        <w:rPr>
          <w:rFonts w:cs="Arial"/>
          <w:szCs w:val="26"/>
          <w:lang w:eastAsia="en-IE"/>
        </w:rPr>
        <w:t>a joint OECD</w:t>
      </w:r>
      <w:r w:rsidR="00BE41C6" w:rsidRPr="00F06070">
        <w:rPr>
          <w:rFonts w:cs="Arial"/>
          <w:szCs w:val="26"/>
          <w:lang w:eastAsia="en-IE"/>
        </w:rPr>
        <w:t>/</w:t>
      </w:r>
      <w:r w:rsidRPr="00F06070">
        <w:rPr>
          <w:rFonts w:cs="Arial"/>
          <w:szCs w:val="26"/>
          <w:lang w:eastAsia="en-IE"/>
        </w:rPr>
        <w:t xml:space="preserve"> EU commission </w:t>
      </w:r>
      <w:r w:rsidR="00BE41C6" w:rsidRPr="00F06070">
        <w:rPr>
          <w:rFonts w:cs="Arial"/>
          <w:szCs w:val="26"/>
          <w:lang w:eastAsia="en-IE"/>
        </w:rPr>
        <w:t>initiative</w:t>
      </w:r>
      <w:r w:rsidR="00F06070" w:rsidRPr="00F06070">
        <w:rPr>
          <w:rFonts w:cs="Arial"/>
          <w:szCs w:val="26"/>
          <w:lang w:eastAsia="en-IE"/>
        </w:rPr>
        <w:t>. This joint project</w:t>
      </w:r>
      <w:r w:rsidR="00BE41C6" w:rsidRPr="00F06070">
        <w:rPr>
          <w:rFonts w:cs="Arial"/>
          <w:szCs w:val="26"/>
          <w:lang w:eastAsia="en-IE"/>
        </w:rPr>
        <w:t xml:space="preserve"> has led to the development of ‘</w:t>
      </w:r>
      <w:r w:rsidRPr="00F06070">
        <w:rPr>
          <w:rFonts w:cs="Arial"/>
          <w:szCs w:val="26"/>
          <w:lang w:eastAsia="en-IE"/>
        </w:rPr>
        <w:t>The Better Entrepreneurship policy tool</w:t>
      </w:r>
      <w:r w:rsidR="00BE41C6" w:rsidRPr="00F06070">
        <w:rPr>
          <w:rFonts w:cs="Arial"/>
          <w:szCs w:val="26"/>
          <w:lang w:eastAsia="en-IE"/>
        </w:rPr>
        <w:t>’</w:t>
      </w:r>
      <w:r w:rsidR="00BE41C6" w:rsidRPr="00F06070">
        <w:rPr>
          <w:rStyle w:val="FootnoteReference"/>
          <w:rFonts w:ascii="Gill Sans MT" w:hAnsi="Gill Sans MT" w:cs="Arial"/>
          <w:sz w:val="26"/>
          <w:szCs w:val="26"/>
          <w:lang w:eastAsia="en-IE"/>
        </w:rPr>
        <w:footnoteReference w:id="10"/>
      </w:r>
      <w:r w:rsidRPr="00F06070">
        <w:rPr>
          <w:rFonts w:cs="Arial"/>
          <w:szCs w:val="26"/>
          <w:lang w:eastAsia="en-IE"/>
        </w:rPr>
        <w:t xml:space="preserve"> which describes implementation of supports for social enterprises</w:t>
      </w:r>
      <w:r w:rsidR="00BE41C6" w:rsidRPr="00F06070">
        <w:rPr>
          <w:rFonts w:cs="Arial"/>
          <w:szCs w:val="26"/>
          <w:lang w:eastAsia="en-IE"/>
        </w:rPr>
        <w:t xml:space="preserve"> and inclusive entrepreneurship.</w:t>
      </w:r>
      <w:r w:rsidR="00F06070" w:rsidRPr="00F06070">
        <w:rPr>
          <w:rFonts w:cs="Arial"/>
          <w:szCs w:val="26"/>
          <w:lang w:eastAsia="en-IE"/>
        </w:rPr>
        <w:t xml:space="preserve"> This tool should be operationalised in the next enterprise policy.</w:t>
      </w:r>
    </w:p>
    <w:p w:rsidR="00C01BB5" w:rsidRDefault="00573907" w:rsidP="00573907">
      <w:pPr>
        <w:pStyle w:val="Heading2"/>
      </w:pPr>
      <w:r>
        <w:t>S</w:t>
      </w:r>
      <w:r w:rsidR="00C01BB5" w:rsidRPr="00C01BB5">
        <w:t>kills and talent availability to support enterprise development</w:t>
      </w:r>
    </w:p>
    <w:p w:rsidR="00271DD3" w:rsidRDefault="00D36471" w:rsidP="00D36471">
      <w:r>
        <w:t xml:space="preserve">Across the spectrum of enterprise support development, certain </w:t>
      </w:r>
      <w:r w:rsidR="00271DD3">
        <w:t xml:space="preserve">strategies </w:t>
      </w:r>
      <w:r>
        <w:t>are required. A 2011 International study on Income Generation Strategies</w:t>
      </w:r>
      <w:r>
        <w:rPr>
          <w:rStyle w:val="FootnoteReference"/>
        </w:rPr>
        <w:footnoteReference w:id="11"/>
      </w:r>
      <w:r>
        <w:t xml:space="preserve"> analysed 81 self-directed employment projects</w:t>
      </w:r>
      <w:r w:rsidR="00271DD3">
        <w:t xml:space="preserve">. This study </w:t>
      </w:r>
      <w:r>
        <w:t xml:space="preserve">highlighted four success factors: </w:t>
      </w:r>
    </w:p>
    <w:p w:rsidR="00271DD3" w:rsidRDefault="00F9243F" w:rsidP="00C70980">
      <w:pPr>
        <w:pStyle w:val="ListParagraph"/>
        <w:numPr>
          <w:ilvl w:val="0"/>
          <w:numId w:val="24"/>
        </w:numPr>
      </w:pPr>
      <w:r>
        <w:t>A</w:t>
      </w:r>
      <w:r w:rsidR="00D36471">
        <w:t xml:space="preserve"> self-directed identity (self-confidence, energy, risk-taking); </w:t>
      </w:r>
    </w:p>
    <w:p w:rsidR="00F9243F" w:rsidRDefault="00F9243F" w:rsidP="00C70980">
      <w:pPr>
        <w:pStyle w:val="ListParagraph"/>
        <w:numPr>
          <w:ilvl w:val="0"/>
          <w:numId w:val="24"/>
        </w:numPr>
      </w:pPr>
      <w:r>
        <w:t>R</w:t>
      </w:r>
      <w:r w:rsidR="00D36471">
        <w:t xml:space="preserve">elevant knowledge (literacy and numeracy, technical skills, business skills); </w:t>
      </w:r>
    </w:p>
    <w:p w:rsidR="00271DD3" w:rsidRDefault="00F9243F" w:rsidP="00C70980">
      <w:pPr>
        <w:pStyle w:val="ListParagraph"/>
        <w:numPr>
          <w:ilvl w:val="0"/>
          <w:numId w:val="24"/>
        </w:numPr>
      </w:pPr>
      <w:r>
        <w:t>A</w:t>
      </w:r>
      <w:r w:rsidR="00D36471">
        <w:t xml:space="preserve">vailability of resources (advice, capital, marketing assistance); </w:t>
      </w:r>
    </w:p>
    <w:p w:rsidR="00573907" w:rsidRDefault="00F9243F" w:rsidP="00947E33">
      <w:pPr>
        <w:pStyle w:val="ListParagraph"/>
        <w:numPr>
          <w:ilvl w:val="0"/>
          <w:numId w:val="24"/>
        </w:numPr>
        <w:rPr>
          <w:szCs w:val="26"/>
        </w:rPr>
      </w:pPr>
      <w:r>
        <w:t>A</w:t>
      </w:r>
      <w:r w:rsidR="00D36471">
        <w:t xml:space="preserve">n enabling social and policy environment (political support, community </w:t>
      </w:r>
      <w:r w:rsidR="00D36471" w:rsidRPr="00C70980">
        <w:rPr>
          <w:szCs w:val="26"/>
        </w:rPr>
        <w:t>development, disability rights)</w:t>
      </w:r>
    </w:p>
    <w:p w:rsidR="00BE41C6" w:rsidRDefault="00BE41C6" w:rsidP="00BE41C6">
      <w:pPr>
        <w:rPr>
          <w:szCs w:val="26"/>
        </w:rPr>
      </w:pPr>
      <w:r>
        <w:rPr>
          <w:szCs w:val="26"/>
        </w:rPr>
        <w:t xml:space="preserve">These practical skills are important competencies to support enterprise development and should be made available in flexible delivery options including part-time. </w:t>
      </w:r>
    </w:p>
    <w:p w:rsidR="00F06070" w:rsidRPr="00C6044F" w:rsidRDefault="00F06070" w:rsidP="005C369B">
      <w:pPr>
        <w:rPr>
          <w:rFonts w:ascii="Calibri" w:hAnsi="Calibri"/>
          <w:sz w:val="22"/>
          <w:szCs w:val="22"/>
        </w:rPr>
      </w:pPr>
      <w:r w:rsidRPr="005C369B">
        <w:rPr>
          <w:szCs w:val="26"/>
        </w:rPr>
        <w:t xml:space="preserve">For an enterprise policy to </w:t>
      </w:r>
      <w:r w:rsidR="00C6044F">
        <w:rPr>
          <w:szCs w:val="26"/>
        </w:rPr>
        <w:t xml:space="preserve">benefit from technological and design developments, creative ways of encouraging talent are necessary. For </w:t>
      </w:r>
      <w:r w:rsidR="005C369B" w:rsidRPr="005C369B">
        <w:rPr>
          <w:szCs w:val="26"/>
        </w:rPr>
        <w:t xml:space="preserve">9 years </w:t>
      </w:r>
      <w:r w:rsidR="005C369B" w:rsidRPr="005C369B">
        <w:rPr>
          <w:szCs w:val="26"/>
          <w:shd w:val="clear" w:color="auto" w:fill="FFFFFF"/>
        </w:rPr>
        <w:t>The</w:t>
      </w:r>
      <w:r w:rsidR="005C369B" w:rsidRPr="005C369B">
        <w:rPr>
          <w:shd w:val="clear" w:color="auto" w:fill="FFFFFF"/>
        </w:rPr>
        <w:t xml:space="preserve"> U</w:t>
      </w:r>
      <w:r w:rsidR="005C369B">
        <w:rPr>
          <w:shd w:val="clear" w:color="auto" w:fill="FFFFFF"/>
        </w:rPr>
        <w:t xml:space="preserve">niversal Design Grand Challenge </w:t>
      </w:r>
      <w:r w:rsidR="005C369B" w:rsidRPr="005C369B">
        <w:rPr>
          <w:b/>
          <w:bCs/>
          <w:bdr w:val="none" w:sz="0" w:space="0" w:color="auto" w:frame="1"/>
          <w:shd w:val="clear" w:color="auto" w:fill="FFFFFF"/>
        </w:rPr>
        <w:t>(UDGC)</w:t>
      </w:r>
      <w:r w:rsidR="005C369B">
        <w:rPr>
          <w:shd w:val="clear" w:color="auto" w:fill="FFFFFF"/>
        </w:rPr>
        <w:t xml:space="preserve"> a student </w:t>
      </w:r>
      <w:r w:rsidR="005C369B" w:rsidRPr="005C369B">
        <w:rPr>
          <w:shd w:val="clear" w:color="auto" w:fill="FFFFFF"/>
        </w:rPr>
        <w:t>competition</w:t>
      </w:r>
      <w:r w:rsidR="005C369B">
        <w:rPr>
          <w:rStyle w:val="FootnoteReference"/>
          <w:shd w:val="clear" w:color="auto" w:fill="FFFFFF"/>
        </w:rPr>
        <w:footnoteReference w:id="12"/>
      </w:r>
      <w:r w:rsidR="00C6044F">
        <w:rPr>
          <w:shd w:val="clear" w:color="auto" w:fill="FFFFFF"/>
        </w:rPr>
        <w:t>, which</w:t>
      </w:r>
      <w:r w:rsidR="005C369B" w:rsidRPr="005C369B">
        <w:rPr>
          <w:shd w:val="clear" w:color="auto" w:fill="FFFFFF"/>
        </w:rPr>
        <w:t xml:space="preserve"> promotes and awards excellence in student projects that feature s</w:t>
      </w:r>
      <w:r w:rsidR="00C6044F">
        <w:rPr>
          <w:shd w:val="clear" w:color="auto" w:fill="FFFFFF"/>
        </w:rPr>
        <w:t>olutions that work for everyone has generated such innovations.</w:t>
      </w:r>
      <w:r w:rsidR="005C369B" w:rsidRPr="005C369B">
        <w:rPr>
          <w:shd w:val="clear" w:color="auto" w:fill="FFFFFF"/>
        </w:rPr>
        <w:t xml:space="preserve"> </w:t>
      </w:r>
    </w:p>
    <w:p w:rsidR="00573907" w:rsidRDefault="00947E33" w:rsidP="00573907">
      <w:pPr>
        <w:pStyle w:val="Heading2"/>
      </w:pPr>
      <w:r w:rsidRPr="00947E33">
        <w:t>E</w:t>
      </w:r>
      <w:r w:rsidR="00C01BB5" w:rsidRPr="00947E33">
        <w:t>nterprise policy support for the Sustainable Development Goals</w:t>
      </w:r>
      <w:r>
        <w:t xml:space="preserve">, </w:t>
      </w:r>
    </w:p>
    <w:p w:rsidR="00947E33" w:rsidRPr="00947E33" w:rsidRDefault="008C2E97" w:rsidP="00947E33">
      <w:pPr>
        <w:rPr>
          <w:szCs w:val="26"/>
        </w:rPr>
      </w:pPr>
      <w:r>
        <w:t>Global Sustainable Development G</w:t>
      </w:r>
      <w:r w:rsidR="009F0122">
        <w:t xml:space="preserve">oals </w:t>
      </w:r>
      <w:r>
        <w:t>(SDG) now include disabled people. T</w:t>
      </w:r>
      <w:r w:rsidR="008F60C5">
        <w:t>hese</w:t>
      </w:r>
      <w:r w:rsidR="00BE41C6">
        <w:t xml:space="preserve"> goals</w:t>
      </w:r>
      <w:r w:rsidR="009F0122">
        <w:t xml:space="preserve"> with the </w:t>
      </w:r>
      <w:r w:rsidR="008F60C5">
        <w:t>Irish</w:t>
      </w:r>
      <w:r w:rsidR="009F0122">
        <w:t xml:space="preserve"> </w:t>
      </w:r>
      <w:r w:rsidR="008F60C5">
        <w:t>government’s</w:t>
      </w:r>
      <w:r w:rsidR="009F0122">
        <w:t xml:space="preserve"> ratification of the </w:t>
      </w:r>
      <w:r w:rsidR="008F60C5">
        <w:t>United Nations Convention on the Rights of People with disabilities requires commitments to deliver in t</w:t>
      </w:r>
      <w:r>
        <w:t xml:space="preserve">he next enterprise policy. The </w:t>
      </w:r>
      <w:r w:rsidR="008F60C5">
        <w:t>SD</w:t>
      </w:r>
      <w:r>
        <w:t>G’s</w:t>
      </w:r>
      <w:r w:rsidR="008F60C5">
        <w:t xml:space="preserve"> identify </w:t>
      </w:r>
      <w:r w:rsidR="00947E33">
        <w:rPr>
          <w:szCs w:val="26"/>
        </w:rPr>
        <w:t>p</w:t>
      </w:r>
      <w:r w:rsidR="00947E33" w:rsidRPr="00947E33">
        <w:rPr>
          <w:szCs w:val="26"/>
        </w:rPr>
        <w:t>eople with disabilities in a number of key objectives pertine</w:t>
      </w:r>
      <w:r w:rsidR="00947E33">
        <w:rPr>
          <w:szCs w:val="26"/>
        </w:rPr>
        <w:t>nt to the n</w:t>
      </w:r>
      <w:r w:rsidR="008F60C5">
        <w:rPr>
          <w:szCs w:val="26"/>
        </w:rPr>
        <w:t>ew enterprise policy. These are</w:t>
      </w:r>
      <w:r w:rsidR="00947E33">
        <w:rPr>
          <w:szCs w:val="26"/>
        </w:rPr>
        <w:t>:</w:t>
      </w:r>
    </w:p>
    <w:p w:rsidR="00947E33" w:rsidRPr="00947E33" w:rsidRDefault="00947E33" w:rsidP="00947E33">
      <w:pPr>
        <w:pStyle w:val="ListParagraph"/>
        <w:numPr>
          <w:ilvl w:val="0"/>
          <w:numId w:val="21"/>
        </w:numPr>
        <w:rPr>
          <w:szCs w:val="26"/>
        </w:rPr>
      </w:pPr>
      <w:r w:rsidRPr="00947E33">
        <w:rPr>
          <w:szCs w:val="26"/>
        </w:rPr>
        <w:t xml:space="preserve">4 Quality Education  </w:t>
      </w:r>
    </w:p>
    <w:p w:rsidR="00947E33" w:rsidRPr="00947E33" w:rsidRDefault="00947E33" w:rsidP="00947E33">
      <w:pPr>
        <w:pStyle w:val="ListParagraph"/>
        <w:numPr>
          <w:ilvl w:val="0"/>
          <w:numId w:val="21"/>
        </w:numPr>
        <w:rPr>
          <w:szCs w:val="26"/>
        </w:rPr>
      </w:pPr>
      <w:r w:rsidRPr="00947E33">
        <w:rPr>
          <w:szCs w:val="26"/>
        </w:rPr>
        <w:t>8 Decent work and Economic Growth</w:t>
      </w:r>
    </w:p>
    <w:p w:rsidR="00947E33" w:rsidRPr="00947E33" w:rsidRDefault="00947E33" w:rsidP="00947E33">
      <w:pPr>
        <w:pStyle w:val="ListParagraph"/>
        <w:numPr>
          <w:ilvl w:val="0"/>
          <w:numId w:val="21"/>
        </w:numPr>
        <w:rPr>
          <w:szCs w:val="26"/>
        </w:rPr>
      </w:pPr>
      <w:r w:rsidRPr="00947E33">
        <w:rPr>
          <w:szCs w:val="26"/>
        </w:rPr>
        <w:t>9 Industry Innovation and Infrastructure</w:t>
      </w:r>
    </w:p>
    <w:p w:rsidR="00947E33" w:rsidRPr="00947E33" w:rsidRDefault="00947E33" w:rsidP="00947E33">
      <w:pPr>
        <w:pStyle w:val="ListParagraph"/>
        <w:numPr>
          <w:ilvl w:val="0"/>
          <w:numId w:val="21"/>
        </w:numPr>
        <w:rPr>
          <w:szCs w:val="26"/>
        </w:rPr>
      </w:pPr>
      <w:r w:rsidRPr="00947E33">
        <w:rPr>
          <w:szCs w:val="26"/>
        </w:rPr>
        <w:t>10 Reduced Inequality</w:t>
      </w:r>
    </w:p>
    <w:p w:rsidR="00947E33" w:rsidRPr="00947E33" w:rsidRDefault="00947E33" w:rsidP="00947E33">
      <w:pPr>
        <w:pStyle w:val="ListParagraph"/>
        <w:numPr>
          <w:ilvl w:val="0"/>
          <w:numId w:val="21"/>
        </w:numPr>
        <w:rPr>
          <w:szCs w:val="26"/>
        </w:rPr>
      </w:pPr>
      <w:r w:rsidRPr="00947E33">
        <w:rPr>
          <w:szCs w:val="26"/>
        </w:rPr>
        <w:t>11 Sustainable cities and communities</w:t>
      </w:r>
    </w:p>
    <w:p w:rsidR="00C01BB5" w:rsidRPr="009572A3" w:rsidRDefault="00947E33" w:rsidP="00E62B8C">
      <w:pPr>
        <w:pStyle w:val="ListParagraph"/>
        <w:numPr>
          <w:ilvl w:val="0"/>
          <w:numId w:val="21"/>
        </w:numPr>
        <w:rPr>
          <w:szCs w:val="26"/>
        </w:rPr>
      </w:pPr>
      <w:r w:rsidRPr="00947E33">
        <w:rPr>
          <w:szCs w:val="26"/>
        </w:rPr>
        <w:t>17 Partnership to achieve the goals</w:t>
      </w:r>
    </w:p>
    <w:p w:rsidR="009A1262" w:rsidRPr="00C70980" w:rsidRDefault="008C2E97" w:rsidP="00E62B8C">
      <w:r>
        <w:t>SDG’s and evidence from</w:t>
      </w:r>
      <w:r w:rsidR="00421BF9">
        <w:t xml:space="preserve"> business and academic literature </w:t>
      </w:r>
      <w:r>
        <w:t xml:space="preserve">present a </w:t>
      </w:r>
      <w:r w:rsidR="00421BF9">
        <w:t xml:space="preserve">clear case for the inclusion of people with disabilities in </w:t>
      </w:r>
      <w:r>
        <w:t>the next Irish enterprise policy.</w:t>
      </w:r>
      <w:r w:rsidR="00421BF9">
        <w:t xml:space="preserve"> </w:t>
      </w:r>
    </w:p>
    <w:p w:rsidR="00F108D7" w:rsidRDefault="00F108D7" w:rsidP="00F108D7">
      <w:pPr>
        <w:pStyle w:val="Heading1"/>
      </w:pPr>
      <w:r>
        <w:t>Why disabled people choose enterprise options</w:t>
      </w:r>
    </w:p>
    <w:p w:rsidR="00FD5847" w:rsidRDefault="006E743D" w:rsidP="00C70980">
      <w:pPr>
        <w:rPr>
          <w:szCs w:val="26"/>
        </w:rPr>
      </w:pPr>
      <w:r>
        <w:t xml:space="preserve">Looking at the personal characteristics of disabled entrepreneurs, self-employment rates vary by type and severity of impairment, gender, education and residential location. Self-employment rates were higher among people who were severely limited in their daily activities than among those reporting some or no </w:t>
      </w:r>
      <w:r w:rsidR="000B6AC0">
        <w:t>limitation in daily activities.</w:t>
      </w:r>
      <w:r w:rsidR="000B6AC0">
        <w:rPr>
          <w:rStyle w:val="FootnoteReference"/>
        </w:rPr>
        <w:footnoteReference w:id="13"/>
      </w:r>
      <w:r>
        <w:t xml:space="preserve">There is some evidence on self-employment rates among people with specific disabilities. Boylan and </w:t>
      </w:r>
      <w:proofErr w:type="spellStart"/>
      <w:r>
        <w:t>Burchardt</w:t>
      </w:r>
      <w:proofErr w:type="spellEnd"/>
      <w:r>
        <w:t xml:space="preserve"> (2002) found that, in the UK, men and women with musculoskeletal problems, and women with mental health problems, are particularly likely to be self-employed, while men with sensory impairments are relatively unlikely to be self-employed</w:t>
      </w:r>
      <w:r>
        <w:rPr>
          <w:rStyle w:val="FootnoteReference"/>
        </w:rPr>
        <w:footnoteReference w:id="14"/>
      </w:r>
      <w:r>
        <w:t>.</w:t>
      </w:r>
      <w:r w:rsidR="000B6AC0">
        <w:t xml:space="preserve"> </w:t>
      </w:r>
    </w:p>
    <w:p w:rsidR="00686E3E" w:rsidRDefault="006F2742" w:rsidP="00B14618">
      <w:r>
        <w:t>Evidence gathered suggests that there are numerous benefits of self-employment for people with disabilities, including greater customisation of the job and flexibility in hours worked. For others, self-employment may offer more autonomy, a stronger sense of dignity or a greater opportunity to follow career aspirations. However, individuals with disabilities encounter a number of barriers and challenges to self-employment and entrepreneurship. Self-employment training and guidance is often not a major component of workforce development and for people with acquired disabilities the lack of vocational rehabilitation services continue to prevent individuals with disabilities from gaining critical business skills</w:t>
      </w:r>
      <w:r w:rsidR="00CD2C12">
        <w:t>.</w:t>
      </w:r>
    </w:p>
    <w:p w:rsidR="00CD2C12" w:rsidRDefault="00CD2C12" w:rsidP="00CD2C12">
      <w:pPr>
        <w:pStyle w:val="Heading1"/>
      </w:pPr>
      <w:r>
        <w:t>Conclusion</w:t>
      </w:r>
    </w:p>
    <w:p w:rsidR="00CD2C12" w:rsidRDefault="00686E3E" w:rsidP="00CD2C12">
      <w:pPr>
        <w:autoSpaceDE w:val="0"/>
        <w:autoSpaceDN w:val="0"/>
        <w:adjustRightInd w:val="0"/>
        <w:rPr>
          <w:color w:val="000000"/>
          <w:szCs w:val="26"/>
          <w:lang w:val="en-GB" w:eastAsia="en-GB"/>
        </w:rPr>
      </w:pPr>
      <w:r w:rsidRPr="009B2011">
        <w:rPr>
          <w:color w:val="000000"/>
          <w:szCs w:val="26"/>
          <w:lang w:val="en-GB" w:eastAsia="en-GB"/>
        </w:rPr>
        <w:t>The NDA</w:t>
      </w:r>
      <w:r>
        <w:rPr>
          <w:color w:val="000000"/>
          <w:szCs w:val="26"/>
          <w:lang w:val="en-GB" w:eastAsia="en-GB"/>
        </w:rPr>
        <w:t xml:space="preserve"> recommends the following </w:t>
      </w:r>
      <w:r w:rsidR="00CD2C12">
        <w:rPr>
          <w:color w:val="000000"/>
          <w:szCs w:val="26"/>
          <w:lang w:val="en-GB" w:eastAsia="en-GB"/>
        </w:rPr>
        <w:t>considerations</w:t>
      </w:r>
      <w:r w:rsidRPr="009B2011">
        <w:rPr>
          <w:color w:val="000000"/>
          <w:szCs w:val="26"/>
          <w:lang w:val="en-GB" w:eastAsia="en-GB"/>
        </w:rPr>
        <w:t xml:space="preserve"> </w:t>
      </w:r>
      <w:r w:rsidR="00CD2C12">
        <w:rPr>
          <w:color w:val="000000"/>
          <w:szCs w:val="26"/>
          <w:lang w:val="en-GB" w:eastAsia="en-GB"/>
        </w:rPr>
        <w:t xml:space="preserve">for inclusion in the white paper on </w:t>
      </w:r>
      <w:r w:rsidR="008C2E97">
        <w:rPr>
          <w:color w:val="000000"/>
          <w:szCs w:val="26"/>
          <w:lang w:val="en-GB" w:eastAsia="en-GB"/>
        </w:rPr>
        <w:t>enterprise policy.</w:t>
      </w:r>
      <w:r w:rsidR="00D370D1">
        <w:rPr>
          <w:color w:val="000000"/>
          <w:szCs w:val="26"/>
          <w:lang w:val="en-GB" w:eastAsia="en-GB"/>
        </w:rPr>
        <w:t xml:space="preserve"> I</w:t>
      </w:r>
      <w:r>
        <w:rPr>
          <w:color w:val="000000"/>
          <w:szCs w:val="26"/>
          <w:lang w:val="en-GB" w:eastAsia="en-GB"/>
        </w:rPr>
        <w:t xml:space="preserve">mplementing these </w:t>
      </w:r>
      <w:r w:rsidR="00D370D1">
        <w:rPr>
          <w:color w:val="000000"/>
          <w:szCs w:val="26"/>
          <w:lang w:val="en-GB" w:eastAsia="en-GB"/>
        </w:rPr>
        <w:t xml:space="preserve">as key developments within the next enterprise policy </w:t>
      </w:r>
      <w:r>
        <w:rPr>
          <w:color w:val="000000"/>
          <w:szCs w:val="26"/>
          <w:lang w:val="en-GB" w:eastAsia="en-GB"/>
        </w:rPr>
        <w:t xml:space="preserve">will support more people with disabilities in their enterprise journey. </w:t>
      </w:r>
    </w:p>
    <w:p w:rsidR="00686E3E" w:rsidRDefault="00686E3E" w:rsidP="00CD2C12">
      <w:pPr>
        <w:pStyle w:val="ListParagraph"/>
        <w:numPr>
          <w:ilvl w:val="0"/>
          <w:numId w:val="25"/>
        </w:numPr>
        <w:autoSpaceDE w:val="0"/>
        <w:autoSpaceDN w:val="0"/>
        <w:adjustRightInd w:val="0"/>
        <w:rPr>
          <w:szCs w:val="26"/>
        </w:rPr>
      </w:pPr>
      <w:r w:rsidRPr="00CD2C12">
        <w:rPr>
          <w:szCs w:val="26"/>
        </w:rPr>
        <w:t>Develop and articulate a vision statement that promotes the inclusion of all persons with disabilities in the new Irish enterprise policy, it is not sufficient to assume inclusion, disabled people should be included as a target group</w:t>
      </w:r>
    </w:p>
    <w:p w:rsidR="00D03985" w:rsidRPr="00CD2C12" w:rsidRDefault="00D03985" w:rsidP="00CD2C12">
      <w:pPr>
        <w:pStyle w:val="ListParagraph"/>
        <w:numPr>
          <w:ilvl w:val="0"/>
          <w:numId w:val="25"/>
        </w:numPr>
        <w:autoSpaceDE w:val="0"/>
        <w:autoSpaceDN w:val="0"/>
        <w:adjustRightInd w:val="0"/>
        <w:rPr>
          <w:szCs w:val="26"/>
        </w:rPr>
      </w:pPr>
      <w:r>
        <w:rPr>
          <w:szCs w:val="26"/>
        </w:rPr>
        <w:t>The data shows that self-employment and entrepreneurship are routes that disabled people are accessing, however with further support more people with disabilities will take this route.</w:t>
      </w:r>
    </w:p>
    <w:p w:rsidR="00B06486" w:rsidRPr="00B06486" w:rsidRDefault="00686E3E" w:rsidP="00B06486">
      <w:pPr>
        <w:pStyle w:val="ListParagraph"/>
        <w:numPr>
          <w:ilvl w:val="0"/>
          <w:numId w:val="22"/>
        </w:numPr>
        <w:rPr>
          <w:szCs w:val="26"/>
        </w:rPr>
      </w:pPr>
      <w:r w:rsidRPr="00B06486">
        <w:rPr>
          <w:szCs w:val="26"/>
        </w:rPr>
        <w:t xml:space="preserve">Develop and articulate a longer term vision for a fully universally designed enterprise policy. </w:t>
      </w:r>
      <w:r w:rsidRPr="00B06486">
        <w:rPr>
          <w:szCs w:val="26"/>
          <w:lang w:val="en-GB" w:eastAsia="en-GB"/>
        </w:rPr>
        <w:t xml:space="preserve">Include Universal Design (UD)) as a core methodology to underpin the design and delivery of an inclusive enterprise policy. </w:t>
      </w:r>
      <w:r w:rsidRPr="00B06486">
        <w:rPr>
          <w:szCs w:val="26"/>
          <w:lang w:val="en"/>
        </w:rPr>
        <w:t>The Centre for Excellence in Universal de</w:t>
      </w:r>
      <w:r w:rsidR="00B06486" w:rsidRPr="00B06486">
        <w:rPr>
          <w:szCs w:val="26"/>
          <w:lang w:val="en"/>
        </w:rPr>
        <w:t xml:space="preserve">sign (CEUD) promotes UD which </w:t>
      </w:r>
      <w:r w:rsidR="00B06486" w:rsidRPr="00B06486">
        <w:rPr>
          <w:szCs w:val="26"/>
        </w:rPr>
        <w:t>is more equitable for all. The NDA also recommends that all parties involved with preparing enterprise related communications work to align with the design guidance in the NDA/CEUD – DPER co-published,</w:t>
      </w:r>
      <w:hyperlink r:id="rId9" w:history="1">
        <w:r w:rsidR="00B06486" w:rsidRPr="00B06486">
          <w:rPr>
            <w:rStyle w:val="Hyperlink"/>
            <w:color w:val="auto"/>
            <w:szCs w:val="26"/>
          </w:rPr>
          <w:t xml:space="preserve"> Customer Communications Toolkit for the Public Service - A Universal Design Approach</w:t>
        </w:r>
      </w:hyperlink>
    </w:p>
    <w:p w:rsidR="00686E3E" w:rsidRPr="001B76DD" w:rsidRDefault="00686E3E" w:rsidP="00686E3E">
      <w:pPr>
        <w:pStyle w:val="ListParagraph"/>
        <w:numPr>
          <w:ilvl w:val="0"/>
          <w:numId w:val="22"/>
        </w:numPr>
        <w:rPr>
          <w:szCs w:val="26"/>
        </w:rPr>
      </w:pPr>
      <w:r>
        <w:rPr>
          <w:szCs w:val="26"/>
        </w:rPr>
        <w:t>Give consideration to the</w:t>
      </w:r>
      <w:r w:rsidRPr="00382CB1">
        <w:rPr>
          <w:szCs w:val="26"/>
        </w:rPr>
        <w:t xml:space="preserve"> particular requirements of </w:t>
      </w:r>
      <w:r>
        <w:rPr>
          <w:szCs w:val="26"/>
        </w:rPr>
        <w:t xml:space="preserve">disabled people ensuring those who need targeted supports have access to them. Using an approach that responds to the diverse needs of learners is important to achieve full inclusion. Things that may specifically benefit this group may include more access to part-time or evening courses. </w:t>
      </w:r>
    </w:p>
    <w:p w:rsidR="00686E3E" w:rsidRPr="00686E3E" w:rsidRDefault="00686E3E" w:rsidP="00686E3E">
      <w:pPr>
        <w:pStyle w:val="ListParagraph"/>
        <w:numPr>
          <w:ilvl w:val="0"/>
          <w:numId w:val="22"/>
        </w:numPr>
        <w:spacing w:after="257"/>
        <w:ind w:right="4"/>
        <w:rPr>
          <w:szCs w:val="26"/>
        </w:rPr>
      </w:pPr>
      <w:r>
        <w:t xml:space="preserve">People with disabilities are understood to be included in 8 of the SDG, however a fully inclusive enterprise policy would also be in line with obligations in the </w:t>
      </w:r>
      <w:r w:rsidRPr="00BC2872">
        <w:rPr>
          <w:rFonts w:eastAsia="Gill Sans MT" w:cs="Gill Sans MT"/>
        </w:rPr>
        <w:t>UN Convention on the Rights of Persons with Disabilities</w:t>
      </w:r>
      <w:r w:rsidRPr="00BC2872">
        <w:t xml:space="preserve"> </w:t>
      </w:r>
      <w:r w:rsidRPr="00BC2872">
        <w:rPr>
          <w:rFonts w:eastAsia="Gill Sans MT" w:cs="Gill Sans MT"/>
        </w:rPr>
        <w:t>(UNCRPD)</w:t>
      </w:r>
      <w:r>
        <w:rPr>
          <w:rFonts w:eastAsia="Gill Sans MT" w:cs="Gill Sans MT"/>
        </w:rPr>
        <w:t xml:space="preserve"> in particular article 27</w:t>
      </w:r>
      <w:r>
        <w:rPr>
          <w:rStyle w:val="FootnoteReference"/>
          <w:rFonts w:eastAsia="Gill Sans MT" w:cs="Gill Sans MT"/>
        </w:rPr>
        <w:footnoteReference w:id="15"/>
      </w:r>
    </w:p>
    <w:p w:rsidR="00686E3E" w:rsidRPr="0039236D" w:rsidRDefault="00D370D1" w:rsidP="00B14618">
      <w:pPr>
        <w:pStyle w:val="ListParagraph"/>
        <w:numPr>
          <w:ilvl w:val="0"/>
          <w:numId w:val="22"/>
        </w:numPr>
        <w:spacing w:after="257"/>
        <w:ind w:right="4"/>
        <w:rPr>
          <w:szCs w:val="26"/>
        </w:rPr>
      </w:pPr>
      <w:r>
        <w:rPr>
          <w:szCs w:val="26"/>
        </w:rPr>
        <w:t>A</w:t>
      </w:r>
      <w:r w:rsidR="00686E3E">
        <w:rPr>
          <w:szCs w:val="26"/>
        </w:rPr>
        <w:t xml:space="preserve"> </w:t>
      </w:r>
      <w:r w:rsidR="00686E3E" w:rsidRPr="00686E3E">
        <w:rPr>
          <w:color w:val="000000"/>
          <w:szCs w:val="26"/>
          <w:lang w:val="en-GB" w:eastAsia="en-GB"/>
        </w:rPr>
        <w:t>Learner Pathway concept is in place in the Further Education and Tra</w:t>
      </w:r>
      <w:r w:rsidR="00686E3E">
        <w:rPr>
          <w:color w:val="000000"/>
          <w:szCs w:val="26"/>
          <w:lang w:val="en-GB" w:eastAsia="en-GB"/>
        </w:rPr>
        <w:t xml:space="preserve">ining sector. This pathway </w:t>
      </w:r>
      <w:r>
        <w:rPr>
          <w:color w:val="000000"/>
          <w:szCs w:val="26"/>
          <w:lang w:val="en-GB" w:eastAsia="en-GB"/>
        </w:rPr>
        <w:t>can</w:t>
      </w:r>
      <w:r w:rsidR="00686E3E">
        <w:rPr>
          <w:color w:val="000000"/>
          <w:szCs w:val="26"/>
          <w:lang w:val="en-GB" w:eastAsia="en-GB"/>
        </w:rPr>
        <w:t xml:space="preserve"> be adapted to include entrepreneurial and enterprise driven outcomes for all </w:t>
      </w:r>
      <w:r w:rsidR="00CD2C12">
        <w:rPr>
          <w:color w:val="000000"/>
          <w:szCs w:val="26"/>
          <w:lang w:val="en-GB" w:eastAsia="en-GB"/>
        </w:rPr>
        <w:t>people</w:t>
      </w:r>
      <w:r w:rsidR="00686E3E">
        <w:rPr>
          <w:color w:val="000000"/>
          <w:szCs w:val="26"/>
          <w:lang w:val="en-GB" w:eastAsia="en-GB"/>
        </w:rPr>
        <w:t>. This approach can be seen as</w:t>
      </w:r>
      <w:r w:rsidR="00686E3E" w:rsidRPr="00686E3E">
        <w:rPr>
          <w:color w:val="000000"/>
          <w:szCs w:val="26"/>
          <w:lang w:val="en-GB" w:eastAsia="en-GB"/>
        </w:rPr>
        <w:t xml:space="preserve"> a </w:t>
      </w:r>
      <w:r w:rsidR="00686E3E" w:rsidRPr="00686E3E">
        <w:rPr>
          <w:szCs w:val="26"/>
          <w:lang w:val="en"/>
        </w:rPr>
        <w:t xml:space="preserve">mechanism to ensure prospective </w:t>
      </w:r>
      <w:r w:rsidR="00686E3E">
        <w:rPr>
          <w:szCs w:val="26"/>
          <w:lang w:val="en"/>
        </w:rPr>
        <w:t>entrepreneurs and self-employed disabled people</w:t>
      </w:r>
      <w:r w:rsidR="00686E3E" w:rsidRPr="00686E3E">
        <w:rPr>
          <w:szCs w:val="26"/>
          <w:lang w:val="en"/>
        </w:rPr>
        <w:t xml:space="preserve"> can identify a pathway</w:t>
      </w:r>
      <w:r w:rsidR="00686E3E">
        <w:rPr>
          <w:szCs w:val="26"/>
          <w:lang w:val="en"/>
        </w:rPr>
        <w:t xml:space="preserve"> into</w:t>
      </w:r>
      <w:r w:rsidR="00686E3E" w:rsidRPr="00686E3E">
        <w:rPr>
          <w:szCs w:val="26"/>
          <w:lang w:val="en"/>
        </w:rPr>
        <w:t xml:space="preserve"> </w:t>
      </w:r>
      <w:r w:rsidR="00686E3E">
        <w:rPr>
          <w:szCs w:val="26"/>
          <w:lang w:val="en"/>
        </w:rPr>
        <w:t>business</w:t>
      </w:r>
      <w:r w:rsidR="00686E3E" w:rsidRPr="00686E3E">
        <w:rPr>
          <w:szCs w:val="26"/>
          <w:lang w:val="en"/>
        </w:rPr>
        <w:t xml:space="preserve"> </w:t>
      </w:r>
      <w:r w:rsidR="00686E3E">
        <w:rPr>
          <w:szCs w:val="26"/>
          <w:lang w:val="en"/>
        </w:rPr>
        <w:t>for themselves</w:t>
      </w:r>
      <w:r w:rsidR="00686E3E" w:rsidRPr="00686E3E">
        <w:rPr>
          <w:szCs w:val="26"/>
          <w:lang w:val="en"/>
        </w:rPr>
        <w:t>.</w:t>
      </w:r>
    </w:p>
    <w:p w:rsidR="008E6480" w:rsidRPr="009C3BD7" w:rsidRDefault="000035B0" w:rsidP="00B14618">
      <w:r>
        <w:rPr>
          <w:szCs w:val="26"/>
        </w:rPr>
        <w:t>T</w:t>
      </w:r>
      <w:r w:rsidRPr="009B2011">
        <w:rPr>
          <w:szCs w:val="26"/>
        </w:rPr>
        <w:t xml:space="preserve">he NDA, as the statutory advisory body on disability policy and practice, </w:t>
      </w:r>
      <w:r>
        <w:rPr>
          <w:szCs w:val="26"/>
        </w:rPr>
        <w:t xml:space="preserve">welcomes the opportunity to submit these recommendations to the white paper on enterprise policy of the Department of Trade Enterprise and Employment. We </w:t>
      </w:r>
      <w:r w:rsidRPr="009B2011">
        <w:rPr>
          <w:szCs w:val="26"/>
        </w:rPr>
        <w:t xml:space="preserve">would </w:t>
      </w:r>
      <w:r>
        <w:rPr>
          <w:szCs w:val="26"/>
        </w:rPr>
        <w:t xml:space="preserve">also </w:t>
      </w:r>
      <w:r w:rsidRPr="009B2011">
        <w:rPr>
          <w:szCs w:val="26"/>
        </w:rPr>
        <w:t xml:space="preserve">welcome an opportunity for further engagement and discussion with the </w:t>
      </w:r>
      <w:r w:rsidR="00D370D1">
        <w:rPr>
          <w:szCs w:val="26"/>
        </w:rPr>
        <w:t xml:space="preserve">department as the development of the white paper on enterprise policy </w:t>
      </w:r>
      <w:r>
        <w:rPr>
          <w:szCs w:val="26"/>
        </w:rPr>
        <w:t>takes shape.</w:t>
      </w:r>
    </w:p>
    <w:sectPr w:rsidR="008E6480" w:rsidRPr="009C3BD7">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E4D" w:rsidRDefault="00672E4D">
      <w:r>
        <w:separator/>
      </w:r>
    </w:p>
  </w:endnote>
  <w:endnote w:type="continuationSeparator" w:id="0">
    <w:p w:rsidR="00672E4D" w:rsidRDefault="0067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D62" w:rsidRDefault="009C4D62">
    <w:pPr>
      <w:pStyle w:val="Footer"/>
    </w:pPr>
    <w:r>
      <w:tab/>
    </w:r>
    <w:r>
      <w:tab/>
    </w:r>
    <w:r>
      <w:fldChar w:fldCharType="begin"/>
    </w:r>
    <w:r>
      <w:instrText xml:space="preserve"> PAGE  \* Arabic  \* MERGEFORMAT </w:instrText>
    </w:r>
    <w:r>
      <w:fldChar w:fldCharType="separate"/>
    </w:r>
    <w:r w:rsidR="0012686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E4D" w:rsidRDefault="00672E4D">
      <w:r>
        <w:separator/>
      </w:r>
    </w:p>
  </w:footnote>
  <w:footnote w:type="continuationSeparator" w:id="0">
    <w:p w:rsidR="00672E4D" w:rsidRDefault="00672E4D">
      <w:r>
        <w:continuationSeparator/>
      </w:r>
    </w:p>
  </w:footnote>
  <w:footnote w:id="1">
    <w:p w:rsidR="00421BF9" w:rsidRPr="008036DD" w:rsidRDefault="00421BF9" w:rsidP="00421BF9">
      <w:pPr>
        <w:pStyle w:val="FootnoteText"/>
        <w:rPr>
          <w:lang w:val="en"/>
        </w:rPr>
      </w:pPr>
      <w:r>
        <w:rPr>
          <w:rStyle w:val="FootnoteReference"/>
        </w:rPr>
        <w:footnoteRef/>
      </w:r>
      <w:r>
        <w:t xml:space="preserve"> CSO Census 2016: </w:t>
      </w:r>
      <w:hyperlink r:id="rId1" w:history="1">
        <w:r>
          <w:rPr>
            <w:rStyle w:val="Hyperlink"/>
          </w:rPr>
          <w:t>NDA Factsheet 2: Employment | The National Disability Authority</w:t>
        </w:r>
      </w:hyperlink>
      <w:r>
        <w:t xml:space="preserve"> </w:t>
      </w:r>
      <w:r w:rsidRPr="004845D0">
        <w:rPr>
          <w:lang w:val="en"/>
        </w:rPr>
        <w:t xml:space="preserve">The NDA has also </w:t>
      </w:r>
      <w:proofErr w:type="spellStart"/>
      <w:r w:rsidRPr="004845D0">
        <w:rPr>
          <w:lang w:val="en"/>
        </w:rPr>
        <w:t>analysed</w:t>
      </w:r>
      <w:proofErr w:type="spellEnd"/>
      <w:r w:rsidRPr="004845D0">
        <w:rPr>
          <w:lang w:val="en"/>
        </w:rPr>
        <w:t xml:space="preserve"> data that shows that among 16-24 year olds, the percentage of disabled people who are not in education, employment or training (NEET) is also more than double that of those in this age group who do not have a disability – at 23% vs 10%.</w:t>
      </w:r>
    </w:p>
  </w:footnote>
  <w:footnote w:id="2">
    <w:p w:rsidR="00E62B8C" w:rsidRDefault="00E62B8C">
      <w:pPr>
        <w:pStyle w:val="FootnoteText"/>
      </w:pPr>
      <w:r>
        <w:rPr>
          <w:rStyle w:val="FootnoteReference"/>
        </w:rPr>
        <w:footnoteRef/>
      </w:r>
      <w:r>
        <w:t xml:space="preserve"> </w:t>
      </w:r>
      <w:r w:rsidRPr="00E62B8C">
        <w:rPr>
          <w:rFonts w:cs="Open Sans"/>
          <w:szCs w:val="22"/>
          <w:shd w:val="clear" w:color="auto" w:fill="FFFFFF"/>
        </w:rPr>
        <w:t xml:space="preserve">Ricardo </w:t>
      </w:r>
      <w:proofErr w:type="spellStart"/>
      <w:r w:rsidRPr="00E62B8C">
        <w:rPr>
          <w:rFonts w:cs="Open Sans"/>
          <w:szCs w:val="22"/>
          <w:shd w:val="clear" w:color="auto" w:fill="FFFFFF"/>
        </w:rPr>
        <w:t>Pagán</w:t>
      </w:r>
      <w:proofErr w:type="spellEnd"/>
      <w:r>
        <w:rPr>
          <w:rFonts w:cs="Open Sans"/>
          <w:szCs w:val="22"/>
          <w:shd w:val="clear" w:color="auto" w:fill="FFFFFF"/>
        </w:rPr>
        <w:t xml:space="preserve"> </w:t>
      </w:r>
      <w:r w:rsidRPr="00E62B8C">
        <w:rPr>
          <w:rFonts w:cs="Open Sans"/>
          <w:szCs w:val="22"/>
          <w:shd w:val="clear" w:color="auto" w:fill="FFFFFF"/>
        </w:rPr>
        <w:t>(2009)</w:t>
      </w:r>
      <w:r>
        <w:rPr>
          <w:rFonts w:cs="Open Sans"/>
          <w:szCs w:val="22"/>
          <w:shd w:val="clear" w:color="auto" w:fill="FFFFFF"/>
        </w:rPr>
        <w:t xml:space="preserve"> </w:t>
      </w:r>
      <w:r w:rsidRPr="00E62B8C">
        <w:rPr>
          <w:rFonts w:cs="Open Sans"/>
          <w:szCs w:val="22"/>
          <w:shd w:val="clear" w:color="auto" w:fill="FFFFFF"/>
        </w:rPr>
        <w:t>Self</w:t>
      </w:r>
      <w:r w:rsidRPr="00E62B8C">
        <w:rPr>
          <w:rFonts w:ascii="Cambria Math" w:hAnsi="Cambria Math" w:cs="Cambria Math"/>
          <w:szCs w:val="22"/>
          <w:shd w:val="clear" w:color="auto" w:fill="FFFFFF"/>
        </w:rPr>
        <w:t>‐</w:t>
      </w:r>
      <w:r w:rsidRPr="00E62B8C">
        <w:rPr>
          <w:rFonts w:cs="Open Sans"/>
          <w:szCs w:val="22"/>
          <w:shd w:val="clear" w:color="auto" w:fill="FFFFFF"/>
        </w:rPr>
        <w:t>employment among people with disabilities: evidence for Europe,</w:t>
      </w:r>
      <w:r>
        <w:rPr>
          <w:rFonts w:cs="Open Sans"/>
          <w:szCs w:val="22"/>
          <w:shd w:val="clear" w:color="auto" w:fill="FFFFFF"/>
        </w:rPr>
        <w:t xml:space="preserve"> </w:t>
      </w:r>
      <w:r w:rsidRPr="00E62B8C">
        <w:rPr>
          <w:rFonts w:cs="Open Sans"/>
          <w:szCs w:val="22"/>
          <w:shd w:val="clear" w:color="auto" w:fill="FFFFFF"/>
        </w:rPr>
        <w:t>Disability &amp; Society, 24:2, 217-229, </w:t>
      </w:r>
      <w:r>
        <w:rPr>
          <w:rFonts w:cs="Open Sans"/>
          <w:szCs w:val="22"/>
          <w:shd w:val="clear" w:color="auto" w:fill="FFFFFF"/>
        </w:rPr>
        <w:t>DOI:</w:t>
      </w:r>
      <w:hyperlink r:id="rId2" w:history="1">
        <w:r w:rsidRPr="00E62B8C">
          <w:rPr>
            <w:rFonts w:cs="Open Sans"/>
            <w:szCs w:val="22"/>
            <w:u w:val="single"/>
            <w:shd w:val="clear" w:color="auto" w:fill="FFFFFF"/>
          </w:rPr>
          <w:t>10.1080/09687590802652504</w:t>
        </w:r>
      </w:hyperlink>
    </w:p>
  </w:footnote>
  <w:footnote w:id="3">
    <w:p w:rsidR="00424E5B" w:rsidRDefault="00424E5B" w:rsidP="00424E5B">
      <w:pPr>
        <w:pStyle w:val="FootnoteText"/>
      </w:pPr>
      <w:r>
        <w:rPr>
          <w:rStyle w:val="FootnoteReference"/>
        </w:rPr>
        <w:footnoteRef/>
      </w:r>
      <w:r>
        <w:t xml:space="preserve">  </w:t>
      </w:r>
      <w:hyperlink r:id="rId3" w:history="1">
        <w:r w:rsidRPr="0094589D">
          <w:rPr>
            <w:rStyle w:val="Hyperlink"/>
          </w:rPr>
          <w:t>https://nda.ie/file-upload/experiences-of-support-for-return-to-work-among-people-with-acquired-disabilities-or-conditions.pdf</w:t>
        </w:r>
      </w:hyperlink>
    </w:p>
  </w:footnote>
  <w:footnote w:id="4">
    <w:p w:rsidR="00263744" w:rsidRDefault="00263744">
      <w:pPr>
        <w:pStyle w:val="FootnoteText"/>
      </w:pPr>
      <w:r>
        <w:rPr>
          <w:rStyle w:val="FootnoteReference"/>
        </w:rPr>
        <w:footnoteRef/>
      </w:r>
      <w:r>
        <w:t xml:space="preserve"> </w:t>
      </w:r>
      <w:r w:rsidRPr="00263744">
        <w:t>https://www.izzywheels.com/</w:t>
      </w:r>
    </w:p>
  </w:footnote>
  <w:footnote w:id="5">
    <w:p w:rsidR="00263744" w:rsidRDefault="00263744">
      <w:pPr>
        <w:pStyle w:val="FootnoteText"/>
      </w:pPr>
      <w:r>
        <w:rPr>
          <w:rStyle w:val="FootnoteReference"/>
        </w:rPr>
        <w:footnoteRef/>
      </w:r>
      <w:r>
        <w:t xml:space="preserve"> </w:t>
      </w:r>
      <w:r w:rsidR="00986FA9" w:rsidRPr="00986FA9">
        <w:t>https://www.mobilitymojo.com/</w:t>
      </w:r>
    </w:p>
  </w:footnote>
  <w:footnote w:id="6">
    <w:p w:rsidR="00986FA9" w:rsidRDefault="00986FA9">
      <w:pPr>
        <w:pStyle w:val="FootnoteText"/>
      </w:pPr>
      <w:r>
        <w:rPr>
          <w:rStyle w:val="FootnoteReference"/>
        </w:rPr>
        <w:footnoteRef/>
      </w:r>
      <w:r>
        <w:t xml:space="preserve"> </w:t>
      </w:r>
      <w:hyperlink r:id="rId4" w:anchor="origin=https%3A%2F%2Fwww.google.com%2F&amp;cap=swipe,education&amp;webview=1&amp;dialog=1&amp;viewport=natural&amp;visibilityState=prerender&amp;prerenderSize=1&amp;viewerUrl=https%3A%2F%2Fwww.google.com%2Famp%2Fs%2Ffocusondiversity-ie.cdn.ampproject.org%2Fc%2Fs%2Ffocusondiversity.ie%2F2021%2F12%2F01%2F21-award-winning-irish-entrepreneurs-who-have-a-disability%2Famp%2F" w:history="1">
        <w:r w:rsidRPr="00986FA9">
          <w:rPr>
            <w:szCs w:val="22"/>
          </w:rPr>
          <w:t>21 Award Winning Irish entrepreneurs who have a disability | Focusondiversity.ie</w:t>
        </w:r>
      </w:hyperlink>
    </w:p>
  </w:footnote>
  <w:footnote w:id="7">
    <w:p w:rsidR="007A0D0B" w:rsidRDefault="007A0D0B">
      <w:pPr>
        <w:pStyle w:val="FootnoteText"/>
      </w:pPr>
      <w:r>
        <w:rPr>
          <w:rStyle w:val="FootnoteReference"/>
        </w:rPr>
        <w:footnoteRef/>
      </w:r>
      <w:r>
        <w:t xml:space="preserve"> </w:t>
      </w:r>
      <w:r w:rsidR="00C70980" w:rsidRPr="00C70980">
        <w:rPr>
          <w:szCs w:val="22"/>
        </w:rPr>
        <w:t xml:space="preserve">OECD workshop for DETE on </w:t>
      </w:r>
      <w:r w:rsidR="00C70980" w:rsidRPr="00C70980">
        <w:rPr>
          <w:rFonts w:cs="Arial"/>
          <w:color w:val="000000" w:themeColor="text1"/>
          <w:szCs w:val="22"/>
        </w:rPr>
        <w:t>the results of the OECD-EU Better Entrepreneurship Policy Tool, April 28 2022</w:t>
      </w:r>
    </w:p>
  </w:footnote>
  <w:footnote w:id="8">
    <w:p w:rsidR="00023AF7" w:rsidRPr="00D32479" w:rsidRDefault="00023AF7">
      <w:pPr>
        <w:pStyle w:val="FootnoteText"/>
      </w:pPr>
      <w:r>
        <w:rPr>
          <w:rStyle w:val="FootnoteReference"/>
        </w:rPr>
        <w:footnoteRef/>
      </w:r>
      <w:r>
        <w:t xml:space="preserve"> </w:t>
      </w:r>
      <w:r w:rsidRPr="00D32479">
        <w:t>https://oecdcogito.blog/2021/12/03/open-for-business-how-to-create-opportunities-in-entrepreneurship-for-everyone/</w:t>
      </w:r>
    </w:p>
  </w:footnote>
  <w:footnote w:id="9">
    <w:p w:rsidR="00E86D73" w:rsidRPr="00D32479" w:rsidRDefault="00E86D73">
      <w:pPr>
        <w:pStyle w:val="FootnoteText"/>
      </w:pPr>
      <w:r w:rsidRPr="00D32479">
        <w:rPr>
          <w:rStyle w:val="FootnoteReference"/>
          <w:rFonts w:ascii="Gill Sans MT" w:hAnsi="Gill Sans MT"/>
        </w:rPr>
        <w:footnoteRef/>
      </w:r>
      <w:r w:rsidRPr="00D32479">
        <w:t xml:space="preserve"> </w:t>
      </w:r>
      <w:hyperlink r:id="rId5" w:history="1">
        <w:r w:rsidRPr="00D32479">
          <w:rPr>
            <w:rStyle w:val="Hyperlink"/>
            <w:color w:val="auto"/>
            <w:u w:val="none"/>
          </w:rPr>
          <w:t>https://www.ilo.org/global/publications/ilo-bookstore/order-online/books/WCMS_PUBL_9221064573_EN/lang--en/index.htm</w:t>
        </w:r>
      </w:hyperlink>
    </w:p>
  </w:footnote>
  <w:footnote w:id="10">
    <w:p w:rsidR="00BE41C6" w:rsidRPr="005C369B" w:rsidRDefault="00BE41C6">
      <w:pPr>
        <w:pStyle w:val="FootnoteText"/>
        <w:rPr>
          <w:szCs w:val="22"/>
        </w:rPr>
      </w:pPr>
      <w:r>
        <w:rPr>
          <w:rStyle w:val="FootnoteReference"/>
        </w:rPr>
        <w:footnoteRef/>
      </w:r>
      <w:r>
        <w:t xml:space="preserve"> </w:t>
      </w:r>
      <w:hyperlink r:id="rId6" w:history="1">
        <w:r w:rsidRPr="005C369B">
          <w:rPr>
            <w:szCs w:val="22"/>
            <w:u w:val="single"/>
          </w:rPr>
          <w:t>Homepage | The Better Entrepreneurship Policy Tool</w:t>
        </w:r>
      </w:hyperlink>
    </w:p>
  </w:footnote>
  <w:footnote w:id="11">
    <w:p w:rsidR="00D36471" w:rsidRPr="005C369B" w:rsidRDefault="00D36471">
      <w:pPr>
        <w:pStyle w:val="FootnoteText"/>
        <w:rPr>
          <w:szCs w:val="22"/>
        </w:rPr>
      </w:pPr>
      <w:r w:rsidRPr="005C369B">
        <w:rPr>
          <w:rStyle w:val="FootnoteReference"/>
          <w:rFonts w:ascii="Gill Sans MT" w:hAnsi="Gill Sans MT"/>
          <w:szCs w:val="22"/>
        </w:rPr>
        <w:footnoteRef/>
      </w:r>
      <w:r w:rsidRPr="005C369B">
        <w:rPr>
          <w:szCs w:val="22"/>
        </w:rPr>
        <w:t xml:space="preserve"> cited in World Health Orga</w:t>
      </w:r>
      <w:r w:rsidR="00023AF7" w:rsidRPr="005C369B">
        <w:rPr>
          <w:szCs w:val="22"/>
        </w:rPr>
        <w:t>nisation/World Bank (2011: 247</w:t>
      </w:r>
    </w:p>
  </w:footnote>
  <w:footnote w:id="12">
    <w:p w:rsidR="005C369B" w:rsidRDefault="005C369B">
      <w:pPr>
        <w:pStyle w:val="FootnoteText"/>
      </w:pPr>
      <w:r w:rsidRPr="005C369B">
        <w:rPr>
          <w:rStyle w:val="FootnoteReference"/>
          <w:szCs w:val="22"/>
        </w:rPr>
        <w:footnoteRef/>
      </w:r>
      <w:r w:rsidRPr="005C369B">
        <w:rPr>
          <w:szCs w:val="22"/>
        </w:rPr>
        <w:t xml:space="preserve"> https://universaldesign.ie/awards/student-awards/</w:t>
      </w:r>
    </w:p>
  </w:footnote>
  <w:footnote w:id="13">
    <w:p w:rsidR="000B6AC0" w:rsidRDefault="000B6AC0">
      <w:pPr>
        <w:pStyle w:val="FootnoteText"/>
      </w:pPr>
      <w:r>
        <w:rPr>
          <w:rStyle w:val="FootnoteReference"/>
        </w:rPr>
        <w:footnoteRef/>
      </w:r>
      <w:r>
        <w:t xml:space="preserve"> Jones, M. and </w:t>
      </w:r>
      <w:proofErr w:type="spellStart"/>
      <w:r>
        <w:t>Latreille</w:t>
      </w:r>
      <w:proofErr w:type="spellEnd"/>
      <w:r>
        <w:t>, P. (2011) ‘Disability and Self-employment: Evidence for the UK’, Applied Economics, 43, 27, 4161-4178.</w:t>
      </w:r>
    </w:p>
  </w:footnote>
  <w:footnote w:id="14">
    <w:p w:rsidR="006E743D" w:rsidRDefault="006E743D">
      <w:pPr>
        <w:pStyle w:val="FootnoteText"/>
      </w:pPr>
      <w:r>
        <w:rPr>
          <w:rStyle w:val="FootnoteReference"/>
        </w:rPr>
        <w:footnoteRef/>
      </w:r>
      <w:r>
        <w:t xml:space="preserve"> </w:t>
      </w:r>
      <w:proofErr w:type="spellStart"/>
      <w:r>
        <w:t>Kitching</w:t>
      </w:r>
      <w:proofErr w:type="spellEnd"/>
      <w:r>
        <w:t xml:space="preserve"> J, Entrepreneurship and people with disabilities. OCED 2022 </w:t>
      </w:r>
      <w:hyperlink r:id="rId7" w:history="1">
        <w:r w:rsidRPr="0094589D">
          <w:rPr>
            <w:rStyle w:val="Hyperlink"/>
          </w:rPr>
          <w:t>file:///H:/Downloads/background-report-people-disabilities.pdf</w:t>
        </w:r>
      </w:hyperlink>
      <w:r>
        <w:t xml:space="preserve"> </w:t>
      </w:r>
    </w:p>
  </w:footnote>
  <w:footnote w:id="15">
    <w:p w:rsidR="00686E3E" w:rsidRDefault="00686E3E" w:rsidP="00686E3E">
      <w:pPr>
        <w:pStyle w:val="FootnoteText"/>
      </w:pPr>
      <w:r>
        <w:rPr>
          <w:rStyle w:val="FootnoteReference"/>
        </w:rPr>
        <w:footnoteRef/>
      </w:r>
      <w:r>
        <w:t xml:space="preserve"> </w:t>
      </w:r>
      <w:r w:rsidRPr="00E224CA">
        <w:t>https://www.un.org/development/desa/disabilities/convention-on-the-rights-of-persons-with-disabilities/article-27-work-and-employment.html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88F7C0F"/>
    <w:multiLevelType w:val="hybridMultilevel"/>
    <w:tmpl w:val="1E3ADFC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0B8B0EA3"/>
    <w:multiLevelType w:val="hybridMultilevel"/>
    <w:tmpl w:val="7390D09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26F71755"/>
    <w:multiLevelType w:val="hybridMultilevel"/>
    <w:tmpl w:val="A00A254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2D7D46E5"/>
    <w:multiLevelType w:val="hybridMultilevel"/>
    <w:tmpl w:val="F1D403C8"/>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4" w15:restartNumberingAfterBreak="0">
    <w:nsid w:val="2DE73342"/>
    <w:multiLevelType w:val="hybridMultilevel"/>
    <w:tmpl w:val="7390DC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4D921AA"/>
    <w:multiLevelType w:val="hybridMultilevel"/>
    <w:tmpl w:val="492C98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16543B8"/>
    <w:multiLevelType w:val="hybridMultilevel"/>
    <w:tmpl w:val="47B66CB2"/>
    <w:lvl w:ilvl="0" w:tplc="89B085AA">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59D3352D"/>
    <w:multiLevelType w:val="hybridMultilevel"/>
    <w:tmpl w:val="6FE410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A3F2F86"/>
    <w:multiLevelType w:val="hybridMultilevel"/>
    <w:tmpl w:val="B86217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16"/>
  </w:num>
  <w:num w:numId="18">
    <w:abstractNumId w:val="14"/>
  </w:num>
  <w:num w:numId="19">
    <w:abstractNumId w:val="12"/>
  </w:num>
  <w:num w:numId="20">
    <w:abstractNumId w:val="10"/>
  </w:num>
  <w:num w:numId="21">
    <w:abstractNumId w:val="15"/>
  </w:num>
  <w:num w:numId="22">
    <w:abstractNumId w:val="18"/>
  </w:num>
  <w:num w:numId="23">
    <w:abstractNumId w:val="11"/>
  </w:num>
  <w:num w:numId="24">
    <w:abstractNumId w:val="1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E4D"/>
    <w:rsid w:val="000035B0"/>
    <w:rsid w:val="00023AF7"/>
    <w:rsid w:val="0002411A"/>
    <w:rsid w:val="00032685"/>
    <w:rsid w:val="00076A9E"/>
    <w:rsid w:val="000956FE"/>
    <w:rsid w:val="000B6AC0"/>
    <w:rsid w:val="000F1371"/>
    <w:rsid w:val="0011025F"/>
    <w:rsid w:val="0012686A"/>
    <w:rsid w:val="00181FE6"/>
    <w:rsid w:val="001821AA"/>
    <w:rsid w:val="001B788D"/>
    <w:rsid w:val="001D3E56"/>
    <w:rsid w:val="001D6EF2"/>
    <w:rsid w:val="001F6F62"/>
    <w:rsid w:val="0020178B"/>
    <w:rsid w:val="00260125"/>
    <w:rsid w:val="00263744"/>
    <w:rsid w:val="00271DD3"/>
    <w:rsid w:val="00287B8E"/>
    <w:rsid w:val="00297114"/>
    <w:rsid w:val="002B1EEB"/>
    <w:rsid w:val="002F2AE8"/>
    <w:rsid w:val="003161B0"/>
    <w:rsid w:val="00354723"/>
    <w:rsid w:val="0036208C"/>
    <w:rsid w:val="003726F5"/>
    <w:rsid w:val="00383589"/>
    <w:rsid w:val="00390F24"/>
    <w:rsid w:val="0039236D"/>
    <w:rsid w:val="003A44C8"/>
    <w:rsid w:val="003B10EC"/>
    <w:rsid w:val="003B25AD"/>
    <w:rsid w:val="00421BF9"/>
    <w:rsid w:val="00424E5B"/>
    <w:rsid w:val="004934C9"/>
    <w:rsid w:val="004C5836"/>
    <w:rsid w:val="005476BD"/>
    <w:rsid w:val="00573907"/>
    <w:rsid w:val="005A398A"/>
    <w:rsid w:val="005C369B"/>
    <w:rsid w:val="00602472"/>
    <w:rsid w:val="00631D81"/>
    <w:rsid w:val="006349ED"/>
    <w:rsid w:val="00672E4D"/>
    <w:rsid w:val="00686E3E"/>
    <w:rsid w:val="00697872"/>
    <w:rsid w:val="006E743D"/>
    <w:rsid w:val="006F2742"/>
    <w:rsid w:val="006F4531"/>
    <w:rsid w:val="006F5D8C"/>
    <w:rsid w:val="006F76B2"/>
    <w:rsid w:val="00701488"/>
    <w:rsid w:val="00766FD7"/>
    <w:rsid w:val="007A0D0B"/>
    <w:rsid w:val="007C1D90"/>
    <w:rsid w:val="007D5825"/>
    <w:rsid w:val="00805F7F"/>
    <w:rsid w:val="00823BA6"/>
    <w:rsid w:val="00831FA1"/>
    <w:rsid w:val="00834BA6"/>
    <w:rsid w:val="00875493"/>
    <w:rsid w:val="008760E7"/>
    <w:rsid w:val="00880849"/>
    <w:rsid w:val="008A343F"/>
    <w:rsid w:val="008C2E97"/>
    <w:rsid w:val="008E6480"/>
    <w:rsid w:val="008F29EC"/>
    <w:rsid w:val="008F60C5"/>
    <w:rsid w:val="00900058"/>
    <w:rsid w:val="00922891"/>
    <w:rsid w:val="00947E33"/>
    <w:rsid w:val="009572A3"/>
    <w:rsid w:val="00986FA9"/>
    <w:rsid w:val="009A1262"/>
    <w:rsid w:val="009B1621"/>
    <w:rsid w:val="009C078D"/>
    <w:rsid w:val="009C3BD7"/>
    <w:rsid w:val="009C4D62"/>
    <w:rsid w:val="009E52A9"/>
    <w:rsid w:val="009F0122"/>
    <w:rsid w:val="009F07B0"/>
    <w:rsid w:val="00A05270"/>
    <w:rsid w:val="00A13B8C"/>
    <w:rsid w:val="00A268FD"/>
    <w:rsid w:val="00A41283"/>
    <w:rsid w:val="00A678A3"/>
    <w:rsid w:val="00A776E1"/>
    <w:rsid w:val="00AD6020"/>
    <w:rsid w:val="00B06486"/>
    <w:rsid w:val="00B14618"/>
    <w:rsid w:val="00B27FAE"/>
    <w:rsid w:val="00B34454"/>
    <w:rsid w:val="00B50649"/>
    <w:rsid w:val="00B60B89"/>
    <w:rsid w:val="00B76547"/>
    <w:rsid w:val="00BA0DF6"/>
    <w:rsid w:val="00BA2579"/>
    <w:rsid w:val="00BB2F37"/>
    <w:rsid w:val="00BC74C2"/>
    <w:rsid w:val="00BE3DCC"/>
    <w:rsid w:val="00BE41C6"/>
    <w:rsid w:val="00C01BB5"/>
    <w:rsid w:val="00C154AE"/>
    <w:rsid w:val="00C6044F"/>
    <w:rsid w:val="00C70980"/>
    <w:rsid w:val="00C867C9"/>
    <w:rsid w:val="00CD2C12"/>
    <w:rsid w:val="00CF50C6"/>
    <w:rsid w:val="00D03985"/>
    <w:rsid w:val="00D32479"/>
    <w:rsid w:val="00D35E1F"/>
    <w:rsid w:val="00D36471"/>
    <w:rsid w:val="00D370D1"/>
    <w:rsid w:val="00D70522"/>
    <w:rsid w:val="00D722CE"/>
    <w:rsid w:val="00DF00F3"/>
    <w:rsid w:val="00E13B70"/>
    <w:rsid w:val="00E224CA"/>
    <w:rsid w:val="00E24234"/>
    <w:rsid w:val="00E62B8C"/>
    <w:rsid w:val="00E8299B"/>
    <w:rsid w:val="00E86D73"/>
    <w:rsid w:val="00EC2B66"/>
    <w:rsid w:val="00F06070"/>
    <w:rsid w:val="00F108D7"/>
    <w:rsid w:val="00F351D6"/>
    <w:rsid w:val="00F655BC"/>
    <w:rsid w:val="00F71375"/>
    <w:rsid w:val="00F8292F"/>
    <w:rsid w:val="00F9243F"/>
    <w:rsid w:val="00FD58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684A5"/>
  <w15:chartTrackingRefBased/>
  <w15:docId w15:val="{EF752F5C-41D8-421E-B777-F3F7556A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link w:val="FootnoteTextChar"/>
    <w:uiPriority w:val="99"/>
    <w:rsid w:val="00287B8E"/>
    <w:pPr>
      <w:spacing w:after="12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uiPriority w:val="99"/>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B34454"/>
    <w:pPr>
      <w:ind w:left="720"/>
      <w:contextualSpacing/>
    </w:pPr>
  </w:style>
  <w:style w:type="character" w:customStyle="1" w:styleId="FootnoteTextChar">
    <w:name w:val="Footnote Text Char"/>
    <w:basedOn w:val="DefaultParagraphFont"/>
    <w:link w:val="FootnoteText"/>
    <w:uiPriority w:val="99"/>
    <w:rsid w:val="001F6F62"/>
    <w:rPr>
      <w:rFonts w:ascii="Gill Sans MT" w:eastAsia="Times New Roman" w:hAnsi="Gill Sans MT"/>
      <w:sz w:val="22"/>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9C078D"/>
    <w:rPr>
      <w:rFonts w:ascii="Gill Sans MT" w:eastAsia="Times New Roman" w:hAnsi="Gill Sans MT"/>
      <w:sz w:val="26"/>
      <w:szCs w:val="24"/>
      <w:lang w:eastAsia="en-US"/>
    </w:rPr>
  </w:style>
  <w:style w:type="paragraph" w:customStyle="1" w:styleId="Body">
    <w:name w:val="Body"/>
    <w:rsid w:val="007D5825"/>
    <w:pPr>
      <w:pBdr>
        <w:top w:val="nil"/>
        <w:left w:val="nil"/>
        <w:bottom w:val="nil"/>
        <w:right w:val="nil"/>
        <w:between w:val="nil"/>
        <w:bar w:val="nil"/>
      </w:pBdr>
      <w:tabs>
        <w:tab w:val="left" w:pos="850"/>
        <w:tab w:val="left" w:pos="1191"/>
        <w:tab w:val="left" w:pos="1531"/>
      </w:tabs>
      <w:jc w:val="both"/>
    </w:pPr>
    <w:rPr>
      <w:rFonts w:eastAsia="Arial Unicode MS" w:cs="Arial Unicode MS"/>
      <w:color w:val="000000"/>
      <w:sz w:val="22"/>
      <w:szCs w:val="22"/>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556933">
      <w:bodyDiv w:val="1"/>
      <w:marLeft w:val="0"/>
      <w:marRight w:val="0"/>
      <w:marTop w:val="0"/>
      <w:marBottom w:val="0"/>
      <w:divBdr>
        <w:top w:val="none" w:sz="0" w:space="0" w:color="auto"/>
        <w:left w:val="none" w:sz="0" w:space="0" w:color="auto"/>
        <w:bottom w:val="none" w:sz="0" w:space="0" w:color="auto"/>
        <w:right w:val="none" w:sz="0" w:space="0" w:color="auto"/>
      </w:divBdr>
    </w:div>
    <w:div w:id="1367173927">
      <w:bodyDiv w:val="1"/>
      <w:marLeft w:val="0"/>
      <w:marRight w:val="0"/>
      <w:marTop w:val="0"/>
      <w:marBottom w:val="0"/>
      <w:divBdr>
        <w:top w:val="none" w:sz="0" w:space="0" w:color="auto"/>
        <w:left w:val="none" w:sz="0" w:space="0" w:color="auto"/>
        <w:bottom w:val="none" w:sz="0" w:space="0" w:color="auto"/>
        <w:right w:val="none" w:sz="0" w:space="0" w:color="auto"/>
      </w:divBdr>
    </w:div>
    <w:div w:id="1396272844">
      <w:bodyDiv w:val="1"/>
      <w:marLeft w:val="0"/>
      <w:marRight w:val="0"/>
      <w:marTop w:val="0"/>
      <w:marBottom w:val="0"/>
      <w:divBdr>
        <w:top w:val="none" w:sz="0" w:space="0" w:color="auto"/>
        <w:left w:val="none" w:sz="0" w:space="0" w:color="auto"/>
        <w:bottom w:val="none" w:sz="0" w:space="0" w:color="auto"/>
        <w:right w:val="none" w:sz="0" w:space="0" w:color="auto"/>
      </w:divBdr>
    </w:div>
    <w:div w:id="1734738962">
      <w:bodyDiv w:val="1"/>
      <w:marLeft w:val="0"/>
      <w:marRight w:val="0"/>
      <w:marTop w:val="0"/>
      <w:marBottom w:val="0"/>
      <w:divBdr>
        <w:top w:val="none" w:sz="0" w:space="0" w:color="auto"/>
        <w:left w:val="none" w:sz="0" w:space="0" w:color="auto"/>
        <w:bottom w:val="none" w:sz="0" w:space="0" w:color="auto"/>
        <w:right w:val="none" w:sz="0" w:space="0" w:color="auto"/>
      </w:divBdr>
    </w:div>
    <w:div w:id="1883903634">
      <w:bodyDiv w:val="1"/>
      <w:marLeft w:val="0"/>
      <w:marRight w:val="0"/>
      <w:marTop w:val="0"/>
      <w:marBottom w:val="0"/>
      <w:divBdr>
        <w:top w:val="none" w:sz="0" w:space="0" w:color="auto"/>
        <w:left w:val="none" w:sz="0" w:space="0" w:color="auto"/>
        <w:bottom w:val="none" w:sz="0" w:space="0" w:color="auto"/>
        <w:right w:val="none" w:sz="0" w:space="0" w:color="auto"/>
      </w:divBdr>
    </w:div>
    <w:div w:id="189831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iversaldesign.ie/Products-Services/Customer-Communications-Toolkit-for-the-Public-Service-A-Universal-Design-Approa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niversaldesign.ie/Products-Services/Customer-Communications-Toolkit-for-the-Public-Service-A-Universal-Design-Approac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nda.ie/file-upload/experiences-of-support-for-return-to-work-among-people-with-acquired-disabilities-or-conditions.pdf" TargetMode="External"/><Relationship Id="rId7" Type="http://schemas.openxmlformats.org/officeDocument/2006/relationships/hyperlink" Target="file:///H:/Downloads/background-report-people-disabilities.pdf" TargetMode="External"/><Relationship Id="rId2" Type="http://schemas.openxmlformats.org/officeDocument/2006/relationships/hyperlink" Target="https://doi.org/10.1080/09687590802652504" TargetMode="External"/><Relationship Id="rId1" Type="http://schemas.openxmlformats.org/officeDocument/2006/relationships/hyperlink" Target="https://nda.ie/Resources/Factsheets/NDA-Factsheet-2-Employment/NDA-Factsheet-2-Employment.html" TargetMode="External"/><Relationship Id="rId6" Type="http://schemas.openxmlformats.org/officeDocument/2006/relationships/hyperlink" Target="https://betterentrepreneurship.eu/" TargetMode="External"/><Relationship Id="rId5" Type="http://schemas.openxmlformats.org/officeDocument/2006/relationships/hyperlink" Target="https://www.ilo.org/global/publications/ilo-bookstore/order-online/books/WCMS_PUBL_9221064573_EN/lang--en/index.htm" TargetMode="External"/><Relationship Id="rId4" Type="http://schemas.openxmlformats.org/officeDocument/2006/relationships/hyperlink" Target="https://focusondiversity.ie/2021/12/01/21-award-winning-irish-entrepreneurs-who-have-a-disabil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3B037-5582-44CC-8EC0-D1961DED7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0</TotalTime>
  <Pages>7</Pages>
  <Words>1839</Words>
  <Characters>11196</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E. Wilkinson</dc:creator>
  <cp:keywords/>
  <cp:lastModifiedBy>Marion E. Wilkinson</cp:lastModifiedBy>
  <cp:revision>2</cp:revision>
  <dcterms:created xsi:type="dcterms:W3CDTF">2022-08-11T16:01:00Z</dcterms:created>
  <dcterms:modified xsi:type="dcterms:W3CDTF">2022-08-11T16:01:00Z</dcterms:modified>
</cp:coreProperties>
</file>