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0C0F" w14:textId="52A114AA" w:rsidR="00912D4C" w:rsidRPr="00CC4F07" w:rsidRDefault="00912D4C" w:rsidP="00441696">
      <w:pPr>
        <w:pStyle w:val="Title"/>
        <w:spacing w:before="240" w:after="1320"/>
        <w:jc w:val="left"/>
        <w:rPr>
          <w:rFonts w:ascii="Rockwell" w:hAnsi="Rockwell"/>
          <w:color w:val="CC3399"/>
          <w:sz w:val="120"/>
          <w:szCs w:val="120"/>
        </w:rPr>
      </w:pPr>
      <w:r w:rsidRPr="00CC4F07">
        <w:rPr>
          <w:rFonts w:ascii="Rockwell" w:hAnsi="Rockwell"/>
          <w:color w:val="CC3399"/>
          <w:sz w:val="120"/>
          <w:szCs w:val="120"/>
        </w:rPr>
        <w:t xml:space="preserve">Report on Compliance with Part 5 of </w:t>
      </w:r>
      <w:r w:rsidR="001B7FD1" w:rsidRPr="00CC4F07">
        <w:rPr>
          <w:rFonts w:ascii="Rockwell" w:hAnsi="Rockwell"/>
          <w:color w:val="CC3399"/>
          <w:sz w:val="120"/>
          <w:szCs w:val="120"/>
        </w:rPr>
        <w:t>the Disability Act 2005 for 201</w:t>
      </w:r>
      <w:r w:rsidR="00714529" w:rsidRPr="00CC4F07">
        <w:rPr>
          <w:rFonts w:ascii="Rockwell" w:hAnsi="Rockwell"/>
          <w:color w:val="CC3399"/>
          <w:sz w:val="120"/>
          <w:szCs w:val="120"/>
        </w:rPr>
        <w:t>8</w:t>
      </w:r>
    </w:p>
    <w:p w14:paraId="2A7AD783" w14:textId="6B79579E" w:rsidR="00912D4C" w:rsidRPr="006A2CE0" w:rsidRDefault="006A2CE0" w:rsidP="00912D4C">
      <w:pPr>
        <w:rPr>
          <w:rFonts w:ascii="Rockwell" w:hAnsi="Rockwell" w:cs="Arial"/>
          <w:b/>
          <w:bCs/>
          <w:color w:val="BF2296"/>
          <w:kern w:val="28"/>
          <w:sz w:val="120"/>
          <w:szCs w:val="32"/>
        </w:rPr>
      </w:pPr>
      <w:r w:rsidRPr="00CC4F07">
        <w:rPr>
          <w:rFonts w:ascii="Rockwell" w:hAnsi="Rockwell"/>
          <w:noProof/>
          <w:lang w:eastAsia="en-IE"/>
        </w:rPr>
        <w:drawing>
          <wp:inline distT="0" distB="0" distL="0" distR="0" wp14:anchorId="54FDBA41" wp14:editId="231A7839">
            <wp:extent cx="2294890" cy="1569720"/>
            <wp:effectExtent l="0" t="0" r="0" b="0"/>
            <wp:docPr id="4"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4890" cy="1569720"/>
                    </a:xfrm>
                    <a:prstGeom prst="rect">
                      <a:avLst/>
                    </a:prstGeom>
                    <a:noFill/>
                    <a:ln w="9525">
                      <a:noFill/>
                      <a:miter lim="800000"/>
                      <a:headEnd/>
                      <a:tailEnd/>
                    </a:ln>
                  </pic:spPr>
                </pic:pic>
              </a:graphicData>
            </a:graphic>
          </wp:inline>
        </w:drawing>
      </w:r>
      <w:r w:rsidR="00856BF4" w:rsidRPr="00CC4F07">
        <w:rPr>
          <w:rFonts w:ascii="Rockwell" w:hAnsi="Rockwell"/>
          <w:noProof/>
          <w:lang w:eastAsia="en-IE"/>
        </w:rPr>
        <w:drawing>
          <wp:anchor distT="0" distB="0" distL="114300" distR="114300" simplePos="0" relativeHeight="251661312" behindDoc="1" locked="0" layoutInCell="1" allowOverlap="1" wp14:anchorId="4705F3B3" wp14:editId="4A62FA63">
            <wp:simplePos x="0" y="0"/>
            <wp:positionH relativeFrom="column">
              <wp:posOffset>-104775</wp:posOffset>
            </wp:positionH>
            <wp:positionV relativeFrom="paragraph">
              <wp:posOffset>6457950</wp:posOffset>
            </wp:positionV>
            <wp:extent cx="2294890" cy="1569720"/>
            <wp:effectExtent l="19050" t="0" r="0" b="0"/>
            <wp:wrapNone/>
            <wp:docPr id="1"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9" cstate="print"/>
                    <a:srcRect/>
                    <a:stretch>
                      <a:fillRect/>
                    </a:stretch>
                  </pic:blipFill>
                  <pic:spPr bwMode="auto">
                    <a:xfrm>
                      <a:off x="0" y="0"/>
                      <a:ext cx="2294890" cy="1569720"/>
                    </a:xfrm>
                    <a:prstGeom prst="rect">
                      <a:avLst/>
                    </a:prstGeom>
                    <a:noFill/>
                    <a:ln w="9525">
                      <a:noFill/>
                      <a:miter lim="800000"/>
                      <a:headEnd/>
                      <a:tailEnd/>
                    </a:ln>
                  </pic:spPr>
                </pic:pic>
              </a:graphicData>
            </a:graphic>
          </wp:anchor>
        </w:drawing>
      </w:r>
    </w:p>
    <w:p w14:paraId="45AA8425" w14:textId="77777777" w:rsidR="00912D4C" w:rsidRPr="00CC4F07" w:rsidRDefault="00912D4C" w:rsidP="00912D4C">
      <w:pPr>
        <w:rPr>
          <w:rFonts w:ascii="Rockwell" w:hAnsi="Rockwell"/>
        </w:rPr>
        <w:sectPr w:rsidR="00912D4C" w:rsidRPr="00CC4F07" w:rsidSect="005F1ACE">
          <w:footerReference w:type="default" r:id="rId10"/>
          <w:pgSz w:w="12240" w:h="15840"/>
          <w:pgMar w:top="1418" w:right="1758" w:bottom="1418" w:left="1758" w:header="709" w:footer="709" w:gutter="0"/>
          <w:pgNumType w:start="1"/>
          <w:cols w:space="708"/>
          <w:docGrid w:linePitch="360"/>
        </w:sectPr>
      </w:pPr>
    </w:p>
    <w:p w14:paraId="6A19EA81" w14:textId="50BEDD6F" w:rsidR="005F1ACE" w:rsidRPr="00AE7CD9" w:rsidRDefault="00AE7CD9" w:rsidP="00AE7CD9">
      <w:pPr>
        <w:pStyle w:val="Heading1"/>
        <w:pBdr>
          <w:top w:val="none" w:sz="0" w:space="0" w:color="auto"/>
          <w:left w:val="none" w:sz="0" w:space="0" w:color="auto"/>
          <w:bottom w:val="none" w:sz="0" w:space="0" w:color="auto"/>
          <w:right w:val="none" w:sz="0" w:space="0" w:color="auto"/>
        </w:pBdr>
        <w:rPr>
          <w:rFonts w:ascii="Rockwell" w:hAnsi="Rockwell"/>
          <w:color w:val="CC3399"/>
          <w:sz w:val="56"/>
          <w:szCs w:val="56"/>
        </w:rPr>
      </w:pPr>
      <w:bookmarkStart w:id="0" w:name="_Toc18680067"/>
      <w:bookmarkStart w:id="1" w:name="_Toc18680237"/>
      <w:r w:rsidRPr="00AE7CD9">
        <w:rPr>
          <w:rFonts w:ascii="Rockwell" w:hAnsi="Rockwell"/>
          <w:color w:val="CC3399"/>
          <w:sz w:val="56"/>
          <w:szCs w:val="56"/>
        </w:rPr>
        <w:lastRenderedPageBreak/>
        <w:t>Table of Contents</w:t>
      </w:r>
      <w:bookmarkEnd w:id="0"/>
      <w:bookmarkEnd w:id="1"/>
    </w:p>
    <w:p w14:paraId="69D0E32A" w14:textId="54E5F423" w:rsidR="00866EFD" w:rsidRDefault="00866EFD">
      <w:pPr>
        <w:pStyle w:val="TOC1"/>
        <w:tabs>
          <w:tab w:val="right" w:leader="dot" w:pos="8714"/>
        </w:tabs>
        <w:rPr>
          <w:rFonts w:asciiTheme="minorHAnsi" w:eastAsiaTheme="minorEastAsia" w:hAnsiTheme="minorHAnsi" w:cstheme="minorBidi"/>
          <w:b w:val="0"/>
          <w:noProof/>
          <w:sz w:val="22"/>
          <w:szCs w:val="22"/>
          <w:lang w:eastAsia="en-IE"/>
        </w:rPr>
      </w:pPr>
      <w:r>
        <w:rPr>
          <w:b w:val="0"/>
        </w:rPr>
        <w:fldChar w:fldCharType="begin"/>
      </w:r>
      <w:r>
        <w:rPr>
          <w:b w:val="0"/>
        </w:rPr>
        <w:instrText xml:space="preserve"> TOC \h \z \t "Heading 1,1,Heading 2,2" </w:instrText>
      </w:r>
      <w:r>
        <w:rPr>
          <w:b w:val="0"/>
        </w:rPr>
        <w:fldChar w:fldCharType="separate"/>
      </w:r>
    </w:p>
    <w:p w14:paraId="0DA79F52" w14:textId="5396084D" w:rsidR="00866EFD" w:rsidRDefault="00866EFD">
      <w:pPr>
        <w:pStyle w:val="TOC1"/>
        <w:tabs>
          <w:tab w:val="right" w:leader="dot" w:pos="8714"/>
        </w:tabs>
        <w:rPr>
          <w:rFonts w:asciiTheme="minorHAnsi" w:eastAsiaTheme="minorEastAsia" w:hAnsiTheme="minorHAnsi" w:cstheme="minorBidi"/>
          <w:b w:val="0"/>
          <w:noProof/>
          <w:sz w:val="22"/>
          <w:szCs w:val="22"/>
          <w:lang w:eastAsia="en-IE"/>
        </w:rPr>
      </w:pPr>
      <w:hyperlink w:anchor="_Toc18680238" w:history="1">
        <w:r w:rsidRPr="00CE5437">
          <w:rPr>
            <w:rStyle w:val="Hyperlink"/>
            <w:rFonts w:ascii="Rockwell" w:hAnsi="Rockwell"/>
            <w:noProof/>
          </w:rPr>
          <w:t>Executive Summary</w:t>
        </w:r>
        <w:r>
          <w:rPr>
            <w:noProof/>
            <w:webHidden/>
          </w:rPr>
          <w:tab/>
        </w:r>
        <w:r>
          <w:rPr>
            <w:noProof/>
            <w:webHidden/>
          </w:rPr>
          <w:fldChar w:fldCharType="begin"/>
        </w:r>
        <w:r>
          <w:rPr>
            <w:noProof/>
            <w:webHidden/>
          </w:rPr>
          <w:instrText xml:space="preserve"> PAGEREF _Toc18680238 \h </w:instrText>
        </w:r>
        <w:r>
          <w:rPr>
            <w:noProof/>
            <w:webHidden/>
          </w:rPr>
        </w:r>
        <w:r>
          <w:rPr>
            <w:noProof/>
            <w:webHidden/>
          </w:rPr>
          <w:fldChar w:fldCharType="separate"/>
        </w:r>
        <w:r w:rsidR="00151E7E">
          <w:rPr>
            <w:noProof/>
            <w:webHidden/>
          </w:rPr>
          <w:t>2</w:t>
        </w:r>
        <w:r>
          <w:rPr>
            <w:noProof/>
            <w:webHidden/>
          </w:rPr>
          <w:fldChar w:fldCharType="end"/>
        </w:r>
      </w:hyperlink>
    </w:p>
    <w:p w14:paraId="7297D731" w14:textId="1368107C" w:rsidR="00866EFD" w:rsidRDefault="00866EFD">
      <w:pPr>
        <w:pStyle w:val="TOC2"/>
        <w:rPr>
          <w:rFonts w:asciiTheme="minorHAnsi" w:eastAsiaTheme="minorEastAsia" w:hAnsiTheme="minorHAnsi" w:cstheme="minorBidi"/>
          <w:sz w:val="22"/>
          <w:szCs w:val="22"/>
          <w:lang w:eastAsia="en-IE"/>
        </w:rPr>
      </w:pPr>
      <w:hyperlink w:anchor="_Toc18680239" w:history="1">
        <w:r w:rsidRPr="00CE5437">
          <w:rPr>
            <w:rStyle w:val="Hyperlink"/>
          </w:rPr>
          <w:t>Decrease in employees reporting a disability</w:t>
        </w:r>
        <w:r>
          <w:rPr>
            <w:webHidden/>
          </w:rPr>
          <w:tab/>
        </w:r>
        <w:r>
          <w:rPr>
            <w:webHidden/>
          </w:rPr>
          <w:fldChar w:fldCharType="begin"/>
        </w:r>
        <w:r>
          <w:rPr>
            <w:webHidden/>
          </w:rPr>
          <w:instrText xml:space="preserve"> PAGEREF _Toc18680239 \h </w:instrText>
        </w:r>
        <w:r>
          <w:rPr>
            <w:webHidden/>
          </w:rPr>
        </w:r>
        <w:r>
          <w:rPr>
            <w:webHidden/>
          </w:rPr>
          <w:fldChar w:fldCharType="separate"/>
        </w:r>
        <w:r w:rsidR="00151E7E">
          <w:rPr>
            <w:webHidden/>
          </w:rPr>
          <w:t>3</w:t>
        </w:r>
        <w:r>
          <w:rPr>
            <w:webHidden/>
          </w:rPr>
          <w:fldChar w:fldCharType="end"/>
        </w:r>
      </w:hyperlink>
    </w:p>
    <w:p w14:paraId="46275ACD" w14:textId="4772D356" w:rsidR="00866EFD" w:rsidRDefault="00866EFD">
      <w:pPr>
        <w:pStyle w:val="TOC2"/>
        <w:rPr>
          <w:rFonts w:asciiTheme="minorHAnsi" w:eastAsiaTheme="minorEastAsia" w:hAnsiTheme="minorHAnsi" w:cstheme="minorBidi"/>
          <w:sz w:val="22"/>
          <w:szCs w:val="22"/>
          <w:lang w:eastAsia="en-IE"/>
        </w:rPr>
      </w:pPr>
      <w:hyperlink w:anchor="_Toc18680240" w:history="1">
        <w:r w:rsidRPr="00CE5437">
          <w:rPr>
            <w:rStyle w:val="Hyperlink"/>
          </w:rPr>
          <w:t>Health Service Executive (HSE)</w:t>
        </w:r>
        <w:r>
          <w:rPr>
            <w:webHidden/>
          </w:rPr>
          <w:tab/>
        </w:r>
        <w:r>
          <w:rPr>
            <w:webHidden/>
          </w:rPr>
          <w:fldChar w:fldCharType="begin"/>
        </w:r>
        <w:r>
          <w:rPr>
            <w:webHidden/>
          </w:rPr>
          <w:instrText xml:space="preserve"> PAGEREF _Toc18680240 \h </w:instrText>
        </w:r>
        <w:r>
          <w:rPr>
            <w:webHidden/>
          </w:rPr>
        </w:r>
        <w:r>
          <w:rPr>
            <w:webHidden/>
          </w:rPr>
          <w:fldChar w:fldCharType="separate"/>
        </w:r>
        <w:r w:rsidR="00151E7E">
          <w:rPr>
            <w:webHidden/>
          </w:rPr>
          <w:t>5</w:t>
        </w:r>
        <w:r>
          <w:rPr>
            <w:webHidden/>
          </w:rPr>
          <w:fldChar w:fldCharType="end"/>
        </w:r>
      </w:hyperlink>
    </w:p>
    <w:p w14:paraId="6ED348CE" w14:textId="25C6F994" w:rsidR="00866EFD" w:rsidRDefault="00866EFD">
      <w:pPr>
        <w:pStyle w:val="TOC2"/>
        <w:rPr>
          <w:rFonts w:asciiTheme="minorHAnsi" w:eastAsiaTheme="minorEastAsia" w:hAnsiTheme="minorHAnsi" w:cstheme="minorBidi"/>
          <w:sz w:val="22"/>
          <w:szCs w:val="22"/>
          <w:lang w:eastAsia="en-IE"/>
        </w:rPr>
      </w:pPr>
      <w:hyperlink w:anchor="_Toc18680241" w:history="1">
        <w:r w:rsidRPr="00CE5437">
          <w:rPr>
            <w:rStyle w:val="Hyperlink"/>
          </w:rPr>
          <w:t>Reporting Deadlines</w:t>
        </w:r>
        <w:r>
          <w:rPr>
            <w:webHidden/>
          </w:rPr>
          <w:tab/>
        </w:r>
        <w:r>
          <w:rPr>
            <w:webHidden/>
          </w:rPr>
          <w:fldChar w:fldCharType="begin"/>
        </w:r>
        <w:r>
          <w:rPr>
            <w:webHidden/>
          </w:rPr>
          <w:instrText xml:space="preserve"> PAGEREF _Toc18680241 \h </w:instrText>
        </w:r>
        <w:r>
          <w:rPr>
            <w:webHidden/>
          </w:rPr>
        </w:r>
        <w:r>
          <w:rPr>
            <w:webHidden/>
          </w:rPr>
          <w:fldChar w:fldCharType="separate"/>
        </w:r>
        <w:r w:rsidR="00151E7E">
          <w:rPr>
            <w:webHidden/>
          </w:rPr>
          <w:t>6</w:t>
        </w:r>
        <w:r>
          <w:rPr>
            <w:webHidden/>
          </w:rPr>
          <w:fldChar w:fldCharType="end"/>
        </w:r>
      </w:hyperlink>
    </w:p>
    <w:p w14:paraId="3A9CFAFA" w14:textId="62D61086" w:rsidR="00866EFD" w:rsidRDefault="00866EFD">
      <w:pPr>
        <w:pStyle w:val="TOC1"/>
        <w:tabs>
          <w:tab w:val="right" w:leader="dot" w:pos="8714"/>
        </w:tabs>
        <w:rPr>
          <w:rFonts w:asciiTheme="minorHAnsi" w:eastAsiaTheme="minorEastAsia" w:hAnsiTheme="minorHAnsi" w:cstheme="minorBidi"/>
          <w:b w:val="0"/>
          <w:noProof/>
          <w:sz w:val="22"/>
          <w:szCs w:val="22"/>
          <w:lang w:eastAsia="en-IE"/>
        </w:rPr>
      </w:pPr>
      <w:hyperlink w:anchor="_Toc18680242" w:history="1">
        <w:r w:rsidRPr="00CE5437">
          <w:rPr>
            <w:rStyle w:val="Hyperlink"/>
            <w:rFonts w:ascii="Rockwell" w:hAnsi="Rockwell"/>
            <w:noProof/>
          </w:rPr>
          <w:t>1</w:t>
        </w:r>
        <w:r w:rsidRPr="00CE5437">
          <w:rPr>
            <w:rStyle w:val="Hyperlink"/>
            <w:rFonts w:ascii="Rockwell" w:hAnsi="Rockwell" w:cs="Arial Bold"/>
            <w:iCs/>
            <w:noProof/>
          </w:rPr>
          <w:t xml:space="preserve"> </w:t>
        </w:r>
        <w:r w:rsidRPr="00CE5437">
          <w:rPr>
            <w:rStyle w:val="Hyperlink"/>
            <w:rFonts w:ascii="Rockwell" w:hAnsi="Rockwell"/>
            <w:noProof/>
          </w:rPr>
          <w:t>Introduction</w:t>
        </w:r>
        <w:r>
          <w:rPr>
            <w:noProof/>
            <w:webHidden/>
          </w:rPr>
          <w:tab/>
        </w:r>
        <w:r>
          <w:rPr>
            <w:noProof/>
            <w:webHidden/>
          </w:rPr>
          <w:fldChar w:fldCharType="begin"/>
        </w:r>
        <w:r>
          <w:rPr>
            <w:noProof/>
            <w:webHidden/>
          </w:rPr>
          <w:instrText xml:space="preserve"> PAGEREF _Toc18680242 \h </w:instrText>
        </w:r>
        <w:r>
          <w:rPr>
            <w:noProof/>
            <w:webHidden/>
          </w:rPr>
        </w:r>
        <w:r>
          <w:rPr>
            <w:noProof/>
            <w:webHidden/>
          </w:rPr>
          <w:fldChar w:fldCharType="separate"/>
        </w:r>
        <w:r w:rsidR="00151E7E">
          <w:rPr>
            <w:noProof/>
            <w:webHidden/>
          </w:rPr>
          <w:t>7</w:t>
        </w:r>
        <w:r>
          <w:rPr>
            <w:noProof/>
            <w:webHidden/>
          </w:rPr>
          <w:fldChar w:fldCharType="end"/>
        </w:r>
      </w:hyperlink>
    </w:p>
    <w:p w14:paraId="33551147" w14:textId="1898C3FE" w:rsidR="00866EFD" w:rsidRDefault="00866EFD">
      <w:pPr>
        <w:pStyle w:val="TOC2"/>
        <w:rPr>
          <w:rFonts w:asciiTheme="minorHAnsi" w:eastAsiaTheme="minorEastAsia" w:hAnsiTheme="minorHAnsi" w:cstheme="minorBidi"/>
          <w:sz w:val="22"/>
          <w:szCs w:val="22"/>
          <w:lang w:eastAsia="en-IE"/>
        </w:rPr>
      </w:pPr>
      <w:hyperlink w:anchor="_Toc18680243" w:history="1">
        <w:r w:rsidRPr="00CE5437">
          <w:rPr>
            <w:rStyle w:val="Hyperlink"/>
          </w:rPr>
          <w:t>1.1 Legislative background</w:t>
        </w:r>
        <w:r>
          <w:rPr>
            <w:webHidden/>
          </w:rPr>
          <w:tab/>
        </w:r>
        <w:r>
          <w:rPr>
            <w:webHidden/>
          </w:rPr>
          <w:fldChar w:fldCharType="begin"/>
        </w:r>
        <w:r>
          <w:rPr>
            <w:webHidden/>
          </w:rPr>
          <w:instrText xml:space="preserve"> PAGEREF _Toc18680243 \h </w:instrText>
        </w:r>
        <w:r>
          <w:rPr>
            <w:webHidden/>
          </w:rPr>
        </w:r>
        <w:r>
          <w:rPr>
            <w:webHidden/>
          </w:rPr>
          <w:fldChar w:fldCharType="separate"/>
        </w:r>
        <w:r w:rsidR="00151E7E">
          <w:rPr>
            <w:webHidden/>
          </w:rPr>
          <w:t>7</w:t>
        </w:r>
        <w:r>
          <w:rPr>
            <w:webHidden/>
          </w:rPr>
          <w:fldChar w:fldCharType="end"/>
        </w:r>
      </w:hyperlink>
    </w:p>
    <w:p w14:paraId="61849D11" w14:textId="5DF248EA" w:rsidR="00866EFD" w:rsidRDefault="00866EFD">
      <w:pPr>
        <w:pStyle w:val="TOC2"/>
        <w:rPr>
          <w:rFonts w:asciiTheme="minorHAnsi" w:eastAsiaTheme="minorEastAsia" w:hAnsiTheme="minorHAnsi" w:cstheme="minorBidi"/>
          <w:sz w:val="22"/>
          <w:szCs w:val="22"/>
          <w:lang w:eastAsia="en-IE"/>
        </w:rPr>
      </w:pPr>
      <w:hyperlink w:anchor="_Toc18680244" w:history="1">
        <w:r w:rsidRPr="00CE5437">
          <w:rPr>
            <w:rStyle w:val="Hyperlink"/>
          </w:rPr>
          <w:t>1.2 Counting employees with disabilities</w:t>
        </w:r>
        <w:r>
          <w:rPr>
            <w:webHidden/>
          </w:rPr>
          <w:tab/>
        </w:r>
        <w:r>
          <w:rPr>
            <w:webHidden/>
          </w:rPr>
          <w:fldChar w:fldCharType="begin"/>
        </w:r>
        <w:r>
          <w:rPr>
            <w:webHidden/>
          </w:rPr>
          <w:instrText xml:space="preserve"> PAGEREF _Toc18680244 \h </w:instrText>
        </w:r>
        <w:r>
          <w:rPr>
            <w:webHidden/>
          </w:rPr>
        </w:r>
        <w:r>
          <w:rPr>
            <w:webHidden/>
          </w:rPr>
          <w:fldChar w:fldCharType="separate"/>
        </w:r>
        <w:r w:rsidR="00151E7E">
          <w:rPr>
            <w:webHidden/>
          </w:rPr>
          <w:t>7</w:t>
        </w:r>
        <w:r>
          <w:rPr>
            <w:webHidden/>
          </w:rPr>
          <w:fldChar w:fldCharType="end"/>
        </w:r>
      </w:hyperlink>
    </w:p>
    <w:p w14:paraId="378A91EF" w14:textId="5E3E499C" w:rsidR="00866EFD" w:rsidRDefault="00866EFD">
      <w:pPr>
        <w:pStyle w:val="TOC2"/>
        <w:rPr>
          <w:rFonts w:asciiTheme="minorHAnsi" w:eastAsiaTheme="minorEastAsia" w:hAnsiTheme="minorHAnsi" w:cstheme="minorBidi"/>
          <w:sz w:val="22"/>
          <w:szCs w:val="22"/>
          <w:lang w:eastAsia="en-IE"/>
        </w:rPr>
      </w:pPr>
      <w:hyperlink w:anchor="_Toc18680245" w:history="1">
        <w:r w:rsidRPr="00CE5437">
          <w:rPr>
            <w:rStyle w:val="Hyperlink"/>
          </w:rPr>
          <w:t>1.3 Increasing the recruitment of persons with disabilities</w:t>
        </w:r>
        <w:r>
          <w:rPr>
            <w:webHidden/>
          </w:rPr>
          <w:tab/>
        </w:r>
        <w:r>
          <w:rPr>
            <w:webHidden/>
          </w:rPr>
          <w:fldChar w:fldCharType="begin"/>
        </w:r>
        <w:r>
          <w:rPr>
            <w:webHidden/>
          </w:rPr>
          <w:instrText xml:space="preserve"> PAGEREF _Toc18680245 \h </w:instrText>
        </w:r>
        <w:r>
          <w:rPr>
            <w:webHidden/>
          </w:rPr>
        </w:r>
        <w:r>
          <w:rPr>
            <w:webHidden/>
          </w:rPr>
          <w:fldChar w:fldCharType="separate"/>
        </w:r>
        <w:r w:rsidR="00151E7E">
          <w:rPr>
            <w:webHidden/>
          </w:rPr>
          <w:t>8</w:t>
        </w:r>
        <w:r>
          <w:rPr>
            <w:webHidden/>
          </w:rPr>
          <w:fldChar w:fldCharType="end"/>
        </w:r>
      </w:hyperlink>
    </w:p>
    <w:p w14:paraId="5A0D41DC" w14:textId="0543F57D" w:rsidR="00866EFD" w:rsidRDefault="00866EFD">
      <w:pPr>
        <w:pStyle w:val="TOC2"/>
        <w:rPr>
          <w:rFonts w:asciiTheme="minorHAnsi" w:eastAsiaTheme="minorEastAsia" w:hAnsiTheme="minorHAnsi" w:cstheme="minorBidi"/>
          <w:sz w:val="22"/>
          <w:szCs w:val="22"/>
          <w:lang w:eastAsia="en-IE"/>
        </w:rPr>
      </w:pPr>
      <w:hyperlink w:anchor="_Toc18680246" w:history="1">
        <w:r w:rsidRPr="00CE5437">
          <w:rPr>
            <w:rStyle w:val="Hyperlink"/>
          </w:rPr>
          <w:t>1.4 Review of Part 5</w:t>
        </w:r>
        <w:r>
          <w:rPr>
            <w:webHidden/>
          </w:rPr>
          <w:tab/>
        </w:r>
        <w:r>
          <w:rPr>
            <w:webHidden/>
          </w:rPr>
          <w:fldChar w:fldCharType="begin"/>
        </w:r>
        <w:r>
          <w:rPr>
            <w:webHidden/>
          </w:rPr>
          <w:instrText xml:space="preserve"> PAGEREF _Toc18680246 \h </w:instrText>
        </w:r>
        <w:r>
          <w:rPr>
            <w:webHidden/>
          </w:rPr>
        </w:r>
        <w:r>
          <w:rPr>
            <w:webHidden/>
          </w:rPr>
          <w:fldChar w:fldCharType="separate"/>
        </w:r>
        <w:r w:rsidR="00151E7E">
          <w:rPr>
            <w:webHidden/>
          </w:rPr>
          <w:t>9</w:t>
        </w:r>
        <w:r>
          <w:rPr>
            <w:webHidden/>
          </w:rPr>
          <w:fldChar w:fldCharType="end"/>
        </w:r>
      </w:hyperlink>
    </w:p>
    <w:p w14:paraId="49A46C10" w14:textId="0A0ABACF" w:rsidR="00866EFD" w:rsidRDefault="00866EFD">
      <w:pPr>
        <w:pStyle w:val="TOC1"/>
        <w:tabs>
          <w:tab w:val="right" w:leader="dot" w:pos="8714"/>
        </w:tabs>
        <w:rPr>
          <w:rFonts w:asciiTheme="minorHAnsi" w:eastAsiaTheme="minorEastAsia" w:hAnsiTheme="minorHAnsi" w:cstheme="minorBidi"/>
          <w:b w:val="0"/>
          <w:noProof/>
          <w:sz w:val="22"/>
          <w:szCs w:val="22"/>
          <w:lang w:eastAsia="en-IE"/>
        </w:rPr>
      </w:pPr>
      <w:hyperlink w:anchor="_Toc18680247" w:history="1">
        <w:r w:rsidRPr="00CE5437">
          <w:rPr>
            <w:rStyle w:val="Hyperlink"/>
            <w:rFonts w:ascii="Rockwell" w:hAnsi="Rockwell"/>
            <w:noProof/>
          </w:rPr>
          <w:t>2. Main Findings for 2018</w:t>
        </w:r>
        <w:r>
          <w:rPr>
            <w:noProof/>
            <w:webHidden/>
          </w:rPr>
          <w:tab/>
        </w:r>
        <w:r>
          <w:rPr>
            <w:noProof/>
            <w:webHidden/>
          </w:rPr>
          <w:fldChar w:fldCharType="begin"/>
        </w:r>
        <w:r>
          <w:rPr>
            <w:noProof/>
            <w:webHidden/>
          </w:rPr>
          <w:instrText xml:space="preserve"> PAGEREF _Toc18680247 \h </w:instrText>
        </w:r>
        <w:r>
          <w:rPr>
            <w:noProof/>
            <w:webHidden/>
          </w:rPr>
        </w:r>
        <w:r>
          <w:rPr>
            <w:noProof/>
            <w:webHidden/>
          </w:rPr>
          <w:fldChar w:fldCharType="separate"/>
        </w:r>
        <w:r w:rsidR="00151E7E">
          <w:rPr>
            <w:noProof/>
            <w:webHidden/>
          </w:rPr>
          <w:t>10</w:t>
        </w:r>
        <w:r>
          <w:rPr>
            <w:noProof/>
            <w:webHidden/>
          </w:rPr>
          <w:fldChar w:fldCharType="end"/>
        </w:r>
      </w:hyperlink>
    </w:p>
    <w:p w14:paraId="43D2852B" w14:textId="5123472B" w:rsidR="00866EFD" w:rsidRDefault="00866EFD">
      <w:pPr>
        <w:pStyle w:val="TOC2"/>
        <w:rPr>
          <w:rFonts w:asciiTheme="minorHAnsi" w:eastAsiaTheme="minorEastAsia" w:hAnsiTheme="minorHAnsi" w:cstheme="minorBidi"/>
          <w:sz w:val="22"/>
          <w:szCs w:val="22"/>
          <w:lang w:eastAsia="en-IE"/>
        </w:rPr>
      </w:pPr>
      <w:hyperlink w:anchor="_Toc18680248" w:history="1">
        <w:r w:rsidRPr="00CE5437">
          <w:rPr>
            <w:rStyle w:val="Hyperlink"/>
          </w:rPr>
          <w:t>2.1 The 3% target exceeded for eighth successive year</w:t>
        </w:r>
        <w:r>
          <w:rPr>
            <w:webHidden/>
          </w:rPr>
          <w:tab/>
        </w:r>
        <w:r>
          <w:rPr>
            <w:webHidden/>
          </w:rPr>
          <w:fldChar w:fldCharType="begin"/>
        </w:r>
        <w:r>
          <w:rPr>
            <w:webHidden/>
          </w:rPr>
          <w:instrText xml:space="preserve"> PAGEREF _Toc18680248 \h </w:instrText>
        </w:r>
        <w:r>
          <w:rPr>
            <w:webHidden/>
          </w:rPr>
        </w:r>
        <w:r>
          <w:rPr>
            <w:webHidden/>
          </w:rPr>
          <w:fldChar w:fldCharType="separate"/>
        </w:r>
        <w:r w:rsidR="00151E7E">
          <w:rPr>
            <w:webHidden/>
          </w:rPr>
          <w:t>10</w:t>
        </w:r>
        <w:r>
          <w:rPr>
            <w:webHidden/>
          </w:rPr>
          <w:fldChar w:fldCharType="end"/>
        </w:r>
      </w:hyperlink>
    </w:p>
    <w:p w14:paraId="7E4B96E9" w14:textId="101C9DD2" w:rsidR="00866EFD" w:rsidRDefault="00866EFD">
      <w:pPr>
        <w:pStyle w:val="TOC2"/>
        <w:rPr>
          <w:rFonts w:asciiTheme="minorHAnsi" w:eastAsiaTheme="minorEastAsia" w:hAnsiTheme="minorHAnsi" w:cstheme="minorBidi"/>
          <w:sz w:val="22"/>
          <w:szCs w:val="22"/>
          <w:lang w:eastAsia="en-IE"/>
        </w:rPr>
      </w:pPr>
      <w:hyperlink w:anchor="_Toc18680249" w:history="1">
        <w:r w:rsidRPr="00CE5437">
          <w:rPr>
            <w:rStyle w:val="Hyperlink"/>
          </w:rPr>
          <w:t>2.2 Changes in public bodies</w:t>
        </w:r>
        <w:r>
          <w:rPr>
            <w:webHidden/>
          </w:rPr>
          <w:tab/>
        </w:r>
        <w:r>
          <w:rPr>
            <w:webHidden/>
          </w:rPr>
          <w:fldChar w:fldCharType="begin"/>
        </w:r>
        <w:r>
          <w:rPr>
            <w:webHidden/>
          </w:rPr>
          <w:instrText xml:space="preserve"> PAGEREF _Toc18680249 \h </w:instrText>
        </w:r>
        <w:r>
          <w:rPr>
            <w:webHidden/>
          </w:rPr>
        </w:r>
        <w:r>
          <w:rPr>
            <w:webHidden/>
          </w:rPr>
          <w:fldChar w:fldCharType="separate"/>
        </w:r>
        <w:r w:rsidR="00151E7E">
          <w:rPr>
            <w:webHidden/>
          </w:rPr>
          <w:t>11</w:t>
        </w:r>
        <w:r>
          <w:rPr>
            <w:webHidden/>
          </w:rPr>
          <w:fldChar w:fldCharType="end"/>
        </w:r>
      </w:hyperlink>
    </w:p>
    <w:p w14:paraId="34E9761C" w14:textId="6295EB36" w:rsidR="00866EFD" w:rsidRDefault="00866EFD">
      <w:pPr>
        <w:pStyle w:val="TOC2"/>
        <w:rPr>
          <w:rFonts w:asciiTheme="minorHAnsi" w:eastAsiaTheme="minorEastAsia" w:hAnsiTheme="minorHAnsi" w:cstheme="minorBidi"/>
          <w:sz w:val="22"/>
          <w:szCs w:val="22"/>
          <w:lang w:eastAsia="en-IE"/>
        </w:rPr>
      </w:pPr>
      <w:hyperlink w:anchor="_Toc18680250" w:history="1">
        <w:r w:rsidRPr="00CE5437">
          <w:rPr>
            <w:rStyle w:val="Hyperlink"/>
          </w:rPr>
          <w:t>2.3 Analysis by type of public sector body</w:t>
        </w:r>
        <w:r>
          <w:rPr>
            <w:webHidden/>
          </w:rPr>
          <w:tab/>
        </w:r>
        <w:r>
          <w:rPr>
            <w:webHidden/>
          </w:rPr>
          <w:fldChar w:fldCharType="begin"/>
        </w:r>
        <w:r>
          <w:rPr>
            <w:webHidden/>
          </w:rPr>
          <w:instrText xml:space="preserve"> PAGEREF _Toc18680250 \h </w:instrText>
        </w:r>
        <w:r>
          <w:rPr>
            <w:webHidden/>
          </w:rPr>
        </w:r>
        <w:r>
          <w:rPr>
            <w:webHidden/>
          </w:rPr>
          <w:fldChar w:fldCharType="separate"/>
        </w:r>
        <w:r w:rsidR="00151E7E">
          <w:rPr>
            <w:webHidden/>
          </w:rPr>
          <w:t>11</w:t>
        </w:r>
        <w:r>
          <w:rPr>
            <w:webHidden/>
          </w:rPr>
          <w:fldChar w:fldCharType="end"/>
        </w:r>
      </w:hyperlink>
    </w:p>
    <w:p w14:paraId="7B64E79C" w14:textId="0EE804C6" w:rsidR="00866EFD" w:rsidRDefault="00866EFD">
      <w:pPr>
        <w:pStyle w:val="TOC2"/>
        <w:rPr>
          <w:rFonts w:asciiTheme="minorHAnsi" w:eastAsiaTheme="minorEastAsia" w:hAnsiTheme="minorHAnsi" w:cstheme="minorBidi"/>
          <w:sz w:val="22"/>
          <w:szCs w:val="22"/>
          <w:lang w:eastAsia="en-IE"/>
        </w:rPr>
      </w:pPr>
      <w:hyperlink w:anchor="_Toc18680251" w:history="1">
        <w:r w:rsidRPr="00CE5437">
          <w:rPr>
            <w:rStyle w:val="Hyperlink"/>
          </w:rPr>
          <w:t>2.4 Analysis by size of public sector body</w:t>
        </w:r>
        <w:r>
          <w:rPr>
            <w:webHidden/>
          </w:rPr>
          <w:tab/>
        </w:r>
        <w:r>
          <w:rPr>
            <w:webHidden/>
          </w:rPr>
          <w:fldChar w:fldCharType="begin"/>
        </w:r>
        <w:r>
          <w:rPr>
            <w:webHidden/>
          </w:rPr>
          <w:instrText xml:space="preserve"> PAGEREF _Toc18680251 \h </w:instrText>
        </w:r>
        <w:r>
          <w:rPr>
            <w:webHidden/>
          </w:rPr>
        </w:r>
        <w:r>
          <w:rPr>
            <w:webHidden/>
          </w:rPr>
          <w:fldChar w:fldCharType="separate"/>
        </w:r>
        <w:r w:rsidR="00151E7E">
          <w:rPr>
            <w:webHidden/>
          </w:rPr>
          <w:t>15</w:t>
        </w:r>
        <w:r>
          <w:rPr>
            <w:webHidden/>
          </w:rPr>
          <w:fldChar w:fldCharType="end"/>
        </w:r>
      </w:hyperlink>
    </w:p>
    <w:p w14:paraId="69164AE6" w14:textId="493335B1" w:rsidR="00866EFD" w:rsidRDefault="00866EFD">
      <w:pPr>
        <w:pStyle w:val="TOC1"/>
        <w:tabs>
          <w:tab w:val="right" w:leader="dot" w:pos="8714"/>
        </w:tabs>
        <w:rPr>
          <w:rFonts w:asciiTheme="minorHAnsi" w:eastAsiaTheme="minorEastAsia" w:hAnsiTheme="minorHAnsi" w:cstheme="minorBidi"/>
          <w:b w:val="0"/>
          <w:noProof/>
          <w:sz w:val="22"/>
          <w:szCs w:val="22"/>
          <w:lang w:eastAsia="en-IE"/>
        </w:rPr>
      </w:pPr>
      <w:hyperlink w:anchor="_Toc18680252" w:history="1">
        <w:r w:rsidRPr="00CE5437">
          <w:rPr>
            <w:rStyle w:val="Hyperlink"/>
            <w:rFonts w:ascii="Rockwell" w:hAnsi="Rockwell"/>
            <w:noProof/>
          </w:rPr>
          <w:t>3. Monitoring and Compliance</w:t>
        </w:r>
        <w:r>
          <w:rPr>
            <w:noProof/>
            <w:webHidden/>
          </w:rPr>
          <w:tab/>
        </w:r>
        <w:r>
          <w:rPr>
            <w:noProof/>
            <w:webHidden/>
          </w:rPr>
          <w:fldChar w:fldCharType="begin"/>
        </w:r>
        <w:r>
          <w:rPr>
            <w:noProof/>
            <w:webHidden/>
          </w:rPr>
          <w:instrText xml:space="preserve"> PAGEREF _Toc18680252 \h </w:instrText>
        </w:r>
        <w:r>
          <w:rPr>
            <w:noProof/>
            <w:webHidden/>
          </w:rPr>
        </w:r>
        <w:r>
          <w:rPr>
            <w:noProof/>
            <w:webHidden/>
          </w:rPr>
          <w:fldChar w:fldCharType="separate"/>
        </w:r>
        <w:r w:rsidR="00151E7E">
          <w:rPr>
            <w:noProof/>
            <w:webHidden/>
          </w:rPr>
          <w:t>17</w:t>
        </w:r>
        <w:r>
          <w:rPr>
            <w:noProof/>
            <w:webHidden/>
          </w:rPr>
          <w:fldChar w:fldCharType="end"/>
        </w:r>
      </w:hyperlink>
    </w:p>
    <w:p w14:paraId="174443E1" w14:textId="5B1A94BD" w:rsidR="00866EFD" w:rsidRDefault="00866EFD">
      <w:pPr>
        <w:pStyle w:val="TOC2"/>
        <w:rPr>
          <w:rFonts w:asciiTheme="minorHAnsi" w:eastAsiaTheme="minorEastAsia" w:hAnsiTheme="minorHAnsi" w:cstheme="minorBidi"/>
          <w:sz w:val="22"/>
          <w:szCs w:val="22"/>
          <w:lang w:eastAsia="en-IE"/>
        </w:rPr>
      </w:pPr>
      <w:hyperlink w:anchor="_Toc18680253" w:history="1">
        <w:r w:rsidRPr="00CE5437">
          <w:rPr>
            <w:rStyle w:val="Hyperlink"/>
          </w:rPr>
          <w:t>3.1 Compliance with the Act - 2015 and 2016</w:t>
        </w:r>
        <w:r>
          <w:rPr>
            <w:webHidden/>
          </w:rPr>
          <w:tab/>
        </w:r>
        <w:r>
          <w:rPr>
            <w:webHidden/>
          </w:rPr>
          <w:fldChar w:fldCharType="begin"/>
        </w:r>
        <w:r>
          <w:rPr>
            <w:webHidden/>
          </w:rPr>
          <w:instrText xml:space="preserve"> PAGEREF _Toc18680253 \h </w:instrText>
        </w:r>
        <w:r>
          <w:rPr>
            <w:webHidden/>
          </w:rPr>
        </w:r>
        <w:r>
          <w:rPr>
            <w:webHidden/>
          </w:rPr>
          <w:fldChar w:fldCharType="separate"/>
        </w:r>
        <w:r w:rsidR="00151E7E">
          <w:rPr>
            <w:webHidden/>
          </w:rPr>
          <w:t>17</w:t>
        </w:r>
        <w:r>
          <w:rPr>
            <w:webHidden/>
          </w:rPr>
          <w:fldChar w:fldCharType="end"/>
        </w:r>
      </w:hyperlink>
    </w:p>
    <w:p w14:paraId="30ECDEEA" w14:textId="1011C563" w:rsidR="00866EFD" w:rsidRDefault="00866EFD">
      <w:pPr>
        <w:pStyle w:val="TOC2"/>
        <w:rPr>
          <w:rFonts w:asciiTheme="minorHAnsi" w:eastAsiaTheme="minorEastAsia" w:hAnsiTheme="minorHAnsi" w:cstheme="minorBidi"/>
          <w:sz w:val="22"/>
          <w:szCs w:val="22"/>
          <w:lang w:eastAsia="en-IE"/>
        </w:rPr>
      </w:pPr>
      <w:hyperlink w:anchor="_Toc18680254" w:history="1">
        <w:r w:rsidRPr="00CE5437">
          <w:rPr>
            <w:rStyle w:val="Hyperlink"/>
          </w:rPr>
          <w:t>3.2 Compliance with the Act – 2016 and 2017</w:t>
        </w:r>
        <w:r>
          <w:rPr>
            <w:webHidden/>
          </w:rPr>
          <w:tab/>
        </w:r>
        <w:r>
          <w:rPr>
            <w:webHidden/>
          </w:rPr>
          <w:fldChar w:fldCharType="begin"/>
        </w:r>
        <w:r>
          <w:rPr>
            <w:webHidden/>
          </w:rPr>
          <w:instrText xml:space="preserve"> PAGEREF _Toc18680254 \h </w:instrText>
        </w:r>
        <w:r>
          <w:rPr>
            <w:webHidden/>
          </w:rPr>
        </w:r>
        <w:r>
          <w:rPr>
            <w:webHidden/>
          </w:rPr>
          <w:fldChar w:fldCharType="separate"/>
        </w:r>
        <w:r w:rsidR="00151E7E">
          <w:rPr>
            <w:webHidden/>
          </w:rPr>
          <w:t>17</w:t>
        </w:r>
        <w:r>
          <w:rPr>
            <w:webHidden/>
          </w:rPr>
          <w:fldChar w:fldCharType="end"/>
        </w:r>
      </w:hyperlink>
    </w:p>
    <w:p w14:paraId="0A307820" w14:textId="4643838E" w:rsidR="00866EFD" w:rsidRDefault="00866EFD">
      <w:pPr>
        <w:pStyle w:val="TOC2"/>
        <w:rPr>
          <w:rFonts w:asciiTheme="minorHAnsi" w:eastAsiaTheme="minorEastAsia" w:hAnsiTheme="minorHAnsi" w:cstheme="minorBidi"/>
          <w:sz w:val="22"/>
          <w:szCs w:val="22"/>
          <w:lang w:eastAsia="en-IE"/>
        </w:rPr>
      </w:pPr>
      <w:hyperlink w:anchor="_Toc18680255" w:history="1">
        <w:r w:rsidRPr="00CE5437">
          <w:rPr>
            <w:rStyle w:val="Hyperlink"/>
          </w:rPr>
          <w:t>3.3 Compliance with the Act - 2017 and 2018</w:t>
        </w:r>
        <w:r>
          <w:rPr>
            <w:webHidden/>
          </w:rPr>
          <w:tab/>
        </w:r>
        <w:r>
          <w:rPr>
            <w:webHidden/>
          </w:rPr>
          <w:fldChar w:fldCharType="begin"/>
        </w:r>
        <w:r>
          <w:rPr>
            <w:webHidden/>
          </w:rPr>
          <w:instrText xml:space="preserve"> PAGEREF _Toc18680255 \h </w:instrText>
        </w:r>
        <w:r>
          <w:rPr>
            <w:webHidden/>
          </w:rPr>
        </w:r>
        <w:r>
          <w:rPr>
            <w:webHidden/>
          </w:rPr>
          <w:fldChar w:fldCharType="separate"/>
        </w:r>
        <w:r w:rsidR="00151E7E">
          <w:rPr>
            <w:webHidden/>
          </w:rPr>
          <w:t>18</w:t>
        </w:r>
        <w:r>
          <w:rPr>
            <w:webHidden/>
          </w:rPr>
          <w:fldChar w:fldCharType="end"/>
        </w:r>
      </w:hyperlink>
    </w:p>
    <w:p w14:paraId="007D1130" w14:textId="35BBD12B" w:rsidR="00866EFD" w:rsidRDefault="00866EFD">
      <w:pPr>
        <w:pStyle w:val="TOC2"/>
        <w:rPr>
          <w:rFonts w:asciiTheme="minorHAnsi" w:eastAsiaTheme="minorEastAsia" w:hAnsiTheme="minorHAnsi" w:cstheme="minorBidi"/>
          <w:sz w:val="22"/>
          <w:szCs w:val="22"/>
          <w:lang w:eastAsia="en-IE"/>
        </w:rPr>
      </w:pPr>
      <w:hyperlink w:anchor="_Toc18680256" w:history="1">
        <w:r w:rsidRPr="00CE5437">
          <w:rPr>
            <w:rStyle w:val="Hyperlink"/>
          </w:rPr>
          <w:t>3.4 Responsibility in providing accurate data</w:t>
        </w:r>
        <w:r>
          <w:rPr>
            <w:webHidden/>
          </w:rPr>
          <w:tab/>
        </w:r>
        <w:r>
          <w:rPr>
            <w:webHidden/>
          </w:rPr>
          <w:fldChar w:fldCharType="begin"/>
        </w:r>
        <w:r>
          <w:rPr>
            <w:webHidden/>
          </w:rPr>
          <w:instrText xml:space="preserve"> PAGEREF _Toc18680256 \h </w:instrText>
        </w:r>
        <w:r>
          <w:rPr>
            <w:webHidden/>
          </w:rPr>
        </w:r>
        <w:r>
          <w:rPr>
            <w:webHidden/>
          </w:rPr>
          <w:fldChar w:fldCharType="separate"/>
        </w:r>
        <w:r w:rsidR="00151E7E">
          <w:rPr>
            <w:webHidden/>
          </w:rPr>
          <w:t>19</w:t>
        </w:r>
        <w:r>
          <w:rPr>
            <w:webHidden/>
          </w:rPr>
          <w:fldChar w:fldCharType="end"/>
        </w:r>
      </w:hyperlink>
    </w:p>
    <w:p w14:paraId="5908FC55" w14:textId="66E86712" w:rsidR="00866EFD" w:rsidRDefault="00866EFD">
      <w:pPr>
        <w:pStyle w:val="TOC2"/>
        <w:rPr>
          <w:rFonts w:asciiTheme="minorHAnsi" w:eastAsiaTheme="minorEastAsia" w:hAnsiTheme="minorHAnsi" w:cstheme="minorBidi"/>
          <w:sz w:val="22"/>
          <w:szCs w:val="22"/>
          <w:lang w:eastAsia="en-IE"/>
        </w:rPr>
      </w:pPr>
      <w:hyperlink w:anchor="_Toc18680257" w:history="1">
        <w:r w:rsidRPr="00CE5437">
          <w:rPr>
            <w:rStyle w:val="Hyperlink"/>
          </w:rPr>
          <w:t>3.5 Monitoring Committees</w:t>
        </w:r>
        <w:r>
          <w:rPr>
            <w:webHidden/>
          </w:rPr>
          <w:tab/>
        </w:r>
        <w:r>
          <w:rPr>
            <w:webHidden/>
          </w:rPr>
          <w:fldChar w:fldCharType="begin"/>
        </w:r>
        <w:r>
          <w:rPr>
            <w:webHidden/>
          </w:rPr>
          <w:instrText xml:space="preserve"> PAGEREF _Toc18680257 \h </w:instrText>
        </w:r>
        <w:r>
          <w:rPr>
            <w:webHidden/>
          </w:rPr>
        </w:r>
        <w:r>
          <w:rPr>
            <w:webHidden/>
          </w:rPr>
          <w:fldChar w:fldCharType="separate"/>
        </w:r>
        <w:r w:rsidR="00151E7E">
          <w:rPr>
            <w:webHidden/>
          </w:rPr>
          <w:t>19</w:t>
        </w:r>
        <w:r>
          <w:rPr>
            <w:webHidden/>
          </w:rPr>
          <w:fldChar w:fldCharType="end"/>
        </w:r>
      </w:hyperlink>
    </w:p>
    <w:p w14:paraId="48C534ED" w14:textId="16CA3C08" w:rsidR="00866EFD" w:rsidRDefault="00866EFD">
      <w:pPr>
        <w:pStyle w:val="TOC2"/>
        <w:rPr>
          <w:rFonts w:asciiTheme="minorHAnsi" w:eastAsiaTheme="minorEastAsia" w:hAnsiTheme="minorHAnsi" w:cstheme="minorBidi"/>
          <w:sz w:val="22"/>
          <w:szCs w:val="22"/>
          <w:lang w:eastAsia="en-IE"/>
        </w:rPr>
      </w:pPr>
      <w:hyperlink w:anchor="_Toc18680258" w:history="1">
        <w:r w:rsidRPr="00CE5437">
          <w:rPr>
            <w:rStyle w:val="Hyperlink"/>
          </w:rPr>
          <w:t>3.6 Rounding</w:t>
        </w:r>
        <w:r>
          <w:rPr>
            <w:webHidden/>
          </w:rPr>
          <w:tab/>
        </w:r>
        <w:r>
          <w:rPr>
            <w:webHidden/>
          </w:rPr>
          <w:fldChar w:fldCharType="begin"/>
        </w:r>
        <w:r>
          <w:rPr>
            <w:webHidden/>
          </w:rPr>
          <w:instrText xml:space="preserve"> PAGEREF _Toc18680258 \h </w:instrText>
        </w:r>
        <w:r>
          <w:rPr>
            <w:webHidden/>
          </w:rPr>
        </w:r>
        <w:r>
          <w:rPr>
            <w:webHidden/>
          </w:rPr>
          <w:fldChar w:fldCharType="separate"/>
        </w:r>
        <w:r w:rsidR="00151E7E">
          <w:rPr>
            <w:webHidden/>
          </w:rPr>
          <w:t>19</w:t>
        </w:r>
        <w:r>
          <w:rPr>
            <w:webHidden/>
          </w:rPr>
          <w:fldChar w:fldCharType="end"/>
        </w:r>
      </w:hyperlink>
    </w:p>
    <w:p w14:paraId="508C4A8E" w14:textId="3D9560D4" w:rsidR="00866EFD" w:rsidRDefault="00866EFD">
      <w:pPr>
        <w:pStyle w:val="TOC2"/>
        <w:rPr>
          <w:rFonts w:asciiTheme="minorHAnsi" w:eastAsiaTheme="minorEastAsia" w:hAnsiTheme="minorHAnsi" w:cstheme="minorBidi"/>
          <w:sz w:val="22"/>
          <w:szCs w:val="22"/>
          <w:lang w:eastAsia="en-IE"/>
        </w:rPr>
      </w:pPr>
      <w:hyperlink w:anchor="_Toc18680259" w:history="1">
        <w:r w:rsidRPr="00CE5437">
          <w:rPr>
            <w:rStyle w:val="Hyperlink"/>
          </w:rPr>
          <w:t>3.7 Errata – changes after publishing date</w:t>
        </w:r>
        <w:r>
          <w:rPr>
            <w:webHidden/>
          </w:rPr>
          <w:tab/>
        </w:r>
        <w:r>
          <w:rPr>
            <w:webHidden/>
          </w:rPr>
          <w:fldChar w:fldCharType="begin"/>
        </w:r>
        <w:r>
          <w:rPr>
            <w:webHidden/>
          </w:rPr>
          <w:instrText xml:space="preserve"> PAGEREF _Toc18680259 \h </w:instrText>
        </w:r>
        <w:r>
          <w:rPr>
            <w:webHidden/>
          </w:rPr>
        </w:r>
        <w:r>
          <w:rPr>
            <w:webHidden/>
          </w:rPr>
          <w:fldChar w:fldCharType="separate"/>
        </w:r>
        <w:r w:rsidR="00151E7E">
          <w:rPr>
            <w:webHidden/>
          </w:rPr>
          <w:t>19</w:t>
        </w:r>
        <w:r>
          <w:rPr>
            <w:webHidden/>
          </w:rPr>
          <w:fldChar w:fldCharType="end"/>
        </w:r>
      </w:hyperlink>
    </w:p>
    <w:p w14:paraId="3114F6FD" w14:textId="087EA9AA" w:rsidR="00866EFD" w:rsidRDefault="00866EFD">
      <w:pPr>
        <w:pStyle w:val="TOC1"/>
        <w:tabs>
          <w:tab w:val="right" w:leader="dot" w:pos="8714"/>
        </w:tabs>
        <w:rPr>
          <w:rFonts w:asciiTheme="minorHAnsi" w:eastAsiaTheme="minorEastAsia" w:hAnsiTheme="minorHAnsi" w:cstheme="minorBidi"/>
          <w:b w:val="0"/>
          <w:noProof/>
          <w:sz w:val="22"/>
          <w:szCs w:val="22"/>
          <w:lang w:eastAsia="en-IE"/>
        </w:rPr>
      </w:pPr>
      <w:hyperlink w:anchor="_Toc18680260" w:history="1">
        <w:r w:rsidRPr="00CE5437">
          <w:rPr>
            <w:rStyle w:val="Hyperlink"/>
            <w:rFonts w:ascii="Rockwell" w:hAnsi="Rockwell"/>
            <w:noProof/>
          </w:rPr>
          <w:t>Appendix A – Government Departments</w:t>
        </w:r>
        <w:r>
          <w:rPr>
            <w:noProof/>
            <w:webHidden/>
          </w:rPr>
          <w:tab/>
        </w:r>
        <w:r>
          <w:rPr>
            <w:noProof/>
            <w:webHidden/>
          </w:rPr>
          <w:fldChar w:fldCharType="begin"/>
        </w:r>
        <w:r>
          <w:rPr>
            <w:noProof/>
            <w:webHidden/>
          </w:rPr>
          <w:instrText xml:space="preserve"> PAGEREF _Toc18680260 \h </w:instrText>
        </w:r>
        <w:r>
          <w:rPr>
            <w:noProof/>
            <w:webHidden/>
          </w:rPr>
        </w:r>
        <w:r>
          <w:rPr>
            <w:noProof/>
            <w:webHidden/>
          </w:rPr>
          <w:fldChar w:fldCharType="separate"/>
        </w:r>
        <w:r w:rsidR="00151E7E">
          <w:rPr>
            <w:noProof/>
            <w:webHidden/>
          </w:rPr>
          <w:t>20</w:t>
        </w:r>
        <w:r>
          <w:rPr>
            <w:noProof/>
            <w:webHidden/>
          </w:rPr>
          <w:fldChar w:fldCharType="end"/>
        </w:r>
      </w:hyperlink>
    </w:p>
    <w:p w14:paraId="0C5413BE" w14:textId="78AF4038" w:rsidR="00866EFD" w:rsidRDefault="00866EFD">
      <w:pPr>
        <w:pStyle w:val="TOC1"/>
        <w:tabs>
          <w:tab w:val="right" w:leader="dot" w:pos="8714"/>
        </w:tabs>
        <w:rPr>
          <w:rFonts w:asciiTheme="minorHAnsi" w:eastAsiaTheme="minorEastAsia" w:hAnsiTheme="minorHAnsi" w:cstheme="minorBidi"/>
          <w:b w:val="0"/>
          <w:noProof/>
          <w:sz w:val="22"/>
          <w:szCs w:val="22"/>
          <w:lang w:eastAsia="en-IE"/>
        </w:rPr>
      </w:pPr>
      <w:hyperlink w:anchor="_Toc18680261" w:history="1">
        <w:r w:rsidRPr="00CE5437">
          <w:rPr>
            <w:rStyle w:val="Hyperlink"/>
            <w:rFonts w:ascii="Rockwell" w:hAnsi="Rockwell"/>
            <w:noProof/>
          </w:rPr>
          <w:t>Appendix B – Public bodies</w:t>
        </w:r>
        <w:r>
          <w:rPr>
            <w:noProof/>
            <w:webHidden/>
          </w:rPr>
          <w:tab/>
        </w:r>
        <w:r>
          <w:rPr>
            <w:noProof/>
            <w:webHidden/>
          </w:rPr>
          <w:fldChar w:fldCharType="begin"/>
        </w:r>
        <w:r>
          <w:rPr>
            <w:noProof/>
            <w:webHidden/>
          </w:rPr>
          <w:instrText xml:space="preserve"> PAGEREF _Toc18680261 \h </w:instrText>
        </w:r>
        <w:r>
          <w:rPr>
            <w:noProof/>
            <w:webHidden/>
          </w:rPr>
        </w:r>
        <w:r>
          <w:rPr>
            <w:noProof/>
            <w:webHidden/>
          </w:rPr>
          <w:fldChar w:fldCharType="separate"/>
        </w:r>
        <w:r w:rsidR="00151E7E">
          <w:rPr>
            <w:noProof/>
            <w:webHidden/>
          </w:rPr>
          <w:t>22</w:t>
        </w:r>
        <w:r>
          <w:rPr>
            <w:noProof/>
            <w:webHidden/>
          </w:rPr>
          <w:fldChar w:fldCharType="end"/>
        </w:r>
      </w:hyperlink>
    </w:p>
    <w:p w14:paraId="10860C9C" w14:textId="1166F482" w:rsidR="00866EFD" w:rsidRDefault="00866EFD">
      <w:pPr>
        <w:pStyle w:val="TOC1"/>
        <w:tabs>
          <w:tab w:val="right" w:leader="dot" w:pos="8714"/>
        </w:tabs>
        <w:rPr>
          <w:rFonts w:asciiTheme="minorHAnsi" w:eastAsiaTheme="minorEastAsia" w:hAnsiTheme="minorHAnsi" w:cstheme="minorBidi"/>
          <w:b w:val="0"/>
          <w:noProof/>
          <w:sz w:val="22"/>
          <w:szCs w:val="22"/>
          <w:lang w:eastAsia="en-IE"/>
        </w:rPr>
      </w:pPr>
      <w:hyperlink w:anchor="_Toc18680262" w:history="1">
        <w:r w:rsidRPr="00CE5437">
          <w:rPr>
            <w:rStyle w:val="Hyperlink"/>
            <w:rFonts w:ascii="Rockwell" w:hAnsi="Rockwell"/>
            <w:noProof/>
          </w:rPr>
          <w:t>Appendix C – Employee’s census response rates 2018</w:t>
        </w:r>
        <w:r>
          <w:rPr>
            <w:noProof/>
            <w:webHidden/>
          </w:rPr>
          <w:tab/>
        </w:r>
        <w:r>
          <w:rPr>
            <w:noProof/>
            <w:webHidden/>
          </w:rPr>
          <w:fldChar w:fldCharType="begin"/>
        </w:r>
        <w:r>
          <w:rPr>
            <w:noProof/>
            <w:webHidden/>
          </w:rPr>
          <w:instrText xml:space="preserve"> PAGEREF _Toc18680262 \h </w:instrText>
        </w:r>
        <w:r>
          <w:rPr>
            <w:noProof/>
            <w:webHidden/>
          </w:rPr>
        </w:r>
        <w:r>
          <w:rPr>
            <w:noProof/>
            <w:webHidden/>
          </w:rPr>
          <w:fldChar w:fldCharType="separate"/>
        </w:r>
        <w:r w:rsidR="00151E7E">
          <w:rPr>
            <w:noProof/>
            <w:webHidden/>
          </w:rPr>
          <w:t>41</w:t>
        </w:r>
        <w:r>
          <w:rPr>
            <w:noProof/>
            <w:webHidden/>
          </w:rPr>
          <w:fldChar w:fldCharType="end"/>
        </w:r>
      </w:hyperlink>
    </w:p>
    <w:p w14:paraId="4541C04B" w14:textId="3EC96EE3" w:rsidR="00AE7CD9" w:rsidRPr="00AE7CD9" w:rsidRDefault="00866EFD" w:rsidP="00AE7CD9">
      <w:r>
        <w:rPr>
          <w:b/>
        </w:rPr>
        <w:fldChar w:fldCharType="end"/>
      </w:r>
    </w:p>
    <w:p w14:paraId="6DA18778" w14:textId="3C472BC8" w:rsidR="00AE7CD9" w:rsidRDefault="00AE7CD9" w:rsidP="00AE7CD9"/>
    <w:p w14:paraId="116771F3" w14:textId="77777777" w:rsidR="00AE7CD9" w:rsidRPr="00AE7CD9" w:rsidRDefault="00AE7CD9" w:rsidP="00AE7CD9">
      <w:pPr>
        <w:sectPr w:rsidR="00AE7CD9" w:rsidRPr="00AE7CD9" w:rsidSect="005F1ACE">
          <w:footerReference w:type="default" r:id="rId11"/>
          <w:pgSz w:w="12240" w:h="15840"/>
          <w:pgMar w:top="1418" w:right="1758" w:bottom="1418" w:left="1758" w:header="709" w:footer="709" w:gutter="0"/>
          <w:pgNumType w:start="1"/>
          <w:cols w:space="708"/>
          <w:titlePg/>
          <w:docGrid w:linePitch="360"/>
        </w:sectPr>
      </w:pPr>
    </w:p>
    <w:p w14:paraId="070C7254" w14:textId="77777777" w:rsidR="00933FBD" w:rsidRPr="00DD1880" w:rsidRDefault="00933FBD" w:rsidP="00DD1880">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color w:val="CC3399"/>
          <w:sz w:val="56"/>
          <w:szCs w:val="56"/>
        </w:rPr>
      </w:pPr>
      <w:bookmarkStart w:id="2" w:name="_Toc18680238"/>
      <w:r w:rsidRPr="00DD1880">
        <w:rPr>
          <w:rFonts w:ascii="Rockwell" w:hAnsi="Rockwell"/>
          <w:color w:val="CC3399"/>
          <w:sz w:val="56"/>
          <w:szCs w:val="56"/>
        </w:rPr>
        <w:lastRenderedPageBreak/>
        <w:t>Executive Summary</w:t>
      </w:r>
      <w:bookmarkEnd w:id="2"/>
    </w:p>
    <w:p w14:paraId="27C96788" w14:textId="1FCA9483" w:rsidR="00362212" w:rsidRPr="00CC4F07" w:rsidRDefault="00933FBD" w:rsidP="00362212">
      <w:pPr>
        <w:rPr>
          <w:color w:val="000000" w:themeColor="text1"/>
        </w:rPr>
      </w:pPr>
      <w:r w:rsidRPr="00CC4F07">
        <w:rPr>
          <w:color w:val="000000" w:themeColor="text1"/>
        </w:rPr>
        <w:t>This</w:t>
      </w:r>
      <w:r w:rsidR="00714529" w:rsidRPr="00CC4F07">
        <w:rPr>
          <w:color w:val="000000" w:themeColor="text1"/>
        </w:rPr>
        <w:t xml:space="preserve"> is the twelfth</w:t>
      </w:r>
      <w:r w:rsidRPr="00CC4F07">
        <w:rPr>
          <w:color w:val="000000" w:themeColor="text1"/>
        </w:rPr>
        <w:t xml:space="preserve"> annual report by the National Disability Authori</w:t>
      </w:r>
      <w:r w:rsidR="0048344C" w:rsidRPr="00CC4F07">
        <w:rPr>
          <w:color w:val="000000" w:themeColor="text1"/>
        </w:rPr>
        <w:t>ty (NDA) on employment of persons</w:t>
      </w:r>
      <w:r w:rsidRPr="00CC4F07">
        <w:rPr>
          <w:color w:val="000000" w:themeColor="text1"/>
        </w:rPr>
        <w:t xml:space="preserve"> with disabilities in the public sector. The NDA has a statutory role in monitoring employment o</w:t>
      </w:r>
      <w:r w:rsidR="0048344C" w:rsidRPr="00CC4F07">
        <w:rPr>
          <w:color w:val="000000" w:themeColor="text1"/>
        </w:rPr>
        <w:t>f persons</w:t>
      </w:r>
      <w:r w:rsidRPr="00CC4F07">
        <w:rPr>
          <w:color w:val="000000" w:themeColor="text1"/>
        </w:rPr>
        <w:t xml:space="preserve"> with disabilities in the public</w:t>
      </w:r>
      <w:r w:rsidR="00362212" w:rsidRPr="00CC4F07">
        <w:rPr>
          <w:color w:val="000000" w:themeColor="text1"/>
        </w:rPr>
        <w:t xml:space="preserve"> sector, arising from Part 5 of the Disability Act 2005.</w:t>
      </w:r>
    </w:p>
    <w:p w14:paraId="318840C7" w14:textId="21A5DD19" w:rsidR="0051039D" w:rsidRPr="00CC4F07" w:rsidRDefault="00AF33CE">
      <w:pPr>
        <w:rPr>
          <w:color w:val="000000" w:themeColor="text1"/>
        </w:rPr>
      </w:pPr>
      <w:r w:rsidRPr="00CC4F07">
        <w:rPr>
          <w:color w:val="000000" w:themeColor="text1"/>
        </w:rPr>
        <w:t>At the end of 2018 there were 217 bodies in the public sector compared to 2</w:t>
      </w:r>
      <w:r w:rsidR="00DE0B9D" w:rsidRPr="00CC4F07">
        <w:rPr>
          <w:color w:val="000000" w:themeColor="text1"/>
        </w:rPr>
        <w:t>18 in 2017</w:t>
      </w:r>
      <w:r w:rsidR="00F86A80" w:rsidRPr="00CC4F07">
        <w:rPr>
          <w:color w:val="000000" w:themeColor="text1"/>
        </w:rPr>
        <w:t xml:space="preserve">. </w:t>
      </w:r>
      <w:r w:rsidR="00513D03" w:rsidRPr="00CC4F07">
        <w:rPr>
          <w:color w:val="000000" w:themeColor="text1"/>
        </w:rPr>
        <w:t xml:space="preserve">In 2018, 183 (84.3%) public bodies achieved or exceeded the </w:t>
      </w:r>
      <w:r w:rsidR="006535CC" w:rsidRPr="00CC4F07">
        <w:rPr>
          <w:color w:val="000000" w:themeColor="text1"/>
        </w:rPr>
        <w:t xml:space="preserve">minimum </w:t>
      </w:r>
      <w:r w:rsidR="00513D03" w:rsidRPr="00CC4F07">
        <w:rPr>
          <w:color w:val="000000" w:themeColor="text1"/>
        </w:rPr>
        <w:t>3% target</w:t>
      </w:r>
      <w:r w:rsidR="006535CC" w:rsidRPr="00CC4F07">
        <w:rPr>
          <w:color w:val="000000" w:themeColor="text1"/>
        </w:rPr>
        <w:t xml:space="preserve"> co</w:t>
      </w:r>
      <w:r w:rsidR="00DE0B9D" w:rsidRPr="00CC4F07">
        <w:rPr>
          <w:color w:val="000000" w:themeColor="text1"/>
        </w:rPr>
        <w:t>mpared to 184 (84.4%) in 2017</w:t>
      </w:r>
      <w:r w:rsidR="00F86A80" w:rsidRPr="00CC4F07">
        <w:rPr>
          <w:color w:val="000000" w:themeColor="text1"/>
        </w:rPr>
        <w:t>.</w:t>
      </w:r>
      <w:r w:rsidR="00DE0B9D" w:rsidRPr="00CC4F07">
        <w:rPr>
          <w:color w:val="000000" w:themeColor="text1"/>
        </w:rPr>
        <w:t xml:space="preserve"> </w:t>
      </w:r>
      <w:r w:rsidR="00F53C61" w:rsidRPr="00CC4F07">
        <w:rPr>
          <w:color w:val="000000" w:themeColor="text1"/>
        </w:rPr>
        <w:t xml:space="preserve">34 </w:t>
      </w:r>
      <w:r w:rsidR="006535CC" w:rsidRPr="00CC4F07">
        <w:rPr>
          <w:color w:val="000000" w:themeColor="text1"/>
        </w:rPr>
        <w:t>public bodies</w:t>
      </w:r>
      <w:r w:rsidR="00F53C61" w:rsidRPr="00CC4F07">
        <w:rPr>
          <w:color w:val="000000" w:themeColor="text1"/>
        </w:rPr>
        <w:t xml:space="preserve"> (15.7%) </w:t>
      </w:r>
      <w:r w:rsidR="006535CC" w:rsidRPr="00CC4F07">
        <w:rPr>
          <w:color w:val="000000" w:themeColor="text1"/>
        </w:rPr>
        <w:t>did not reach the minimum 3% tar</w:t>
      </w:r>
      <w:r w:rsidR="00DE0B9D" w:rsidRPr="00CC4F07">
        <w:rPr>
          <w:color w:val="000000" w:themeColor="text1"/>
        </w:rPr>
        <w:t>get in 2018</w:t>
      </w:r>
      <w:r w:rsidR="000C4189" w:rsidRPr="00CC4F07">
        <w:rPr>
          <w:color w:val="000000" w:themeColor="text1"/>
        </w:rPr>
        <w:t>, this is t</w:t>
      </w:r>
      <w:r w:rsidR="00F518FD" w:rsidRPr="00CC4F07">
        <w:rPr>
          <w:color w:val="000000" w:themeColor="text1"/>
        </w:rPr>
        <w:t>he same number that did not meet</w:t>
      </w:r>
      <w:r w:rsidR="009B11ED">
        <w:rPr>
          <w:color w:val="000000" w:themeColor="text1"/>
        </w:rPr>
        <w:t xml:space="preserve"> the</w:t>
      </w:r>
      <w:r w:rsidR="000C4189" w:rsidRPr="00CC4F07">
        <w:rPr>
          <w:color w:val="000000" w:themeColor="text1"/>
        </w:rPr>
        <w:t xml:space="preserve"> 3%</w:t>
      </w:r>
      <w:r w:rsidR="009B11ED">
        <w:rPr>
          <w:color w:val="000000" w:themeColor="text1"/>
        </w:rPr>
        <w:t xml:space="preserve"> </w:t>
      </w:r>
      <w:r w:rsidR="000C4189" w:rsidRPr="00CC4F07">
        <w:rPr>
          <w:color w:val="000000" w:themeColor="text1"/>
        </w:rPr>
        <w:t>in 2017. T</w:t>
      </w:r>
      <w:r w:rsidR="00F86A80" w:rsidRPr="00CC4F07">
        <w:rPr>
          <w:color w:val="000000" w:themeColor="text1"/>
        </w:rPr>
        <w:t>h</w:t>
      </w:r>
      <w:r w:rsidR="00883D49">
        <w:rPr>
          <w:color w:val="000000" w:themeColor="text1"/>
        </w:rPr>
        <w:t>ere is</w:t>
      </w:r>
      <w:r w:rsidR="000C4189" w:rsidRPr="00CC4F07">
        <w:rPr>
          <w:color w:val="000000" w:themeColor="text1"/>
        </w:rPr>
        <w:t xml:space="preserve"> therefore </w:t>
      </w:r>
      <w:r w:rsidR="00F53C61" w:rsidRPr="00CC4F07">
        <w:rPr>
          <w:color w:val="000000" w:themeColor="text1"/>
        </w:rPr>
        <w:t xml:space="preserve">no </w:t>
      </w:r>
      <w:r w:rsidR="00F86A80" w:rsidRPr="00CC4F07">
        <w:rPr>
          <w:color w:val="000000" w:themeColor="text1"/>
        </w:rPr>
        <w:t>change in the number of public bodies</w:t>
      </w:r>
      <w:r w:rsidR="00F53C61" w:rsidRPr="00CC4F07">
        <w:rPr>
          <w:color w:val="000000" w:themeColor="text1"/>
        </w:rPr>
        <w:t xml:space="preserve"> that did not meet the minimum 3% target </w:t>
      </w:r>
      <w:r w:rsidR="000C4189" w:rsidRPr="00CC4F07">
        <w:rPr>
          <w:color w:val="000000" w:themeColor="text1"/>
        </w:rPr>
        <w:t>from 2017 and 2018</w:t>
      </w:r>
      <w:r w:rsidR="00F518FD" w:rsidRPr="00CC4F07">
        <w:rPr>
          <w:color w:val="000000" w:themeColor="text1"/>
        </w:rPr>
        <w:t>.</w:t>
      </w:r>
    </w:p>
    <w:p w14:paraId="49B174E8" w14:textId="4B90AE21" w:rsidR="00AD64E6" w:rsidRPr="00CC4F07" w:rsidRDefault="006A3D52">
      <w:pPr>
        <w:rPr>
          <w:color w:val="000000" w:themeColor="text1"/>
        </w:rPr>
      </w:pPr>
      <w:r>
        <w:rPr>
          <w:color w:val="000000" w:themeColor="text1"/>
        </w:rPr>
        <w:t>23</w:t>
      </w:r>
      <w:r w:rsidR="006A2CE0">
        <w:rPr>
          <w:color w:val="000000" w:themeColor="text1"/>
        </w:rPr>
        <w:t xml:space="preserve"> </w:t>
      </w:r>
      <w:r>
        <w:rPr>
          <w:color w:val="000000" w:themeColor="text1"/>
        </w:rPr>
        <w:t>(68</w:t>
      </w:r>
      <w:r w:rsidR="003344BB" w:rsidRPr="00CC4F07">
        <w:rPr>
          <w:color w:val="000000" w:themeColor="text1"/>
        </w:rPr>
        <w:t xml:space="preserve">%) of the 34 public </w:t>
      </w:r>
      <w:r w:rsidR="00FF26B9" w:rsidRPr="00CC4F07">
        <w:rPr>
          <w:color w:val="000000" w:themeColor="text1"/>
        </w:rPr>
        <w:t>bodies that</w:t>
      </w:r>
      <w:r w:rsidR="00AD64E6" w:rsidRPr="00CC4F07">
        <w:rPr>
          <w:color w:val="000000" w:themeColor="text1"/>
        </w:rPr>
        <w:t xml:space="preserve"> did not meet the minimum 3% target </w:t>
      </w:r>
      <w:r w:rsidR="003344BB" w:rsidRPr="00CC4F07">
        <w:rPr>
          <w:color w:val="000000" w:themeColor="text1"/>
        </w:rPr>
        <w:t xml:space="preserve">are small public bodies with less than 30 employees. </w:t>
      </w:r>
      <w:r w:rsidR="00AD64E6" w:rsidRPr="00CC4F07">
        <w:rPr>
          <w:color w:val="000000" w:themeColor="text1"/>
        </w:rPr>
        <w:t>I</w:t>
      </w:r>
      <w:r w:rsidR="003D16B4" w:rsidRPr="00CC4F07">
        <w:rPr>
          <w:color w:val="000000" w:themeColor="text1"/>
        </w:rPr>
        <w:t>f each of these public b</w:t>
      </w:r>
      <w:r w:rsidR="0051039D" w:rsidRPr="00CC4F07">
        <w:rPr>
          <w:color w:val="000000" w:themeColor="text1"/>
        </w:rPr>
        <w:t xml:space="preserve">odies </w:t>
      </w:r>
      <w:r w:rsidR="003D16B4" w:rsidRPr="00CC4F07">
        <w:rPr>
          <w:color w:val="000000" w:themeColor="text1"/>
        </w:rPr>
        <w:t>had reported 1 employee with a disability they would have reached or exceeded the minimum 3% target.</w:t>
      </w:r>
    </w:p>
    <w:p w14:paraId="7E184225" w14:textId="6F42D976" w:rsidR="003344BB" w:rsidRPr="00CC4F07" w:rsidRDefault="0051039D">
      <w:pPr>
        <w:rPr>
          <w:color w:val="000000" w:themeColor="text1"/>
        </w:rPr>
      </w:pPr>
      <w:r w:rsidRPr="00CC4F07">
        <w:rPr>
          <w:color w:val="000000" w:themeColor="text1"/>
        </w:rPr>
        <w:t>On 10 May 2019, the NDA hosted a seminar for these public</w:t>
      </w:r>
      <w:r w:rsidR="00AD64E6" w:rsidRPr="00CC4F07">
        <w:rPr>
          <w:color w:val="000000" w:themeColor="text1"/>
        </w:rPr>
        <w:t xml:space="preserve"> bodies to help them to </w:t>
      </w:r>
      <w:r w:rsidRPr="00CC4F07">
        <w:rPr>
          <w:color w:val="000000" w:themeColor="text1"/>
        </w:rPr>
        <w:t xml:space="preserve">create </w:t>
      </w:r>
      <w:r w:rsidR="00FF26B9" w:rsidRPr="00CC4F07">
        <w:rPr>
          <w:color w:val="000000" w:themeColor="text1"/>
        </w:rPr>
        <w:t>and maintain</w:t>
      </w:r>
      <w:r w:rsidRPr="00CC4F07">
        <w:rPr>
          <w:color w:val="000000" w:themeColor="text1"/>
        </w:rPr>
        <w:t xml:space="preserve"> inclusive work environments that promote and support the recruitment and retention of per</w:t>
      </w:r>
      <w:r w:rsidR="00AD64E6" w:rsidRPr="00CC4F07">
        <w:rPr>
          <w:color w:val="000000" w:themeColor="text1"/>
        </w:rPr>
        <w:t xml:space="preserve">sons with disabilities and one </w:t>
      </w:r>
      <w:r w:rsidRPr="00CC4F07">
        <w:rPr>
          <w:color w:val="000000" w:themeColor="text1"/>
        </w:rPr>
        <w:t xml:space="preserve">in which employees with disabilities feel comfortable in disclosing a disability. </w:t>
      </w:r>
      <w:proofErr w:type="gramStart"/>
      <w:r w:rsidRPr="00CC4F07">
        <w:rPr>
          <w:color w:val="000000" w:themeColor="text1"/>
        </w:rPr>
        <w:t>A number of</w:t>
      </w:r>
      <w:proofErr w:type="gramEnd"/>
      <w:r w:rsidRPr="00CC4F07">
        <w:rPr>
          <w:color w:val="000000" w:themeColor="text1"/>
        </w:rPr>
        <w:t xml:space="preserve"> larger public bodies that were also experiencing difficulties mee</w:t>
      </w:r>
      <w:r w:rsidR="00806FD0">
        <w:rPr>
          <w:color w:val="000000" w:themeColor="text1"/>
        </w:rPr>
        <w:t xml:space="preserve">ting the minimum 3% target </w:t>
      </w:r>
      <w:r w:rsidRPr="00CC4F07">
        <w:rPr>
          <w:color w:val="000000" w:themeColor="text1"/>
        </w:rPr>
        <w:t xml:space="preserve">attended this seminar.  This seminar provided public bodies with </w:t>
      </w:r>
      <w:r w:rsidR="007E71EB" w:rsidRPr="00CC4F07">
        <w:rPr>
          <w:color w:val="000000" w:themeColor="text1"/>
        </w:rPr>
        <w:t>the opportunity to reengage with the NDA’s guidance and to explore ways in which they could practically implement this</w:t>
      </w:r>
      <w:r w:rsidR="00AD64E6" w:rsidRPr="00CC4F07">
        <w:rPr>
          <w:color w:val="000000" w:themeColor="text1"/>
        </w:rPr>
        <w:t xml:space="preserve"> guidance. </w:t>
      </w:r>
      <w:r w:rsidR="007E71EB" w:rsidRPr="00CC4F07">
        <w:rPr>
          <w:color w:val="000000" w:themeColor="text1"/>
        </w:rPr>
        <w:t xml:space="preserve">This seminar also provided public bodies with the chance to establish a forum to share good practice that will help them to increase </w:t>
      </w:r>
      <w:r w:rsidR="00FF26B9" w:rsidRPr="00CC4F07">
        <w:rPr>
          <w:color w:val="000000" w:themeColor="text1"/>
        </w:rPr>
        <w:t>recruitment opportunities</w:t>
      </w:r>
      <w:r w:rsidR="007E71EB" w:rsidRPr="00CC4F07">
        <w:rPr>
          <w:color w:val="000000" w:themeColor="text1"/>
        </w:rPr>
        <w:t xml:space="preserve"> for persons with disabilities, while supporting existing employees with disabiliti</w:t>
      </w:r>
      <w:r w:rsidR="003B7D53">
        <w:rPr>
          <w:color w:val="000000" w:themeColor="text1"/>
        </w:rPr>
        <w:t xml:space="preserve">es to remain in the workplace. </w:t>
      </w:r>
      <w:r w:rsidR="007E71EB" w:rsidRPr="00CC4F07">
        <w:rPr>
          <w:color w:val="000000" w:themeColor="text1"/>
        </w:rPr>
        <w:t xml:space="preserve">The </w:t>
      </w:r>
      <w:r w:rsidR="008E25E6" w:rsidRPr="00CC4F07">
        <w:rPr>
          <w:color w:val="000000" w:themeColor="text1"/>
        </w:rPr>
        <w:t>NDA is</w:t>
      </w:r>
      <w:r w:rsidR="007E71EB" w:rsidRPr="00CC4F07">
        <w:rPr>
          <w:color w:val="000000" w:themeColor="text1"/>
        </w:rPr>
        <w:t xml:space="preserve"> looking forward to seeing an improvement in these public</w:t>
      </w:r>
      <w:r w:rsidR="000F5FAE" w:rsidRPr="00CC4F07">
        <w:rPr>
          <w:color w:val="000000" w:themeColor="text1"/>
        </w:rPr>
        <w:t xml:space="preserve"> bodies’ performances in the future.</w:t>
      </w:r>
    </w:p>
    <w:p w14:paraId="73A7D86C" w14:textId="70406B90" w:rsidR="00890CD9" w:rsidRPr="00CC4F07" w:rsidRDefault="00362212">
      <w:r w:rsidRPr="00CC4F07">
        <w:rPr>
          <w:color w:val="000000" w:themeColor="text1"/>
        </w:rPr>
        <w:t xml:space="preserve">At the end of 2018, </w:t>
      </w:r>
      <w:r w:rsidR="004B7728" w:rsidRPr="00CC4F07">
        <w:rPr>
          <w:color w:val="000000" w:themeColor="text1"/>
        </w:rPr>
        <w:t xml:space="preserve">the total number of employees </w:t>
      </w:r>
      <w:r w:rsidR="00446828" w:rsidRPr="00CC4F07">
        <w:t>in the relevant public sector bodies</w:t>
      </w:r>
      <w:r w:rsidR="00446828" w:rsidRPr="00CC4F07">
        <w:rPr>
          <w:color w:val="FF0000"/>
        </w:rPr>
        <w:t xml:space="preserve"> </w:t>
      </w:r>
      <w:r w:rsidR="004B7728" w:rsidRPr="00CC4F07">
        <w:rPr>
          <w:color w:val="000000" w:themeColor="text1"/>
        </w:rPr>
        <w:t xml:space="preserve">was </w:t>
      </w:r>
      <w:r w:rsidR="004B7728" w:rsidRPr="00CC4F07">
        <w:t xml:space="preserve">231,706 - </w:t>
      </w:r>
      <w:r w:rsidR="004B7728" w:rsidRPr="00CC4F07">
        <w:rPr>
          <w:color w:val="000000" w:themeColor="text1"/>
        </w:rPr>
        <w:t xml:space="preserve">an increase of </w:t>
      </w:r>
      <w:r w:rsidR="004B7728" w:rsidRPr="00CC4F07">
        <w:rPr>
          <w:lang w:eastAsia="en-IE"/>
        </w:rPr>
        <w:t>5,897 (2.6%) from the total number of employees in 2017.</w:t>
      </w:r>
      <w:r w:rsidR="00DE0B9D" w:rsidRPr="00CC4F07">
        <w:rPr>
          <w:lang w:eastAsia="en-IE"/>
        </w:rPr>
        <w:t xml:space="preserve"> </w:t>
      </w:r>
      <w:proofErr w:type="gramStart"/>
      <w:r w:rsidR="00DE0B9D" w:rsidRPr="00CC4F07">
        <w:rPr>
          <w:lang w:eastAsia="en-IE"/>
        </w:rPr>
        <w:t>However</w:t>
      </w:r>
      <w:proofErr w:type="gramEnd"/>
      <w:r w:rsidR="00DE0B9D" w:rsidRPr="00CC4F07">
        <w:rPr>
          <w:lang w:eastAsia="en-IE"/>
        </w:rPr>
        <w:t xml:space="preserve"> the overall </w:t>
      </w:r>
      <w:r w:rsidR="004B7728" w:rsidRPr="00CC4F07">
        <w:rPr>
          <w:lang w:eastAsia="en-IE"/>
        </w:rPr>
        <w:t xml:space="preserve">number and percentage of employees reporting a disability decreased from </w:t>
      </w:r>
      <w:r w:rsidR="004B7728" w:rsidRPr="00CC4F07">
        <w:rPr>
          <w:rFonts w:ascii="Gill Sans MT" w:hAnsi="Gill Sans MT" w:cs="Arial"/>
          <w:szCs w:val="26"/>
          <w:lang w:eastAsia="en-IE"/>
        </w:rPr>
        <w:t xml:space="preserve">7,796 (3.5%) in 2017 to </w:t>
      </w:r>
      <w:r w:rsidR="004B7728" w:rsidRPr="00CC4F07">
        <w:t>7,585 (3.3%) in 2018. This is a decrease of 211 (</w:t>
      </w:r>
      <w:r w:rsidR="00DF653D" w:rsidRPr="00CC4F07">
        <w:t>-</w:t>
      </w:r>
      <w:r w:rsidR="004B7728" w:rsidRPr="00CC4F07">
        <w:t>2.7%) people from 2017.</w:t>
      </w:r>
    </w:p>
    <w:p w14:paraId="65653627" w14:textId="3705F5FF" w:rsidR="000C4189" w:rsidRPr="00CC4F07" w:rsidRDefault="000C4189" w:rsidP="003B7D53">
      <w:pPr>
        <w:spacing w:after="480"/>
        <w:rPr>
          <w:color w:val="000000" w:themeColor="text1"/>
        </w:rPr>
      </w:pPr>
      <w:r w:rsidRPr="00CC4F07">
        <w:rPr>
          <w:color w:val="000000" w:themeColor="text1"/>
        </w:rPr>
        <w:t xml:space="preserve">In 2018, three of the four size categories met or exceeded the </w:t>
      </w:r>
      <w:r w:rsidR="007B31B9">
        <w:rPr>
          <w:color w:val="000000" w:themeColor="text1"/>
        </w:rPr>
        <w:t xml:space="preserve">minimum </w:t>
      </w:r>
      <w:r w:rsidRPr="00CC4F07">
        <w:rPr>
          <w:color w:val="000000" w:themeColor="text1"/>
        </w:rPr>
        <w:t xml:space="preserve">target of 3% </w:t>
      </w:r>
      <w:proofErr w:type="gramStart"/>
      <w:r w:rsidRPr="00CC4F07">
        <w:rPr>
          <w:color w:val="000000" w:themeColor="text1"/>
        </w:rPr>
        <w:t>similar to</w:t>
      </w:r>
      <w:proofErr w:type="gramEnd"/>
      <w:r w:rsidRPr="00CC4F07">
        <w:rPr>
          <w:color w:val="000000" w:themeColor="text1"/>
        </w:rPr>
        <w:t xml:space="preserve"> 2017. The percentage of employees with disabilities in the largest </w:t>
      </w:r>
      <w:r w:rsidRPr="00CC4F07">
        <w:rPr>
          <w:color w:val="000000" w:themeColor="text1"/>
        </w:rPr>
        <w:lastRenderedPageBreak/>
        <w:t>size category of 5000+ employees continued to fall at 2.3% in 2018 compared to 2.7% in 201</w:t>
      </w:r>
      <w:r w:rsidR="00A801F0" w:rsidRPr="00CC4F07">
        <w:rPr>
          <w:color w:val="000000" w:themeColor="text1"/>
        </w:rPr>
        <w:t>7</w:t>
      </w:r>
      <w:r w:rsidR="003B7D53">
        <w:rPr>
          <w:color w:val="000000" w:themeColor="text1"/>
        </w:rPr>
        <w:t>.</w:t>
      </w:r>
    </w:p>
    <w:p w14:paraId="76DB74DE" w14:textId="77777777" w:rsidR="000C4189" w:rsidRPr="00CC4F07" w:rsidRDefault="000C4189" w:rsidP="000C4189">
      <w:pPr>
        <w:spacing w:after="120"/>
        <w:rPr>
          <w:color w:val="000000" w:themeColor="text1"/>
        </w:rPr>
      </w:pPr>
      <w:r w:rsidRPr="00CC4F07">
        <w:rPr>
          <w:color w:val="000000" w:themeColor="text1"/>
        </w:rPr>
        <w:t>There are five types of public bodies:</w:t>
      </w:r>
    </w:p>
    <w:p w14:paraId="5C1F6EC5" w14:textId="77777777" w:rsidR="000C4189" w:rsidRPr="00CC4F07" w:rsidRDefault="000C4189" w:rsidP="000C4189">
      <w:pPr>
        <w:pStyle w:val="ListBullet"/>
        <w:numPr>
          <w:ilvl w:val="0"/>
          <w:numId w:val="1"/>
        </w:numPr>
        <w:rPr>
          <w:color w:val="000000" w:themeColor="text1"/>
        </w:rPr>
      </w:pPr>
      <w:r w:rsidRPr="00CC4F07">
        <w:rPr>
          <w:color w:val="000000" w:themeColor="text1"/>
        </w:rPr>
        <w:t>Government Departments</w:t>
      </w:r>
    </w:p>
    <w:p w14:paraId="3CE95ACD" w14:textId="77777777" w:rsidR="000C4189" w:rsidRPr="00CC4F07" w:rsidRDefault="000C4189" w:rsidP="000C4189">
      <w:pPr>
        <w:pStyle w:val="ListBullet"/>
        <w:numPr>
          <w:ilvl w:val="0"/>
          <w:numId w:val="1"/>
        </w:numPr>
        <w:rPr>
          <w:color w:val="000000" w:themeColor="text1"/>
        </w:rPr>
      </w:pPr>
      <w:r w:rsidRPr="00CC4F07">
        <w:rPr>
          <w:color w:val="000000" w:themeColor="text1"/>
        </w:rPr>
        <w:t>Public Bodies staffed by Civil Servants</w:t>
      </w:r>
    </w:p>
    <w:p w14:paraId="5F4D3F24" w14:textId="77777777" w:rsidR="000C4189" w:rsidRPr="00CC4F07" w:rsidRDefault="000C4189" w:rsidP="000C4189">
      <w:pPr>
        <w:pStyle w:val="ListBullet"/>
        <w:numPr>
          <w:ilvl w:val="0"/>
          <w:numId w:val="1"/>
        </w:numPr>
        <w:rPr>
          <w:color w:val="000000" w:themeColor="text1"/>
        </w:rPr>
      </w:pPr>
      <w:r w:rsidRPr="00CC4F07">
        <w:rPr>
          <w:color w:val="000000" w:themeColor="text1"/>
        </w:rPr>
        <w:t>Local Authorities</w:t>
      </w:r>
    </w:p>
    <w:p w14:paraId="317C2BA9" w14:textId="77777777" w:rsidR="000C4189" w:rsidRPr="00CC4F07" w:rsidRDefault="000C4189" w:rsidP="000C4189">
      <w:pPr>
        <w:pStyle w:val="ListBullet"/>
        <w:numPr>
          <w:ilvl w:val="0"/>
          <w:numId w:val="1"/>
        </w:numPr>
        <w:rPr>
          <w:color w:val="000000" w:themeColor="text1"/>
        </w:rPr>
      </w:pPr>
      <w:r w:rsidRPr="00CC4F07">
        <w:rPr>
          <w:color w:val="000000" w:themeColor="text1"/>
        </w:rPr>
        <w:t>Commercial Bodies</w:t>
      </w:r>
    </w:p>
    <w:p w14:paraId="03A3B53C" w14:textId="77777777" w:rsidR="000C4189" w:rsidRPr="00CC4F07" w:rsidRDefault="000C4189" w:rsidP="000C4189">
      <w:pPr>
        <w:pStyle w:val="ListBullet"/>
        <w:numPr>
          <w:ilvl w:val="0"/>
          <w:numId w:val="1"/>
        </w:numPr>
        <w:spacing w:after="240"/>
        <w:ind w:left="357" w:hanging="357"/>
        <w:rPr>
          <w:color w:val="000000" w:themeColor="text1"/>
        </w:rPr>
      </w:pPr>
      <w:r w:rsidRPr="00CC4F07">
        <w:rPr>
          <w:color w:val="000000" w:themeColor="text1"/>
        </w:rPr>
        <w:t>Non-Commercial Bodies.</w:t>
      </w:r>
    </w:p>
    <w:p w14:paraId="3A6C732C" w14:textId="3DF00B22" w:rsidR="000C4189" w:rsidRPr="00CC4F07" w:rsidRDefault="000C4189" w:rsidP="000C4189">
      <w:pPr>
        <w:rPr>
          <w:color w:val="000000" w:themeColor="text1"/>
        </w:rPr>
      </w:pPr>
      <w:r w:rsidRPr="00CC4F07">
        <w:rPr>
          <w:color w:val="000000" w:themeColor="text1"/>
        </w:rPr>
        <w:t>In 2018, four of the five category types als</w:t>
      </w:r>
      <w:r w:rsidR="006D3AED" w:rsidRPr="00CC4F07">
        <w:rPr>
          <w:color w:val="000000" w:themeColor="text1"/>
        </w:rPr>
        <w:t xml:space="preserve">o achieved the </w:t>
      </w:r>
      <w:r w:rsidR="007B31B9">
        <w:rPr>
          <w:color w:val="000000" w:themeColor="text1"/>
        </w:rPr>
        <w:t xml:space="preserve">minimum </w:t>
      </w:r>
      <w:r w:rsidR="006D3AED" w:rsidRPr="00CC4F07">
        <w:rPr>
          <w:color w:val="000000" w:themeColor="text1"/>
        </w:rPr>
        <w:t>3% target. No</w:t>
      </w:r>
      <w:r w:rsidRPr="00CC4F07">
        <w:rPr>
          <w:color w:val="000000" w:themeColor="text1"/>
        </w:rPr>
        <w:t>n-commercial bodies fell from 2.6% in 2017 to 2.3% in 2018.</w:t>
      </w:r>
    </w:p>
    <w:p w14:paraId="50F4D8DE" w14:textId="77777777" w:rsidR="00A43F77" w:rsidRDefault="000F5FAE" w:rsidP="00A43F77">
      <w:pPr>
        <w:pStyle w:val="Heading2"/>
        <w:rPr>
          <w:rFonts w:ascii="Rockwell" w:hAnsi="Rockwell"/>
          <w:color w:val="CC3399"/>
          <w:sz w:val="32"/>
          <w:szCs w:val="32"/>
        </w:rPr>
      </w:pPr>
      <w:bookmarkStart w:id="3" w:name="_Toc18680239"/>
      <w:r w:rsidRPr="00CC4F07">
        <w:rPr>
          <w:rFonts w:ascii="Rockwell" w:hAnsi="Rockwell"/>
          <w:color w:val="CC3399"/>
          <w:sz w:val="32"/>
          <w:szCs w:val="32"/>
        </w:rPr>
        <w:t xml:space="preserve">Decrease in </w:t>
      </w:r>
      <w:r w:rsidR="007863D9" w:rsidRPr="00CC4F07">
        <w:rPr>
          <w:rFonts w:ascii="Rockwell" w:hAnsi="Rockwell"/>
          <w:color w:val="CC3399"/>
          <w:sz w:val="32"/>
          <w:szCs w:val="32"/>
        </w:rPr>
        <w:t xml:space="preserve">employees reporting </w:t>
      </w:r>
      <w:r w:rsidR="0051039D" w:rsidRPr="00CC4F07">
        <w:rPr>
          <w:rFonts w:ascii="Rockwell" w:hAnsi="Rockwell"/>
          <w:color w:val="CC3399"/>
          <w:sz w:val="32"/>
          <w:szCs w:val="32"/>
        </w:rPr>
        <w:t>a disability</w:t>
      </w:r>
      <w:bookmarkEnd w:id="3"/>
    </w:p>
    <w:p w14:paraId="3095A708" w14:textId="65014209" w:rsidR="00E13D85" w:rsidRPr="00151E7E" w:rsidRDefault="00151E7E" w:rsidP="00A43F77">
      <w:r w:rsidRPr="004772BA">
        <w:t xml:space="preserve">While overall the proportion of employees declaring a disability in the public service in 2018 exceeded the minimum 3% target, there was a decrease </w:t>
      </w:r>
      <w:r w:rsidR="00A801F0" w:rsidRPr="004772BA">
        <w:rPr>
          <w:color w:val="000000" w:themeColor="text1"/>
        </w:rPr>
        <w:t xml:space="preserve">in the number and </w:t>
      </w:r>
      <w:r w:rsidR="00794041" w:rsidRPr="004772BA">
        <w:rPr>
          <w:color w:val="000000" w:themeColor="text1"/>
        </w:rPr>
        <w:t>percentage of employees reporting a disability</w:t>
      </w:r>
      <w:r w:rsidR="004772BA">
        <w:rPr>
          <w:color w:val="000000" w:themeColor="text1"/>
        </w:rPr>
        <w:t xml:space="preserve"> from 3.5% in 2017 to 3.3%</w:t>
      </w:r>
      <w:r w:rsidR="00794041" w:rsidRPr="004772BA">
        <w:rPr>
          <w:color w:val="000000" w:themeColor="text1"/>
        </w:rPr>
        <w:t xml:space="preserve"> in 2018</w:t>
      </w:r>
      <w:r w:rsidRPr="004772BA">
        <w:rPr>
          <w:color w:val="000000" w:themeColor="text1"/>
        </w:rPr>
        <w:t>.</w:t>
      </w:r>
      <w:r>
        <w:rPr>
          <w:color w:val="000000" w:themeColor="text1"/>
        </w:rPr>
        <w:t xml:space="preserve"> This decrease</w:t>
      </w:r>
      <w:r w:rsidR="00794041" w:rsidRPr="00A43F77">
        <w:rPr>
          <w:color w:val="000000" w:themeColor="text1"/>
        </w:rPr>
        <w:t xml:space="preserve"> </w:t>
      </w:r>
      <w:r w:rsidR="00794041" w:rsidRPr="00A43F77">
        <w:t>has taken place in the context of an</w:t>
      </w:r>
      <w:r w:rsidR="00794041" w:rsidRPr="00A43F77">
        <w:rPr>
          <w:color w:val="000000" w:themeColor="text1"/>
        </w:rPr>
        <w:t xml:space="preserve"> increase of </w:t>
      </w:r>
      <w:r w:rsidR="00794041" w:rsidRPr="00A43F77">
        <w:rPr>
          <w:lang w:eastAsia="en-IE"/>
        </w:rPr>
        <w:t>5,897</w:t>
      </w:r>
      <w:r w:rsidR="00AD64E6" w:rsidRPr="00A43F77">
        <w:rPr>
          <w:lang w:eastAsia="en-IE"/>
        </w:rPr>
        <w:t xml:space="preserve"> (2.6%)</w:t>
      </w:r>
      <w:r w:rsidR="00794041" w:rsidRPr="00A43F77">
        <w:rPr>
          <w:lang w:eastAsia="en-IE"/>
        </w:rPr>
        <w:t xml:space="preserve"> in the total number of </w:t>
      </w:r>
      <w:r w:rsidR="003B7D53" w:rsidRPr="00A43F77">
        <w:rPr>
          <w:lang w:eastAsia="en-IE"/>
        </w:rPr>
        <w:t>employees in the public sector.</w:t>
      </w:r>
    </w:p>
    <w:p w14:paraId="3E10BF27" w14:textId="0080D158" w:rsidR="00446828" w:rsidRPr="00CC4F07" w:rsidRDefault="00E13D85" w:rsidP="00E13D85">
      <w:pPr>
        <w:spacing w:after="120"/>
        <w:rPr>
          <w:color w:val="000000" w:themeColor="text1"/>
        </w:rPr>
      </w:pPr>
      <w:proofErr w:type="gramStart"/>
      <w:r w:rsidRPr="00CC4F07">
        <w:rPr>
          <w:color w:val="000000" w:themeColor="text1"/>
        </w:rPr>
        <w:t>Similar to</w:t>
      </w:r>
      <w:proofErr w:type="gramEnd"/>
      <w:r w:rsidRPr="00CC4F07">
        <w:rPr>
          <w:color w:val="000000" w:themeColor="text1"/>
        </w:rPr>
        <w:t xml:space="preserve"> 2017, this increase in the total number of public sector </w:t>
      </w:r>
      <w:r w:rsidR="008E25E6" w:rsidRPr="00CC4F07">
        <w:rPr>
          <w:color w:val="000000" w:themeColor="text1"/>
        </w:rPr>
        <w:t>employees can</w:t>
      </w:r>
      <w:r w:rsidRPr="00CC4F07">
        <w:rPr>
          <w:color w:val="000000" w:themeColor="text1"/>
        </w:rPr>
        <w:t xml:space="preserve"> </w:t>
      </w:r>
      <w:r w:rsidR="008E25E6" w:rsidRPr="00CC4F07">
        <w:rPr>
          <w:color w:val="000000" w:themeColor="text1"/>
        </w:rPr>
        <w:t>be linked</w:t>
      </w:r>
      <w:r w:rsidRPr="00CC4F07">
        <w:rPr>
          <w:color w:val="000000" w:themeColor="text1"/>
        </w:rPr>
        <w:t xml:space="preserve"> to the sizeable increase in the total number of employees reported by the </w:t>
      </w:r>
      <w:r w:rsidR="003B7D53">
        <w:rPr>
          <w:color w:val="000000" w:themeColor="text1"/>
        </w:rPr>
        <w:t>Health Service Executive (HSE).</w:t>
      </w:r>
    </w:p>
    <w:p w14:paraId="14BAEAA3" w14:textId="230246D2" w:rsidR="00E13D85" w:rsidRPr="00CC4F07" w:rsidRDefault="00E13D85" w:rsidP="00E13D85">
      <w:pPr>
        <w:spacing w:after="120"/>
        <w:rPr>
          <w:strike/>
        </w:rPr>
      </w:pPr>
      <w:r w:rsidRPr="00CC4F07">
        <w:rPr>
          <w:color w:val="000000" w:themeColor="text1"/>
        </w:rPr>
        <w:t>In 2018</w:t>
      </w:r>
      <w:r w:rsidR="008E25E6" w:rsidRPr="00CC4F07">
        <w:rPr>
          <w:color w:val="000000" w:themeColor="text1"/>
        </w:rPr>
        <w:t>, the</w:t>
      </w:r>
      <w:r w:rsidRPr="00CC4F07">
        <w:rPr>
          <w:color w:val="000000" w:themeColor="text1"/>
        </w:rPr>
        <w:t xml:space="preserve"> HSE reported a sizeable increase </w:t>
      </w:r>
      <w:r w:rsidRPr="00CC4F07">
        <w:rPr>
          <w:szCs w:val="26"/>
        </w:rPr>
        <w:t>(+2209)</w:t>
      </w:r>
      <w:r w:rsidRPr="00CC4F07">
        <w:rPr>
          <w:sz w:val="20"/>
          <w:szCs w:val="20"/>
        </w:rPr>
        <w:t xml:space="preserve"> </w:t>
      </w:r>
      <w:r w:rsidRPr="00CC4F07">
        <w:rPr>
          <w:color w:val="000000" w:themeColor="text1"/>
        </w:rPr>
        <w:t>in its total number of employees</w:t>
      </w:r>
      <w:r w:rsidR="00446828" w:rsidRPr="00CC4F07">
        <w:rPr>
          <w:color w:val="000000" w:themeColor="text1"/>
        </w:rPr>
        <w:t xml:space="preserve"> </w:t>
      </w:r>
      <w:r w:rsidR="00446828" w:rsidRPr="00CC4F07">
        <w:t>but a decrease of 370 persons in the number of employees reporting with a disability</w:t>
      </w:r>
      <w:r w:rsidRPr="00CC4F07">
        <w:rPr>
          <w:color w:val="000000" w:themeColor="text1"/>
        </w:rPr>
        <w:t xml:space="preserve">. This public body employed </w:t>
      </w:r>
      <w:r w:rsidRPr="00CC4F07">
        <w:t>87,821 people at the end of 2018 compared to 85,612</w:t>
      </w:r>
      <w:r w:rsidRPr="00CC4F07">
        <w:rPr>
          <w:color w:val="000000" w:themeColor="text1"/>
        </w:rPr>
        <w:t xml:space="preserve"> in 2017. In 2018, </w:t>
      </w:r>
      <w:r w:rsidRPr="00CC4F07">
        <w:t>1,176 employees (1.3%) of employees reported a disability co</w:t>
      </w:r>
      <w:r w:rsidR="003B7D53">
        <w:t>mpared to 1,546 (1.8%) in 2017.</w:t>
      </w:r>
    </w:p>
    <w:p w14:paraId="2682B233" w14:textId="04E599FA" w:rsidR="00794041" w:rsidRPr="00CC4F07" w:rsidRDefault="007A6BF8" w:rsidP="00794041">
      <w:r w:rsidRPr="00CC4F07">
        <w:t>This is the first time that the overall num</w:t>
      </w:r>
      <w:r w:rsidR="00151E7E">
        <w:t xml:space="preserve">ber and percentage of employees </w:t>
      </w:r>
      <w:r w:rsidRPr="00CC4F07">
        <w:t xml:space="preserve">reporting a disability for the entire public sector has decreased since 2013. The NDA notes this with </w:t>
      </w:r>
      <w:proofErr w:type="gramStart"/>
      <w:r w:rsidRPr="00CC4F07">
        <w:t>concern, but</w:t>
      </w:r>
      <w:proofErr w:type="gramEnd"/>
      <w:r w:rsidRPr="00CC4F07">
        <w:t xml:space="preserve"> understands that </w:t>
      </w:r>
      <w:r w:rsidR="003B7D53">
        <w:t xml:space="preserve">there </w:t>
      </w:r>
      <w:r w:rsidR="00794041" w:rsidRPr="00CC4F07">
        <w:t xml:space="preserve">are </w:t>
      </w:r>
      <w:proofErr w:type="gramStart"/>
      <w:r w:rsidR="00794041" w:rsidRPr="00CC4F07">
        <w:t>a number of</w:t>
      </w:r>
      <w:proofErr w:type="gramEnd"/>
      <w:r w:rsidR="00794041" w:rsidRPr="00CC4F07">
        <w:t xml:space="preserve"> factors that could have contributed to this situation</w:t>
      </w:r>
      <w:r w:rsidRPr="00CC4F07">
        <w:t>.</w:t>
      </w:r>
    </w:p>
    <w:p w14:paraId="33099CC1" w14:textId="1A8FA6C2" w:rsidR="003B7D53" w:rsidRDefault="00E13D85" w:rsidP="00E13D85">
      <w:r w:rsidRPr="00CC4F07">
        <w:t xml:space="preserve">In 2018, </w:t>
      </w:r>
      <w:proofErr w:type="gramStart"/>
      <w:r w:rsidR="00446828" w:rsidRPr="00CC4F07">
        <w:t>a number of</w:t>
      </w:r>
      <w:proofErr w:type="gramEnd"/>
      <w:r w:rsidR="00446828" w:rsidRPr="00CC4F07">
        <w:t xml:space="preserve"> </w:t>
      </w:r>
      <w:r w:rsidRPr="00CC4F07">
        <w:t>public bodies</w:t>
      </w:r>
      <w:r w:rsidR="00AD64E6" w:rsidRPr="00CC4F07">
        <w:t>,</w:t>
      </w:r>
      <w:r w:rsidRPr="00CC4F07">
        <w:t xml:space="preserve"> including the HSE</w:t>
      </w:r>
      <w:r w:rsidR="00AD64E6" w:rsidRPr="00CC4F07">
        <w:t>,</w:t>
      </w:r>
      <w:r w:rsidRPr="00CC4F07">
        <w:t xml:space="preserve"> still report that</w:t>
      </w:r>
      <w:r w:rsidRPr="00CC4F07">
        <w:rPr>
          <w:color w:val="000000" w:themeColor="text1"/>
        </w:rPr>
        <w:t xml:space="preserve"> lack of </w:t>
      </w:r>
      <w:r w:rsidR="00FF26B9" w:rsidRPr="00CC4F07">
        <w:rPr>
          <w:color w:val="000000" w:themeColor="text1"/>
        </w:rPr>
        <w:t xml:space="preserve">disclosure </w:t>
      </w:r>
      <w:r w:rsidR="00FF26B9" w:rsidRPr="00CC4F07">
        <w:t>prevented</w:t>
      </w:r>
      <w:r w:rsidRPr="00CC4F07">
        <w:t xml:space="preserve"> them </w:t>
      </w:r>
      <w:r w:rsidR="00806FD0">
        <w:t>from getting an accurate count regarding</w:t>
      </w:r>
      <w:r w:rsidR="003B7D53">
        <w:t xml:space="preserve"> </w:t>
      </w:r>
      <w:r w:rsidRPr="00CC4F07">
        <w:t xml:space="preserve">the number </w:t>
      </w:r>
      <w:r w:rsidR="00806FD0">
        <w:t xml:space="preserve">and </w:t>
      </w:r>
      <w:r w:rsidRPr="00CC4F07">
        <w:t xml:space="preserve">the percentage of new and existing employees with disabilities in their organisations. Some other public bodies have also reported that </w:t>
      </w:r>
      <w:proofErr w:type="gramStart"/>
      <w:r w:rsidRPr="00CC4F07">
        <w:t>a number of</w:t>
      </w:r>
      <w:proofErr w:type="gramEnd"/>
      <w:r w:rsidRPr="00CC4F07">
        <w:t xml:space="preserve"> employees with disabilities have retired in 2018. As a result, these public bodies reported a decrease in the number and percentage of employees reporting a disability for this year.</w:t>
      </w:r>
    </w:p>
    <w:p w14:paraId="266B6AD5" w14:textId="04EBDCE3" w:rsidR="002B02DC" w:rsidRPr="00CC4F07" w:rsidRDefault="0051039D" w:rsidP="00441696">
      <w:pPr>
        <w:spacing w:after="120"/>
      </w:pPr>
      <w:r w:rsidRPr="00CC4F07">
        <w:lastRenderedPageBreak/>
        <w:t>The NDA</w:t>
      </w:r>
      <w:r w:rsidR="003B7D53">
        <w:t xml:space="preserve"> </w:t>
      </w:r>
      <w:r w:rsidR="008E25E6" w:rsidRPr="00CC4F07">
        <w:t>continues</w:t>
      </w:r>
      <w:r w:rsidR="00E13D85" w:rsidRPr="00CC4F07">
        <w:t xml:space="preserve"> to </w:t>
      </w:r>
      <w:r w:rsidR="008E25E6" w:rsidRPr="00CC4F07">
        <w:t>work closely</w:t>
      </w:r>
      <w:r w:rsidR="00E13D85" w:rsidRPr="00CC4F07">
        <w:t xml:space="preserve"> with and advise </w:t>
      </w:r>
      <w:r w:rsidR="008E25E6" w:rsidRPr="00CC4F07">
        <w:t>public bodies</w:t>
      </w:r>
      <w:r w:rsidR="00E13D85" w:rsidRPr="00CC4F07">
        <w:t xml:space="preserve"> on measures </w:t>
      </w:r>
      <w:r w:rsidRPr="00CC4F07">
        <w:t>they can imple</w:t>
      </w:r>
      <w:r w:rsidR="00E13D85" w:rsidRPr="00CC4F07">
        <w:t xml:space="preserve">ment to create an </w:t>
      </w:r>
      <w:r w:rsidR="008E25E6" w:rsidRPr="00CC4F07">
        <w:t>inclusive work</w:t>
      </w:r>
      <w:r w:rsidR="00E13D85" w:rsidRPr="00CC4F07">
        <w:t xml:space="preserve"> environment that promotes </w:t>
      </w:r>
      <w:r w:rsidR="008E25E6" w:rsidRPr="00CC4F07">
        <w:t>and supports</w:t>
      </w:r>
      <w:r w:rsidR="00E13D85" w:rsidRPr="00CC4F07">
        <w:t xml:space="preserve"> the recruitment a</w:t>
      </w:r>
      <w:r w:rsidRPr="00CC4F07">
        <w:t xml:space="preserve">nd </w:t>
      </w:r>
      <w:r w:rsidR="00E13D85" w:rsidRPr="00CC4F07">
        <w:t xml:space="preserve">retention </w:t>
      </w:r>
      <w:r w:rsidR="008E25E6" w:rsidRPr="00CC4F07">
        <w:t>of persons</w:t>
      </w:r>
      <w:r w:rsidR="00E13D85" w:rsidRPr="00CC4F07">
        <w:t xml:space="preserve"> with </w:t>
      </w:r>
      <w:r w:rsidR="008E25E6" w:rsidRPr="00CC4F07">
        <w:t>disabilities and</w:t>
      </w:r>
      <w:r w:rsidR="002B02DC" w:rsidRPr="00CC4F07">
        <w:t xml:space="preserve"> one where </w:t>
      </w:r>
      <w:r w:rsidR="008E25E6" w:rsidRPr="00CC4F07">
        <w:t>employees feel</w:t>
      </w:r>
      <w:r w:rsidRPr="00CC4F07">
        <w:t xml:space="preserve"> supporte</w:t>
      </w:r>
      <w:r w:rsidR="002B02DC" w:rsidRPr="00CC4F07">
        <w:t>d and comfortable in disclosing a disability. A core element of our advice and guidance</w:t>
      </w:r>
      <w:r w:rsidR="00AD64E6" w:rsidRPr="00CC4F07">
        <w:t xml:space="preserve"> to public bodies</w:t>
      </w:r>
      <w:r w:rsidR="002B02DC" w:rsidRPr="00CC4F07">
        <w:t xml:space="preserve"> focuses on implementing measures that will proactively increase recruitment opportunities </w:t>
      </w:r>
      <w:r w:rsidR="003B7D53">
        <w:t xml:space="preserve">for persons with disabilities. </w:t>
      </w:r>
      <w:r w:rsidR="002B02DC" w:rsidRPr="00CC4F07">
        <w:t xml:space="preserve">Some of the key </w:t>
      </w:r>
      <w:r w:rsidR="00AD64E6" w:rsidRPr="00CC4F07">
        <w:t>measures that</w:t>
      </w:r>
      <w:r w:rsidR="002B02DC" w:rsidRPr="00CC4F07">
        <w:t xml:space="preserve"> the NDA advises public bodies to </w:t>
      </w:r>
      <w:r w:rsidR="003B7D53">
        <w:t>implement include:</w:t>
      </w:r>
    </w:p>
    <w:p w14:paraId="5CEF0622" w14:textId="01FCF20C" w:rsidR="002B02DC" w:rsidRPr="00CC4F07" w:rsidRDefault="002B02DC" w:rsidP="002B02DC">
      <w:pPr>
        <w:pStyle w:val="ListBullet"/>
      </w:pPr>
      <w:r w:rsidRPr="00CC4F07">
        <w:t>Having policies on employing and supporting staff with disabilities</w:t>
      </w:r>
    </w:p>
    <w:p w14:paraId="58CB1F71" w14:textId="77777777" w:rsidR="002B02DC" w:rsidRPr="00CC4F07" w:rsidRDefault="002B02DC" w:rsidP="002B02DC">
      <w:pPr>
        <w:pStyle w:val="ListBullet"/>
      </w:pPr>
      <w:r w:rsidRPr="00CC4F07">
        <w:t>Having policies on retaining employees who acquire disabilities</w:t>
      </w:r>
    </w:p>
    <w:p w14:paraId="03820AC5" w14:textId="69239B55" w:rsidR="002B02DC" w:rsidRPr="00CC4F07" w:rsidRDefault="002B02DC" w:rsidP="002B02DC">
      <w:pPr>
        <w:pStyle w:val="ListBullet"/>
      </w:pPr>
      <w:r w:rsidRPr="00CC4F07">
        <w:t xml:space="preserve">Creating and implementing a communications strategy within their respective organisations, making it clear that the Part 5 staff </w:t>
      </w:r>
      <w:proofErr w:type="spellStart"/>
      <w:r w:rsidR="003B7D53">
        <w:t>censi</w:t>
      </w:r>
      <w:proofErr w:type="spellEnd"/>
      <w:r w:rsidR="00806FD0">
        <w:t xml:space="preserve"> are</w:t>
      </w:r>
      <w:r w:rsidRPr="00CC4F07">
        <w:t xml:space="preserve"> anonymous and confidential processes</w:t>
      </w:r>
    </w:p>
    <w:p w14:paraId="2EE3DD71" w14:textId="77777777" w:rsidR="002B02DC" w:rsidRPr="00CC4F07" w:rsidRDefault="002B02DC" w:rsidP="002B02DC">
      <w:pPr>
        <w:pStyle w:val="ListBullet"/>
      </w:pPr>
      <w:r w:rsidRPr="00CC4F07">
        <w:t xml:space="preserve">Clearly communicating to </w:t>
      </w:r>
      <w:proofErr w:type="gramStart"/>
      <w:r w:rsidRPr="00CC4F07">
        <w:t>employees</w:t>
      </w:r>
      <w:proofErr w:type="gramEnd"/>
      <w:r w:rsidRPr="00CC4F07">
        <w:t xml:space="preserve"> the supports that are available for persons with existing and acquired disabilities so that employees feel comfortable disclosing their disability</w:t>
      </w:r>
    </w:p>
    <w:p w14:paraId="76B30287" w14:textId="55926D01" w:rsidR="002B02DC" w:rsidRPr="00CC4F07" w:rsidRDefault="002B02DC" w:rsidP="002B02DC">
      <w:pPr>
        <w:pStyle w:val="ListBullet"/>
      </w:pPr>
      <w:r w:rsidRPr="00CC4F07">
        <w:t>Developing and implementing a planned approach with detailed specific actions</w:t>
      </w:r>
      <w:r w:rsidR="00AD64E6" w:rsidRPr="00CC4F07">
        <w:t xml:space="preserve"> to incrementally increase the</w:t>
      </w:r>
      <w:r w:rsidRPr="00CC4F07">
        <w:t xml:space="preserve"> recruitment of persons with disabilities with due regard to the retireme</w:t>
      </w:r>
      <w:r w:rsidR="003B7D53">
        <w:t>nt of persons with disabilities</w:t>
      </w:r>
    </w:p>
    <w:p w14:paraId="4C74E403" w14:textId="43CAD6D4" w:rsidR="002B02DC" w:rsidRPr="00CC4F07" w:rsidRDefault="002B02DC" w:rsidP="002B02DC">
      <w:pPr>
        <w:pStyle w:val="ListBullet"/>
        <w:rPr>
          <w:rFonts w:eastAsia="SimSun"/>
          <w:lang w:eastAsia="en-IE"/>
        </w:rPr>
      </w:pPr>
      <w:r w:rsidRPr="00CC4F07">
        <w:t xml:space="preserve">Engaging with disability organisations to proactively target advertising of vacancies to persons with disabilities; </w:t>
      </w:r>
      <w:r w:rsidRPr="00CC4F07">
        <w:rPr>
          <w:rFonts w:eastAsia="SimSun"/>
          <w:lang w:eastAsia="en-IE"/>
        </w:rPr>
        <w:t>providing clear and accurate job adver</w:t>
      </w:r>
      <w:r w:rsidR="003B7D53">
        <w:rPr>
          <w:rFonts w:eastAsia="SimSun"/>
          <w:lang w:eastAsia="en-IE"/>
        </w:rPr>
        <w:t xml:space="preserve">tisements that would encourage persons with disabilities to apply; providing </w:t>
      </w:r>
      <w:r w:rsidRPr="00CC4F07">
        <w:rPr>
          <w:rFonts w:eastAsia="SimSun"/>
          <w:lang w:eastAsia="en-IE"/>
        </w:rPr>
        <w:t>job advertisements and application forms in accessible formats</w:t>
      </w:r>
    </w:p>
    <w:p w14:paraId="11465461" w14:textId="520BA674" w:rsidR="0045186D" w:rsidRPr="00CC4F07" w:rsidRDefault="002B02DC" w:rsidP="00B961C4">
      <w:pPr>
        <w:pStyle w:val="ListBullet"/>
        <w:spacing w:after="240"/>
        <w:ind w:left="357" w:hanging="357"/>
      </w:pPr>
      <w:r w:rsidRPr="00CC4F07">
        <w:t>Exploring alternative routes to recruiting persons with disabilities for example</w:t>
      </w:r>
      <w:r w:rsidR="003B7D53">
        <w:t xml:space="preserve"> via work experience programmes</w:t>
      </w:r>
      <w:r w:rsidR="00B961C4">
        <w:t>.</w:t>
      </w:r>
    </w:p>
    <w:p w14:paraId="5C5EFA93" w14:textId="0A631F47" w:rsidR="008E7D3B" w:rsidRPr="00CC4F07" w:rsidRDefault="008E7D3B" w:rsidP="008E7D3B">
      <w:r w:rsidRPr="00CC4F07">
        <w:t xml:space="preserve">The NDA frequently meets with the HR Department and/or the Senior Management Teams of public bodies that have been experiencing difficulties in meeting the minimum 3% target to help these public </w:t>
      </w:r>
      <w:r w:rsidR="008E25E6" w:rsidRPr="00CC4F07">
        <w:t>bodies’</w:t>
      </w:r>
      <w:r w:rsidRPr="00CC4F07">
        <w:t xml:space="preserve"> progress actions that will assist them to meet their obligations under Par</w:t>
      </w:r>
      <w:r w:rsidR="003B7D53">
        <w:t>t 5 of the Disability Act 2005.</w:t>
      </w:r>
    </w:p>
    <w:p w14:paraId="2FC5FF6F" w14:textId="0F5292CF" w:rsidR="00AD64E6" w:rsidRPr="00CC4F07" w:rsidRDefault="00AD64E6" w:rsidP="008E7D3B">
      <w:r w:rsidRPr="00CC4F07">
        <w:t xml:space="preserve">The NDA is pleased to note that some public bodies have implemented our guidance with positive outcomes. IT Waterford and the Health Research </w:t>
      </w:r>
      <w:r w:rsidR="00FF26B9" w:rsidRPr="00CC4F07">
        <w:t>Board did</w:t>
      </w:r>
      <w:r w:rsidRPr="00CC4F07">
        <w:t xml:space="preserve"> not me</w:t>
      </w:r>
      <w:r w:rsidR="007A6BF8" w:rsidRPr="00CC4F07">
        <w:t>e</w:t>
      </w:r>
      <w:r w:rsidRPr="00CC4F07">
        <w:t>t the minimum 3% target for 2016 and 2017. However</w:t>
      </w:r>
      <w:r w:rsidR="00E407CC" w:rsidRPr="00CC4F07">
        <w:t>,</w:t>
      </w:r>
      <w:r w:rsidRPr="00CC4F07">
        <w:t xml:space="preserve"> </w:t>
      </w:r>
      <w:proofErr w:type="gramStart"/>
      <w:r w:rsidRPr="00CC4F07">
        <w:t>both of these</w:t>
      </w:r>
      <w:proofErr w:type="gramEnd"/>
      <w:r w:rsidRPr="00CC4F07">
        <w:t xml:space="preserve"> public bodies focused on increasing recruitment </w:t>
      </w:r>
      <w:r w:rsidR="003B7D53">
        <w:t xml:space="preserve">and retention opportunities for </w:t>
      </w:r>
      <w:r w:rsidRPr="00CC4F07">
        <w:t>persons with disabilities</w:t>
      </w:r>
      <w:r w:rsidR="000A182C" w:rsidRPr="00CC4F07">
        <w:t xml:space="preserve"> and in</w:t>
      </w:r>
      <w:r w:rsidR="00380CE7" w:rsidRPr="00CC4F07">
        <w:t xml:space="preserve"> 2018</w:t>
      </w:r>
      <w:r w:rsidR="000A182C" w:rsidRPr="00CC4F07">
        <w:t xml:space="preserve"> these</w:t>
      </w:r>
      <w:r w:rsidRPr="00CC4F07">
        <w:t xml:space="preserve"> </w:t>
      </w:r>
      <w:r w:rsidR="000A182C" w:rsidRPr="00CC4F07">
        <w:t>pub</w:t>
      </w:r>
      <w:r w:rsidR="00380CE7" w:rsidRPr="00CC4F07">
        <w:t>l</w:t>
      </w:r>
      <w:r w:rsidR="000A182C" w:rsidRPr="00CC4F07">
        <w:t>ic bodies achieved compliance.</w:t>
      </w:r>
    </w:p>
    <w:p w14:paraId="3A05B46A" w14:textId="150D9DEE" w:rsidR="0045186D" w:rsidRPr="00CC4F07" w:rsidRDefault="000A182C" w:rsidP="0045186D">
      <w:pPr>
        <w:pStyle w:val="ListBullet"/>
        <w:numPr>
          <w:ilvl w:val="0"/>
          <w:numId w:val="0"/>
        </w:numPr>
      </w:pPr>
      <w:r w:rsidRPr="00CC4F07">
        <w:t>In 2018, the NDA has observed</w:t>
      </w:r>
      <w:r w:rsidR="002B02DC" w:rsidRPr="00CC4F07">
        <w:t xml:space="preserve"> that many public bodies</w:t>
      </w:r>
      <w:r w:rsidR="0045186D" w:rsidRPr="00CC4F07">
        <w:t xml:space="preserve"> </w:t>
      </w:r>
      <w:r w:rsidR="002B02DC" w:rsidRPr="00CC4F07">
        <w:t xml:space="preserve">reported </w:t>
      </w:r>
      <w:r w:rsidRPr="00CC4F07">
        <w:t>having</w:t>
      </w:r>
      <w:r w:rsidR="002B02DC" w:rsidRPr="00CC4F07">
        <w:t xml:space="preserve"> </w:t>
      </w:r>
      <w:r w:rsidR="008E25E6" w:rsidRPr="00CC4F07">
        <w:t>policies in</w:t>
      </w:r>
      <w:r w:rsidR="002B02DC" w:rsidRPr="00CC4F07">
        <w:t xml:space="preserve"> place regarding employing and supporting staff with disabilities and retaining employees with acquired disabilities. Some of these public bodies also reported </w:t>
      </w:r>
      <w:r w:rsidR="002B02DC" w:rsidRPr="00CC4F07">
        <w:lastRenderedPageBreak/>
        <w:t xml:space="preserve">having </w:t>
      </w:r>
      <w:r w:rsidR="0045186D" w:rsidRPr="00CC4F07">
        <w:t>communication strategies in place regarding the Part 5 process and providing work experience opportunities</w:t>
      </w:r>
      <w:r w:rsidR="003B7D53">
        <w:t xml:space="preserve"> for persons with disabilities.</w:t>
      </w:r>
    </w:p>
    <w:p w14:paraId="791E0E35" w14:textId="0491899F" w:rsidR="008912B6" w:rsidRPr="00CC4F07" w:rsidRDefault="0045186D" w:rsidP="0045186D">
      <w:r w:rsidRPr="00CC4F07">
        <w:t>However, very few of thes</w:t>
      </w:r>
      <w:r w:rsidR="000A182C" w:rsidRPr="00CC4F07">
        <w:t xml:space="preserve">e public bodies provided </w:t>
      </w:r>
      <w:r w:rsidRPr="00CC4F07">
        <w:t>evidence that they had implemented a planned approach with detailed specific actions to incrementally increase their recruitment of persons with disabilities with due regard to the retirement</w:t>
      </w:r>
      <w:r w:rsidR="000A182C" w:rsidRPr="00CC4F07">
        <w:t xml:space="preserve"> of persons with disabilities. </w:t>
      </w:r>
    </w:p>
    <w:p w14:paraId="46F4DE71" w14:textId="2A281EC2" w:rsidR="008E25E6" w:rsidRPr="00CC4F07" w:rsidRDefault="008912B6" w:rsidP="000A182C">
      <w:pPr>
        <w:rPr>
          <w:rFonts w:eastAsia="SimSun"/>
          <w:lang w:eastAsia="en-IE"/>
        </w:rPr>
      </w:pPr>
      <w:r w:rsidRPr="00CC4F07">
        <w:rPr>
          <w:rFonts w:eastAsia="SimSun"/>
          <w:lang w:eastAsia="en-IE"/>
        </w:rPr>
        <w:t xml:space="preserve">The NDA continues to work with public </w:t>
      </w:r>
      <w:r w:rsidR="008E25E6" w:rsidRPr="00CC4F07">
        <w:rPr>
          <w:rFonts w:eastAsia="SimSun"/>
          <w:lang w:eastAsia="en-IE"/>
        </w:rPr>
        <w:t xml:space="preserve">bodies to </w:t>
      </w:r>
      <w:r w:rsidRPr="00CC4F07">
        <w:rPr>
          <w:rFonts w:eastAsia="SimSun"/>
          <w:lang w:eastAsia="en-IE"/>
        </w:rPr>
        <w:t xml:space="preserve">help them </w:t>
      </w:r>
      <w:r w:rsidR="008E25E6" w:rsidRPr="00CC4F07">
        <w:rPr>
          <w:rFonts w:eastAsia="SimSun"/>
          <w:lang w:eastAsia="en-IE"/>
        </w:rPr>
        <w:t xml:space="preserve">to </w:t>
      </w:r>
      <w:r w:rsidRPr="00CC4F07">
        <w:rPr>
          <w:rFonts w:eastAsia="SimSun"/>
          <w:lang w:eastAsia="en-IE"/>
        </w:rPr>
        <w:t>dev</w:t>
      </w:r>
      <w:r w:rsidR="007A6BF8" w:rsidRPr="00CC4F07">
        <w:rPr>
          <w:rFonts w:eastAsia="SimSun"/>
          <w:lang w:eastAsia="en-IE"/>
        </w:rPr>
        <w:t xml:space="preserve">elop, implement and report </w:t>
      </w:r>
      <w:r w:rsidRPr="00CC4F07">
        <w:rPr>
          <w:rFonts w:eastAsia="SimSun"/>
          <w:lang w:eastAsia="en-IE"/>
        </w:rPr>
        <w:t>on Action Plans that</w:t>
      </w:r>
      <w:r w:rsidR="000A182C" w:rsidRPr="00CC4F07">
        <w:rPr>
          <w:rFonts w:eastAsia="SimSun"/>
          <w:lang w:eastAsia="en-IE"/>
        </w:rPr>
        <w:t xml:space="preserve"> will address this gap </w:t>
      </w:r>
      <w:r w:rsidRPr="00CC4F07">
        <w:rPr>
          <w:rFonts w:eastAsia="SimSun"/>
          <w:lang w:eastAsia="en-IE"/>
        </w:rPr>
        <w:t>between policy and practice.</w:t>
      </w:r>
      <w:r w:rsidR="000A182C" w:rsidRPr="00CC4F07">
        <w:rPr>
          <w:rFonts w:eastAsia="SimSun"/>
          <w:lang w:eastAsia="en-IE"/>
        </w:rPr>
        <w:t xml:space="preserve"> </w:t>
      </w:r>
      <w:r w:rsidRPr="00CC4F07">
        <w:t>The NDA is aware that it can take time for public bodies to embed changes in their recruitment processes and to see the impact of these changes. However</w:t>
      </w:r>
      <w:r w:rsidR="007A6BF8" w:rsidRPr="00CC4F07">
        <w:t>,</w:t>
      </w:r>
      <w:r w:rsidRPr="00CC4F07">
        <w:t xml:space="preserve"> the NDA looks forward to an improvement in </w:t>
      </w:r>
      <w:r w:rsidR="000A182C" w:rsidRPr="00CC4F07">
        <w:t xml:space="preserve">the public sector’s overall </w:t>
      </w:r>
      <w:r w:rsidR="003B7D53">
        <w:t xml:space="preserve">performance </w:t>
      </w:r>
      <w:proofErr w:type="gramStart"/>
      <w:r w:rsidR="003B7D53">
        <w:t>in the near future</w:t>
      </w:r>
      <w:proofErr w:type="gramEnd"/>
      <w:r w:rsidR="003B7D53">
        <w:t>.</w:t>
      </w:r>
    </w:p>
    <w:p w14:paraId="499730D0" w14:textId="77777777" w:rsidR="008912B6" w:rsidRPr="00CC4F07" w:rsidRDefault="008912B6" w:rsidP="008912B6">
      <w:pPr>
        <w:pStyle w:val="Heading2"/>
        <w:rPr>
          <w:rFonts w:ascii="Rockwell" w:hAnsi="Rockwell"/>
          <w:color w:val="CC3399"/>
          <w:sz w:val="32"/>
          <w:szCs w:val="32"/>
        </w:rPr>
      </w:pPr>
      <w:bookmarkStart w:id="4" w:name="_Toc526435806"/>
      <w:bookmarkStart w:id="5" w:name="_Toc526436558"/>
      <w:bookmarkStart w:id="6" w:name="_Toc18680240"/>
      <w:r w:rsidRPr="00CC4F07">
        <w:rPr>
          <w:rFonts w:ascii="Rockwell" w:hAnsi="Rockwell"/>
          <w:color w:val="CC3399"/>
          <w:sz w:val="32"/>
          <w:szCs w:val="32"/>
        </w:rPr>
        <w:t>Health Service Executive (HSE)</w:t>
      </w:r>
      <w:bookmarkEnd w:id="4"/>
      <w:bookmarkEnd w:id="5"/>
      <w:bookmarkEnd w:id="6"/>
    </w:p>
    <w:p w14:paraId="48387DDE" w14:textId="77777777" w:rsidR="008912B6" w:rsidRPr="00CC4F07" w:rsidRDefault="008912B6" w:rsidP="008912B6">
      <w:r w:rsidRPr="00CC4F07">
        <w:t>The Health Service Executive is the largest employer in the public sector. If this public body achieved the minimum 3% target, it would have a considerable impact on the percentage of employees reporting a disability in the public sector overall.</w:t>
      </w:r>
    </w:p>
    <w:p w14:paraId="3A41937A" w14:textId="571F6F5E" w:rsidR="008912B6" w:rsidRPr="00CC4F07" w:rsidRDefault="008912B6" w:rsidP="008912B6">
      <w:r w:rsidRPr="00CC4F07">
        <w:t xml:space="preserve">The NDA is aware of the key actions this public body is </w:t>
      </w:r>
      <w:r w:rsidR="000A182C" w:rsidRPr="00CC4F07">
        <w:t xml:space="preserve">in the process of </w:t>
      </w:r>
      <w:r w:rsidRPr="00CC4F07">
        <w:t xml:space="preserve">implementing towards </w:t>
      </w:r>
      <w:r w:rsidR="0066753D">
        <w:t xml:space="preserve"> meeting the minimum 3% target, </w:t>
      </w:r>
      <w:r w:rsidRPr="00CC4F07">
        <w:t>that include: having a Disability Action Plan to improve the recruitment, support and retention of persons with disabilities in this public body; allocating places on their Graduate Internships Programme for graduates with disabilities and reviewing their recruitment and selection processes with a view to increasing the number of employment opportunities</w:t>
      </w:r>
      <w:r w:rsidR="003B7D53">
        <w:t xml:space="preserve"> for persons with disabilities.</w:t>
      </w:r>
    </w:p>
    <w:p w14:paraId="00C38365" w14:textId="2A77FEA0" w:rsidR="008912B6" w:rsidRPr="00CC4F07" w:rsidRDefault="008912B6" w:rsidP="008912B6">
      <w:r w:rsidRPr="00CC4F07">
        <w:t xml:space="preserve">The NDA met with </w:t>
      </w:r>
      <w:r w:rsidR="003B7D53">
        <w:t xml:space="preserve">the </w:t>
      </w:r>
      <w:r w:rsidRPr="00CC4F07">
        <w:t xml:space="preserve">HSE’s HR Manager in </w:t>
      </w:r>
      <w:r w:rsidR="000A182C" w:rsidRPr="00CC4F07">
        <w:t xml:space="preserve">August </w:t>
      </w:r>
      <w:r w:rsidRPr="00CC4F07">
        <w:t>2019 to discuss this public body’s Disabil</w:t>
      </w:r>
      <w:r w:rsidR="000A182C" w:rsidRPr="00CC4F07">
        <w:t xml:space="preserve">ity Action Plan for 2019. The NDA </w:t>
      </w:r>
      <w:r w:rsidRPr="00CC4F07">
        <w:t>provide</w:t>
      </w:r>
      <w:r w:rsidR="000A182C" w:rsidRPr="00CC4F07">
        <w:t>d</w:t>
      </w:r>
      <w:r w:rsidRPr="00CC4F07">
        <w:t xml:space="preserve"> </w:t>
      </w:r>
      <w:r w:rsidR="008E25E6" w:rsidRPr="00CC4F07">
        <w:t>this public</w:t>
      </w:r>
      <w:r w:rsidRPr="00CC4F07">
        <w:t xml:space="preserve"> body with a draft of a new comprehensive template</w:t>
      </w:r>
      <w:r w:rsidR="000A182C" w:rsidRPr="00CC4F07">
        <w:t xml:space="preserve"> for their Action Plan that it</w:t>
      </w:r>
      <w:r w:rsidRPr="00CC4F07">
        <w:t xml:space="preserve"> can imp</w:t>
      </w:r>
      <w:r w:rsidR="009A73EA" w:rsidRPr="00CC4F07">
        <w:t xml:space="preserve">lement to track, report </w:t>
      </w:r>
      <w:r w:rsidRPr="00CC4F07">
        <w:t xml:space="preserve">and provide evidence on actions they are taking to create an infrastructure across </w:t>
      </w:r>
      <w:proofErr w:type="gramStart"/>
      <w:r w:rsidRPr="00CC4F07">
        <w:t>a number of</w:t>
      </w:r>
      <w:proofErr w:type="gramEnd"/>
      <w:r w:rsidRPr="00CC4F07">
        <w:t xml:space="preserve"> areas including procurement; accessible premises; recruitment and selection to increase recruitment opportunities for per</w:t>
      </w:r>
      <w:r w:rsidR="003B7D53">
        <w:t xml:space="preserve">sons with disabilities. The HSE </w:t>
      </w:r>
      <w:r w:rsidRPr="00CC4F07">
        <w:t>agreed that it will provide the NDA with feedback on the template for their Disabi</w:t>
      </w:r>
      <w:r w:rsidR="00DF6C80" w:rsidRPr="00CC4F07">
        <w:t>lity Action Plan and will agree</w:t>
      </w:r>
      <w:r w:rsidRPr="00CC4F07">
        <w:t xml:space="preserve"> a revised Action Plan with the NDA.</w:t>
      </w:r>
    </w:p>
    <w:p w14:paraId="4937D4C3" w14:textId="1FBFA5C1" w:rsidR="008912B6" w:rsidRPr="00CC4F07" w:rsidRDefault="008912B6" w:rsidP="008912B6">
      <w:r w:rsidRPr="00CC4F07">
        <w:t xml:space="preserve">The NDA also discussed actions and timelines for implementing these actions with the HSE as part of a strategic approach to helping this public body reach </w:t>
      </w:r>
      <w:r w:rsidR="008E25E6" w:rsidRPr="00CC4F07">
        <w:t>the minimum</w:t>
      </w:r>
      <w:r w:rsidRPr="00CC4F07">
        <w:t xml:space="preserve"> 3% target. </w:t>
      </w:r>
      <w:r w:rsidR="000A182C" w:rsidRPr="00CC4F07">
        <w:rPr>
          <w:color w:val="000000" w:themeColor="text1"/>
        </w:rPr>
        <w:t>The NDA continues to be available to guide the HSE on these issues.</w:t>
      </w:r>
    </w:p>
    <w:p w14:paraId="7DEA096A" w14:textId="77777777" w:rsidR="008912B6" w:rsidRPr="00CC4F07" w:rsidRDefault="008912B6" w:rsidP="008912B6">
      <w:pPr>
        <w:pStyle w:val="Heading2"/>
        <w:rPr>
          <w:rFonts w:ascii="Rockwell" w:hAnsi="Rockwell"/>
          <w:color w:val="CC3399"/>
          <w:sz w:val="32"/>
          <w:szCs w:val="32"/>
        </w:rPr>
      </w:pPr>
      <w:bookmarkStart w:id="7" w:name="_Toc526435807"/>
      <w:bookmarkStart w:id="8" w:name="_Toc526436559"/>
      <w:bookmarkStart w:id="9" w:name="_Toc18680241"/>
      <w:r w:rsidRPr="00CC4F07">
        <w:rPr>
          <w:rFonts w:ascii="Rockwell" w:hAnsi="Rockwell"/>
          <w:color w:val="CC3399"/>
          <w:sz w:val="32"/>
          <w:szCs w:val="32"/>
        </w:rPr>
        <w:lastRenderedPageBreak/>
        <w:t>Reporting Deadlines</w:t>
      </w:r>
      <w:bookmarkEnd w:id="7"/>
      <w:bookmarkEnd w:id="8"/>
      <w:bookmarkEnd w:id="9"/>
    </w:p>
    <w:p w14:paraId="1678276A" w14:textId="79F17476" w:rsidR="008912B6" w:rsidRPr="00CC4F07" w:rsidRDefault="008912B6" w:rsidP="008912B6">
      <w:pPr>
        <w:rPr>
          <w:color w:val="000000" w:themeColor="text1"/>
        </w:rPr>
      </w:pPr>
      <w:r w:rsidRPr="00CC4F07">
        <w:rPr>
          <w:color w:val="000000" w:themeColor="text1"/>
        </w:rPr>
        <w:t>Public bodies demonstrated a significant improvement in complying with the 30 June reporting deadline for qualitativ</w:t>
      </w:r>
      <w:r w:rsidR="003B7D53">
        <w:rPr>
          <w:color w:val="000000" w:themeColor="text1"/>
        </w:rPr>
        <w:t>e and quantitative submissions.</w:t>
      </w:r>
    </w:p>
    <w:p w14:paraId="1A8CC362" w14:textId="262B7B1E" w:rsidR="008912B6" w:rsidRPr="00CC4F07" w:rsidRDefault="008912B6" w:rsidP="008912B6">
      <w:pPr>
        <w:rPr>
          <w:color w:val="000000" w:themeColor="text1"/>
        </w:rPr>
      </w:pPr>
      <w:r w:rsidRPr="00CC4F07">
        <w:rPr>
          <w:color w:val="000000" w:themeColor="text1"/>
        </w:rPr>
        <w:t xml:space="preserve">All </w:t>
      </w:r>
      <w:r w:rsidR="009A73EA" w:rsidRPr="00CC4F07">
        <w:rPr>
          <w:color w:val="000000" w:themeColor="text1"/>
        </w:rPr>
        <w:t>Government D</w:t>
      </w:r>
      <w:r w:rsidRPr="00CC4F07">
        <w:rPr>
          <w:color w:val="000000" w:themeColor="text1"/>
        </w:rPr>
        <w:t>epartments submitted their returns by the statutory deadline. The NDA appreciates their support and cooperation in submitting this data within the statutory deadline</w:t>
      </w:r>
      <w:r w:rsidR="00025200" w:rsidRPr="00CC4F07">
        <w:rPr>
          <w:color w:val="000000" w:themeColor="text1"/>
        </w:rPr>
        <w:t>.</w:t>
      </w:r>
    </w:p>
    <w:p w14:paraId="25305115" w14:textId="2E7FE420" w:rsidR="00DD1880" w:rsidRDefault="008912B6" w:rsidP="008912B6">
      <w:pPr>
        <w:rPr>
          <w:color w:val="000000" w:themeColor="text1"/>
        </w:rPr>
      </w:pPr>
      <w:r w:rsidRPr="00CC4F07">
        <w:rPr>
          <w:color w:val="000000" w:themeColor="text1"/>
        </w:rPr>
        <w:t>The NDA also wishes to acknowledge their prompt response</w:t>
      </w:r>
      <w:r w:rsidR="00DF6C80" w:rsidRPr="00CC4F07">
        <w:rPr>
          <w:color w:val="000000" w:themeColor="text1"/>
        </w:rPr>
        <w:t>s</w:t>
      </w:r>
      <w:r w:rsidRPr="00CC4F07">
        <w:rPr>
          <w:color w:val="000000" w:themeColor="text1"/>
        </w:rPr>
        <w:t xml:space="preserve"> to any queries we had regarding data for</w:t>
      </w:r>
      <w:r w:rsidR="003B7D53">
        <w:rPr>
          <w:color w:val="000000" w:themeColor="text1"/>
        </w:rPr>
        <w:t xml:space="preserve"> the 2018 Departmental returns.</w:t>
      </w:r>
    </w:p>
    <w:p w14:paraId="7B5F7856" w14:textId="77777777" w:rsidR="00DD1880" w:rsidRDefault="00DD1880">
      <w:pPr>
        <w:spacing w:after="0"/>
        <w:rPr>
          <w:color w:val="000000" w:themeColor="text1"/>
        </w:rPr>
      </w:pPr>
      <w:r>
        <w:rPr>
          <w:color w:val="000000" w:themeColor="text1"/>
        </w:rPr>
        <w:br w:type="page"/>
      </w:r>
    </w:p>
    <w:p w14:paraId="756D5851" w14:textId="77777777" w:rsidR="00933FBD" w:rsidRPr="00CC4F07" w:rsidRDefault="00933FBD" w:rsidP="00933FBD">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cs="Arial Bold"/>
          <w:iCs/>
          <w:color w:val="CC3399"/>
          <w:kern w:val="0"/>
        </w:rPr>
      </w:pPr>
      <w:bookmarkStart w:id="10" w:name="_Toc498585826"/>
      <w:bookmarkStart w:id="11" w:name="_Toc526435808"/>
      <w:bookmarkStart w:id="12" w:name="_Toc18680242"/>
      <w:r w:rsidRPr="00CC4F07">
        <w:rPr>
          <w:rFonts w:ascii="Rockwell" w:hAnsi="Rockwell"/>
          <w:color w:val="CC3399"/>
          <w:sz w:val="56"/>
          <w:szCs w:val="56"/>
        </w:rPr>
        <w:lastRenderedPageBreak/>
        <w:t>1</w:t>
      </w:r>
      <w:r w:rsidRPr="00CC4F07">
        <w:rPr>
          <w:rFonts w:ascii="Rockwell" w:hAnsi="Rockwell" w:cs="Arial Bold"/>
          <w:iCs/>
          <w:color w:val="CC3399"/>
          <w:kern w:val="0"/>
        </w:rPr>
        <w:t xml:space="preserve"> </w:t>
      </w:r>
      <w:r w:rsidRPr="00CC4F07">
        <w:rPr>
          <w:rFonts w:ascii="Rockwell" w:hAnsi="Rockwell"/>
          <w:color w:val="CC3399"/>
          <w:sz w:val="56"/>
          <w:szCs w:val="56"/>
        </w:rPr>
        <w:t>Introduction</w:t>
      </w:r>
      <w:bookmarkEnd w:id="10"/>
      <w:bookmarkEnd w:id="11"/>
      <w:bookmarkEnd w:id="12"/>
    </w:p>
    <w:p w14:paraId="7EE2194D" w14:textId="77777777" w:rsidR="00933FBD" w:rsidRPr="00CC4F07" w:rsidRDefault="00933FBD" w:rsidP="00933FBD">
      <w:pPr>
        <w:pStyle w:val="Heading2"/>
        <w:rPr>
          <w:rFonts w:ascii="Rockwell" w:hAnsi="Rockwell"/>
          <w:color w:val="CC3399"/>
          <w:sz w:val="32"/>
          <w:szCs w:val="32"/>
        </w:rPr>
      </w:pPr>
      <w:bookmarkStart w:id="13" w:name="_Toc498585827"/>
      <w:bookmarkStart w:id="14" w:name="_Toc526435809"/>
      <w:bookmarkStart w:id="15" w:name="_Toc18680243"/>
      <w:r w:rsidRPr="00CC4F07">
        <w:rPr>
          <w:rFonts w:ascii="Rockwell" w:hAnsi="Rockwell"/>
          <w:color w:val="CC3399"/>
          <w:sz w:val="32"/>
          <w:szCs w:val="32"/>
        </w:rPr>
        <w:t>1.1 Legislative background</w:t>
      </w:r>
      <w:bookmarkEnd w:id="13"/>
      <w:bookmarkEnd w:id="14"/>
      <w:bookmarkEnd w:id="15"/>
    </w:p>
    <w:p w14:paraId="42F1A52B" w14:textId="2AF7FCE6" w:rsidR="00933FBD" w:rsidRPr="00CC4F07" w:rsidRDefault="00933FBD" w:rsidP="00933FBD">
      <w:pPr>
        <w:rPr>
          <w:color w:val="000000" w:themeColor="text1"/>
        </w:rPr>
      </w:pPr>
      <w:r w:rsidRPr="00CC4F07">
        <w:rPr>
          <w:color w:val="000000" w:themeColor="text1"/>
        </w:rPr>
        <w:t>Part 5 of the Disability Act 2005 sets out a statutory role for the National Disability Authority (NDA) in</w:t>
      </w:r>
      <w:r w:rsidR="0048344C" w:rsidRPr="00CC4F07">
        <w:rPr>
          <w:color w:val="000000" w:themeColor="text1"/>
        </w:rPr>
        <w:t xml:space="preserve"> monitoring employment of persons</w:t>
      </w:r>
      <w:r w:rsidRPr="00CC4F07">
        <w:rPr>
          <w:color w:val="000000" w:themeColor="text1"/>
        </w:rPr>
        <w:t xml:space="preserve"> with disabilities in the public sector. It also details the reporting and monitoring obligations of public bodies and government departments in employment.</w:t>
      </w:r>
    </w:p>
    <w:p w14:paraId="4B5A48BF" w14:textId="77777777" w:rsidR="00933FBD" w:rsidRPr="00CC4F07" w:rsidRDefault="00933FBD" w:rsidP="00933FBD">
      <w:pPr>
        <w:spacing w:after="120"/>
        <w:rPr>
          <w:color w:val="000000" w:themeColor="text1"/>
        </w:rPr>
      </w:pPr>
      <w:r w:rsidRPr="00CC4F07">
        <w:rPr>
          <w:color w:val="000000" w:themeColor="text1"/>
        </w:rPr>
        <w:t>In summary, the obligations detailed in the Act are:</w:t>
      </w:r>
    </w:p>
    <w:p w14:paraId="61A5B754" w14:textId="77777777" w:rsidR="00933FBD" w:rsidRPr="00CC4F07" w:rsidRDefault="00933FBD" w:rsidP="00933FBD">
      <w:pPr>
        <w:pStyle w:val="ListBullet"/>
        <w:numPr>
          <w:ilvl w:val="0"/>
          <w:numId w:val="1"/>
        </w:numPr>
        <w:rPr>
          <w:color w:val="000000" w:themeColor="text1"/>
        </w:rPr>
      </w:pPr>
      <w:r w:rsidRPr="00CC4F07">
        <w:rPr>
          <w:color w:val="000000" w:themeColor="text1"/>
        </w:rPr>
        <w:t xml:space="preserve">Public bodies shall so far as </w:t>
      </w:r>
      <w:proofErr w:type="gramStart"/>
      <w:r w:rsidRPr="00CC4F07">
        <w:rPr>
          <w:color w:val="000000" w:themeColor="text1"/>
        </w:rPr>
        <w:t>practicable</w:t>
      </w:r>
      <w:proofErr w:type="gramEnd"/>
      <w:r w:rsidRPr="00CC4F07">
        <w:rPr>
          <w:color w:val="000000" w:themeColor="text1"/>
        </w:rPr>
        <w:t xml:space="preserve"> take all reasonable measures to promote and support the employment by it of persons with disabilities (S.47.1 a)</w:t>
      </w:r>
    </w:p>
    <w:p w14:paraId="2D76F998" w14:textId="77777777" w:rsidR="00933FBD" w:rsidRPr="00CC4F07" w:rsidRDefault="00933FBD" w:rsidP="00933FBD">
      <w:pPr>
        <w:pStyle w:val="ListBullet"/>
        <w:numPr>
          <w:ilvl w:val="0"/>
          <w:numId w:val="1"/>
        </w:numPr>
        <w:rPr>
          <w:color w:val="000000" w:themeColor="text1"/>
        </w:rPr>
      </w:pPr>
      <w:r w:rsidRPr="00CC4F07">
        <w:rPr>
          <w:color w:val="000000" w:themeColor="text1"/>
        </w:rPr>
        <w:t xml:space="preserve">Public bodies shall ensure, unless there is good reason to the contrary for not doing so, that they reach any compliance targets prescribed (S.47.2) </w:t>
      </w:r>
    </w:p>
    <w:p w14:paraId="4851FB29" w14:textId="77777777" w:rsidR="00933FBD" w:rsidRPr="00CC4F07" w:rsidRDefault="00933FBD" w:rsidP="00933FBD">
      <w:pPr>
        <w:pStyle w:val="ListBullet"/>
        <w:numPr>
          <w:ilvl w:val="0"/>
          <w:numId w:val="1"/>
        </w:numPr>
        <w:rPr>
          <w:color w:val="000000" w:themeColor="text1"/>
        </w:rPr>
      </w:pPr>
      <w:r w:rsidRPr="00CC4F07">
        <w:rPr>
          <w:color w:val="000000" w:themeColor="text1"/>
        </w:rPr>
        <w:t>Ministers shall establish a Monitoring Committee in their Departments (S.48.1)</w:t>
      </w:r>
    </w:p>
    <w:p w14:paraId="0C1D1D8D" w14:textId="77777777" w:rsidR="00933FBD" w:rsidRPr="00CC4F07" w:rsidRDefault="00933FBD" w:rsidP="00933FBD">
      <w:pPr>
        <w:pStyle w:val="ListBullet"/>
        <w:numPr>
          <w:ilvl w:val="0"/>
          <w:numId w:val="1"/>
        </w:numPr>
        <w:rPr>
          <w:color w:val="000000" w:themeColor="text1"/>
        </w:rPr>
      </w:pPr>
      <w:r w:rsidRPr="00CC4F07">
        <w:rPr>
          <w:color w:val="000000" w:themeColor="text1"/>
        </w:rPr>
        <w:t>Public bodies shall submit an annual report on compliance to their Departmental Monitoring Committee by 31 March each year (S.48.2)</w:t>
      </w:r>
    </w:p>
    <w:p w14:paraId="540372E7" w14:textId="77777777" w:rsidR="00933FBD" w:rsidRPr="00CC4F07" w:rsidRDefault="00933FBD" w:rsidP="00933FBD">
      <w:pPr>
        <w:pStyle w:val="ListBullet"/>
        <w:numPr>
          <w:ilvl w:val="0"/>
          <w:numId w:val="1"/>
        </w:numPr>
        <w:rPr>
          <w:color w:val="000000" w:themeColor="text1"/>
        </w:rPr>
      </w:pPr>
      <w:r w:rsidRPr="00CC4F07">
        <w:rPr>
          <w:color w:val="000000" w:themeColor="text1"/>
        </w:rPr>
        <w:t xml:space="preserve">The Monitoring Committee shall submit an annual report to the NDA by 30 June each year (S.48.5 d) </w:t>
      </w:r>
    </w:p>
    <w:p w14:paraId="235BE91A" w14:textId="02EC9ADF" w:rsidR="00933FBD" w:rsidRPr="00CC4F07" w:rsidRDefault="00933FBD" w:rsidP="00933FBD">
      <w:pPr>
        <w:pStyle w:val="ListBullet"/>
        <w:numPr>
          <w:ilvl w:val="0"/>
          <w:numId w:val="1"/>
        </w:numPr>
        <w:rPr>
          <w:color w:val="000000" w:themeColor="text1"/>
        </w:rPr>
      </w:pPr>
      <w:r w:rsidRPr="00CC4F07">
        <w:rPr>
          <w:color w:val="000000" w:themeColor="text1"/>
        </w:rPr>
        <w:t>Where a Minister or the NDA requests more information about compliance, a public body shall provide inf</w:t>
      </w:r>
      <w:r w:rsidR="009A73EA" w:rsidRPr="00CC4F07">
        <w:rPr>
          <w:color w:val="000000" w:themeColor="text1"/>
        </w:rPr>
        <w:t>ormation within three months (S.</w:t>
      </w:r>
      <w:r w:rsidRPr="00CC4F07">
        <w:rPr>
          <w:color w:val="000000" w:themeColor="text1"/>
        </w:rPr>
        <w:t>49.1)</w:t>
      </w:r>
    </w:p>
    <w:p w14:paraId="180A547A" w14:textId="77777777" w:rsidR="00933FBD" w:rsidRPr="00CC4F07" w:rsidRDefault="00933FBD" w:rsidP="00933FBD">
      <w:pPr>
        <w:pStyle w:val="ListBullet"/>
        <w:numPr>
          <w:ilvl w:val="0"/>
          <w:numId w:val="1"/>
        </w:numPr>
        <w:spacing w:after="240"/>
        <w:ind w:left="357" w:hanging="357"/>
        <w:rPr>
          <w:color w:val="000000" w:themeColor="text1"/>
        </w:rPr>
      </w:pPr>
      <w:r w:rsidRPr="00CC4F07">
        <w:rPr>
          <w:color w:val="000000" w:themeColor="text1"/>
        </w:rPr>
        <w:t>After two successive years of non-compliance by any public body, where the NDA is of the opinion that the body is not compliant, it can request ‘specific measures’ that the public body shall take to achieve compliance.</w:t>
      </w:r>
    </w:p>
    <w:p w14:paraId="5F57917A" w14:textId="734FFC34" w:rsidR="00933FBD" w:rsidRPr="00CC4F07" w:rsidRDefault="00933FBD" w:rsidP="00933FBD">
      <w:pPr>
        <w:pStyle w:val="Heading2"/>
        <w:rPr>
          <w:rFonts w:ascii="Rockwell" w:hAnsi="Rockwell"/>
          <w:color w:val="CC3399"/>
          <w:sz w:val="32"/>
          <w:szCs w:val="32"/>
        </w:rPr>
      </w:pPr>
      <w:bookmarkStart w:id="16" w:name="_Toc498585828"/>
      <w:bookmarkStart w:id="17" w:name="_Toc526435810"/>
      <w:bookmarkStart w:id="18" w:name="_Toc18680244"/>
      <w:r w:rsidRPr="00CC4F07">
        <w:rPr>
          <w:rFonts w:ascii="Rockwell" w:hAnsi="Rockwell"/>
          <w:color w:val="CC3399"/>
          <w:sz w:val="32"/>
          <w:szCs w:val="32"/>
        </w:rPr>
        <w:t>1.2 Counting employees with disabilities</w:t>
      </w:r>
      <w:bookmarkEnd w:id="16"/>
      <w:bookmarkEnd w:id="17"/>
      <w:bookmarkEnd w:id="18"/>
    </w:p>
    <w:p w14:paraId="6B14D968" w14:textId="2E757BC2" w:rsidR="004067FB" w:rsidRPr="00CC4F07" w:rsidRDefault="004067FB" w:rsidP="004067FB">
      <w:pPr>
        <w:rPr>
          <w:color w:val="000000" w:themeColor="text1"/>
        </w:rPr>
      </w:pPr>
      <w:r w:rsidRPr="00CC4F07">
        <w:rPr>
          <w:color w:val="000000" w:themeColor="text1"/>
        </w:rPr>
        <w:t xml:space="preserve">The Act does not set out any </w:t>
      </w:r>
      <w:proofErr w:type="gramStart"/>
      <w:r w:rsidRPr="00CC4F07">
        <w:rPr>
          <w:color w:val="000000" w:themeColor="text1"/>
        </w:rPr>
        <w:t>particular methods</w:t>
      </w:r>
      <w:proofErr w:type="gramEnd"/>
      <w:r w:rsidRPr="00CC4F07">
        <w:rPr>
          <w:color w:val="000000" w:themeColor="text1"/>
        </w:rPr>
        <w:t xml:space="preserve"> of counting or identifying employees with disabilities, although the NDA has previously advised public bodies about various methods that may be used. Each public body is responsible for choosing the appropriate method for counting employees with disabilities in their organisation each year. The NDA has </w:t>
      </w:r>
      <w:r w:rsidR="00C70269" w:rsidRPr="00CC4F07">
        <w:t>advised</w:t>
      </w:r>
      <w:r w:rsidR="00C70269" w:rsidRPr="00CC4F07">
        <w:rPr>
          <w:color w:val="FF0000"/>
        </w:rPr>
        <w:t xml:space="preserve"> </w:t>
      </w:r>
      <w:r w:rsidRPr="00CC4F07">
        <w:rPr>
          <w:color w:val="000000" w:themeColor="text1"/>
        </w:rPr>
        <w:t>public bodies to maintain consistent approaches over time where possible, to avoid any major variations in the reported data.</w:t>
      </w:r>
    </w:p>
    <w:p w14:paraId="19E55183" w14:textId="77777777" w:rsidR="004067FB" w:rsidRPr="00CC4F07" w:rsidRDefault="004067FB" w:rsidP="004067FB">
      <w:pPr>
        <w:spacing w:after="120"/>
        <w:rPr>
          <w:color w:val="000000" w:themeColor="text1"/>
        </w:rPr>
      </w:pPr>
      <w:r w:rsidRPr="00CC4F07">
        <w:rPr>
          <w:color w:val="000000" w:themeColor="text1"/>
        </w:rPr>
        <w:t xml:space="preserve">A census of all employees, where each employee is invited to identify themselves as having a disability or not, is an important measure in identifying employees with disabilities. Returns from public bodies show wide variations in census response rates by employees. It can be challenging to create an environment where </w:t>
      </w:r>
      <w:r w:rsidRPr="00CC4F07">
        <w:rPr>
          <w:color w:val="000000" w:themeColor="text1"/>
        </w:rPr>
        <w:lastRenderedPageBreak/>
        <w:t>employees are comfortable to disclose their disability status. Our experience indicates that the best results are achieved when:</w:t>
      </w:r>
    </w:p>
    <w:p w14:paraId="0D74C345" w14:textId="6160E882" w:rsidR="004067FB" w:rsidRPr="00CC4F07" w:rsidRDefault="004067FB" w:rsidP="004067FB">
      <w:pPr>
        <w:pStyle w:val="ListBullet"/>
        <w:numPr>
          <w:ilvl w:val="0"/>
          <w:numId w:val="1"/>
        </w:numPr>
        <w:rPr>
          <w:color w:val="000000" w:themeColor="text1"/>
        </w:rPr>
      </w:pPr>
      <w:r w:rsidRPr="00CC4F07">
        <w:rPr>
          <w:color w:val="000000" w:themeColor="text1"/>
        </w:rPr>
        <w:t xml:space="preserve">The census is accompanied with a broad programme of communication around the reasons for the census, the security of the information provided and the benefits for employees and the </w:t>
      </w:r>
      <w:proofErr w:type="gramStart"/>
      <w:r w:rsidRPr="00CC4F07">
        <w:rPr>
          <w:color w:val="000000" w:themeColor="text1"/>
        </w:rPr>
        <w:t>organisation as a whole</w:t>
      </w:r>
      <w:proofErr w:type="gramEnd"/>
      <w:r w:rsidRPr="00CC4F07">
        <w:rPr>
          <w:color w:val="000000" w:themeColor="text1"/>
        </w:rPr>
        <w:t xml:space="preserve">. Partnership with trade unions and other stakeholders can </w:t>
      </w:r>
      <w:r w:rsidR="009A73EA" w:rsidRPr="00CC4F07">
        <w:rPr>
          <w:color w:val="000000" w:themeColor="text1"/>
        </w:rPr>
        <w:t xml:space="preserve">also </w:t>
      </w:r>
      <w:r w:rsidRPr="00CC4F07">
        <w:rPr>
          <w:color w:val="000000" w:themeColor="text1"/>
        </w:rPr>
        <w:t>be helpful</w:t>
      </w:r>
      <w:r w:rsidR="009A73EA" w:rsidRPr="00CC4F07">
        <w:rPr>
          <w:color w:val="000000" w:themeColor="text1"/>
        </w:rPr>
        <w:t xml:space="preserve"> in this regard</w:t>
      </w:r>
    </w:p>
    <w:p w14:paraId="5373D5C7" w14:textId="152FE569" w:rsidR="004067FB" w:rsidRPr="00CC4F07" w:rsidRDefault="004067FB" w:rsidP="004067FB">
      <w:pPr>
        <w:pStyle w:val="ListBullet"/>
        <w:numPr>
          <w:ilvl w:val="0"/>
          <w:numId w:val="1"/>
        </w:numPr>
        <w:spacing w:after="240"/>
        <w:ind w:left="357" w:hanging="357"/>
        <w:rPr>
          <w:color w:val="000000" w:themeColor="text1"/>
        </w:rPr>
      </w:pPr>
      <w:r w:rsidRPr="00CC4F07">
        <w:rPr>
          <w:color w:val="000000" w:themeColor="text1"/>
        </w:rPr>
        <w:t>The employer creates a culture and environment where the employee is comfortable that declaring their disability will not have any negative impacts for their employment.</w:t>
      </w:r>
    </w:p>
    <w:p w14:paraId="1DDD1779" w14:textId="77777777" w:rsidR="004067FB" w:rsidRPr="00CC4F07" w:rsidRDefault="004067FB" w:rsidP="004067FB">
      <w:pPr>
        <w:rPr>
          <w:color w:val="000000" w:themeColor="text1"/>
        </w:rPr>
      </w:pPr>
      <w:r w:rsidRPr="00CC4F07">
        <w:rPr>
          <w:color w:val="000000" w:themeColor="text1"/>
        </w:rPr>
        <w:t xml:space="preserve">It is not always necessary to carry out a full census every year. Some public bodies will carry out a census periodically, and use HR records of staff who have joined, staff who have left, or requests for reasonable accommodations to identify changes in intermediate years, with appropriate data protection measures in place. Where a census has not taken place for </w:t>
      </w:r>
      <w:proofErr w:type="gramStart"/>
      <w:r w:rsidRPr="00CC4F07">
        <w:rPr>
          <w:color w:val="000000" w:themeColor="text1"/>
        </w:rPr>
        <w:t>a number of</w:t>
      </w:r>
      <w:proofErr w:type="gramEnd"/>
      <w:r w:rsidRPr="00CC4F07">
        <w:rPr>
          <w:color w:val="000000" w:themeColor="text1"/>
        </w:rPr>
        <w:t xml:space="preserve"> years, it can be a useful tool </w:t>
      </w:r>
      <w:proofErr w:type="gramStart"/>
      <w:r w:rsidRPr="00CC4F07">
        <w:rPr>
          <w:color w:val="000000" w:themeColor="text1"/>
        </w:rPr>
        <w:t>in itself to</w:t>
      </w:r>
      <w:proofErr w:type="gramEnd"/>
      <w:r w:rsidRPr="00CC4F07">
        <w:rPr>
          <w:color w:val="000000" w:themeColor="text1"/>
        </w:rPr>
        <w:t xml:space="preserve"> highlight the importance of the employment of persons with disabilities, and it can be an element of improving a climate of disclosure.</w:t>
      </w:r>
    </w:p>
    <w:p w14:paraId="7F54477D" w14:textId="5BCAF023" w:rsidR="00933FBD" w:rsidRPr="00CC4F07" w:rsidRDefault="005D4C6D" w:rsidP="00933FBD">
      <w:pPr>
        <w:pStyle w:val="Heading2"/>
        <w:rPr>
          <w:rFonts w:ascii="Rockwell" w:hAnsi="Rockwell"/>
          <w:color w:val="CC3399"/>
          <w:sz w:val="32"/>
          <w:szCs w:val="32"/>
        </w:rPr>
      </w:pPr>
      <w:bookmarkStart w:id="19" w:name="_Toc18680245"/>
      <w:bookmarkStart w:id="20" w:name="_Toc498585829"/>
      <w:bookmarkStart w:id="21" w:name="_Toc526435811"/>
      <w:r w:rsidRPr="00CC4F07">
        <w:rPr>
          <w:rFonts w:ascii="Rockwell" w:hAnsi="Rockwell"/>
          <w:color w:val="CC3399"/>
          <w:sz w:val="32"/>
          <w:szCs w:val="32"/>
        </w:rPr>
        <w:t xml:space="preserve">1.3 </w:t>
      </w:r>
      <w:r w:rsidR="00FF23EB" w:rsidRPr="00CC4F07">
        <w:rPr>
          <w:rFonts w:ascii="Rockwell" w:hAnsi="Rockwell"/>
          <w:color w:val="CC3399"/>
          <w:sz w:val="32"/>
          <w:szCs w:val="32"/>
        </w:rPr>
        <w:t xml:space="preserve">Increasing the recruitment </w:t>
      </w:r>
      <w:r w:rsidR="000741D5" w:rsidRPr="00CC4F07">
        <w:rPr>
          <w:rFonts w:ascii="Rockwell" w:hAnsi="Rockwell"/>
          <w:color w:val="CC3399"/>
          <w:sz w:val="32"/>
          <w:szCs w:val="32"/>
        </w:rPr>
        <w:t xml:space="preserve">of </w:t>
      </w:r>
      <w:r w:rsidR="00FF23EB" w:rsidRPr="00CC4F07">
        <w:rPr>
          <w:rFonts w:ascii="Rockwell" w:hAnsi="Rockwell"/>
          <w:color w:val="CC3399"/>
          <w:sz w:val="32"/>
          <w:szCs w:val="32"/>
        </w:rPr>
        <w:t>persons with disabilities</w:t>
      </w:r>
      <w:bookmarkEnd w:id="19"/>
      <w:r w:rsidR="00FF23EB" w:rsidRPr="00CC4F07">
        <w:rPr>
          <w:rFonts w:ascii="Rockwell" w:hAnsi="Rockwell"/>
          <w:color w:val="CC3399"/>
          <w:sz w:val="32"/>
          <w:szCs w:val="32"/>
        </w:rPr>
        <w:t xml:space="preserve"> </w:t>
      </w:r>
      <w:bookmarkEnd w:id="20"/>
      <w:bookmarkEnd w:id="21"/>
    </w:p>
    <w:p w14:paraId="5A8FA3F5" w14:textId="68FCBC3D" w:rsidR="00DF6C80" w:rsidRPr="00CC4F07" w:rsidRDefault="00DF6C80" w:rsidP="00DF6C80">
      <w:pPr>
        <w:rPr>
          <w:strike/>
          <w:color w:val="000000"/>
          <w:szCs w:val="26"/>
        </w:rPr>
      </w:pPr>
      <w:bookmarkStart w:id="22" w:name="_Toc526435812"/>
      <w:r w:rsidRPr="00CC4F07">
        <w:rPr>
          <w:color w:val="000000"/>
        </w:rPr>
        <w:t xml:space="preserve">Under the </w:t>
      </w:r>
      <w:r w:rsidRPr="00CC4F07">
        <w:rPr>
          <w:b/>
          <w:bCs/>
          <w:color w:val="000000"/>
        </w:rPr>
        <w:t>Comprehensive Employment Strategy for People with Disabilities 2015 – 2024</w:t>
      </w:r>
      <w:r w:rsidRPr="00CC4F07">
        <w:rPr>
          <w:color w:val="000000"/>
        </w:rPr>
        <w:t>, the Government has committed to incrementally increasing the statutory employment target, so that by 2024, a minimum of 6% of employees in the public sector will</w:t>
      </w:r>
      <w:r w:rsidR="003B7D53">
        <w:rPr>
          <w:color w:val="000000"/>
        </w:rPr>
        <w:t xml:space="preserve"> be persons with disabilities.</w:t>
      </w:r>
      <w:r w:rsidRPr="00CC4F07">
        <w:rPr>
          <w:color w:val="000000"/>
        </w:rPr>
        <w:t xml:space="preserve"> This is provided for in the Disability (Miscellaneous Provisions) Bill 2016.</w:t>
      </w:r>
    </w:p>
    <w:p w14:paraId="45C3E007" w14:textId="13F53E59" w:rsidR="00DF6C80" w:rsidRPr="00CC4F07" w:rsidRDefault="00DF6C80" w:rsidP="00DF6C80">
      <w:r w:rsidRPr="00CC4F07">
        <w:rPr>
          <w:color w:val="000000"/>
        </w:rPr>
        <w:t>The NDA has consistently advised public bodies that the 3% is a minimum compliance target and that is important for public bodies to focus on exceeding this</w:t>
      </w:r>
      <w:r w:rsidRPr="00CC4F07">
        <w:t>. In 2018, 183 (</w:t>
      </w:r>
      <w:r w:rsidRPr="00CC4F07">
        <w:rPr>
          <w:color w:val="000000"/>
        </w:rPr>
        <w:t xml:space="preserve">84.3%) </w:t>
      </w:r>
      <w:r w:rsidRPr="00CC4F07">
        <w:t>public bodies reported tha</w:t>
      </w:r>
      <w:r w:rsidR="006D0030">
        <w:t>t they had achieved compliance.</w:t>
      </w:r>
    </w:p>
    <w:p w14:paraId="5391CC7D" w14:textId="4D810244" w:rsidR="00DF6C80" w:rsidRPr="00CC4F07" w:rsidRDefault="00DF6C80" w:rsidP="00DF6C80">
      <w:pPr>
        <w:rPr>
          <w:color w:val="000000"/>
        </w:rPr>
      </w:pPr>
      <w:r w:rsidRPr="00CC4F07">
        <w:rPr>
          <w:color w:val="000000"/>
        </w:rPr>
        <w:t xml:space="preserve">We also emphasise that </w:t>
      </w:r>
      <w:r w:rsidR="0066753D">
        <w:rPr>
          <w:color w:val="000000"/>
        </w:rPr>
        <w:t xml:space="preserve">public </w:t>
      </w:r>
      <w:r w:rsidRPr="00CC4F07">
        <w:rPr>
          <w:color w:val="000000"/>
        </w:rPr>
        <w:t>bodies should continue to work to</w:t>
      </w:r>
      <w:r w:rsidR="0066753D">
        <w:rPr>
          <w:color w:val="000000"/>
        </w:rPr>
        <w:t xml:space="preserve">wards </w:t>
      </w:r>
      <w:proofErr w:type="gramStart"/>
      <w:r w:rsidR="0066753D">
        <w:rPr>
          <w:color w:val="000000"/>
        </w:rPr>
        <w:t xml:space="preserve">creating </w:t>
      </w:r>
      <w:r w:rsidRPr="00CC4F07">
        <w:rPr>
          <w:color w:val="000000"/>
        </w:rPr>
        <w:t xml:space="preserve"> and</w:t>
      </w:r>
      <w:proofErr w:type="gramEnd"/>
      <w:r w:rsidRPr="00CC4F07">
        <w:rPr>
          <w:color w:val="000000"/>
        </w:rPr>
        <w:t xml:space="preserve"> maintain</w:t>
      </w:r>
      <w:r w:rsidR="0066753D">
        <w:rPr>
          <w:color w:val="000000"/>
        </w:rPr>
        <w:t>ing</w:t>
      </w:r>
      <w:r w:rsidRPr="00CC4F07">
        <w:rPr>
          <w:color w:val="FF0000"/>
        </w:rPr>
        <w:t xml:space="preserve"> </w:t>
      </w:r>
      <w:r w:rsidRPr="00CC4F07">
        <w:rPr>
          <w:color w:val="000000"/>
        </w:rPr>
        <w:t>an inclusive work environment that promotes and supports the recruitment and retention of persons with disabilities, and where employees with disabilities feel supported and comfortable in disclosing a disability.</w:t>
      </w:r>
      <w:r w:rsidR="006D0030">
        <w:t xml:space="preserve"> </w:t>
      </w:r>
      <w:r w:rsidRPr="00CC4F07">
        <w:rPr>
          <w:color w:val="000000"/>
        </w:rPr>
        <w:t>The Disability Act 2005 requires that public bodies actively promote and support employment of persons with disabilities, and so the NDA considers actions by public bodies in this regard in addition to</w:t>
      </w:r>
      <w:r w:rsidR="006D0030">
        <w:rPr>
          <w:color w:val="000000"/>
        </w:rPr>
        <w:t xml:space="preserve"> statistical reports presented. </w:t>
      </w:r>
      <w:r w:rsidRPr="00CC4F07">
        <w:rPr>
          <w:color w:val="000000"/>
        </w:rPr>
        <w:t>We therefore require public bodies to demonstrate the actions they are taking in this regard as part of their reporting.</w:t>
      </w:r>
    </w:p>
    <w:p w14:paraId="473798FB" w14:textId="2A92C7B7" w:rsidR="002A6CB0" w:rsidRPr="00CC4F07" w:rsidRDefault="000A182C" w:rsidP="002A6CB0">
      <w:pPr>
        <w:pStyle w:val="Heading2"/>
        <w:rPr>
          <w:rFonts w:ascii="Rockwell" w:hAnsi="Rockwell"/>
          <w:color w:val="CC3399"/>
          <w:sz w:val="32"/>
          <w:szCs w:val="32"/>
        </w:rPr>
      </w:pPr>
      <w:bookmarkStart w:id="23" w:name="_Toc18680246"/>
      <w:r w:rsidRPr="00CC4F07">
        <w:rPr>
          <w:rFonts w:ascii="Rockwell" w:hAnsi="Rockwell"/>
          <w:color w:val="CC3399"/>
          <w:sz w:val="32"/>
          <w:szCs w:val="32"/>
        </w:rPr>
        <w:lastRenderedPageBreak/>
        <w:t xml:space="preserve">1.4 Review of </w:t>
      </w:r>
      <w:r w:rsidR="002A6CB0" w:rsidRPr="00CC4F07">
        <w:rPr>
          <w:rFonts w:ascii="Rockwell" w:hAnsi="Rockwell"/>
          <w:color w:val="CC3399"/>
          <w:sz w:val="32"/>
          <w:szCs w:val="32"/>
        </w:rPr>
        <w:t>Part 5</w:t>
      </w:r>
      <w:bookmarkEnd w:id="23"/>
      <w:r w:rsidR="002A6CB0" w:rsidRPr="00CC4F07">
        <w:rPr>
          <w:rFonts w:ascii="Rockwell" w:hAnsi="Rockwell"/>
          <w:color w:val="CC3399"/>
          <w:sz w:val="32"/>
          <w:szCs w:val="32"/>
        </w:rPr>
        <w:t xml:space="preserve"> </w:t>
      </w:r>
      <w:bookmarkEnd w:id="22"/>
    </w:p>
    <w:p w14:paraId="1623AC67" w14:textId="743C294B" w:rsidR="002A6CB0" w:rsidRPr="00CC4F07" w:rsidRDefault="002A6CB0" w:rsidP="00441696">
      <w:pPr>
        <w:spacing w:after="120"/>
        <w:rPr>
          <w:rFonts w:eastAsia="SimSun"/>
          <w:lang w:eastAsia="en-IE"/>
        </w:rPr>
      </w:pPr>
      <w:r w:rsidRPr="00CC4F07">
        <w:rPr>
          <w:rFonts w:eastAsia="SimSun"/>
          <w:lang w:eastAsia="en-IE"/>
        </w:rPr>
        <w:t xml:space="preserve">In 2018, the </w:t>
      </w:r>
      <w:r w:rsidR="000A182C" w:rsidRPr="00CC4F07">
        <w:rPr>
          <w:rFonts w:eastAsia="SimSun"/>
          <w:lang w:eastAsia="en-IE"/>
        </w:rPr>
        <w:t xml:space="preserve">NDA </w:t>
      </w:r>
      <w:r w:rsidRPr="00CC4F07">
        <w:rPr>
          <w:rFonts w:eastAsia="SimSun"/>
          <w:lang w:eastAsia="en-IE"/>
        </w:rPr>
        <w:t xml:space="preserve">commissioned a contractor to conduct </w:t>
      </w:r>
      <w:r w:rsidR="000A182C" w:rsidRPr="00CC4F07">
        <w:rPr>
          <w:rFonts w:eastAsia="SimSun"/>
          <w:lang w:eastAsia="en-IE"/>
        </w:rPr>
        <w:t xml:space="preserve">a Review of </w:t>
      </w:r>
      <w:r w:rsidR="00C70269" w:rsidRPr="00CC4F07">
        <w:rPr>
          <w:rFonts w:eastAsia="SimSun"/>
          <w:lang w:eastAsia="en-IE"/>
        </w:rPr>
        <w:t xml:space="preserve">the operation of </w:t>
      </w:r>
      <w:r w:rsidR="000A182C" w:rsidRPr="00CC4F07">
        <w:rPr>
          <w:rFonts w:eastAsia="SimSun"/>
          <w:lang w:eastAsia="en-IE"/>
        </w:rPr>
        <w:t>Part 5</w:t>
      </w:r>
      <w:r w:rsidR="00C70269" w:rsidRPr="00CC4F07">
        <w:rPr>
          <w:rFonts w:eastAsia="SimSun"/>
          <w:lang w:eastAsia="en-IE"/>
        </w:rPr>
        <w:t xml:space="preserve"> of the Disability Act 2005</w:t>
      </w:r>
      <w:r w:rsidRPr="00CC4F07">
        <w:rPr>
          <w:rFonts w:eastAsia="SimSun"/>
          <w:lang w:eastAsia="en-IE"/>
        </w:rPr>
        <w:t xml:space="preserve">. </w:t>
      </w:r>
      <w:r w:rsidR="00DF6C80" w:rsidRPr="00CC4F07">
        <w:t>The objective of this R</w:t>
      </w:r>
      <w:r w:rsidRPr="00CC4F07">
        <w:t xml:space="preserve">eview is to </w:t>
      </w:r>
      <w:r w:rsidR="00C70269" w:rsidRPr="00CC4F07">
        <w:t xml:space="preserve">guide the </w:t>
      </w:r>
      <w:r w:rsidRPr="00CC4F07">
        <w:t>devel</w:t>
      </w:r>
      <w:r w:rsidR="005A5BB6" w:rsidRPr="00CC4F07">
        <w:t>op</w:t>
      </w:r>
      <w:r w:rsidR="00C70269" w:rsidRPr="00CC4F07">
        <w:t>ment</w:t>
      </w:r>
      <w:r w:rsidR="005A5BB6" w:rsidRPr="00CC4F07">
        <w:t xml:space="preserve"> and implement</w:t>
      </w:r>
      <w:r w:rsidR="00C70269" w:rsidRPr="00CC4F07">
        <w:t>ation of</w:t>
      </w:r>
      <w:r w:rsidR="005A5BB6" w:rsidRPr="00CC4F07">
        <w:t xml:space="preserve"> a process that</w:t>
      </w:r>
      <w:r w:rsidR="006B08D7" w:rsidRPr="00CC4F07">
        <w:t xml:space="preserve"> could help</w:t>
      </w:r>
      <w:r w:rsidRPr="00CC4F07">
        <w:t xml:space="preserve"> to:</w:t>
      </w:r>
    </w:p>
    <w:p w14:paraId="4BAAAF9E" w14:textId="423B96CE" w:rsidR="00117C5F" w:rsidRPr="00CC4F07" w:rsidRDefault="00117C5F" w:rsidP="00117C5F">
      <w:pPr>
        <w:pStyle w:val="ListBullet"/>
        <w:numPr>
          <w:ilvl w:val="0"/>
          <w:numId w:val="1"/>
        </w:numPr>
      </w:pPr>
      <w:r w:rsidRPr="00CC4F07">
        <w:t>Enrich the data and transferable learning that emerges regarding key elements in organisations that create and maintain inclusive work environments that promote and support the recruitment and retention of persons with disabilities and one where employees with disabilities feel comfortable di</w:t>
      </w:r>
      <w:r w:rsidR="006D0030">
        <w:t>sclosing a disability</w:t>
      </w:r>
    </w:p>
    <w:p w14:paraId="3A39019E" w14:textId="6B8FD3E4" w:rsidR="00117C5F" w:rsidRPr="00CC4F07" w:rsidRDefault="00117C5F" w:rsidP="00117C5F">
      <w:pPr>
        <w:pStyle w:val="ListBullet"/>
        <w:numPr>
          <w:ilvl w:val="0"/>
          <w:numId w:val="1"/>
        </w:numPr>
      </w:pPr>
      <w:r w:rsidRPr="00CC4F07">
        <w:t xml:space="preserve">As far as possible to guide continuous improvement across the public sector in creating </w:t>
      </w:r>
      <w:r w:rsidR="000A182C" w:rsidRPr="00CC4F07">
        <w:t xml:space="preserve">and maintaining </w:t>
      </w:r>
      <w:r w:rsidR="008E25E6" w:rsidRPr="00CC4F07">
        <w:t>these</w:t>
      </w:r>
      <w:r w:rsidR="006D0030">
        <w:t xml:space="preserve"> inclusive work environments</w:t>
      </w:r>
    </w:p>
    <w:p w14:paraId="37FFEA28" w14:textId="77777777" w:rsidR="00117C5F" w:rsidRPr="00CC4F07" w:rsidRDefault="00117C5F" w:rsidP="00117C5F">
      <w:pPr>
        <w:pStyle w:val="ListBullet"/>
        <w:numPr>
          <w:ilvl w:val="0"/>
          <w:numId w:val="1"/>
        </w:numPr>
      </w:pPr>
      <w:r w:rsidRPr="00CC4F07">
        <w:t>As far as possible to increase employment opportunities for persons with disabilities</w:t>
      </w:r>
    </w:p>
    <w:p w14:paraId="6FC6DF9D" w14:textId="77777777" w:rsidR="00117C5F" w:rsidRPr="00CC4F07" w:rsidRDefault="00117C5F" w:rsidP="00117C5F">
      <w:pPr>
        <w:pStyle w:val="ListBullet"/>
        <w:numPr>
          <w:ilvl w:val="0"/>
          <w:numId w:val="1"/>
        </w:numPr>
        <w:spacing w:after="240"/>
        <w:ind w:left="357" w:hanging="357"/>
      </w:pPr>
      <w:r w:rsidRPr="00CC4F07">
        <w:t>Identify specific measures that may be required to help public bodies to increase their compliance with the minimum statutory employment target of 3%</w:t>
      </w:r>
    </w:p>
    <w:p w14:paraId="0FACE2CB" w14:textId="319DF565" w:rsidR="002A6CB0" w:rsidRPr="00CC4F07" w:rsidRDefault="00025200" w:rsidP="002A6CB0">
      <w:pPr>
        <w:pStyle w:val="ListBullet"/>
        <w:numPr>
          <w:ilvl w:val="0"/>
          <w:numId w:val="1"/>
        </w:numPr>
      </w:pPr>
      <w:r w:rsidRPr="00CC4F07">
        <w:t xml:space="preserve">Guide </w:t>
      </w:r>
      <w:r w:rsidR="002A6CB0" w:rsidRPr="00CC4F07">
        <w:t xml:space="preserve">a more </w:t>
      </w:r>
      <w:r w:rsidR="00366087" w:rsidRPr="00CC4F07">
        <w:t xml:space="preserve">user friendly, </w:t>
      </w:r>
      <w:r w:rsidR="002A6CB0" w:rsidRPr="00CC4F07">
        <w:t xml:space="preserve">streamlined, efficient and feasible process </w:t>
      </w:r>
      <w:r w:rsidR="00366087" w:rsidRPr="00CC4F07">
        <w:t xml:space="preserve">overall </w:t>
      </w:r>
      <w:r w:rsidR="002A6CB0" w:rsidRPr="00CC4F07">
        <w:t>for the NDA to manage</w:t>
      </w:r>
      <w:r w:rsidR="00C44626">
        <w:t>.</w:t>
      </w:r>
    </w:p>
    <w:p w14:paraId="419B2C9C" w14:textId="36D1DE35" w:rsidR="00EA45AB" w:rsidRDefault="003A432F" w:rsidP="006B08D7">
      <w:pPr>
        <w:pStyle w:val="ListBullet"/>
        <w:numPr>
          <w:ilvl w:val="0"/>
          <w:numId w:val="0"/>
        </w:numPr>
      </w:pPr>
      <w:r w:rsidRPr="00CC4F07">
        <w:t xml:space="preserve">The NDA looks forward to the findings and learning from the </w:t>
      </w:r>
      <w:r w:rsidR="00A801F0" w:rsidRPr="00CC4F07">
        <w:t>R</w:t>
      </w:r>
      <w:r w:rsidR="006D0030">
        <w:t>eview.</w:t>
      </w:r>
    </w:p>
    <w:p w14:paraId="2C466A5A" w14:textId="77777777" w:rsidR="00EA45AB" w:rsidRDefault="00EA45AB">
      <w:pPr>
        <w:spacing w:after="0"/>
      </w:pPr>
      <w:r>
        <w:br w:type="page"/>
      </w:r>
    </w:p>
    <w:p w14:paraId="7C428308" w14:textId="293E4388" w:rsidR="00933FBD" w:rsidRPr="006D0030" w:rsidRDefault="00933FBD" w:rsidP="006D0030">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color w:val="CC3399"/>
          <w:sz w:val="56"/>
          <w:szCs w:val="56"/>
        </w:rPr>
      </w:pPr>
      <w:bookmarkStart w:id="24" w:name="_Toc526435813"/>
      <w:bookmarkStart w:id="25" w:name="_Toc18680247"/>
      <w:r w:rsidRPr="006D0030">
        <w:rPr>
          <w:rFonts w:ascii="Rockwell" w:hAnsi="Rockwell"/>
          <w:color w:val="CC3399"/>
          <w:sz w:val="56"/>
          <w:szCs w:val="56"/>
        </w:rPr>
        <w:lastRenderedPageBreak/>
        <w:t>2. Main Findings for 201</w:t>
      </w:r>
      <w:bookmarkEnd w:id="24"/>
      <w:r w:rsidR="004067FB" w:rsidRPr="006D0030">
        <w:rPr>
          <w:rFonts w:ascii="Rockwell" w:hAnsi="Rockwell"/>
          <w:color w:val="CC3399"/>
          <w:sz w:val="56"/>
          <w:szCs w:val="56"/>
        </w:rPr>
        <w:t>8</w:t>
      </w:r>
      <w:bookmarkEnd w:id="25"/>
    </w:p>
    <w:p w14:paraId="6A5830D1" w14:textId="339F0885" w:rsidR="00714529" w:rsidRPr="006D0030" w:rsidRDefault="00215F9C" w:rsidP="006D0030">
      <w:pPr>
        <w:pStyle w:val="Heading2"/>
        <w:rPr>
          <w:rFonts w:ascii="Rockwell" w:hAnsi="Rockwell"/>
          <w:color w:val="CC3399"/>
          <w:sz w:val="32"/>
          <w:szCs w:val="32"/>
        </w:rPr>
      </w:pPr>
      <w:bookmarkStart w:id="26" w:name="_Toc526435814"/>
      <w:bookmarkStart w:id="27" w:name="_Toc18680248"/>
      <w:r w:rsidRPr="006D0030">
        <w:rPr>
          <w:rFonts w:ascii="Rockwell" w:hAnsi="Rockwell"/>
          <w:color w:val="CC3399"/>
          <w:sz w:val="32"/>
          <w:szCs w:val="32"/>
        </w:rPr>
        <w:t>2</w:t>
      </w:r>
      <w:r w:rsidR="00933FBD" w:rsidRPr="006D0030">
        <w:rPr>
          <w:rFonts w:ascii="Rockwell" w:hAnsi="Rockwell"/>
          <w:color w:val="CC3399"/>
          <w:sz w:val="32"/>
          <w:szCs w:val="32"/>
        </w:rPr>
        <w:t>.1 Th</w:t>
      </w:r>
      <w:r w:rsidR="00714529" w:rsidRPr="006D0030">
        <w:rPr>
          <w:rFonts w:ascii="Rockwell" w:hAnsi="Rockwell"/>
          <w:color w:val="CC3399"/>
          <w:sz w:val="32"/>
          <w:szCs w:val="32"/>
        </w:rPr>
        <w:t>e 3% target exceeded for eight</w:t>
      </w:r>
      <w:r w:rsidR="006D697C" w:rsidRPr="006D0030">
        <w:rPr>
          <w:rFonts w:ascii="Rockwell" w:hAnsi="Rockwell"/>
          <w:color w:val="CC3399"/>
          <w:sz w:val="32"/>
          <w:szCs w:val="32"/>
        </w:rPr>
        <w:t>h</w:t>
      </w:r>
      <w:r w:rsidR="00933FBD" w:rsidRPr="006D0030">
        <w:rPr>
          <w:rFonts w:ascii="Rockwell" w:hAnsi="Rockwell"/>
          <w:color w:val="CC3399"/>
          <w:sz w:val="32"/>
          <w:szCs w:val="32"/>
        </w:rPr>
        <w:t xml:space="preserve"> successive year</w:t>
      </w:r>
      <w:bookmarkStart w:id="28" w:name="_Toc498585832"/>
      <w:bookmarkStart w:id="29" w:name="_Toc526435815"/>
      <w:bookmarkEnd w:id="26"/>
      <w:bookmarkEnd w:id="27"/>
    </w:p>
    <w:p w14:paraId="4E705F58" w14:textId="6E96CF61" w:rsidR="00714529" w:rsidRPr="00CC4F07" w:rsidRDefault="00362212" w:rsidP="00362212">
      <w:r w:rsidRPr="00CC4F07">
        <w:t xml:space="preserve">The proportion of employees declaring a disability in the public service exceeded the </w:t>
      </w:r>
      <w:r w:rsidR="007B31B9">
        <w:t xml:space="preserve">minimum </w:t>
      </w:r>
      <w:r w:rsidRPr="00CC4F07">
        <w:t xml:space="preserve">3% target for the </w:t>
      </w:r>
      <w:r w:rsidR="006D697C" w:rsidRPr="00CC4F07">
        <w:t xml:space="preserve">eighth </w:t>
      </w:r>
      <w:r w:rsidR="00633D4D" w:rsidRPr="00CC4F07">
        <w:t>successive year (see Table 1), with the 2018 level confirmed at 3.3%.</w:t>
      </w:r>
    </w:p>
    <w:p w14:paraId="4EAC42D3" w14:textId="037E482E" w:rsidR="00362212" w:rsidRPr="006D0030" w:rsidRDefault="00362212" w:rsidP="006D0030">
      <w:pPr>
        <w:rPr>
          <w:color w:val="000000" w:themeColor="text1"/>
        </w:rPr>
      </w:pPr>
      <w:r w:rsidRPr="00CC4F07">
        <w:rPr>
          <w:color w:val="000000" w:themeColor="text1"/>
        </w:rPr>
        <w:t xml:space="preserve">The total number of employees </w:t>
      </w:r>
      <w:r w:rsidR="00633D4D" w:rsidRPr="00CC4F07">
        <w:rPr>
          <w:color w:val="000000" w:themeColor="text1"/>
        </w:rPr>
        <w:t xml:space="preserve">in the public sector </w:t>
      </w:r>
      <w:r w:rsidRPr="00CC4F07">
        <w:rPr>
          <w:color w:val="000000" w:themeColor="text1"/>
        </w:rPr>
        <w:t>at the end of 201</w:t>
      </w:r>
      <w:r w:rsidR="006D697C" w:rsidRPr="00CC4F07">
        <w:rPr>
          <w:color w:val="000000" w:themeColor="text1"/>
        </w:rPr>
        <w:t>8</w:t>
      </w:r>
      <w:r w:rsidRPr="00CC4F07">
        <w:rPr>
          <w:color w:val="000000" w:themeColor="text1"/>
        </w:rPr>
        <w:t xml:space="preserve"> was </w:t>
      </w:r>
      <w:r w:rsidR="006D697C" w:rsidRPr="00CC4F07">
        <w:t>231,706</w:t>
      </w:r>
      <w:r w:rsidRPr="00CC4F07">
        <w:t xml:space="preserve"> - </w:t>
      </w:r>
      <w:r w:rsidRPr="00CC4F07">
        <w:rPr>
          <w:color w:val="000000" w:themeColor="text1"/>
        </w:rPr>
        <w:t xml:space="preserve">an increase of </w:t>
      </w:r>
      <w:r w:rsidR="006D697C" w:rsidRPr="00CC4F07">
        <w:rPr>
          <w:lang w:eastAsia="en-IE"/>
        </w:rPr>
        <w:t>5</w:t>
      </w:r>
      <w:r w:rsidR="0082665E" w:rsidRPr="00CC4F07">
        <w:rPr>
          <w:lang w:eastAsia="en-IE"/>
        </w:rPr>
        <w:t>,</w:t>
      </w:r>
      <w:r w:rsidR="006D697C" w:rsidRPr="00CC4F07">
        <w:rPr>
          <w:lang w:eastAsia="en-IE"/>
        </w:rPr>
        <w:t>897</w:t>
      </w:r>
      <w:r w:rsidRPr="00CC4F07">
        <w:rPr>
          <w:lang w:eastAsia="en-IE"/>
        </w:rPr>
        <w:t xml:space="preserve"> (</w:t>
      </w:r>
      <w:r w:rsidR="006D697C" w:rsidRPr="00CC4F07">
        <w:rPr>
          <w:lang w:eastAsia="en-IE"/>
        </w:rPr>
        <w:t>2.6</w:t>
      </w:r>
      <w:r w:rsidRPr="00CC4F07">
        <w:rPr>
          <w:lang w:eastAsia="en-IE"/>
        </w:rPr>
        <w:t>%) from the total in 201</w:t>
      </w:r>
      <w:r w:rsidR="006D697C" w:rsidRPr="00CC4F07">
        <w:rPr>
          <w:lang w:eastAsia="en-IE"/>
        </w:rPr>
        <w:t>7</w:t>
      </w:r>
      <w:r w:rsidRPr="00CC4F07">
        <w:rPr>
          <w:lang w:eastAsia="en-IE"/>
        </w:rPr>
        <w:t xml:space="preserve">. </w:t>
      </w:r>
      <w:r w:rsidRPr="00CC4F07">
        <w:rPr>
          <w:color w:val="000000" w:themeColor="text1"/>
        </w:rPr>
        <w:t>The total number of employees with disabilities at the end of 201</w:t>
      </w:r>
      <w:r w:rsidR="006D697C" w:rsidRPr="00CC4F07">
        <w:rPr>
          <w:color w:val="000000" w:themeColor="text1"/>
        </w:rPr>
        <w:t>8</w:t>
      </w:r>
      <w:r w:rsidRPr="00CC4F07">
        <w:rPr>
          <w:color w:val="000000" w:themeColor="text1"/>
        </w:rPr>
        <w:t xml:space="preserve"> was </w:t>
      </w:r>
      <w:r w:rsidRPr="00CC4F07">
        <w:t>7,</w:t>
      </w:r>
      <w:r w:rsidR="006D697C" w:rsidRPr="00CC4F07">
        <w:t>585</w:t>
      </w:r>
      <w:r w:rsidRPr="00CC4F07">
        <w:t xml:space="preserve"> - </w:t>
      </w:r>
      <w:r w:rsidRPr="00CC4F07">
        <w:rPr>
          <w:color w:val="000000" w:themeColor="text1"/>
        </w:rPr>
        <w:t xml:space="preserve">a </w:t>
      </w:r>
      <w:r w:rsidR="006D697C" w:rsidRPr="00CC4F07">
        <w:rPr>
          <w:color w:val="000000" w:themeColor="text1"/>
        </w:rPr>
        <w:t>de</w:t>
      </w:r>
      <w:r w:rsidRPr="00CC4F07">
        <w:rPr>
          <w:color w:val="000000" w:themeColor="text1"/>
        </w:rPr>
        <w:t xml:space="preserve">crease of </w:t>
      </w:r>
      <w:r w:rsidR="006D697C" w:rsidRPr="00CC4F07">
        <w:rPr>
          <w:color w:val="000000" w:themeColor="text1"/>
        </w:rPr>
        <w:t>2</w:t>
      </w:r>
      <w:r w:rsidR="0082665E" w:rsidRPr="00CC4F07">
        <w:rPr>
          <w:color w:val="000000" w:themeColor="text1"/>
        </w:rPr>
        <w:t>1</w:t>
      </w:r>
      <w:r w:rsidR="006D697C" w:rsidRPr="00CC4F07">
        <w:rPr>
          <w:color w:val="000000" w:themeColor="text1"/>
        </w:rPr>
        <w:t xml:space="preserve">1 </w:t>
      </w:r>
      <w:r w:rsidRPr="00CC4F07">
        <w:rPr>
          <w:color w:val="000000" w:themeColor="text1"/>
        </w:rPr>
        <w:t>(</w:t>
      </w:r>
      <w:r w:rsidR="006D697C" w:rsidRPr="00CC4F07">
        <w:rPr>
          <w:color w:val="000000" w:themeColor="text1"/>
        </w:rPr>
        <w:t>-2.7</w:t>
      </w:r>
      <w:r w:rsidRPr="00CC4F07">
        <w:rPr>
          <w:color w:val="000000" w:themeColor="text1"/>
        </w:rPr>
        <w:t>%) on the 201</w:t>
      </w:r>
      <w:r w:rsidR="006D697C" w:rsidRPr="00CC4F07">
        <w:rPr>
          <w:color w:val="000000" w:themeColor="text1"/>
        </w:rPr>
        <w:t>7</w:t>
      </w:r>
      <w:r w:rsidR="006D0030">
        <w:rPr>
          <w:color w:val="000000" w:themeColor="text1"/>
        </w:rPr>
        <w:t xml:space="preserve"> figure.</w:t>
      </w:r>
    </w:p>
    <w:p w14:paraId="418C6DFF" w14:textId="3D5F207C" w:rsidR="00362212" w:rsidRPr="00CC4F07" w:rsidRDefault="00362212" w:rsidP="00362212">
      <w:pPr>
        <w:rPr>
          <w:color w:val="000000" w:themeColor="text1"/>
        </w:rPr>
      </w:pPr>
      <w:r w:rsidRPr="00CC4F07">
        <w:rPr>
          <w:color w:val="000000" w:themeColor="text1"/>
        </w:rPr>
        <w:t>In previous years (from 2007 to 2013), the total number of employees decreased year-on-year. In contrast, the number of employees declaring a disability fluctuated over the same period</w:t>
      </w:r>
      <w:r w:rsidR="003A432F" w:rsidRPr="00CC4F07">
        <w:rPr>
          <w:color w:val="000000" w:themeColor="text1"/>
        </w:rPr>
        <w:t xml:space="preserve"> with continu</w:t>
      </w:r>
      <w:r w:rsidR="006D3AED" w:rsidRPr="00CC4F07">
        <w:rPr>
          <w:color w:val="000000" w:themeColor="text1"/>
        </w:rPr>
        <w:t>ed increase in numbers from 2014</w:t>
      </w:r>
      <w:r w:rsidR="003A432F" w:rsidRPr="00CC4F07">
        <w:rPr>
          <w:color w:val="000000" w:themeColor="text1"/>
        </w:rPr>
        <w:t xml:space="preserve"> to 2017, but a reduction in 2018</w:t>
      </w:r>
      <w:r w:rsidRPr="00CC4F07">
        <w:rPr>
          <w:color w:val="000000" w:themeColor="text1"/>
        </w:rPr>
        <w:t>. The findings for 201</w:t>
      </w:r>
      <w:r w:rsidR="0006407A" w:rsidRPr="00CC4F07">
        <w:rPr>
          <w:color w:val="000000" w:themeColor="text1"/>
        </w:rPr>
        <w:t>8</w:t>
      </w:r>
      <w:r w:rsidRPr="00CC4F07">
        <w:rPr>
          <w:color w:val="000000" w:themeColor="text1"/>
        </w:rPr>
        <w:t xml:space="preserve"> show that </w:t>
      </w:r>
      <w:r w:rsidR="00FF4DEE" w:rsidRPr="00CC4F07">
        <w:rPr>
          <w:color w:val="000000" w:themeColor="text1"/>
        </w:rPr>
        <w:t xml:space="preserve">while </w:t>
      </w:r>
      <w:r w:rsidRPr="00CC4F07">
        <w:rPr>
          <w:color w:val="000000" w:themeColor="text1"/>
        </w:rPr>
        <w:t xml:space="preserve">it is the </w:t>
      </w:r>
      <w:r w:rsidR="00FF4DEE" w:rsidRPr="00CC4F07">
        <w:rPr>
          <w:color w:val="000000" w:themeColor="text1"/>
        </w:rPr>
        <w:t xml:space="preserve">fifth </w:t>
      </w:r>
      <w:r w:rsidRPr="00CC4F07">
        <w:rPr>
          <w:color w:val="000000" w:themeColor="text1"/>
        </w:rPr>
        <w:t xml:space="preserve">consecutive year that the total number of employees </w:t>
      </w:r>
      <w:r w:rsidR="00FF4DEE" w:rsidRPr="00CC4F07">
        <w:rPr>
          <w:color w:val="000000" w:themeColor="text1"/>
        </w:rPr>
        <w:t xml:space="preserve">has increased, the </w:t>
      </w:r>
      <w:r w:rsidRPr="00CC4F07">
        <w:rPr>
          <w:color w:val="000000" w:themeColor="text1"/>
        </w:rPr>
        <w:t xml:space="preserve">number of employees with disabilities in the public sector </w:t>
      </w:r>
      <w:r w:rsidR="00FF4DEE" w:rsidRPr="00CC4F07">
        <w:rPr>
          <w:color w:val="000000" w:themeColor="text1"/>
        </w:rPr>
        <w:t>has reduced</w:t>
      </w:r>
      <w:r w:rsidR="005A14ED" w:rsidRPr="00CC4F07">
        <w:rPr>
          <w:color w:val="000000" w:themeColor="text1"/>
        </w:rPr>
        <w:t xml:space="preserve">. </w:t>
      </w:r>
      <w:r w:rsidR="00FF4DEE" w:rsidRPr="00CC4F07">
        <w:rPr>
          <w:color w:val="000000" w:themeColor="text1"/>
        </w:rPr>
        <w:t>This has led to a drop in the percentage of employees with disabilities, from 3.5% in 2017 to 3.3% in 2018.</w:t>
      </w:r>
    </w:p>
    <w:p w14:paraId="3B7FC8C4" w14:textId="3B69C8C1" w:rsidR="00362212" w:rsidRPr="00CC4F07" w:rsidRDefault="001330A5" w:rsidP="00633D4D">
      <w:pPr>
        <w:pStyle w:val="TableTitle"/>
      </w:pPr>
      <w:r w:rsidRPr="00CC4F07">
        <w:t xml:space="preserve">Table 1. </w:t>
      </w:r>
      <w:r w:rsidR="00362212" w:rsidRPr="00CC4F07">
        <w:t xml:space="preserve">Progress towards </w:t>
      </w:r>
      <w:r w:rsidR="009B11ED">
        <w:t xml:space="preserve">minimum </w:t>
      </w:r>
      <w:r w:rsidR="00362212" w:rsidRPr="00CC4F07">
        <w:t>3% target, 2007-2018</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40"/>
        <w:gridCol w:w="1967"/>
        <w:gridCol w:w="1980"/>
        <w:gridCol w:w="1980"/>
      </w:tblGrid>
      <w:tr w:rsidR="00FF4DEE" w:rsidRPr="00CC4F07" w14:paraId="099D6399" w14:textId="77777777" w:rsidTr="006D0030">
        <w:trPr>
          <w:tblHeader/>
          <w:jc w:val="center"/>
        </w:trPr>
        <w:tc>
          <w:tcPr>
            <w:tcW w:w="1740" w:type="dxa"/>
            <w:tcBorders>
              <w:bottom w:val="single" w:sz="12" w:space="0" w:color="000000"/>
            </w:tcBorders>
          </w:tcPr>
          <w:p w14:paraId="6CE56134" w14:textId="77777777" w:rsidR="00FF4DEE" w:rsidRPr="00CC4F07" w:rsidRDefault="00FF4DEE" w:rsidP="009A749D">
            <w:pPr>
              <w:pStyle w:val="TableHead"/>
              <w:keepNext/>
              <w:rPr>
                <w:rFonts w:ascii="Gill Sans MT" w:hAnsi="Gill Sans MT"/>
                <w:color w:val="000000" w:themeColor="text1"/>
              </w:rPr>
            </w:pPr>
            <w:r w:rsidRPr="00CC4F07">
              <w:rPr>
                <w:rFonts w:ascii="Gill Sans MT" w:hAnsi="Gill Sans MT"/>
                <w:color w:val="000000" w:themeColor="text1"/>
              </w:rPr>
              <w:t>Year</w:t>
            </w:r>
          </w:p>
        </w:tc>
        <w:tc>
          <w:tcPr>
            <w:tcW w:w="1967" w:type="dxa"/>
            <w:tcBorders>
              <w:bottom w:val="single" w:sz="12" w:space="0" w:color="000000"/>
            </w:tcBorders>
          </w:tcPr>
          <w:p w14:paraId="36CF0685" w14:textId="77777777" w:rsidR="00FF4DEE" w:rsidRPr="00CC4F07" w:rsidRDefault="00FF4DEE" w:rsidP="009A749D">
            <w:pPr>
              <w:pStyle w:val="TableHead"/>
              <w:keepNext/>
              <w:rPr>
                <w:rFonts w:ascii="Gill Sans MT" w:hAnsi="Gill Sans MT"/>
                <w:color w:val="000000" w:themeColor="text1"/>
              </w:rPr>
            </w:pPr>
            <w:r w:rsidRPr="00CC4F07">
              <w:rPr>
                <w:rFonts w:ascii="Gill Sans MT" w:hAnsi="Gill Sans MT"/>
                <w:color w:val="000000" w:themeColor="text1"/>
              </w:rPr>
              <w:t>Total employees</w:t>
            </w:r>
          </w:p>
        </w:tc>
        <w:tc>
          <w:tcPr>
            <w:tcW w:w="1980" w:type="dxa"/>
            <w:tcBorders>
              <w:bottom w:val="single" w:sz="12" w:space="0" w:color="000000"/>
            </w:tcBorders>
          </w:tcPr>
          <w:p w14:paraId="3F39F542" w14:textId="77777777" w:rsidR="00FF4DEE" w:rsidRPr="00CC4F07" w:rsidRDefault="00FF4DEE" w:rsidP="009A749D">
            <w:pPr>
              <w:pStyle w:val="TableHead"/>
              <w:keepNext/>
              <w:rPr>
                <w:rFonts w:ascii="Gill Sans MT" w:hAnsi="Gill Sans MT"/>
                <w:color w:val="000000" w:themeColor="text1"/>
              </w:rPr>
            </w:pPr>
            <w:r w:rsidRPr="00CC4F07">
              <w:rPr>
                <w:rFonts w:ascii="Gill Sans MT" w:hAnsi="Gill Sans MT"/>
                <w:color w:val="000000" w:themeColor="text1"/>
              </w:rPr>
              <w:t>Recorded no. of employees with disabilities</w:t>
            </w:r>
          </w:p>
        </w:tc>
        <w:tc>
          <w:tcPr>
            <w:tcW w:w="1980" w:type="dxa"/>
            <w:tcBorders>
              <w:bottom w:val="single" w:sz="12" w:space="0" w:color="000000"/>
            </w:tcBorders>
          </w:tcPr>
          <w:p w14:paraId="2D82AFC2" w14:textId="77777777" w:rsidR="00FF4DEE" w:rsidRPr="00CC4F07" w:rsidRDefault="00FF4DEE" w:rsidP="009A749D">
            <w:pPr>
              <w:pStyle w:val="TableHead"/>
              <w:keepNext/>
              <w:rPr>
                <w:rFonts w:ascii="Gill Sans MT" w:hAnsi="Gill Sans MT"/>
                <w:color w:val="000000" w:themeColor="text1"/>
              </w:rPr>
            </w:pPr>
            <w:r w:rsidRPr="00CC4F07">
              <w:rPr>
                <w:rFonts w:ascii="Gill Sans MT" w:hAnsi="Gill Sans MT"/>
                <w:color w:val="000000" w:themeColor="text1"/>
              </w:rPr>
              <w:t>% of total employees</w:t>
            </w:r>
          </w:p>
        </w:tc>
      </w:tr>
      <w:tr w:rsidR="00FF4DEE" w:rsidRPr="00CC4F07" w14:paraId="52320580" w14:textId="77777777" w:rsidTr="006D0030">
        <w:trPr>
          <w:jc w:val="center"/>
        </w:trPr>
        <w:tc>
          <w:tcPr>
            <w:tcW w:w="1740" w:type="dxa"/>
            <w:tcBorders>
              <w:top w:val="single" w:sz="12" w:space="0" w:color="000000"/>
              <w:bottom w:val="single" w:sz="4" w:space="0" w:color="auto"/>
            </w:tcBorders>
          </w:tcPr>
          <w:p w14:paraId="760287F2"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2007</w:t>
            </w:r>
          </w:p>
        </w:tc>
        <w:tc>
          <w:tcPr>
            <w:tcW w:w="1967" w:type="dxa"/>
            <w:tcBorders>
              <w:top w:val="single" w:sz="12" w:space="0" w:color="000000"/>
              <w:bottom w:val="single" w:sz="4" w:space="0" w:color="auto"/>
            </w:tcBorders>
          </w:tcPr>
          <w:p w14:paraId="5A2644ED"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238,833</w:t>
            </w:r>
          </w:p>
        </w:tc>
        <w:tc>
          <w:tcPr>
            <w:tcW w:w="1980" w:type="dxa"/>
            <w:tcBorders>
              <w:top w:val="single" w:sz="12" w:space="0" w:color="000000"/>
              <w:bottom w:val="single" w:sz="4" w:space="0" w:color="auto"/>
            </w:tcBorders>
          </w:tcPr>
          <w:p w14:paraId="092F153D"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 xml:space="preserve">5,879 </w:t>
            </w:r>
          </w:p>
        </w:tc>
        <w:tc>
          <w:tcPr>
            <w:tcW w:w="1980" w:type="dxa"/>
            <w:tcBorders>
              <w:top w:val="single" w:sz="12" w:space="0" w:color="000000"/>
              <w:bottom w:val="single" w:sz="4" w:space="0" w:color="auto"/>
            </w:tcBorders>
          </w:tcPr>
          <w:p w14:paraId="6E4E702B"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2.5%</w:t>
            </w:r>
          </w:p>
        </w:tc>
      </w:tr>
      <w:tr w:rsidR="00FF4DEE" w:rsidRPr="00CC4F07" w14:paraId="76A8463A" w14:textId="77777777" w:rsidTr="006D0030">
        <w:trPr>
          <w:jc w:val="center"/>
        </w:trPr>
        <w:tc>
          <w:tcPr>
            <w:tcW w:w="1740" w:type="dxa"/>
            <w:tcBorders>
              <w:top w:val="single" w:sz="4" w:space="0" w:color="auto"/>
              <w:bottom w:val="single" w:sz="4" w:space="0" w:color="auto"/>
            </w:tcBorders>
          </w:tcPr>
          <w:p w14:paraId="6409DE48"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2008</w:t>
            </w:r>
          </w:p>
        </w:tc>
        <w:tc>
          <w:tcPr>
            <w:tcW w:w="1967" w:type="dxa"/>
            <w:tcBorders>
              <w:top w:val="single" w:sz="4" w:space="0" w:color="auto"/>
              <w:bottom w:val="single" w:sz="4" w:space="0" w:color="auto"/>
            </w:tcBorders>
          </w:tcPr>
          <w:p w14:paraId="69A167BD"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229,000</w:t>
            </w:r>
          </w:p>
        </w:tc>
        <w:tc>
          <w:tcPr>
            <w:tcW w:w="1980" w:type="dxa"/>
            <w:tcBorders>
              <w:top w:val="single" w:sz="4" w:space="0" w:color="auto"/>
              <w:bottom w:val="single" w:sz="4" w:space="0" w:color="auto"/>
            </w:tcBorders>
          </w:tcPr>
          <w:p w14:paraId="7015B9F7"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 xml:space="preserve"> 6,083 </w:t>
            </w:r>
          </w:p>
        </w:tc>
        <w:tc>
          <w:tcPr>
            <w:tcW w:w="1980" w:type="dxa"/>
            <w:tcBorders>
              <w:top w:val="single" w:sz="4" w:space="0" w:color="auto"/>
              <w:bottom w:val="single" w:sz="4" w:space="0" w:color="auto"/>
            </w:tcBorders>
          </w:tcPr>
          <w:p w14:paraId="0C8C1FAF"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2.7%</w:t>
            </w:r>
          </w:p>
        </w:tc>
      </w:tr>
      <w:tr w:rsidR="00FF4DEE" w:rsidRPr="00CC4F07" w14:paraId="6D05F9C0" w14:textId="77777777" w:rsidTr="006D0030">
        <w:trPr>
          <w:jc w:val="center"/>
        </w:trPr>
        <w:tc>
          <w:tcPr>
            <w:tcW w:w="1740" w:type="dxa"/>
            <w:tcBorders>
              <w:top w:val="single" w:sz="4" w:space="0" w:color="auto"/>
              <w:bottom w:val="single" w:sz="6" w:space="0" w:color="000000"/>
            </w:tcBorders>
          </w:tcPr>
          <w:p w14:paraId="309B0E1E"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2009</w:t>
            </w:r>
          </w:p>
        </w:tc>
        <w:tc>
          <w:tcPr>
            <w:tcW w:w="1967" w:type="dxa"/>
            <w:tcBorders>
              <w:top w:val="single" w:sz="4" w:space="0" w:color="auto"/>
              <w:bottom w:val="single" w:sz="6" w:space="0" w:color="000000"/>
            </w:tcBorders>
          </w:tcPr>
          <w:p w14:paraId="47794FDE"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219,653</w:t>
            </w:r>
          </w:p>
        </w:tc>
        <w:tc>
          <w:tcPr>
            <w:tcW w:w="1980" w:type="dxa"/>
            <w:tcBorders>
              <w:top w:val="single" w:sz="4" w:space="0" w:color="auto"/>
              <w:bottom w:val="single" w:sz="6" w:space="0" w:color="000000"/>
            </w:tcBorders>
          </w:tcPr>
          <w:p w14:paraId="13F9CF9E"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 xml:space="preserve">6,380 </w:t>
            </w:r>
          </w:p>
        </w:tc>
        <w:tc>
          <w:tcPr>
            <w:tcW w:w="1980" w:type="dxa"/>
            <w:tcBorders>
              <w:top w:val="single" w:sz="4" w:space="0" w:color="auto"/>
              <w:bottom w:val="single" w:sz="6" w:space="0" w:color="000000"/>
            </w:tcBorders>
          </w:tcPr>
          <w:p w14:paraId="719E9D50"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2.9%</w:t>
            </w:r>
          </w:p>
        </w:tc>
      </w:tr>
      <w:tr w:rsidR="00FF4DEE" w:rsidRPr="00CC4F07" w14:paraId="075E1C88" w14:textId="77777777" w:rsidTr="006D0030">
        <w:trPr>
          <w:jc w:val="center"/>
        </w:trPr>
        <w:tc>
          <w:tcPr>
            <w:tcW w:w="1740" w:type="dxa"/>
            <w:tcBorders>
              <w:top w:val="single" w:sz="6" w:space="0" w:color="000000"/>
            </w:tcBorders>
          </w:tcPr>
          <w:p w14:paraId="194B25FA"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2010</w:t>
            </w:r>
          </w:p>
        </w:tc>
        <w:tc>
          <w:tcPr>
            <w:tcW w:w="1967" w:type="dxa"/>
            <w:tcBorders>
              <w:top w:val="single" w:sz="6" w:space="0" w:color="000000"/>
            </w:tcBorders>
          </w:tcPr>
          <w:p w14:paraId="72FC9899"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210,249</w:t>
            </w:r>
          </w:p>
        </w:tc>
        <w:tc>
          <w:tcPr>
            <w:tcW w:w="1980" w:type="dxa"/>
            <w:tcBorders>
              <w:top w:val="single" w:sz="6" w:space="0" w:color="000000"/>
            </w:tcBorders>
          </w:tcPr>
          <w:p w14:paraId="5F7708EF"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 xml:space="preserve">5,748 </w:t>
            </w:r>
          </w:p>
        </w:tc>
        <w:tc>
          <w:tcPr>
            <w:tcW w:w="1980" w:type="dxa"/>
            <w:tcBorders>
              <w:top w:val="single" w:sz="6" w:space="0" w:color="000000"/>
            </w:tcBorders>
          </w:tcPr>
          <w:p w14:paraId="749EB3A1"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2.7%</w:t>
            </w:r>
          </w:p>
        </w:tc>
      </w:tr>
      <w:tr w:rsidR="00FF4DEE" w:rsidRPr="00CC4F07" w14:paraId="29B76D8C" w14:textId="77777777" w:rsidTr="006D0030">
        <w:trPr>
          <w:jc w:val="center"/>
        </w:trPr>
        <w:tc>
          <w:tcPr>
            <w:tcW w:w="1740" w:type="dxa"/>
          </w:tcPr>
          <w:p w14:paraId="40793664"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2011</w:t>
            </w:r>
          </w:p>
        </w:tc>
        <w:tc>
          <w:tcPr>
            <w:tcW w:w="1967" w:type="dxa"/>
          </w:tcPr>
          <w:p w14:paraId="052881E2"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205,068</w:t>
            </w:r>
          </w:p>
        </w:tc>
        <w:tc>
          <w:tcPr>
            <w:tcW w:w="1980" w:type="dxa"/>
          </w:tcPr>
          <w:p w14:paraId="7E0B6F9F"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 xml:space="preserve">6,171 </w:t>
            </w:r>
          </w:p>
        </w:tc>
        <w:tc>
          <w:tcPr>
            <w:tcW w:w="1980" w:type="dxa"/>
          </w:tcPr>
          <w:p w14:paraId="17C633A1"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3.0%</w:t>
            </w:r>
          </w:p>
        </w:tc>
      </w:tr>
      <w:tr w:rsidR="00FF4DEE" w:rsidRPr="00CC4F07" w14:paraId="3F24AA3B" w14:textId="77777777" w:rsidTr="006D0030">
        <w:trPr>
          <w:jc w:val="center"/>
        </w:trPr>
        <w:tc>
          <w:tcPr>
            <w:tcW w:w="1740" w:type="dxa"/>
          </w:tcPr>
          <w:p w14:paraId="7CF26753"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2012</w:t>
            </w:r>
          </w:p>
        </w:tc>
        <w:tc>
          <w:tcPr>
            <w:tcW w:w="1967" w:type="dxa"/>
          </w:tcPr>
          <w:p w14:paraId="7A72E8B0"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197,588</w:t>
            </w:r>
          </w:p>
        </w:tc>
        <w:tc>
          <w:tcPr>
            <w:tcW w:w="1980" w:type="dxa"/>
          </w:tcPr>
          <w:p w14:paraId="2555ACCA"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6,611</w:t>
            </w:r>
          </w:p>
        </w:tc>
        <w:tc>
          <w:tcPr>
            <w:tcW w:w="1980" w:type="dxa"/>
          </w:tcPr>
          <w:p w14:paraId="62D276CE"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3.3%</w:t>
            </w:r>
          </w:p>
        </w:tc>
      </w:tr>
      <w:tr w:rsidR="00FF4DEE" w:rsidRPr="00CC4F07" w14:paraId="34478987" w14:textId="77777777" w:rsidTr="006D0030">
        <w:trPr>
          <w:jc w:val="center"/>
        </w:trPr>
        <w:tc>
          <w:tcPr>
            <w:tcW w:w="1740" w:type="dxa"/>
          </w:tcPr>
          <w:p w14:paraId="7CA37AC3"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2013</w:t>
            </w:r>
          </w:p>
        </w:tc>
        <w:tc>
          <w:tcPr>
            <w:tcW w:w="1967" w:type="dxa"/>
          </w:tcPr>
          <w:p w14:paraId="26A9892C"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192,576</w:t>
            </w:r>
          </w:p>
        </w:tc>
        <w:tc>
          <w:tcPr>
            <w:tcW w:w="1980" w:type="dxa"/>
          </w:tcPr>
          <w:p w14:paraId="51001A0D"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6,464</w:t>
            </w:r>
          </w:p>
        </w:tc>
        <w:tc>
          <w:tcPr>
            <w:tcW w:w="1980" w:type="dxa"/>
          </w:tcPr>
          <w:p w14:paraId="0BF43FFD"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3.4%</w:t>
            </w:r>
          </w:p>
        </w:tc>
      </w:tr>
      <w:tr w:rsidR="00FF4DEE" w:rsidRPr="00CC4F07" w14:paraId="2CE226FC" w14:textId="77777777" w:rsidTr="006D0030">
        <w:trPr>
          <w:jc w:val="center"/>
        </w:trPr>
        <w:tc>
          <w:tcPr>
            <w:tcW w:w="1740" w:type="dxa"/>
          </w:tcPr>
          <w:p w14:paraId="3773D7DC"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2014</w:t>
            </w:r>
          </w:p>
        </w:tc>
        <w:tc>
          <w:tcPr>
            <w:tcW w:w="1967" w:type="dxa"/>
          </w:tcPr>
          <w:p w14:paraId="722CE843"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195,278</w:t>
            </w:r>
          </w:p>
        </w:tc>
        <w:tc>
          <w:tcPr>
            <w:tcW w:w="1980" w:type="dxa"/>
          </w:tcPr>
          <w:p w14:paraId="3FD74E46"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6,771</w:t>
            </w:r>
          </w:p>
        </w:tc>
        <w:tc>
          <w:tcPr>
            <w:tcW w:w="1980" w:type="dxa"/>
          </w:tcPr>
          <w:p w14:paraId="41E297B1"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3.5%</w:t>
            </w:r>
          </w:p>
        </w:tc>
      </w:tr>
      <w:tr w:rsidR="00FF4DEE" w:rsidRPr="00CC4F07" w14:paraId="513ED7A6" w14:textId="77777777" w:rsidTr="006D0030">
        <w:trPr>
          <w:jc w:val="center"/>
        </w:trPr>
        <w:tc>
          <w:tcPr>
            <w:tcW w:w="1740" w:type="dxa"/>
          </w:tcPr>
          <w:p w14:paraId="7AFE6889"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2015</w:t>
            </w:r>
          </w:p>
        </w:tc>
        <w:tc>
          <w:tcPr>
            <w:tcW w:w="1967" w:type="dxa"/>
          </w:tcPr>
          <w:p w14:paraId="0CFD4B8E"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201,341</w:t>
            </w:r>
          </w:p>
        </w:tc>
        <w:tc>
          <w:tcPr>
            <w:tcW w:w="1980" w:type="dxa"/>
          </w:tcPr>
          <w:p w14:paraId="6C483CC2"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7,245</w:t>
            </w:r>
          </w:p>
        </w:tc>
        <w:tc>
          <w:tcPr>
            <w:tcW w:w="1980" w:type="dxa"/>
          </w:tcPr>
          <w:p w14:paraId="2A4FC4D5"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3.6%</w:t>
            </w:r>
          </w:p>
        </w:tc>
      </w:tr>
      <w:tr w:rsidR="00FF4DEE" w:rsidRPr="00CC4F07" w14:paraId="2B0F21A8" w14:textId="77777777" w:rsidTr="006D0030">
        <w:trPr>
          <w:jc w:val="center"/>
        </w:trPr>
        <w:tc>
          <w:tcPr>
            <w:tcW w:w="1740" w:type="dxa"/>
          </w:tcPr>
          <w:p w14:paraId="72E3E4F3" w14:textId="77777777" w:rsidR="00FF4DEE" w:rsidRPr="00CC4F07" w:rsidDel="006E420A" w:rsidRDefault="00FF4DEE" w:rsidP="009A749D">
            <w:pPr>
              <w:spacing w:after="0"/>
              <w:jc w:val="right"/>
              <w:rPr>
                <w:rFonts w:ascii="Gill Sans MT" w:hAnsi="Gill Sans MT"/>
                <w:color w:val="000000" w:themeColor="text1"/>
                <w:szCs w:val="26"/>
              </w:rPr>
            </w:pPr>
            <w:r w:rsidRPr="00CC4F07">
              <w:rPr>
                <w:rFonts w:ascii="Gill Sans MT" w:hAnsi="Gill Sans MT"/>
                <w:color w:val="000000" w:themeColor="text1"/>
                <w:szCs w:val="26"/>
              </w:rPr>
              <w:t>2016</w:t>
            </w:r>
          </w:p>
        </w:tc>
        <w:tc>
          <w:tcPr>
            <w:tcW w:w="1967" w:type="dxa"/>
          </w:tcPr>
          <w:p w14:paraId="2BD342D4"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olor w:val="000000" w:themeColor="text1"/>
                <w:szCs w:val="26"/>
              </w:rPr>
              <w:t>213,991</w:t>
            </w:r>
          </w:p>
        </w:tc>
        <w:tc>
          <w:tcPr>
            <w:tcW w:w="1980" w:type="dxa"/>
          </w:tcPr>
          <w:p w14:paraId="62B77EED"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olor w:val="000000" w:themeColor="text1"/>
                <w:szCs w:val="26"/>
              </w:rPr>
              <w:t>7,457</w:t>
            </w:r>
          </w:p>
        </w:tc>
        <w:tc>
          <w:tcPr>
            <w:tcW w:w="1980" w:type="dxa"/>
          </w:tcPr>
          <w:p w14:paraId="348D47FA"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olor w:val="000000" w:themeColor="text1"/>
                <w:szCs w:val="26"/>
              </w:rPr>
              <w:t>3.5%</w:t>
            </w:r>
          </w:p>
        </w:tc>
      </w:tr>
      <w:tr w:rsidR="00FF4DEE" w:rsidRPr="00CC4F07" w14:paraId="16C1FEDF" w14:textId="77777777" w:rsidTr="006D0030">
        <w:trPr>
          <w:jc w:val="center"/>
        </w:trPr>
        <w:tc>
          <w:tcPr>
            <w:tcW w:w="1740" w:type="dxa"/>
          </w:tcPr>
          <w:p w14:paraId="7E8AE9B8"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olor w:val="000000" w:themeColor="text1"/>
                <w:szCs w:val="26"/>
              </w:rPr>
              <w:t>2017</w:t>
            </w:r>
          </w:p>
        </w:tc>
        <w:tc>
          <w:tcPr>
            <w:tcW w:w="1967" w:type="dxa"/>
          </w:tcPr>
          <w:p w14:paraId="323520D2"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s="Arial"/>
                <w:szCs w:val="26"/>
                <w:lang w:eastAsia="en-IE"/>
              </w:rPr>
              <w:t>225,809</w:t>
            </w:r>
          </w:p>
        </w:tc>
        <w:tc>
          <w:tcPr>
            <w:tcW w:w="1980" w:type="dxa"/>
          </w:tcPr>
          <w:p w14:paraId="3B38DE33"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s="Arial"/>
                <w:szCs w:val="26"/>
                <w:lang w:eastAsia="en-IE"/>
              </w:rPr>
              <w:t>7,796</w:t>
            </w:r>
          </w:p>
        </w:tc>
        <w:tc>
          <w:tcPr>
            <w:tcW w:w="1980" w:type="dxa"/>
          </w:tcPr>
          <w:p w14:paraId="0FB11010"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s="Arial"/>
                <w:szCs w:val="26"/>
                <w:lang w:eastAsia="en-IE"/>
              </w:rPr>
              <w:t>3.5%</w:t>
            </w:r>
          </w:p>
        </w:tc>
      </w:tr>
      <w:tr w:rsidR="00FF4DEE" w:rsidRPr="00CC4F07" w14:paraId="3CE5CD19" w14:textId="77777777" w:rsidTr="006D0030">
        <w:trPr>
          <w:jc w:val="center"/>
        </w:trPr>
        <w:tc>
          <w:tcPr>
            <w:tcW w:w="1740" w:type="dxa"/>
            <w:tcBorders>
              <w:bottom w:val="single" w:sz="4" w:space="0" w:color="auto"/>
            </w:tcBorders>
          </w:tcPr>
          <w:p w14:paraId="7DB5FE95" w14:textId="06257CE4" w:rsidR="00FF4DEE" w:rsidRPr="00CC4F07" w:rsidRDefault="00FF4DEE" w:rsidP="009A749D">
            <w:pPr>
              <w:spacing w:after="0"/>
              <w:jc w:val="right"/>
              <w:rPr>
                <w:rFonts w:ascii="Gill Sans MT" w:hAnsi="Gill Sans MT"/>
                <w:b/>
                <w:color w:val="000000" w:themeColor="text1"/>
                <w:szCs w:val="26"/>
              </w:rPr>
            </w:pPr>
            <w:r w:rsidRPr="00CC4F07">
              <w:rPr>
                <w:rFonts w:ascii="Gill Sans MT" w:hAnsi="Gill Sans MT"/>
                <w:b/>
                <w:color w:val="000000" w:themeColor="text1"/>
                <w:szCs w:val="26"/>
              </w:rPr>
              <w:t>2018</w:t>
            </w:r>
          </w:p>
        </w:tc>
        <w:tc>
          <w:tcPr>
            <w:tcW w:w="1967" w:type="dxa"/>
            <w:tcBorders>
              <w:bottom w:val="single" w:sz="4" w:space="0" w:color="auto"/>
            </w:tcBorders>
          </w:tcPr>
          <w:p w14:paraId="49F498D5" w14:textId="7C64C789" w:rsidR="00FF4DEE" w:rsidRPr="00CC4F07" w:rsidRDefault="00FF4DEE" w:rsidP="009A749D">
            <w:pPr>
              <w:spacing w:after="0"/>
              <w:jc w:val="right"/>
              <w:rPr>
                <w:rFonts w:ascii="Gill Sans MT" w:hAnsi="Gill Sans MT" w:cs="Arial"/>
                <w:b/>
                <w:szCs w:val="26"/>
                <w:lang w:eastAsia="en-IE"/>
              </w:rPr>
            </w:pPr>
            <w:r w:rsidRPr="00CC4F07">
              <w:rPr>
                <w:rFonts w:ascii="Gill Sans MT" w:hAnsi="Gill Sans MT" w:cs="Arial"/>
                <w:b/>
                <w:szCs w:val="26"/>
                <w:lang w:eastAsia="en-IE"/>
              </w:rPr>
              <w:t>231,706</w:t>
            </w:r>
          </w:p>
        </w:tc>
        <w:tc>
          <w:tcPr>
            <w:tcW w:w="1980" w:type="dxa"/>
            <w:tcBorders>
              <w:bottom w:val="single" w:sz="4" w:space="0" w:color="auto"/>
            </w:tcBorders>
          </w:tcPr>
          <w:p w14:paraId="47980336" w14:textId="2B20C461" w:rsidR="00FF4DEE" w:rsidRPr="00CC4F07" w:rsidRDefault="00FF4DEE" w:rsidP="009A749D">
            <w:pPr>
              <w:spacing w:after="0"/>
              <w:jc w:val="right"/>
              <w:rPr>
                <w:rFonts w:ascii="Gill Sans MT" w:hAnsi="Gill Sans MT" w:cs="Arial"/>
                <w:b/>
                <w:szCs w:val="26"/>
                <w:lang w:eastAsia="en-IE"/>
              </w:rPr>
            </w:pPr>
            <w:r w:rsidRPr="00CC4F07">
              <w:rPr>
                <w:rFonts w:ascii="Gill Sans MT" w:hAnsi="Gill Sans MT" w:cs="Arial"/>
                <w:b/>
                <w:szCs w:val="26"/>
                <w:lang w:eastAsia="en-IE"/>
              </w:rPr>
              <w:t>7,585</w:t>
            </w:r>
          </w:p>
        </w:tc>
        <w:tc>
          <w:tcPr>
            <w:tcW w:w="1980" w:type="dxa"/>
            <w:tcBorders>
              <w:bottom w:val="single" w:sz="4" w:space="0" w:color="auto"/>
            </w:tcBorders>
          </w:tcPr>
          <w:p w14:paraId="2DC014AC" w14:textId="08AD0FF7" w:rsidR="00FF4DEE" w:rsidRPr="00CC4F07" w:rsidRDefault="00FF4DEE" w:rsidP="009A749D">
            <w:pPr>
              <w:spacing w:after="0"/>
              <w:jc w:val="right"/>
              <w:rPr>
                <w:rFonts w:ascii="Gill Sans MT" w:hAnsi="Gill Sans MT" w:cs="Arial"/>
                <w:b/>
                <w:szCs w:val="26"/>
                <w:lang w:eastAsia="en-IE"/>
              </w:rPr>
            </w:pPr>
            <w:r w:rsidRPr="00CC4F07">
              <w:rPr>
                <w:rFonts w:ascii="Gill Sans MT" w:hAnsi="Gill Sans MT" w:cs="Arial"/>
                <w:b/>
                <w:szCs w:val="26"/>
                <w:lang w:eastAsia="en-IE"/>
              </w:rPr>
              <w:t>3.3%</w:t>
            </w:r>
          </w:p>
        </w:tc>
      </w:tr>
    </w:tbl>
    <w:p w14:paraId="77A3F6E6" w14:textId="77777777" w:rsidR="006D0030" w:rsidRDefault="006D0030">
      <w:pPr>
        <w:spacing w:after="0"/>
        <w:rPr>
          <w:rFonts w:ascii="Rockwell" w:hAnsi="Rockwell" w:cs="Arial Bold"/>
          <w:b/>
          <w:bCs/>
          <w:iCs/>
          <w:color w:val="CC3399"/>
          <w:sz w:val="32"/>
          <w:szCs w:val="32"/>
        </w:rPr>
      </w:pPr>
      <w:r>
        <w:rPr>
          <w:rFonts w:ascii="Rockwell" w:hAnsi="Rockwell"/>
          <w:color w:val="CC3399"/>
          <w:sz w:val="32"/>
          <w:szCs w:val="32"/>
        </w:rPr>
        <w:br w:type="page"/>
      </w:r>
    </w:p>
    <w:p w14:paraId="22855D08" w14:textId="54165411" w:rsidR="00933FBD" w:rsidRPr="00CC4F07" w:rsidRDefault="00933FBD" w:rsidP="00933FBD">
      <w:pPr>
        <w:pStyle w:val="Heading2"/>
        <w:rPr>
          <w:rFonts w:ascii="Rockwell" w:hAnsi="Rockwell"/>
          <w:color w:val="CC3399"/>
          <w:sz w:val="32"/>
          <w:szCs w:val="32"/>
        </w:rPr>
      </w:pPr>
      <w:bookmarkStart w:id="30" w:name="_Toc18680249"/>
      <w:r w:rsidRPr="00CC4F07">
        <w:rPr>
          <w:rFonts w:ascii="Rockwell" w:hAnsi="Rockwell"/>
          <w:color w:val="CC3399"/>
          <w:sz w:val="32"/>
          <w:szCs w:val="32"/>
        </w:rPr>
        <w:lastRenderedPageBreak/>
        <w:t>2.2 Changes in public bodies</w:t>
      </w:r>
      <w:bookmarkEnd w:id="28"/>
      <w:bookmarkEnd w:id="29"/>
      <w:bookmarkEnd w:id="30"/>
    </w:p>
    <w:p w14:paraId="16953DD4" w14:textId="0A029BC9" w:rsidR="005D4C6D" w:rsidRPr="00CC4F07" w:rsidRDefault="005D4C6D" w:rsidP="00F53C61">
      <w:r w:rsidRPr="00CC4F07">
        <w:t>The fol</w:t>
      </w:r>
      <w:r w:rsidR="00AC63A0" w:rsidRPr="00CC4F07">
        <w:t xml:space="preserve">lowing changes occurred in two </w:t>
      </w:r>
      <w:r w:rsidRPr="00CC4F07">
        <w:t>public bodies in 2018.</w:t>
      </w:r>
    </w:p>
    <w:p w14:paraId="211F33B4" w14:textId="32C8DAC2" w:rsidR="00633D4D" w:rsidRPr="00CC4F07" w:rsidRDefault="00633D4D" w:rsidP="00633D4D">
      <w:pPr>
        <w:pStyle w:val="TableTitle"/>
      </w:pPr>
      <w:r w:rsidRPr="00CC4F07">
        <w:t>Table 2</w:t>
      </w:r>
      <w:r w:rsidR="001330A5" w:rsidRPr="00CC4F07">
        <w:t>.</w:t>
      </w:r>
      <w:r w:rsidRPr="00CC4F07">
        <w:t xml:space="preserve"> Changes in public bodies in 2018 </w:t>
      </w:r>
    </w:p>
    <w:tbl>
      <w:tblPr>
        <w:tblW w:w="978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4"/>
        <w:gridCol w:w="956"/>
        <w:gridCol w:w="1134"/>
        <w:gridCol w:w="1276"/>
        <w:gridCol w:w="1417"/>
        <w:gridCol w:w="3544"/>
      </w:tblGrid>
      <w:tr w:rsidR="005D4C6D" w:rsidRPr="00CC4F07" w14:paraId="4EDB0AA9" w14:textId="77777777" w:rsidTr="00AF33CE">
        <w:trPr>
          <w:tblHeader/>
        </w:trPr>
        <w:tc>
          <w:tcPr>
            <w:tcW w:w="1454" w:type="dxa"/>
            <w:tcBorders>
              <w:bottom w:val="single" w:sz="12" w:space="0" w:color="000000"/>
            </w:tcBorders>
          </w:tcPr>
          <w:p w14:paraId="6FC21C5F" w14:textId="77777777" w:rsidR="005D4C6D" w:rsidRPr="00CC4F07" w:rsidRDefault="005D4C6D" w:rsidP="00AF33CE">
            <w:pPr>
              <w:pStyle w:val="TableHead"/>
              <w:jc w:val="right"/>
              <w:rPr>
                <w:sz w:val="22"/>
                <w:szCs w:val="22"/>
              </w:rPr>
            </w:pPr>
          </w:p>
        </w:tc>
        <w:tc>
          <w:tcPr>
            <w:tcW w:w="2090" w:type="dxa"/>
            <w:gridSpan w:val="2"/>
            <w:tcBorders>
              <w:bottom w:val="single" w:sz="12" w:space="0" w:color="000000"/>
            </w:tcBorders>
          </w:tcPr>
          <w:p w14:paraId="04C766FF" w14:textId="77777777" w:rsidR="005D4C6D" w:rsidRPr="00CC4F07" w:rsidRDefault="005D4C6D" w:rsidP="00AF33CE">
            <w:pPr>
              <w:pStyle w:val="TableHead"/>
              <w:rPr>
                <w:sz w:val="22"/>
                <w:szCs w:val="22"/>
              </w:rPr>
            </w:pPr>
            <w:r w:rsidRPr="00CC4F07">
              <w:rPr>
                <w:sz w:val="22"/>
                <w:szCs w:val="22"/>
              </w:rPr>
              <w:t>Total number of employees</w:t>
            </w:r>
          </w:p>
        </w:tc>
        <w:tc>
          <w:tcPr>
            <w:tcW w:w="2693" w:type="dxa"/>
            <w:gridSpan w:val="2"/>
            <w:tcBorders>
              <w:bottom w:val="single" w:sz="12" w:space="0" w:color="000000"/>
            </w:tcBorders>
          </w:tcPr>
          <w:p w14:paraId="70C6E920" w14:textId="7AE1735E" w:rsidR="005D4C6D" w:rsidRPr="00CC4F07" w:rsidRDefault="006D0030" w:rsidP="00AF33CE">
            <w:pPr>
              <w:pStyle w:val="TableHead"/>
              <w:rPr>
                <w:sz w:val="22"/>
                <w:szCs w:val="22"/>
              </w:rPr>
            </w:pPr>
            <w:r>
              <w:rPr>
                <w:sz w:val="22"/>
                <w:szCs w:val="22"/>
              </w:rPr>
              <w:t xml:space="preserve">Number and % of employees with </w:t>
            </w:r>
            <w:r w:rsidR="005D4C6D" w:rsidRPr="00CC4F07">
              <w:rPr>
                <w:sz w:val="22"/>
                <w:szCs w:val="22"/>
              </w:rPr>
              <w:t xml:space="preserve">disabilities </w:t>
            </w:r>
          </w:p>
        </w:tc>
        <w:tc>
          <w:tcPr>
            <w:tcW w:w="3544" w:type="dxa"/>
            <w:tcBorders>
              <w:bottom w:val="single" w:sz="12" w:space="0" w:color="000000"/>
            </w:tcBorders>
          </w:tcPr>
          <w:p w14:paraId="19EA5C13" w14:textId="77777777" w:rsidR="005D4C6D" w:rsidRPr="00CC4F07" w:rsidRDefault="005D4C6D" w:rsidP="00AF33CE">
            <w:pPr>
              <w:pStyle w:val="TableHead"/>
              <w:jc w:val="right"/>
              <w:rPr>
                <w:sz w:val="22"/>
                <w:szCs w:val="22"/>
              </w:rPr>
            </w:pPr>
          </w:p>
        </w:tc>
      </w:tr>
      <w:tr w:rsidR="005D4C6D" w:rsidRPr="00CC4F07" w14:paraId="28FD4D9A" w14:textId="77777777" w:rsidTr="00AF33CE">
        <w:trPr>
          <w:tblHeader/>
        </w:trPr>
        <w:tc>
          <w:tcPr>
            <w:tcW w:w="1454" w:type="dxa"/>
            <w:tcBorders>
              <w:bottom w:val="single" w:sz="12" w:space="0" w:color="000000"/>
            </w:tcBorders>
          </w:tcPr>
          <w:p w14:paraId="4434D35B" w14:textId="77777777" w:rsidR="005D4C6D" w:rsidRPr="00CC4F07" w:rsidRDefault="005D4C6D" w:rsidP="00AF33CE">
            <w:pPr>
              <w:pStyle w:val="TableHead"/>
              <w:rPr>
                <w:sz w:val="22"/>
                <w:szCs w:val="22"/>
              </w:rPr>
            </w:pPr>
            <w:r w:rsidRPr="00CC4F07">
              <w:rPr>
                <w:sz w:val="22"/>
                <w:szCs w:val="22"/>
              </w:rPr>
              <w:t xml:space="preserve">Public Body </w:t>
            </w:r>
          </w:p>
        </w:tc>
        <w:tc>
          <w:tcPr>
            <w:tcW w:w="956" w:type="dxa"/>
            <w:tcBorders>
              <w:bottom w:val="single" w:sz="12" w:space="0" w:color="000000"/>
            </w:tcBorders>
          </w:tcPr>
          <w:p w14:paraId="399D1B5B" w14:textId="6BF1C031" w:rsidR="005D4C6D" w:rsidRPr="00CC4F07" w:rsidRDefault="005D4C6D" w:rsidP="006D0030">
            <w:pPr>
              <w:pStyle w:val="TableHead"/>
              <w:jc w:val="right"/>
              <w:rPr>
                <w:sz w:val="22"/>
                <w:szCs w:val="22"/>
              </w:rPr>
            </w:pPr>
            <w:r w:rsidRPr="00CC4F07">
              <w:rPr>
                <w:sz w:val="22"/>
                <w:szCs w:val="22"/>
              </w:rPr>
              <w:t>2017</w:t>
            </w:r>
          </w:p>
        </w:tc>
        <w:tc>
          <w:tcPr>
            <w:tcW w:w="1134" w:type="dxa"/>
            <w:tcBorders>
              <w:bottom w:val="single" w:sz="12" w:space="0" w:color="000000"/>
            </w:tcBorders>
          </w:tcPr>
          <w:p w14:paraId="5B2F4EF8" w14:textId="66A8585D" w:rsidR="005D4C6D" w:rsidRPr="00CC4F07" w:rsidRDefault="005D4C6D" w:rsidP="006D0030">
            <w:pPr>
              <w:pStyle w:val="TableHead"/>
              <w:jc w:val="right"/>
              <w:rPr>
                <w:sz w:val="22"/>
                <w:szCs w:val="22"/>
              </w:rPr>
            </w:pPr>
            <w:r w:rsidRPr="00CC4F07">
              <w:rPr>
                <w:sz w:val="22"/>
                <w:szCs w:val="22"/>
              </w:rPr>
              <w:t>2018</w:t>
            </w:r>
          </w:p>
        </w:tc>
        <w:tc>
          <w:tcPr>
            <w:tcW w:w="1276" w:type="dxa"/>
            <w:tcBorders>
              <w:bottom w:val="single" w:sz="12" w:space="0" w:color="000000"/>
            </w:tcBorders>
          </w:tcPr>
          <w:p w14:paraId="40F562ED" w14:textId="72C7FCF3" w:rsidR="005D4C6D" w:rsidRPr="00CC4F07" w:rsidRDefault="005D4C6D" w:rsidP="006D0030">
            <w:pPr>
              <w:pStyle w:val="TableHead"/>
              <w:jc w:val="right"/>
              <w:rPr>
                <w:sz w:val="22"/>
                <w:szCs w:val="22"/>
              </w:rPr>
            </w:pPr>
            <w:r w:rsidRPr="00CC4F07">
              <w:rPr>
                <w:sz w:val="22"/>
                <w:szCs w:val="22"/>
              </w:rPr>
              <w:t>2017</w:t>
            </w:r>
          </w:p>
        </w:tc>
        <w:tc>
          <w:tcPr>
            <w:tcW w:w="1417" w:type="dxa"/>
            <w:tcBorders>
              <w:bottom w:val="single" w:sz="12" w:space="0" w:color="000000"/>
            </w:tcBorders>
          </w:tcPr>
          <w:p w14:paraId="20E0E7FB" w14:textId="7211E6DE" w:rsidR="005D4C6D" w:rsidRPr="00CC4F07" w:rsidRDefault="005D4C6D" w:rsidP="006D0030">
            <w:pPr>
              <w:pStyle w:val="TableHead"/>
              <w:jc w:val="right"/>
              <w:rPr>
                <w:sz w:val="22"/>
                <w:szCs w:val="22"/>
              </w:rPr>
            </w:pPr>
            <w:r w:rsidRPr="00CC4F07">
              <w:rPr>
                <w:sz w:val="22"/>
                <w:szCs w:val="22"/>
              </w:rPr>
              <w:t>2018</w:t>
            </w:r>
          </w:p>
        </w:tc>
        <w:tc>
          <w:tcPr>
            <w:tcW w:w="3544" w:type="dxa"/>
            <w:tcBorders>
              <w:bottom w:val="single" w:sz="12" w:space="0" w:color="000000"/>
            </w:tcBorders>
          </w:tcPr>
          <w:p w14:paraId="6F303F67" w14:textId="20A7B192" w:rsidR="005D4C6D" w:rsidRPr="00CC4F07" w:rsidRDefault="005D4C6D" w:rsidP="00AF33CE">
            <w:pPr>
              <w:pStyle w:val="TableHead"/>
              <w:rPr>
                <w:sz w:val="22"/>
                <w:szCs w:val="22"/>
              </w:rPr>
            </w:pPr>
            <w:r w:rsidRPr="00CC4F07">
              <w:rPr>
                <w:sz w:val="22"/>
                <w:szCs w:val="22"/>
              </w:rPr>
              <w:t>Changes in 2018</w:t>
            </w:r>
          </w:p>
        </w:tc>
      </w:tr>
      <w:tr w:rsidR="005D4C6D" w:rsidRPr="00CC4F07" w14:paraId="07E913E2" w14:textId="77777777" w:rsidTr="00AF33CE">
        <w:tc>
          <w:tcPr>
            <w:tcW w:w="1454" w:type="dxa"/>
            <w:tcBorders>
              <w:top w:val="single" w:sz="12" w:space="0" w:color="000000"/>
            </w:tcBorders>
          </w:tcPr>
          <w:p w14:paraId="1896D81A" w14:textId="350C626A" w:rsidR="005D4C6D" w:rsidRPr="00CC4F07" w:rsidRDefault="00A743C5" w:rsidP="00AF33CE">
            <w:pPr>
              <w:rPr>
                <w:rFonts w:ascii="Gill Sans MT" w:hAnsi="Gill Sans MT"/>
                <w:sz w:val="22"/>
                <w:szCs w:val="22"/>
              </w:rPr>
            </w:pPr>
            <w:r w:rsidRPr="00CC4F07">
              <w:rPr>
                <w:rFonts w:ascii="Gill Sans MT" w:hAnsi="Gill Sans MT"/>
                <w:sz w:val="22"/>
                <w:szCs w:val="22"/>
              </w:rPr>
              <w:t>Dun Laoghaire Harbour</w:t>
            </w:r>
          </w:p>
        </w:tc>
        <w:tc>
          <w:tcPr>
            <w:tcW w:w="956" w:type="dxa"/>
            <w:tcBorders>
              <w:top w:val="single" w:sz="12" w:space="0" w:color="000000"/>
            </w:tcBorders>
          </w:tcPr>
          <w:p w14:paraId="6DED1809" w14:textId="39BA4B1C" w:rsidR="005D4C6D" w:rsidRPr="00CC4F07" w:rsidRDefault="00A743C5" w:rsidP="00AF33CE">
            <w:pPr>
              <w:jc w:val="right"/>
              <w:rPr>
                <w:rFonts w:ascii="Gill Sans MT" w:hAnsi="Gill Sans MT"/>
                <w:sz w:val="22"/>
                <w:szCs w:val="22"/>
              </w:rPr>
            </w:pPr>
            <w:r w:rsidRPr="00CC4F07">
              <w:rPr>
                <w:rFonts w:ascii="Gill Sans MT" w:hAnsi="Gill Sans MT"/>
                <w:sz w:val="22"/>
                <w:szCs w:val="22"/>
              </w:rPr>
              <w:t>21</w:t>
            </w:r>
          </w:p>
        </w:tc>
        <w:tc>
          <w:tcPr>
            <w:tcW w:w="1134" w:type="dxa"/>
            <w:tcBorders>
              <w:top w:val="single" w:sz="12" w:space="0" w:color="000000"/>
            </w:tcBorders>
          </w:tcPr>
          <w:p w14:paraId="3BC0131F" w14:textId="2F88A400" w:rsidR="005D4C6D" w:rsidRPr="00CC4F07" w:rsidRDefault="00A743C5" w:rsidP="00AF33CE">
            <w:pPr>
              <w:jc w:val="right"/>
              <w:rPr>
                <w:rFonts w:ascii="Gill Sans MT" w:hAnsi="Gill Sans MT"/>
                <w:sz w:val="22"/>
                <w:szCs w:val="22"/>
              </w:rPr>
            </w:pPr>
            <w:r w:rsidRPr="00CC4F07">
              <w:rPr>
                <w:rFonts w:ascii="Gill Sans MT" w:hAnsi="Gill Sans MT"/>
                <w:sz w:val="22"/>
                <w:szCs w:val="22"/>
              </w:rPr>
              <w:t>0</w:t>
            </w:r>
          </w:p>
        </w:tc>
        <w:tc>
          <w:tcPr>
            <w:tcW w:w="1276" w:type="dxa"/>
            <w:tcBorders>
              <w:top w:val="single" w:sz="12" w:space="0" w:color="000000"/>
            </w:tcBorders>
          </w:tcPr>
          <w:p w14:paraId="52AA5DDC" w14:textId="2DE0D5CE" w:rsidR="005D4C6D" w:rsidRPr="00CC4F07" w:rsidRDefault="00A743C5" w:rsidP="00AF33CE">
            <w:pPr>
              <w:jc w:val="right"/>
              <w:rPr>
                <w:rFonts w:ascii="Gill Sans MT" w:hAnsi="Gill Sans MT"/>
                <w:sz w:val="22"/>
                <w:szCs w:val="22"/>
              </w:rPr>
            </w:pPr>
            <w:r w:rsidRPr="00CC4F07">
              <w:rPr>
                <w:rFonts w:ascii="Gill Sans MT" w:hAnsi="Gill Sans MT"/>
                <w:sz w:val="22"/>
                <w:szCs w:val="22"/>
              </w:rPr>
              <w:t>1 (4.8%)</w:t>
            </w:r>
          </w:p>
        </w:tc>
        <w:tc>
          <w:tcPr>
            <w:tcW w:w="1417" w:type="dxa"/>
            <w:tcBorders>
              <w:top w:val="single" w:sz="12" w:space="0" w:color="000000"/>
            </w:tcBorders>
          </w:tcPr>
          <w:p w14:paraId="6CDF9357" w14:textId="4C165E91" w:rsidR="005D4C6D" w:rsidRPr="00CC4F07" w:rsidRDefault="005D4C6D" w:rsidP="00AF33CE">
            <w:pPr>
              <w:jc w:val="right"/>
              <w:rPr>
                <w:rFonts w:ascii="Gill Sans MT" w:hAnsi="Gill Sans MT"/>
                <w:sz w:val="22"/>
                <w:szCs w:val="22"/>
              </w:rPr>
            </w:pPr>
          </w:p>
        </w:tc>
        <w:tc>
          <w:tcPr>
            <w:tcW w:w="3544" w:type="dxa"/>
            <w:tcBorders>
              <w:top w:val="single" w:sz="12" w:space="0" w:color="000000"/>
            </w:tcBorders>
          </w:tcPr>
          <w:p w14:paraId="58246950" w14:textId="211A499B" w:rsidR="005D4C6D" w:rsidRPr="00CC4F07" w:rsidRDefault="00A743C5" w:rsidP="00FF26B9">
            <w:pPr>
              <w:rPr>
                <w:rFonts w:ascii="Gill Sans MT" w:hAnsi="Gill Sans MT"/>
                <w:sz w:val="22"/>
                <w:szCs w:val="22"/>
              </w:rPr>
            </w:pPr>
            <w:r w:rsidRPr="00CC4F07">
              <w:rPr>
                <w:rFonts w:ascii="Gill Sans MT" w:hAnsi="Gill Sans MT"/>
                <w:sz w:val="22"/>
                <w:szCs w:val="22"/>
              </w:rPr>
              <w:t>In 2018,</w:t>
            </w:r>
            <w:r w:rsidRPr="00CC4F07">
              <w:rPr>
                <w:color w:val="000000" w:themeColor="text1"/>
                <w:sz w:val="22"/>
                <w:szCs w:val="22"/>
              </w:rPr>
              <w:t xml:space="preserve"> ownership of this public body transferred to Dun Laoghaire </w:t>
            </w:r>
            <w:proofErr w:type="spellStart"/>
            <w:r w:rsidR="008E25E6" w:rsidRPr="00CC4F07">
              <w:rPr>
                <w:color w:val="000000" w:themeColor="text1"/>
                <w:sz w:val="22"/>
                <w:szCs w:val="22"/>
              </w:rPr>
              <w:t>Rathdown</w:t>
            </w:r>
            <w:proofErr w:type="spellEnd"/>
            <w:r w:rsidR="008E25E6" w:rsidRPr="00CC4F07">
              <w:rPr>
                <w:color w:val="000000" w:themeColor="text1"/>
                <w:sz w:val="22"/>
                <w:szCs w:val="22"/>
              </w:rPr>
              <w:t xml:space="preserve"> County</w:t>
            </w:r>
            <w:r w:rsidRPr="00CC4F07">
              <w:rPr>
                <w:color w:val="000000" w:themeColor="text1"/>
                <w:sz w:val="22"/>
                <w:szCs w:val="22"/>
              </w:rPr>
              <w:t xml:space="preserve"> Council. This public body’s figures for 2018 were included in </w:t>
            </w:r>
            <w:r w:rsidR="00FF26B9" w:rsidRPr="00CC4F07">
              <w:rPr>
                <w:color w:val="000000" w:themeColor="text1"/>
                <w:sz w:val="22"/>
                <w:szCs w:val="22"/>
              </w:rPr>
              <w:t xml:space="preserve">this Council’s </w:t>
            </w:r>
            <w:r w:rsidRPr="00CC4F07">
              <w:rPr>
                <w:color w:val="000000" w:themeColor="text1"/>
                <w:sz w:val="22"/>
                <w:szCs w:val="22"/>
              </w:rPr>
              <w:t>2018 figures.</w:t>
            </w:r>
          </w:p>
        </w:tc>
      </w:tr>
      <w:tr w:rsidR="005D4C6D" w:rsidRPr="00CC4F07" w14:paraId="7C8A5801" w14:textId="77777777" w:rsidTr="00AF33CE">
        <w:tc>
          <w:tcPr>
            <w:tcW w:w="1454" w:type="dxa"/>
          </w:tcPr>
          <w:p w14:paraId="5A193D42" w14:textId="6B299CD0" w:rsidR="005D4C6D" w:rsidRPr="00CC4F07" w:rsidRDefault="00A743C5" w:rsidP="00AF33CE">
            <w:pPr>
              <w:pStyle w:val="TableRowHead"/>
              <w:rPr>
                <w:rFonts w:ascii="Gill Sans MT" w:hAnsi="Gill Sans MT"/>
                <w:b w:val="0"/>
                <w:sz w:val="22"/>
                <w:szCs w:val="22"/>
              </w:rPr>
            </w:pPr>
            <w:r w:rsidRPr="00CC4F07">
              <w:rPr>
                <w:rFonts w:ascii="Gill Sans MT" w:hAnsi="Gill Sans MT"/>
                <w:b w:val="0"/>
                <w:sz w:val="22"/>
                <w:szCs w:val="22"/>
              </w:rPr>
              <w:t>Tallaght University Hospital (comparison made to The Adelaide and Meath Hospital in 2017)</w:t>
            </w:r>
          </w:p>
        </w:tc>
        <w:tc>
          <w:tcPr>
            <w:tcW w:w="956" w:type="dxa"/>
          </w:tcPr>
          <w:p w14:paraId="154FE000" w14:textId="1038C610" w:rsidR="005D4C6D" w:rsidRPr="00CC4F07" w:rsidRDefault="00A743C5" w:rsidP="00AF33CE">
            <w:pPr>
              <w:pStyle w:val="TableCell"/>
              <w:rPr>
                <w:rFonts w:ascii="Gill Sans MT" w:hAnsi="Gill Sans MT"/>
                <w:sz w:val="22"/>
                <w:szCs w:val="22"/>
              </w:rPr>
            </w:pPr>
            <w:r w:rsidRPr="00CC4F07">
              <w:rPr>
                <w:rFonts w:ascii="Gill Sans MT" w:hAnsi="Gill Sans MT"/>
                <w:sz w:val="22"/>
                <w:szCs w:val="22"/>
              </w:rPr>
              <w:t>3,119</w:t>
            </w:r>
          </w:p>
        </w:tc>
        <w:tc>
          <w:tcPr>
            <w:tcW w:w="1134" w:type="dxa"/>
          </w:tcPr>
          <w:p w14:paraId="34511D5E" w14:textId="42A098AF" w:rsidR="005D4C6D" w:rsidRPr="00CC4F07" w:rsidRDefault="00A743C5" w:rsidP="00AF33CE">
            <w:pPr>
              <w:pStyle w:val="TableCell"/>
              <w:rPr>
                <w:rFonts w:ascii="Gill Sans MT" w:hAnsi="Gill Sans MT"/>
                <w:sz w:val="22"/>
                <w:szCs w:val="22"/>
              </w:rPr>
            </w:pPr>
            <w:r w:rsidRPr="00CC4F07">
              <w:rPr>
                <w:rFonts w:ascii="Gill Sans MT" w:hAnsi="Gill Sans MT"/>
                <w:sz w:val="22"/>
                <w:szCs w:val="22"/>
              </w:rPr>
              <w:t>3,175</w:t>
            </w:r>
          </w:p>
        </w:tc>
        <w:tc>
          <w:tcPr>
            <w:tcW w:w="1276" w:type="dxa"/>
          </w:tcPr>
          <w:p w14:paraId="26E06FEC" w14:textId="3E6B4539" w:rsidR="005D4C6D" w:rsidRPr="00CC4F07" w:rsidRDefault="00A743C5" w:rsidP="00AF33CE">
            <w:pPr>
              <w:pStyle w:val="TableCell"/>
              <w:rPr>
                <w:rFonts w:ascii="Gill Sans MT" w:hAnsi="Gill Sans MT"/>
                <w:sz w:val="22"/>
                <w:szCs w:val="22"/>
              </w:rPr>
            </w:pPr>
            <w:r w:rsidRPr="00CC4F07">
              <w:rPr>
                <w:rFonts w:ascii="Gill Sans MT" w:hAnsi="Gill Sans MT"/>
                <w:sz w:val="22"/>
                <w:szCs w:val="22"/>
              </w:rPr>
              <w:t>106 (3.4%)</w:t>
            </w:r>
          </w:p>
        </w:tc>
        <w:tc>
          <w:tcPr>
            <w:tcW w:w="1417" w:type="dxa"/>
          </w:tcPr>
          <w:p w14:paraId="0B32833C" w14:textId="405887CA" w:rsidR="005D4C6D" w:rsidRPr="00CC4F07" w:rsidRDefault="00A743C5" w:rsidP="00AF33CE">
            <w:pPr>
              <w:pStyle w:val="TableCell"/>
              <w:rPr>
                <w:rFonts w:ascii="Gill Sans MT" w:hAnsi="Gill Sans MT"/>
                <w:sz w:val="22"/>
                <w:szCs w:val="22"/>
              </w:rPr>
            </w:pPr>
            <w:r w:rsidRPr="00CC4F07">
              <w:rPr>
                <w:rFonts w:ascii="Gill Sans MT" w:hAnsi="Gill Sans MT"/>
                <w:sz w:val="22"/>
                <w:szCs w:val="22"/>
              </w:rPr>
              <w:t>96 (3%)</w:t>
            </w:r>
          </w:p>
        </w:tc>
        <w:tc>
          <w:tcPr>
            <w:tcW w:w="3544" w:type="dxa"/>
          </w:tcPr>
          <w:p w14:paraId="2BE147C0" w14:textId="65185981" w:rsidR="005D4C6D" w:rsidRPr="00CC4F07" w:rsidRDefault="00A743C5" w:rsidP="00AF33CE">
            <w:pPr>
              <w:pStyle w:val="TableCell"/>
              <w:jc w:val="left"/>
              <w:rPr>
                <w:rFonts w:ascii="Gill Sans MT" w:hAnsi="Gill Sans MT"/>
                <w:sz w:val="22"/>
                <w:szCs w:val="22"/>
              </w:rPr>
            </w:pPr>
            <w:r w:rsidRPr="00CC4F07">
              <w:rPr>
                <w:rFonts w:ascii="Gill Sans MT" w:hAnsi="Gill Sans MT"/>
                <w:sz w:val="22"/>
                <w:szCs w:val="22"/>
              </w:rPr>
              <w:t>In 2018, the Adelaide and Meath Hospital was renamed as the Tallaght University Hospital</w:t>
            </w:r>
          </w:p>
        </w:tc>
      </w:tr>
    </w:tbl>
    <w:p w14:paraId="283858C3" w14:textId="23F0845B" w:rsidR="00714529" w:rsidRPr="00CC4F07" w:rsidRDefault="00714529" w:rsidP="00714529"/>
    <w:p w14:paraId="02C4A3B1" w14:textId="76417D8E" w:rsidR="00933FBD" w:rsidRPr="00CC4F07" w:rsidRDefault="00933FBD" w:rsidP="00933FBD">
      <w:pPr>
        <w:pStyle w:val="Heading2"/>
        <w:rPr>
          <w:rFonts w:ascii="Rockwell" w:hAnsi="Rockwell"/>
          <w:color w:val="CC3399"/>
          <w:sz w:val="32"/>
          <w:szCs w:val="32"/>
        </w:rPr>
      </w:pPr>
      <w:bookmarkStart w:id="31" w:name="_Toc526435816"/>
      <w:bookmarkStart w:id="32" w:name="_Toc18680250"/>
      <w:r w:rsidRPr="00CC4F07">
        <w:rPr>
          <w:rFonts w:ascii="Rockwell" w:hAnsi="Rockwell"/>
          <w:color w:val="CC3399"/>
          <w:sz w:val="32"/>
          <w:szCs w:val="32"/>
        </w:rPr>
        <w:t>2.3 Analysis by type of public sector body</w:t>
      </w:r>
      <w:bookmarkEnd w:id="31"/>
      <w:bookmarkEnd w:id="32"/>
    </w:p>
    <w:p w14:paraId="4CC86859" w14:textId="79B3AA69" w:rsidR="00933FBD" w:rsidRPr="00CC4F07" w:rsidRDefault="00714529" w:rsidP="00933FBD">
      <w:pPr>
        <w:spacing w:after="120"/>
        <w:rPr>
          <w:color w:val="000000" w:themeColor="text1"/>
        </w:rPr>
      </w:pPr>
      <w:r w:rsidRPr="00CC4F07">
        <w:rPr>
          <w:color w:val="000000" w:themeColor="text1"/>
        </w:rPr>
        <w:t>The 2018</w:t>
      </w:r>
      <w:r w:rsidR="00933FBD" w:rsidRPr="00CC4F07">
        <w:rPr>
          <w:color w:val="000000" w:themeColor="text1"/>
        </w:rPr>
        <w:t xml:space="preserve"> data has been categ</w:t>
      </w:r>
      <w:r w:rsidR="00633D4D" w:rsidRPr="00CC4F07">
        <w:rPr>
          <w:color w:val="000000" w:themeColor="text1"/>
        </w:rPr>
        <w:t>orised under</w:t>
      </w:r>
      <w:r w:rsidR="00933FBD" w:rsidRPr="00CC4F07">
        <w:rPr>
          <w:color w:val="000000" w:themeColor="text1"/>
        </w:rPr>
        <w:t xml:space="preserve"> the same five types of public bodies used in previous years:</w:t>
      </w:r>
    </w:p>
    <w:p w14:paraId="3F57F284" w14:textId="07D0F649" w:rsidR="00933FBD" w:rsidRPr="00CC4F07" w:rsidRDefault="00933FBD" w:rsidP="00933FBD">
      <w:pPr>
        <w:pStyle w:val="ListBullet"/>
        <w:numPr>
          <w:ilvl w:val="0"/>
          <w:numId w:val="0"/>
        </w:numPr>
        <w:rPr>
          <w:color w:val="000000" w:themeColor="text1"/>
          <w:szCs w:val="26"/>
        </w:rPr>
      </w:pPr>
      <w:r w:rsidRPr="00CC4F07">
        <w:rPr>
          <w:color w:val="000000" w:themeColor="text1"/>
        </w:rPr>
        <w:t>•</w:t>
      </w:r>
      <w:r w:rsidRPr="00CC4F07">
        <w:rPr>
          <w:color w:val="000000" w:themeColor="text1"/>
        </w:rPr>
        <w:tab/>
      </w:r>
      <w:r w:rsidR="00554CF5" w:rsidRPr="00CC4F07">
        <w:rPr>
          <w:color w:val="000000" w:themeColor="text1"/>
          <w:szCs w:val="26"/>
        </w:rPr>
        <w:t>Commercial B</w:t>
      </w:r>
      <w:r w:rsidRPr="00CC4F07">
        <w:rPr>
          <w:color w:val="000000" w:themeColor="text1"/>
          <w:szCs w:val="26"/>
        </w:rPr>
        <w:t>odies</w:t>
      </w:r>
    </w:p>
    <w:p w14:paraId="2BFF9263" w14:textId="02A68AEF" w:rsidR="00933FBD" w:rsidRPr="00CC4F07" w:rsidRDefault="00554CF5" w:rsidP="00933FBD">
      <w:pPr>
        <w:pStyle w:val="ListBullet"/>
        <w:numPr>
          <w:ilvl w:val="0"/>
          <w:numId w:val="0"/>
        </w:numPr>
        <w:rPr>
          <w:color w:val="000000" w:themeColor="text1"/>
          <w:szCs w:val="26"/>
        </w:rPr>
      </w:pPr>
      <w:r w:rsidRPr="00CC4F07">
        <w:rPr>
          <w:color w:val="000000" w:themeColor="text1"/>
          <w:szCs w:val="26"/>
        </w:rPr>
        <w:t>•</w:t>
      </w:r>
      <w:r w:rsidRPr="00CC4F07">
        <w:rPr>
          <w:color w:val="000000" w:themeColor="text1"/>
          <w:szCs w:val="26"/>
        </w:rPr>
        <w:tab/>
        <w:t>Government D</w:t>
      </w:r>
      <w:r w:rsidR="00933FBD" w:rsidRPr="00CC4F07">
        <w:rPr>
          <w:color w:val="000000" w:themeColor="text1"/>
          <w:szCs w:val="26"/>
        </w:rPr>
        <w:t>epartments</w:t>
      </w:r>
    </w:p>
    <w:p w14:paraId="069FB10B" w14:textId="4668A8A8" w:rsidR="00933FBD" w:rsidRPr="00CC4F07" w:rsidRDefault="00554CF5" w:rsidP="00933FBD">
      <w:pPr>
        <w:pStyle w:val="ListBullet"/>
        <w:numPr>
          <w:ilvl w:val="0"/>
          <w:numId w:val="0"/>
        </w:numPr>
        <w:rPr>
          <w:color w:val="000000" w:themeColor="text1"/>
          <w:szCs w:val="26"/>
        </w:rPr>
      </w:pPr>
      <w:r w:rsidRPr="00CC4F07">
        <w:rPr>
          <w:color w:val="000000" w:themeColor="text1"/>
          <w:szCs w:val="26"/>
        </w:rPr>
        <w:t>•</w:t>
      </w:r>
      <w:r w:rsidRPr="00CC4F07">
        <w:rPr>
          <w:color w:val="000000" w:themeColor="text1"/>
          <w:szCs w:val="26"/>
        </w:rPr>
        <w:tab/>
        <w:t>Local Government B</w:t>
      </w:r>
      <w:r w:rsidR="00933FBD" w:rsidRPr="00CC4F07">
        <w:rPr>
          <w:color w:val="000000" w:themeColor="text1"/>
          <w:szCs w:val="26"/>
        </w:rPr>
        <w:t>odies</w:t>
      </w:r>
    </w:p>
    <w:p w14:paraId="375794A4" w14:textId="1E67B2E9" w:rsidR="00933FBD" w:rsidRPr="00CC4F07" w:rsidRDefault="00554CF5" w:rsidP="00933FBD">
      <w:pPr>
        <w:pStyle w:val="ListBullet"/>
        <w:numPr>
          <w:ilvl w:val="0"/>
          <w:numId w:val="0"/>
        </w:numPr>
        <w:rPr>
          <w:color w:val="000000" w:themeColor="text1"/>
          <w:szCs w:val="26"/>
        </w:rPr>
      </w:pPr>
      <w:r w:rsidRPr="00CC4F07">
        <w:rPr>
          <w:color w:val="000000" w:themeColor="text1"/>
          <w:szCs w:val="26"/>
        </w:rPr>
        <w:t>•</w:t>
      </w:r>
      <w:r w:rsidRPr="00CC4F07">
        <w:rPr>
          <w:color w:val="000000" w:themeColor="text1"/>
          <w:szCs w:val="26"/>
        </w:rPr>
        <w:tab/>
        <w:t>Non-Commercial P</w:t>
      </w:r>
      <w:r w:rsidR="00933FBD" w:rsidRPr="00CC4F07">
        <w:rPr>
          <w:color w:val="000000" w:themeColor="text1"/>
          <w:szCs w:val="26"/>
        </w:rPr>
        <w:t xml:space="preserve">ublic bodies </w:t>
      </w:r>
    </w:p>
    <w:p w14:paraId="35EE2069" w14:textId="5A08C1F9" w:rsidR="00933FBD" w:rsidRPr="00CC4F07" w:rsidRDefault="00554CF5" w:rsidP="00933FBD">
      <w:pPr>
        <w:pStyle w:val="ListBullet"/>
        <w:numPr>
          <w:ilvl w:val="0"/>
          <w:numId w:val="0"/>
        </w:numPr>
        <w:spacing w:after="240"/>
        <w:rPr>
          <w:color w:val="000000" w:themeColor="text1"/>
          <w:szCs w:val="26"/>
        </w:rPr>
      </w:pPr>
      <w:r w:rsidRPr="00CC4F07">
        <w:rPr>
          <w:color w:val="000000" w:themeColor="text1"/>
          <w:szCs w:val="26"/>
        </w:rPr>
        <w:t>•</w:t>
      </w:r>
      <w:r w:rsidRPr="00CC4F07">
        <w:rPr>
          <w:color w:val="000000" w:themeColor="text1"/>
          <w:szCs w:val="26"/>
        </w:rPr>
        <w:tab/>
        <w:t>Public B</w:t>
      </w:r>
      <w:r w:rsidR="006A1CA1" w:rsidRPr="00CC4F07">
        <w:rPr>
          <w:color w:val="000000" w:themeColor="text1"/>
          <w:szCs w:val="26"/>
        </w:rPr>
        <w:t>odies staffed by Civil S</w:t>
      </w:r>
      <w:r w:rsidR="00933FBD" w:rsidRPr="00CC4F07">
        <w:rPr>
          <w:color w:val="000000" w:themeColor="text1"/>
          <w:szCs w:val="26"/>
        </w:rPr>
        <w:t>ervants.</w:t>
      </w:r>
    </w:p>
    <w:p w14:paraId="01A8140B" w14:textId="77777777" w:rsidR="00362212" w:rsidRPr="00CC4F07" w:rsidRDefault="00362212" w:rsidP="00362212">
      <w:pPr>
        <w:pStyle w:val="Heading3"/>
        <w:keepLines/>
        <w:spacing w:before="20" w:after="40"/>
        <w:rPr>
          <w:rFonts w:ascii="Rockwell" w:hAnsi="Rockwell"/>
          <w:color w:val="BF2296"/>
        </w:rPr>
      </w:pPr>
      <w:r w:rsidRPr="00CC4F07">
        <w:rPr>
          <w:rFonts w:ascii="Rockwell" w:hAnsi="Rockwell"/>
          <w:color w:val="BF2296"/>
        </w:rPr>
        <w:t>Commercial Bodies</w:t>
      </w:r>
    </w:p>
    <w:p w14:paraId="2815A5DE" w14:textId="0A67F09D" w:rsidR="00362212" w:rsidRPr="00CC4F07" w:rsidRDefault="00362212" w:rsidP="00362212">
      <w:pPr>
        <w:spacing w:after="0"/>
      </w:pPr>
      <w:r w:rsidRPr="00CC4F07">
        <w:rPr>
          <w:color w:val="000000" w:themeColor="text1"/>
        </w:rPr>
        <w:t>The Commercial Bodi</w:t>
      </w:r>
      <w:r w:rsidR="00633D4D" w:rsidRPr="00CC4F07">
        <w:rPr>
          <w:color w:val="000000" w:themeColor="text1"/>
        </w:rPr>
        <w:t>es sector includes the S</w:t>
      </w:r>
      <w:r w:rsidRPr="00CC4F07">
        <w:rPr>
          <w:color w:val="000000" w:themeColor="text1"/>
        </w:rPr>
        <w:t>tate’s transport and energy companies and in 201</w:t>
      </w:r>
      <w:r w:rsidR="00D74D73" w:rsidRPr="00CC4F07">
        <w:rPr>
          <w:color w:val="000000" w:themeColor="text1"/>
        </w:rPr>
        <w:t>8</w:t>
      </w:r>
      <w:r w:rsidRPr="00CC4F07">
        <w:rPr>
          <w:color w:val="000000" w:themeColor="text1"/>
        </w:rPr>
        <w:t xml:space="preserve"> accounted for 16.</w:t>
      </w:r>
      <w:r w:rsidR="00D74D73" w:rsidRPr="00CC4F07">
        <w:rPr>
          <w:color w:val="000000" w:themeColor="text1"/>
        </w:rPr>
        <w:t>3</w:t>
      </w:r>
      <w:r w:rsidRPr="00CC4F07">
        <w:rPr>
          <w:color w:val="000000" w:themeColor="text1"/>
        </w:rPr>
        <w:t>% of the public sector workforce. The data for 201</w:t>
      </w:r>
      <w:r w:rsidR="00D74D73" w:rsidRPr="00CC4F07">
        <w:rPr>
          <w:color w:val="000000" w:themeColor="text1"/>
        </w:rPr>
        <w:t>8</w:t>
      </w:r>
      <w:r w:rsidRPr="00CC4F07">
        <w:rPr>
          <w:color w:val="000000" w:themeColor="text1"/>
        </w:rPr>
        <w:t xml:space="preserve"> show</w:t>
      </w:r>
      <w:r w:rsidR="00FF26B9" w:rsidRPr="00CC4F07">
        <w:rPr>
          <w:color w:val="000000" w:themeColor="text1"/>
        </w:rPr>
        <w:t>s</w:t>
      </w:r>
      <w:r w:rsidRPr="00CC4F07">
        <w:rPr>
          <w:color w:val="000000" w:themeColor="text1"/>
        </w:rPr>
        <w:t xml:space="preserve"> the overall employee numbers increased by </w:t>
      </w:r>
      <w:r w:rsidR="00D74D73" w:rsidRPr="00CC4F07">
        <w:rPr>
          <w:color w:val="000000" w:themeColor="text1"/>
        </w:rPr>
        <w:t xml:space="preserve">198 </w:t>
      </w:r>
      <w:r w:rsidRPr="00CC4F07">
        <w:rPr>
          <w:color w:val="000000" w:themeColor="text1"/>
        </w:rPr>
        <w:t xml:space="preserve">to </w:t>
      </w:r>
      <w:r w:rsidRPr="00CC4F07">
        <w:t>37,</w:t>
      </w:r>
      <w:r w:rsidR="00D74D73" w:rsidRPr="00CC4F07">
        <w:t>821</w:t>
      </w:r>
      <w:r w:rsidRPr="00CC4F07">
        <w:rPr>
          <w:color w:val="000000" w:themeColor="text1"/>
        </w:rPr>
        <w:t xml:space="preserve"> and the number of employees reporting a disability increased by </w:t>
      </w:r>
      <w:r w:rsidR="00D74D73" w:rsidRPr="00CC4F07">
        <w:rPr>
          <w:color w:val="000000" w:themeColor="text1"/>
        </w:rPr>
        <w:t>45</w:t>
      </w:r>
      <w:r w:rsidRPr="00CC4F07">
        <w:rPr>
          <w:color w:val="000000" w:themeColor="text1"/>
        </w:rPr>
        <w:t xml:space="preserve"> to </w:t>
      </w:r>
      <w:r w:rsidRPr="00CC4F07">
        <w:t>1,</w:t>
      </w:r>
      <w:r w:rsidR="00D74D73" w:rsidRPr="00CC4F07">
        <w:t>641</w:t>
      </w:r>
    </w:p>
    <w:p w14:paraId="6188EE25" w14:textId="57878FEF" w:rsidR="00362212" w:rsidRPr="00CC4F07" w:rsidRDefault="00362212" w:rsidP="00362212">
      <w:pPr>
        <w:rPr>
          <w:color w:val="000000" w:themeColor="text1"/>
        </w:rPr>
      </w:pPr>
      <w:r w:rsidRPr="00CC4F07">
        <w:rPr>
          <w:color w:val="000000" w:themeColor="text1"/>
        </w:rPr>
        <w:lastRenderedPageBreak/>
        <w:t xml:space="preserve"> (+</w:t>
      </w:r>
      <w:r w:rsidR="00D74D73" w:rsidRPr="00CC4F07">
        <w:rPr>
          <w:color w:val="000000" w:themeColor="text1"/>
        </w:rPr>
        <w:t>2.8</w:t>
      </w:r>
      <w:r w:rsidRPr="00CC4F07">
        <w:rPr>
          <w:color w:val="000000" w:themeColor="text1"/>
        </w:rPr>
        <w:t xml:space="preserve">%). In total </w:t>
      </w:r>
      <w:r w:rsidR="00D74D73" w:rsidRPr="00CC4F07">
        <w:rPr>
          <w:color w:val="000000" w:themeColor="text1"/>
        </w:rPr>
        <w:t>84.6</w:t>
      </w:r>
      <w:r w:rsidRPr="00CC4F07">
        <w:rPr>
          <w:color w:val="000000" w:themeColor="text1"/>
        </w:rPr>
        <w:t>% of bodies in this category achieved the target, a</w:t>
      </w:r>
      <w:r w:rsidR="00D74D73" w:rsidRPr="00CC4F07">
        <w:rPr>
          <w:color w:val="000000" w:themeColor="text1"/>
        </w:rPr>
        <w:t xml:space="preserve"> de</w:t>
      </w:r>
      <w:r w:rsidRPr="00CC4F07">
        <w:rPr>
          <w:color w:val="000000" w:themeColor="text1"/>
        </w:rPr>
        <w:t>crease from the 201</w:t>
      </w:r>
      <w:r w:rsidR="00D74D73" w:rsidRPr="00CC4F07">
        <w:rPr>
          <w:color w:val="000000" w:themeColor="text1"/>
        </w:rPr>
        <w:t>7</w:t>
      </w:r>
      <w:r w:rsidRPr="00CC4F07">
        <w:rPr>
          <w:color w:val="000000" w:themeColor="text1"/>
        </w:rPr>
        <w:t xml:space="preserve"> figure of </w:t>
      </w:r>
      <w:r w:rsidR="00D74D73" w:rsidRPr="00CC4F07">
        <w:rPr>
          <w:color w:val="000000" w:themeColor="text1"/>
        </w:rPr>
        <w:t>92.6</w:t>
      </w:r>
      <w:r w:rsidRPr="00CC4F07">
        <w:rPr>
          <w:color w:val="000000" w:themeColor="text1"/>
        </w:rPr>
        <w:t xml:space="preserve">% (see Table </w:t>
      </w:r>
      <w:r w:rsidR="00C023F0">
        <w:rPr>
          <w:color w:val="000000" w:themeColor="text1"/>
        </w:rPr>
        <w:t>4</w:t>
      </w:r>
      <w:r w:rsidRPr="00CC4F07">
        <w:rPr>
          <w:color w:val="000000" w:themeColor="text1"/>
        </w:rPr>
        <w:t xml:space="preserve">). The percentage of employees with disabilities across the commercial body category </w:t>
      </w:r>
      <w:proofErr w:type="gramStart"/>
      <w:r w:rsidRPr="00CC4F07">
        <w:rPr>
          <w:color w:val="000000" w:themeColor="text1"/>
        </w:rPr>
        <w:t xml:space="preserve">as a whole </w:t>
      </w:r>
      <w:r w:rsidR="003A432F" w:rsidRPr="00CC4F07">
        <w:rPr>
          <w:color w:val="000000" w:themeColor="text1"/>
        </w:rPr>
        <w:t>for</w:t>
      </w:r>
      <w:proofErr w:type="gramEnd"/>
      <w:r w:rsidR="003A432F" w:rsidRPr="00CC4F07">
        <w:rPr>
          <w:color w:val="000000" w:themeColor="text1"/>
        </w:rPr>
        <w:t xml:space="preserve"> 2018 </w:t>
      </w:r>
      <w:r w:rsidRPr="00CC4F07">
        <w:rPr>
          <w:color w:val="000000" w:themeColor="text1"/>
        </w:rPr>
        <w:t>was 4.</w:t>
      </w:r>
      <w:r w:rsidR="00D74D73" w:rsidRPr="00CC4F07">
        <w:rPr>
          <w:color w:val="000000" w:themeColor="text1"/>
        </w:rPr>
        <w:t>3</w:t>
      </w:r>
      <w:r w:rsidRPr="00CC4F07">
        <w:rPr>
          <w:color w:val="000000" w:themeColor="text1"/>
        </w:rPr>
        <w:t>%.</w:t>
      </w:r>
    </w:p>
    <w:p w14:paraId="5D24E522" w14:textId="77777777" w:rsidR="00362212" w:rsidRPr="00CC4F07" w:rsidRDefault="00362212" w:rsidP="00362212">
      <w:pPr>
        <w:pStyle w:val="Heading3"/>
        <w:keepLines/>
        <w:spacing w:before="20" w:after="40"/>
        <w:rPr>
          <w:rFonts w:ascii="Rockwell" w:hAnsi="Rockwell"/>
          <w:color w:val="BF2296"/>
        </w:rPr>
      </w:pPr>
      <w:r w:rsidRPr="00CC4F07">
        <w:rPr>
          <w:rFonts w:ascii="Rockwell" w:hAnsi="Rockwell"/>
          <w:color w:val="BF2296"/>
        </w:rPr>
        <w:t>Government Departments</w:t>
      </w:r>
    </w:p>
    <w:p w14:paraId="6B7729DB" w14:textId="0A2251DB" w:rsidR="00362212" w:rsidRPr="00CC4F07" w:rsidRDefault="00362212" w:rsidP="00362212">
      <w:pPr>
        <w:rPr>
          <w:color w:val="000000" w:themeColor="text1"/>
        </w:rPr>
      </w:pPr>
      <w:r w:rsidRPr="00CC4F07">
        <w:rPr>
          <w:color w:val="000000" w:themeColor="text1"/>
        </w:rPr>
        <w:t>Government Department employees account for just less than one in ten of public sector employees (9.</w:t>
      </w:r>
      <w:r w:rsidR="00FA4A7F" w:rsidRPr="00CC4F07">
        <w:rPr>
          <w:color w:val="000000" w:themeColor="text1"/>
        </w:rPr>
        <w:t>2</w:t>
      </w:r>
      <w:r w:rsidRPr="00CC4F07">
        <w:rPr>
          <w:color w:val="000000" w:themeColor="text1"/>
        </w:rPr>
        <w:t>% of the total public sector). In 201</w:t>
      </w:r>
      <w:r w:rsidR="00FA4A7F" w:rsidRPr="00CC4F07">
        <w:rPr>
          <w:color w:val="000000" w:themeColor="text1"/>
        </w:rPr>
        <w:t>8</w:t>
      </w:r>
      <w:r w:rsidRPr="00CC4F07">
        <w:rPr>
          <w:color w:val="000000" w:themeColor="text1"/>
        </w:rPr>
        <w:t>, there was a</w:t>
      </w:r>
      <w:r w:rsidR="00FA4A7F" w:rsidRPr="00CC4F07">
        <w:rPr>
          <w:color w:val="000000" w:themeColor="text1"/>
        </w:rPr>
        <w:t>n</w:t>
      </w:r>
      <w:r w:rsidRPr="00CC4F07">
        <w:rPr>
          <w:color w:val="000000" w:themeColor="text1"/>
        </w:rPr>
        <w:t xml:space="preserve"> </w:t>
      </w:r>
      <w:r w:rsidR="00FA4A7F" w:rsidRPr="00CC4F07">
        <w:rPr>
          <w:color w:val="000000" w:themeColor="text1"/>
        </w:rPr>
        <w:t>in</w:t>
      </w:r>
      <w:r w:rsidRPr="00CC4F07">
        <w:rPr>
          <w:color w:val="000000" w:themeColor="text1"/>
        </w:rPr>
        <w:t>crease in the total number of employees in Government Departments from 20,520</w:t>
      </w:r>
      <w:r w:rsidR="00FA4A7F" w:rsidRPr="00CC4F07">
        <w:rPr>
          <w:color w:val="000000" w:themeColor="text1"/>
        </w:rPr>
        <w:t xml:space="preserve"> to 21,205</w:t>
      </w:r>
      <w:r w:rsidRPr="00CC4F07">
        <w:rPr>
          <w:color w:val="000000" w:themeColor="text1"/>
        </w:rPr>
        <w:t xml:space="preserve">. The number of employees with a disability </w:t>
      </w:r>
      <w:r w:rsidR="00FA4A7F" w:rsidRPr="00CC4F07">
        <w:rPr>
          <w:color w:val="000000" w:themeColor="text1"/>
        </w:rPr>
        <w:t xml:space="preserve">increased </w:t>
      </w:r>
      <w:r w:rsidRPr="00CC4F07">
        <w:rPr>
          <w:color w:val="000000" w:themeColor="text1"/>
        </w:rPr>
        <w:t xml:space="preserve">by </w:t>
      </w:r>
      <w:r w:rsidR="00FA4A7F" w:rsidRPr="00CC4F07">
        <w:rPr>
          <w:color w:val="000000" w:themeColor="text1"/>
        </w:rPr>
        <w:t>46</w:t>
      </w:r>
      <w:r w:rsidRPr="00CC4F07">
        <w:rPr>
          <w:color w:val="000000" w:themeColor="text1"/>
        </w:rPr>
        <w:t xml:space="preserve"> people from 944 in 2017</w:t>
      </w:r>
      <w:r w:rsidR="00FA4A7F" w:rsidRPr="00CC4F07">
        <w:rPr>
          <w:color w:val="000000" w:themeColor="text1"/>
        </w:rPr>
        <w:t xml:space="preserve"> to 990 in 2018</w:t>
      </w:r>
      <w:r w:rsidRPr="00CC4F07">
        <w:rPr>
          <w:color w:val="000000" w:themeColor="text1"/>
        </w:rPr>
        <w:t xml:space="preserve"> </w:t>
      </w:r>
      <w:r w:rsidR="00FA4A7F" w:rsidRPr="00CC4F07">
        <w:rPr>
          <w:color w:val="000000" w:themeColor="text1"/>
        </w:rPr>
        <w:t>and</w:t>
      </w:r>
      <w:r w:rsidRPr="00CC4F07">
        <w:rPr>
          <w:color w:val="000000" w:themeColor="text1"/>
        </w:rPr>
        <w:t xml:space="preserve"> the percentage of employees reporting a disability </w:t>
      </w:r>
      <w:r w:rsidR="00FA4A7F" w:rsidRPr="00CC4F07">
        <w:rPr>
          <w:color w:val="000000" w:themeColor="text1"/>
        </w:rPr>
        <w:t>increased slightly from 4.6% in</w:t>
      </w:r>
      <w:r w:rsidRPr="00CC4F07">
        <w:rPr>
          <w:color w:val="000000" w:themeColor="text1"/>
        </w:rPr>
        <w:t xml:space="preserve"> 2017</w:t>
      </w:r>
      <w:r w:rsidR="00FA4A7F" w:rsidRPr="00CC4F07">
        <w:rPr>
          <w:color w:val="000000" w:themeColor="text1"/>
        </w:rPr>
        <w:t xml:space="preserve"> to 4.7% in 2018.</w:t>
      </w:r>
    </w:p>
    <w:p w14:paraId="558DB4F6" w14:textId="52B9E239" w:rsidR="00362212" w:rsidRPr="00CC4F07" w:rsidRDefault="00362212" w:rsidP="00362212">
      <w:pPr>
        <w:rPr>
          <w:color w:val="000000" w:themeColor="text1"/>
        </w:rPr>
      </w:pPr>
      <w:r w:rsidRPr="00CC4F07">
        <w:rPr>
          <w:color w:val="000000" w:themeColor="text1"/>
        </w:rPr>
        <w:t xml:space="preserve">All Government Departments exceeded the </w:t>
      </w:r>
      <w:r w:rsidR="005A14ED" w:rsidRPr="00CC4F07">
        <w:rPr>
          <w:color w:val="000000" w:themeColor="text1"/>
        </w:rPr>
        <w:t xml:space="preserve">minimum </w:t>
      </w:r>
      <w:r w:rsidRPr="00CC4F07">
        <w:rPr>
          <w:color w:val="000000" w:themeColor="text1"/>
        </w:rPr>
        <w:t xml:space="preserve">3% target for </w:t>
      </w:r>
      <w:r w:rsidR="00FA4A7F" w:rsidRPr="00CC4F07">
        <w:rPr>
          <w:color w:val="000000" w:themeColor="text1"/>
        </w:rPr>
        <w:t xml:space="preserve">2018 </w:t>
      </w:r>
      <w:r w:rsidRPr="00CC4F07">
        <w:rPr>
          <w:color w:val="000000" w:themeColor="text1"/>
        </w:rPr>
        <w:t xml:space="preserve">- the </w:t>
      </w:r>
      <w:r w:rsidR="00FA4A7F" w:rsidRPr="00CC4F07">
        <w:rPr>
          <w:color w:val="000000" w:themeColor="text1"/>
        </w:rPr>
        <w:t xml:space="preserve">seventh </w:t>
      </w:r>
      <w:r w:rsidRPr="00CC4F07">
        <w:rPr>
          <w:color w:val="000000" w:themeColor="text1"/>
        </w:rPr>
        <w:t>successive year that the target w</w:t>
      </w:r>
      <w:r w:rsidR="006D0030">
        <w:rPr>
          <w:color w:val="000000" w:themeColor="text1"/>
        </w:rPr>
        <w:t>as exceede</w:t>
      </w:r>
      <w:r w:rsidR="0066753D">
        <w:rPr>
          <w:color w:val="000000" w:themeColor="text1"/>
        </w:rPr>
        <w:t>d by all D</w:t>
      </w:r>
      <w:r w:rsidR="006D0030">
        <w:rPr>
          <w:color w:val="000000" w:themeColor="text1"/>
        </w:rPr>
        <w:t>epartments.</w:t>
      </w:r>
    </w:p>
    <w:p w14:paraId="38642BB1" w14:textId="77777777" w:rsidR="00362212" w:rsidRPr="00CC4F07" w:rsidRDefault="00362212" w:rsidP="00362212">
      <w:pPr>
        <w:pStyle w:val="Heading3"/>
        <w:keepLines/>
        <w:spacing w:before="20" w:after="40"/>
        <w:rPr>
          <w:rFonts w:ascii="Rockwell" w:hAnsi="Rockwell"/>
          <w:color w:val="BF2296"/>
        </w:rPr>
      </w:pPr>
      <w:r w:rsidRPr="00CC4F07">
        <w:rPr>
          <w:rFonts w:ascii="Rockwell" w:hAnsi="Rockwell"/>
          <w:color w:val="BF2296"/>
        </w:rPr>
        <w:t xml:space="preserve">Local Government </w:t>
      </w:r>
    </w:p>
    <w:p w14:paraId="75ECF579" w14:textId="0D417354" w:rsidR="00362212" w:rsidRPr="00CC4F07" w:rsidRDefault="00362212" w:rsidP="00362212">
      <w:pPr>
        <w:rPr>
          <w:color w:val="000000" w:themeColor="text1"/>
        </w:rPr>
      </w:pPr>
      <w:r w:rsidRPr="00CC4F07">
        <w:rPr>
          <w:color w:val="000000" w:themeColor="text1"/>
        </w:rPr>
        <w:t xml:space="preserve">The Local Government sector accounts for just under 14% of the public sector workforce and includes city and county councils, and other local authority bodies. </w:t>
      </w:r>
      <w:r w:rsidRPr="00CC4F07">
        <w:t>The 201</w:t>
      </w:r>
      <w:r w:rsidR="004E7766" w:rsidRPr="00CC4F07">
        <w:t>8</w:t>
      </w:r>
      <w:r w:rsidRPr="00CC4F07">
        <w:t xml:space="preserve"> figures indicate a </w:t>
      </w:r>
      <w:r w:rsidR="004E7766" w:rsidRPr="00CC4F07">
        <w:t>4.</w:t>
      </w:r>
      <w:r w:rsidR="000A31D6" w:rsidRPr="00CC4F07">
        <w:t>2</w:t>
      </w:r>
      <w:r w:rsidRPr="00CC4F07">
        <w:t xml:space="preserve">% increase of </w:t>
      </w:r>
      <w:r w:rsidR="004E7766" w:rsidRPr="00CC4F07">
        <w:t xml:space="preserve">1,279 </w:t>
      </w:r>
      <w:r w:rsidRPr="00CC4F07">
        <w:t>employees from 30,736 in 2017</w:t>
      </w:r>
      <w:r w:rsidR="004E7766" w:rsidRPr="00CC4F07">
        <w:t xml:space="preserve"> to 32,015 in 2018</w:t>
      </w:r>
      <w:r w:rsidRPr="00CC4F07">
        <w:t xml:space="preserve">. </w:t>
      </w:r>
      <w:r w:rsidR="004E7766" w:rsidRPr="00CC4F07">
        <w:t>However, the</w:t>
      </w:r>
      <w:r w:rsidRPr="00CC4F07">
        <w:t xml:space="preserve"> number of employees reporting a </w:t>
      </w:r>
      <w:r w:rsidR="000A31D6" w:rsidRPr="00CC4F07">
        <w:t xml:space="preserve">disability </w:t>
      </w:r>
      <w:r w:rsidR="004E7766" w:rsidRPr="00CC4F07">
        <w:t>decreased by 15</w:t>
      </w:r>
      <w:r w:rsidRPr="00CC4F07">
        <w:t xml:space="preserve"> </w:t>
      </w:r>
      <w:r w:rsidR="004E7766" w:rsidRPr="00CC4F07">
        <w:t xml:space="preserve">people, from </w:t>
      </w:r>
      <w:r w:rsidRPr="00CC4F07">
        <w:t xml:space="preserve">1,476 </w:t>
      </w:r>
      <w:r w:rsidR="004E7766" w:rsidRPr="00CC4F07">
        <w:t xml:space="preserve">to 1,461 </w:t>
      </w:r>
      <w:r w:rsidRPr="00CC4F07">
        <w:rPr>
          <w:color w:val="000000" w:themeColor="text1"/>
        </w:rPr>
        <w:t>(</w:t>
      </w:r>
      <w:r w:rsidR="004E7766" w:rsidRPr="00CC4F07">
        <w:rPr>
          <w:color w:val="000000" w:themeColor="text1"/>
        </w:rPr>
        <w:t>-1.0</w:t>
      </w:r>
      <w:r w:rsidRPr="00CC4F07">
        <w:rPr>
          <w:color w:val="000000" w:themeColor="text1"/>
        </w:rPr>
        <w:t>%) in 201</w:t>
      </w:r>
      <w:r w:rsidR="004E7766" w:rsidRPr="00CC4F07">
        <w:rPr>
          <w:color w:val="000000" w:themeColor="text1"/>
        </w:rPr>
        <w:t>8</w:t>
      </w:r>
      <w:r w:rsidRPr="00CC4F07">
        <w:rPr>
          <w:color w:val="000000" w:themeColor="text1"/>
        </w:rPr>
        <w:t>.</w:t>
      </w:r>
      <w:r w:rsidRPr="00CC4F07">
        <w:t xml:space="preserve"> </w:t>
      </w:r>
      <w:r w:rsidRPr="00CC4F07">
        <w:rPr>
          <w:color w:val="000000" w:themeColor="text1"/>
        </w:rPr>
        <w:t>In total 91.4% of bodies in this category achieved the target, which is the same as the 201</w:t>
      </w:r>
      <w:r w:rsidR="004E7766" w:rsidRPr="00CC4F07">
        <w:rPr>
          <w:color w:val="000000" w:themeColor="text1"/>
        </w:rPr>
        <w:t>7</w:t>
      </w:r>
      <w:r w:rsidRPr="00CC4F07">
        <w:rPr>
          <w:color w:val="000000" w:themeColor="text1"/>
        </w:rPr>
        <w:t xml:space="preserve"> figures. The percentage of employees with disabilities across the local government category </w:t>
      </w:r>
      <w:proofErr w:type="gramStart"/>
      <w:r w:rsidRPr="00CC4F07">
        <w:rPr>
          <w:color w:val="000000" w:themeColor="text1"/>
        </w:rPr>
        <w:t>as a whole was</w:t>
      </w:r>
      <w:proofErr w:type="gramEnd"/>
      <w:r w:rsidRPr="00CC4F07">
        <w:rPr>
          <w:color w:val="000000" w:themeColor="text1"/>
        </w:rPr>
        <w:t xml:space="preserve"> 4.</w:t>
      </w:r>
      <w:r w:rsidR="004E7766" w:rsidRPr="00CC4F07">
        <w:rPr>
          <w:color w:val="000000" w:themeColor="text1"/>
        </w:rPr>
        <w:t>6</w:t>
      </w:r>
      <w:r w:rsidRPr="00CC4F07">
        <w:rPr>
          <w:color w:val="000000" w:themeColor="text1"/>
        </w:rPr>
        <w:t>%</w:t>
      </w:r>
      <w:r w:rsidR="004E7766" w:rsidRPr="00CC4F07">
        <w:rPr>
          <w:color w:val="000000" w:themeColor="text1"/>
        </w:rPr>
        <w:t>, down from 4.8% in 2017</w:t>
      </w:r>
      <w:r w:rsidRPr="00CC4F07">
        <w:rPr>
          <w:color w:val="000000" w:themeColor="text1"/>
        </w:rPr>
        <w:t xml:space="preserve">. The 32 public bodies (91.4%) out of 35 that achieved the target in this category included all the local authorities. The 3 </w:t>
      </w:r>
      <w:r w:rsidR="00FF26B9" w:rsidRPr="00CC4F07">
        <w:rPr>
          <w:color w:val="000000" w:themeColor="text1"/>
        </w:rPr>
        <w:t xml:space="preserve">Regional Assemblies </w:t>
      </w:r>
      <w:r w:rsidRPr="00CC4F07">
        <w:rPr>
          <w:color w:val="000000" w:themeColor="text1"/>
        </w:rPr>
        <w:t>(8.6%) that didn’t achieve the target were very small bodies that have less than 2</w:t>
      </w:r>
      <w:r w:rsidR="004E7766" w:rsidRPr="00CC4F07">
        <w:rPr>
          <w:color w:val="000000" w:themeColor="text1"/>
        </w:rPr>
        <w:t>5</w:t>
      </w:r>
      <w:r w:rsidRPr="00CC4F07">
        <w:rPr>
          <w:color w:val="000000" w:themeColor="text1"/>
        </w:rPr>
        <w:t xml:space="preserve"> staff.</w:t>
      </w:r>
    </w:p>
    <w:p w14:paraId="1E920A6F" w14:textId="77777777" w:rsidR="00362212" w:rsidRPr="00CC4F07" w:rsidRDefault="00362212" w:rsidP="00362212">
      <w:pPr>
        <w:pStyle w:val="Heading3"/>
        <w:keepLines/>
        <w:spacing w:before="20" w:after="40"/>
        <w:rPr>
          <w:rFonts w:ascii="Rockwell" w:hAnsi="Rockwell"/>
          <w:color w:val="BF2296"/>
        </w:rPr>
      </w:pPr>
      <w:r w:rsidRPr="00CC4F07">
        <w:rPr>
          <w:rFonts w:ascii="Rockwell" w:hAnsi="Rockwell"/>
          <w:color w:val="BF2296"/>
        </w:rPr>
        <w:t>Non-Commercial Bodies</w:t>
      </w:r>
    </w:p>
    <w:p w14:paraId="63A71851" w14:textId="5113C795" w:rsidR="00362212" w:rsidRPr="00CC4F07" w:rsidRDefault="00362212" w:rsidP="00362212">
      <w:pPr>
        <w:rPr>
          <w:color w:val="000000" w:themeColor="text1"/>
        </w:rPr>
      </w:pPr>
      <w:r w:rsidRPr="00CC4F07">
        <w:rPr>
          <w:color w:val="000000" w:themeColor="text1"/>
        </w:rPr>
        <w:t>This is the largest sector in the public service and accounts for over half (54.5%) of the public sector workforce. It contains the largest employer in the public sector, the</w:t>
      </w:r>
      <w:r w:rsidR="00FF26B9" w:rsidRPr="00CC4F07">
        <w:rPr>
          <w:color w:val="000000" w:themeColor="text1"/>
        </w:rPr>
        <w:t xml:space="preserve"> HSE</w:t>
      </w:r>
      <w:r w:rsidRPr="00CC4F07">
        <w:rPr>
          <w:color w:val="000000" w:themeColor="text1"/>
        </w:rPr>
        <w:t>. Other health bodies, the Institutes of Technology, cultural bodies like the National Concert Hall, and advisory bodies such as the Food Safety Authority of I</w:t>
      </w:r>
      <w:r w:rsidR="006D0030">
        <w:rPr>
          <w:color w:val="000000" w:themeColor="text1"/>
        </w:rPr>
        <w:t>reland are also in this sector.</w:t>
      </w:r>
    </w:p>
    <w:p w14:paraId="1C5CCD05" w14:textId="294ADCC3" w:rsidR="00362212" w:rsidRPr="00CC4F07" w:rsidRDefault="002A4856" w:rsidP="00362212">
      <w:pPr>
        <w:rPr>
          <w:color w:val="000000" w:themeColor="text1"/>
        </w:rPr>
      </w:pPr>
      <w:r w:rsidRPr="00CC4F07">
        <w:t>T</w:t>
      </w:r>
      <w:r w:rsidR="00362212" w:rsidRPr="00CC4F07">
        <w:t xml:space="preserve">he total number of employees reporting disabilities </w:t>
      </w:r>
      <w:r w:rsidRPr="00CC4F07">
        <w:t>decreased by 329 people</w:t>
      </w:r>
      <w:r w:rsidR="00362212" w:rsidRPr="00CC4F07">
        <w:t xml:space="preserve"> </w:t>
      </w:r>
      <w:r w:rsidRPr="00CC4F07">
        <w:t>(-10</w:t>
      </w:r>
      <w:r w:rsidR="00362212" w:rsidRPr="00CC4F07">
        <w:t>.4%</w:t>
      </w:r>
      <w:r w:rsidRPr="00CC4F07">
        <w:t>)</w:t>
      </w:r>
      <w:r w:rsidR="00362212" w:rsidRPr="00CC4F07">
        <w:t xml:space="preserve">, </w:t>
      </w:r>
      <w:r w:rsidRPr="00CC4F07">
        <w:t>and this was</w:t>
      </w:r>
      <w:r w:rsidR="00362212" w:rsidRPr="00CC4F07">
        <w:t xml:space="preserve"> reflected in the overall percentage target achieved by this category.</w:t>
      </w:r>
      <w:r w:rsidRPr="00CC4F07">
        <w:t xml:space="preserve"> The percentage target achieved dropped from 2.6% in 2017 to 2.3% in 2018.</w:t>
      </w:r>
      <w:r w:rsidR="00362212" w:rsidRPr="00CC4F07">
        <w:t xml:space="preserve"> </w:t>
      </w:r>
    </w:p>
    <w:p w14:paraId="2F31FA61" w14:textId="75FD1271" w:rsidR="00362212" w:rsidRDefault="00362212" w:rsidP="00362212">
      <w:pPr>
        <w:rPr>
          <w:color w:val="000000" w:themeColor="text1"/>
        </w:rPr>
      </w:pPr>
      <w:r w:rsidRPr="00CC4F07">
        <w:t>HSE employees make up 70% of the total workforce of non-commer</w:t>
      </w:r>
      <w:r w:rsidR="00633D4D" w:rsidRPr="00CC4F07">
        <w:t>cial bodies. However, the percentage</w:t>
      </w:r>
      <w:r w:rsidRPr="00CC4F07">
        <w:t xml:space="preserve"> of HSE employees reporting disabilities fell to 1.</w:t>
      </w:r>
      <w:r w:rsidR="002A4856" w:rsidRPr="00CC4F07">
        <w:t>3</w:t>
      </w:r>
      <w:r w:rsidRPr="00CC4F07">
        <w:t xml:space="preserve">% </w:t>
      </w:r>
      <w:r w:rsidR="002A4856" w:rsidRPr="00CC4F07">
        <w:t>(from 1.8% in 2017)</w:t>
      </w:r>
      <w:r w:rsidRPr="00CC4F07">
        <w:t xml:space="preserve">. Because these employees make up such a high proportion of </w:t>
      </w:r>
      <w:r w:rsidRPr="00CC4F07">
        <w:lastRenderedPageBreak/>
        <w:t xml:space="preserve">the total number of employees with disabilities employed by non-commercial bodies, the overall percentage reached by the category </w:t>
      </w:r>
      <w:r w:rsidR="002A4856" w:rsidRPr="00CC4F07">
        <w:t>was impacted significantly from this decrease</w:t>
      </w:r>
      <w:r w:rsidR="006D0030">
        <w:t xml:space="preserve">. </w:t>
      </w:r>
      <w:r w:rsidR="002A4856" w:rsidRPr="00CC4F07">
        <w:t xml:space="preserve">Conversely, </w:t>
      </w:r>
      <w:r w:rsidR="002A4856" w:rsidRPr="00CC4F07">
        <w:rPr>
          <w:color w:val="000000" w:themeColor="text1"/>
        </w:rPr>
        <w:t>t</w:t>
      </w:r>
      <w:r w:rsidRPr="00CC4F07">
        <w:rPr>
          <w:color w:val="000000" w:themeColor="text1"/>
        </w:rPr>
        <w:t xml:space="preserve">he increase in this sector’s </w:t>
      </w:r>
      <w:r w:rsidR="00633D4D" w:rsidRPr="00CC4F07">
        <w:rPr>
          <w:color w:val="000000" w:themeColor="text1"/>
        </w:rPr>
        <w:t xml:space="preserve">overall employment numbers </w:t>
      </w:r>
      <w:r w:rsidRPr="00CC4F07">
        <w:rPr>
          <w:color w:val="000000" w:themeColor="text1"/>
        </w:rPr>
        <w:t xml:space="preserve">resulted from another significant increase in the total number of employees employed by the </w:t>
      </w:r>
      <w:r w:rsidR="00FF26B9" w:rsidRPr="00CC4F07">
        <w:rPr>
          <w:color w:val="000000" w:themeColor="text1"/>
        </w:rPr>
        <w:t xml:space="preserve">HSE </w:t>
      </w:r>
      <w:r w:rsidRPr="00CC4F07">
        <w:rPr>
          <w:color w:val="000000" w:themeColor="text1"/>
        </w:rPr>
        <w:t>(+</w:t>
      </w:r>
      <w:r w:rsidR="002A4856" w:rsidRPr="00CC4F07">
        <w:rPr>
          <w:color w:val="000000" w:themeColor="text1"/>
        </w:rPr>
        <w:t>2,209</w:t>
      </w:r>
      <w:r w:rsidRPr="00CC4F07">
        <w:rPr>
          <w:color w:val="000000" w:themeColor="text1"/>
        </w:rPr>
        <w:t xml:space="preserve">). This accounted for </w:t>
      </w:r>
      <w:r w:rsidR="002A4856" w:rsidRPr="00CC4F07">
        <w:rPr>
          <w:color w:val="000000" w:themeColor="text1"/>
        </w:rPr>
        <w:t>67.1</w:t>
      </w:r>
      <w:r w:rsidRPr="00CC4F07">
        <w:rPr>
          <w:color w:val="000000" w:themeColor="text1"/>
        </w:rPr>
        <w:t>% of the total increase in this sector.</w:t>
      </w:r>
    </w:p>
    <w:p w14:paraId="66EF8EC3" w14:textId="55FEFB42" w:rsidR="0016181A" w:rsidRPr="004772BA" w:rsidRDefault="00D31F9C" w:rsidP="00D31F9C">
      <w:pPr>
        <w:rPr>
          <w:rFonts w:ascii="Calibri" w:hAnsi="Calibri"/>
          <w:color w:val="000000"/>
          <w:sz w:val="22"/>
          <w:szCs w:val="22"/>
        </w:rPr>
      </w:pPr>
      <w:r w:rsidRPr="004772BA">
        <w:rPr>
          <w:color w:val="000000"/>
        </w:rPr>
        <w:t>Table 3 shows the difference in the number and percentage of employees reporting a disability and the percentage of public bodies achieving the minimum 3% target in this category when the HSE is removed from this category.</w:t>
      </w:r>
    </w:p>
    <w:p w14:paraId="08B98279" w14:textId="2B9BF3CC" w:rsidR="0016181A" w:rsidRPr="004772BA" w:rsidRDefault="007B31B9" w:rsidP="007B31B9">
      <w:pPr>
        <w:pStyle w:val="TableTitle"/>
        <w:jc w:val="left"/>
      </w:pPr>
      <w:r w:rsidRPr="004772BA">
        <w:t>Table 3.</w:t>
      </w:r>
      <w:r w:rsidR="004772BA">
        <w:t xml:space="preserve"> </w:t>
      </w:r>
      <w:r w:rsidRPr="004772BA">
        <w:t>Exclusion of the HSE from the non-commercial category.</w:t>
      </w:r>
    </w:p>
    <w:tbl>
      <w:tblPr>
        <w:tblW w:w="87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181"/>
        <w:gridCol w:w="2181"/>
        <w:gridCol w:w="2181"/>
        <w:gridCol w:w="2181"/>
      </w:tblGrid>
      <w:tr w:rsidR="0016181A" w:rsidRPr="004772BA" w14:paraId="70521CD1" w14:textId="77777777" w:rsidTr="0016181A">
        <w:trPr>
          <w:tblHeader/>
        </w:trPr>
        <w:tc>
          <w:tcPr>
            <w:tcW w:w="2181" w:type="dxa"/>
            <w:tcBorders>
              <w:bottom w:val="single" w:sz="12" w:space="0" w:color="000000"/>
            </w:tcBorders>
          </w:tcPr>
          <w:p w14:paraId="073C5E58" w14:textId="77777777" w:rsidR="0016181A" w:rsidRPr="004772BA" w:rsidRDefault="0016181A" w:rsidP="0016181A">
            <w:pPr>
              <w:pStyle w:val="TableHead"/>
            </w:pPr>
          </w:p>
        </w:tc>
        <w:tc>
          <w:tcPr>
            <w:tcW w:w="2181" w:type="dxa"/>
            <w:tcBorders>
              <w:bottom w:val="single" w:sz="12" w:space="0" w:color="000000"/>
            </w:tcBorders>
          </w:tcPr>
          <w:p w14:paraId="31FBFE5B" w14:textId="6C9C68B5" w:rsidR="0016181A" w:rsidRPr="004772BA" w:rsidRDefault="0016181A" w:rsidP="0016181A">
            <w:pPr>
              <w:pStyle w:val="TableHead"/>
            </w:pPr>
            <w:r w:rsidRPr="004772BA">
              <w:t xml:space="preserve">Including the HSE </w:t>
            </w:r>
          </w:p>
        </w:tc>
        <w:tc>
          <w:tcPr>
            <w:tcW w:w="2181" w:type="dxa"/>
            <w:tcBorders>
              <w:bottom w:val="single" w:sz="12" w:space="0" w:color="000000"/>
            </w:tcBorders>
          </w:tcPr>
          <w:p w14:paraId="2B59BF3A" w14:textId="2402EDD7" w:rsidR="0016181A" w:rsidRPr="004772BA" w:rsidRDefault="0016181A" w:rsidP="0016181A">
            <w:pPr>
              <w:pStyle w:val="TableHead"/>
            </w:pPr>
            <w:r w:rsidRPr="004772BA">
              <w:t xml:space="preserve">Excluding the HSE </w:t>
            </w:r>
          </w:p>
        </w:tc>
        <w:tc>
          <w:tcPr>
            <w:tcW w:w="2181" w:type="dxa"/>
            <w:tcBorders>
              <w:bottom w:val="single" w:sz="12" w:space="0" w:color="000000"/>
            </w:tcBorders>
          </w:tcPr>
          <w:p w14:paraId="2D09E991" w14:textId="7CC47838" w:rsidR="0016181A" w:rsidRPr="004772BA" w:rsidRDefault="0016181A" w:rsidP="0016181A">
            <w:pPr>
              <w:pStyle w:val="TableHead"/>
            </w:pPr>
            <w:r w:rsidRPr="004772BA">
              <w:t xml:space="preserve">Difference </w:t>
            </w:r>
          </w:p>
        </w:tc>
      </w:tr>
      <w:tr w:rsidR="0016181A" w:rsidRPr="004772BA" w14:paraId="09BE5B53" w14:textId="77777777" w:rsidTr="0016181A">
        <w:tc>
          <w:tcPr>
            <w:tcW w:w="2181" w:type="dxa"/>
            <w:tcBorders>
              <w:top w:val="single" w:sz="12" w:space="0" w:color="000000"/>
            </w:tcBorders>
          </w:tcPr>
          <w:p w14:paraId="19286029" w14:textId="32A04A19" w:rsidR="0016181A" w:rsidRPr="004772BA" w:rsidRDefault="0016181A" w:rsidP="0016181A">
            <w:pPr>
              <w:spacing w:after="0"/>
            </w:pPr>
            <w:r w:rsidRPr="004772BA">
              <w:t>Total number of employees</w:t>
            </w:r>
          </w:p>
        </w:tc>
        <w:tc>
          <w:tcPr>
            <w:tcW w:w="2181" w:type="dxa"/>
            <w:tcBorders>
              <w:top w:val="single" w:sz="12" w:space="0" w:color="000000"/>
            </w:tcBorders>
          </w:tcPr>
          <w:p w14:paraId="3CFDBD77" w14:textId="4A4766EA" w:rsidR="0016181A" w:rsidRPr="004772BA" w:rsidRDefault="0016181A" w:rsidP="0016181A">
            <w:pPr>
              <w:spacing w:after="0"/>
            </w:pPr>
            <w:r w:rsidRPr="004772BA">
              <w:t>126,335</w:t>
            </w:r>
          </w:p>
        </w:tc>
        <w:tc>
          <w:tcPr>
            <w:tcW w:w="2181" w:type="dxa"/>
            <w:tcBorders>
              <w:top w:val="single" w:sz="12" w:space="0" w:color="000000"/>
            </w:tcBorders>
          </w:tcPr>
          <w:p w14:paraId="6D5A5D63" w14:textId="304403F0" w:rsidR="0016181A" w:rsidRPr="004772BA" w:rsidRDefault="0016181A" w:rsidP="0016181A">
            <w:pPr>
              <w:spacing w:after="0"/>
            </w:pPr>
            <w:r w:rsidRPr="004772BA">
              <w:t>38,514</w:t>
            </w:r>
          </w:p>
        </w:tc>
        <w:tc>
          <w:tcPr>
            <w:tcW w:w="2181" w:type="dxa"/>
            <w:tcBorders>
              <w:top w:val="single" w:sz="12" w:space="0" w:color="000000"/>
            </w:tcBorders>
          </w:tcPr>
          <w:p w14:paraId="3EBD9307" w14:textId="3C57DB5D" w:rsidR="0016181A" w:rsidRPr="004772BA" w:rsidRDefault="0016181A" w:rsidP="0016181A">
            <w:pPr>
              <w:spacing w:after="0"/>
            </w:pPr>
            <w:r w:rsidRPr="004772BA">
              <w:t>87,821</w:t>
            </w:r>
          </w:p>
        </w:tc>
      </w:tr>
      <w:tr w:rsidR="0016181A" w:rsidRPr="004772BA" w14:paraId="38462D68" w14:textId="77777777" w:rsidTr="0016181A">
        <w:tc>
          <w:tcPr>
            <w:tcW w:w="2181" w:type="dxa"/>
          </w:tcPr>
          <w:p w14:paraId="66C22237" w14:textId="56830A82" w:rsidR="0016181A" w:rsidRPr="004772BA" w:rsidRDefault="00C023F0" w:rsidP="0016181A">
            <w:pPr>
              <w:spacing w:after="0"/>
            </w:pPr>
            <w:r w:rsidRPr="004772BA">
              <w:t>N</w:t>
            </w:r>
            <w:r w:rsidR="0016181A" w:rsidRPr="004772BA">
              <w:t>umber of employees with disabilities</w:t>
            </w:r>
          </w:p>
        </w:tc>
        <w:tc>
          <w:tcPr>
            <w:tcW w:w="2181" w:type="dxa"/>
          </w:tcPr>
          <w:p w14:paraId="40A7987C" w14:textId="10E3FDDA" w:rsidR="0016181A" w:rsidRPr="004772BA" w:rsidRDefault="0016181A" w:rsidP="0016181A">
            <w:pPr>
              <w:spacing w:after="0"/>
            </w:pPr>
            <w:r w:rsidRPr="004772BA">
              <w:t>2,849</w:t>
            </w:r>
          </w:p>
        </w:tc>
        <w:tc>
          <w:tcPr>
            <w:tcW w:w="2181" w:type="dxa"/>
          </w:tcPr>
          <w:p w14:paraId="7891943A" w14:textId="158E4979" w:rsidR="0016181A" w:rsidRPr="004772BA" w:rsidRDefault="0016181A" w:rsidP="0016181A">
            <w:pPr>
              <w:spacing w:after="0"/>
            </w:pPr>
            <w:r w:rsidRPr="004772BA">
              <w:t>1,673</w:t>
            </w:r>
          </w:p>
        </w:tc>
        <w:tc>
          <w:tcPr>
            <w:tcW w:w="2181" w:type="dxa"/>
          </w:tcPr>
          <w:p w14:paraId="03F06458" w14:textId="0EA5600E" w:rsidR="0016181A" w:rsidRPr="004772BA" w:rsidRDefault="0016181A" w:rsidP="0016181A">
            <w:pPr>
              <w:spacing w:after="0"/>
            </w:pPr>
            <w:r w:rsidRPr="004772BA">
              <w:t>1,176</w:t>
            </w:r>
          </w:p>
        </w:tc>
      </w:tr>
      <w:tr w:rsidR="0016181A" w:rsidRPr="004772BA" w14:paraId="315065F9" w14:textId="77777777" w:rsidTr="0016181A">
        <w:tc>
          <w:tcPr>
            <w:tcW w:w="2181" w:type="dxa"/>
          </w:tcPr>
          <w:p w14:paraId="7748B36A" w14:textId="64227713" w:rsidR="0016181A" w:rsidRPr="004772BA" w:rsidRDefault="00C023F0" w:rsidP="0016181A">
            <w:pPr>
              <w:spacing w:after="0"/>
            </w:pPr>
            <w:r w:rsidRPr="004772BA">
              <w:t xml:space="preserve">% of employees with disabilities </w:t>
            </w:r>
          </w:p>
        </w:tc>
        <w:tc>
          <w:tcPr>
            <w:tcW w:w="2181" w:type="dxa"/>
          </w:tcPr>
          <w:p w14:paraId="3B17D209" w14:textId="5BDE86D3" w:rsidR="0016181A" w:rsidRPr="004772BA" w:rsidRDefault="0016181A" w:rsidP="0016181A">
            <w:pPr>
              <w:spacing w:after="0"/>
            </w:pPr>
            <w:r w:rsidRPr="004772BA">
              <w:t>2.3%</w:t>
            </w:r>
          </w:p>
        </w:tc>
        <w:tc>
          <w:tcPr>
            <w:tcW w:w="2181" w:type="dxa"/>
          </w:tcPr>
          <w:p w14:paraId="1BE165BC" w14:textId="02E736FB" w:rsidR="0016181A" w:rsidRPr="004772BA" w:rsidRDefault="0016181A" w:rsidP="0016181A">
            <w:pPr>
              <w:spacing w:after="0"/>
            </w:pPr>
            <w:r w:rsidRPr="004772BA">
              <w:t>4.3%</w:t>
            </w:r>
          </w:p>
        </w:tc>
        <w:tc>
          <w:tcPr>
            <w:tcW w:w="2181" w:type="dxa"/>
          </w:tcPr>
          <w:p w14:paraId="31089532" w14:textId="7B34E4FE" w:rsidR="0016181A" w:rsidRPr="004772BA" w:rsidRDefault="0016181A" w:rsidP="0016181A">
            <w:pPr>
              <w:spacing w:after="0"/>
            </w:pPr>
            <w:r w:rsidRPr="004772BA">
              <w:t>+2.0%</w:t>
            </w:r>
          </w:p>
        </w:tc>
      </w:tr>
      <w:tr w:rsidR="0016181A" w:rsidRPr="004772BA" w14:paraId="5296311C" w14:textId="77777777" w:rsidTr="0016181A">
        <w:tc>
          <w:tcPr>
            <w:tcW w:w="2181" w:type="dxa"/>
          </w:tcPr>
          <w:p w14:paraId="487B9C9D" w14:textId="07CF795A" w:rsidR="0016181A" w:rsidRPr="004772BA" w:rsidRDefault="00C023F0" w:rsidP="0016181A">
            <w:pPr>
              <w:spacing w:after="0"/>
            </w:pPr>
            <w:r w:rsidRPr="004772BA">
              <w:t xml:space="preserve">% </w:t>
            </w:r>
            <w:proofErr w:type="gramStart"/>
            <w:r w:rsidRPr="004772BA">
              <w:t>of  public</w:t>
            </w:r>
            <w:proofErr w:type="gramEnd"/>
            <w:r w:rsidRPr="004772BA">
              <w:t xml:space="preserve"> bodies achieving target by category </w:t>
            </w:r>
          </w:p>
        </w:tc>
        <w:tc>
          <w:tcPr>
            <w:tcW w:w="2181" w:type="dxa"/>
          </w:tcPr>
          <w:p w14:paraId="49340A2E" w14:textId="72326FAC" w:rsidR="0016181A" w:rsidRPr="004772BA" w:rsidRDefault="0016181A" w:rsidP="0016181A">
            <w:pPr>
              <w:spacing w:after="0"/>
            </w:pPr>
            <w:r w:rsidRPr="004772BA">
              <w:t>83.5%</w:t>
            </w:r>
          </w:p>
        </w:tc>
        <w:tc>
          <w:tcPr>
            <w:tcW w:w="2181" w:type="dxa"/>
          </w:tcPr>
          <w:p w14:paraId="6C775AB4" w14:textId="13F2FB0B" w:rsidR="0016181A" w:rsidRPr="004772BA" w:rsidRDefault="0016181A" w:rsidP="0016181A">
            <w:pPr>
              <w:spacing w:after="0"/>
            </w:pPr>
            <w:r w:rsidRPr="004772BA">
              <w:t>84.4%</w:t>
            </w:r>
          </w:p>
        </w:tc>
        <w:tc>
          <w:tcPr>
            <w:tcW w:w="2181" w:type="dxa"/>
          </w:tcPr>
          <w:p w14:paraId="39DF9CFC" w14:textId="6B959BA7" w:rsidR="0016181A" w:rsidRPr="004772BA" w:rsidRDefault="0016181A" w:rsidP="0016181A">
            <w:pPr>
              <w:spacing w:after="0"/>
            </w:pPr>
            <w:r w:rsidRPr="004772BA">
              <w:t>+0.9%</w:t>
            </w:r>
          </w:p>
        </w:tc>
      </w:tr>
    </w:tbl>
    <w:p w14:paraId="1C164C7F" w14:textId="3A9D001C" w:rsidR="0016181A" w:rsidRPr="004772BA" w:rsidRDefault="0016181A" w:rsidP="0016181A">
      <w:pPr>
        <w:pStyle w:val="TableNote"/>
      </w:pPr>
    </w:p>
    <w:p w14:paraId="30AD22DC" w14:textId="2A0D13FD" w:rsidR="0016181A" w:rsidRPr="007B31B9" w:rsidRDefault="007B31B9" w:rsidP="00362212">
      <w:pPr>
        <w:rPr>
          <w:color w:val="000000"/>
        </w:rPr>
      </w:pPr>
      <w:r w:rsidRPr="004772BA">
        <w:rPr>
          <w:color w:val="000000"/>
        </w:rPr>
        <w:t>As detailed in the table above</w:t>
      </w:r>
      <w:r w:rsidR="007E29E1" w:rsidRPr="004772BA">
        <w:rPr>
          <w:color w:val="000000"/>
        </w:rPr>
        <w:t xml:space="preserve"> the percentage of employees reporting a disability in the</w:t>
      </w:r>
      <w:r w:rsidR="004772BA">
        <w:rPr>
          <w:color w:val="000000"/>
        </w:rPr>
        <w:t xml:space="preserve"> non-commercial category would </w:t>
      </w:r>
      <w:r w:rsidR="007E29E1" w:rsidRPr="004772BA">
        <w:rPr>
          <w:color w:val="000000"/>
        </w:rPr>
        <w:t xml:space="preserve">have increased from 2.3% to 4.3% if the HSE was excluded. </w:t>
      </w:r>
    </w:p>
    <w:p w14:paraId="2B5F329B" w14:textId="283B1FFA" w:rsidR="00362212" w:rsidRPr="00CC4F07" w:rsidRDefault="00362212" w:rsidP="00362212">
      <w:proofErr w:type="gramStart"/>
      <w:r w:rsidRPr="00CC4F07">
        <w:t>Similar to</w:t>
      </w:r>
      <w:proofErr w:type="gramEnd"/>
      <w:r w:rsidRPr="00CC4F07">
        <w:t xml:space="preserve"> previous years, this is the only sector that failed to reach the </w:t>
      </w:r>
      <w:r w:rsidR="009D673A" w:rsidRPr="00CC4F07">
        <w:t xml:space="preserve">minimum </w:t>
      </w:r>
      <w:r w:rsidRPr="00CC4F07">
        <w:t>3% target in 201</w:t>
      </w:r>
      <w:r w:rsidR="002A4856" w:rsidRPr="00CC4F07">
        <w:t>8</w:t>
      </w:r>
      <w:r w:rsidRPr="00CC4F07">
        <w:t>. However, it should be noted that the number of public bodies within this sector achieving or exceeding the minimum target increased from 78 (80.4%) in 2017</w:t>
      </w:r>
      <w:r w:rsidR="002A4856" w:rsidRPr="00CC4F07">
        <w:t xml:space="preserve"> to 81 (83.5%) in 2018.</w:t>
      </w:r>
    </w:p>
    <w:p w14:paraId="7E253634" w14:textId="76655752" w:rsidR="00362212" w:rsidRPr="00CC4F07" w:rsidRDefault="005C17F2" w:rsidP="00441696">
      <w:pPr>
        <w:spacing w:after="120"/>
      </w:pPr>
      <w:r w:rsidRPr="00CC4F07">
        <w:t>In 2018</w:t>
      </w:r>
      <w:r w:rsidR="00362212" w:rsidRPr="00CC4F07">
        <w:t xml:space="preserve">, </w:t>
      </w:r>
      <w:r w:rsidR="00362212" w:rsidRPr="00CC4F07">
        <w:rPr>
          <w:color w:val="000000" w:themeColor="text1"/>
        </w:rPr>
        <w:t xml:space="preserve">the following bodies </w:t>
      </w:r>
      <w:r w:rsidR="00E975D4" w:rsidRPr="00CC4F07">
        <w:rPr>
          <w:color w:val="000000" w:themeColor="text1"/>
        </w:rPr>
        <w:t xml:space="preserve">whose total number of employees exceeded 100 </w:t>
      </w:r>
      <w:r w:rsidR="00362212" w:rsidRPr="00CC4F07">
        <w:rPr>
          <w:color w:val="000000" w:themeColor="text1"/>
        </w:rPr>
        <w:t xml:space="preserve">did not achieve the </w:t>
      </w:r>
      <w:r w:rsidR="009D673A" w:rsidRPr="00CC4F07">
        <w:rPr>
          <w:color w:val="000000" w:themeColor="text1"/>
        </w:rPr>
        <w:t xml:space="preserve">minimum </w:t>
      </w:r>
      <w:r w:rsidR="00362212" w:rsidRPr="00CC4F07">
        <w:rPr>
          <w:color w:val="000000" w:themeColor="text1"/>
        </w:rPr>
        <w:t>3% target:</w:t>
      </w:r>
    </w:p>
    <w:p w14:paraId="749D572F" w14:textId="12A0408C" w:rsidR="00362212" w:rsidRPr="00CC4F07" w:rsidRDefault="00FF26B9" w:rsidP="00362212">
      <w:pPr>
        <w:pStyle w:val="ListBullet"/>
        <w:numPr>
          <w:ilvl w:val="0"/>
          <w:numId w:val="1"/>
        </w:numPr>
        <w:rPr>
          <w:color w:val="000000" w:themeColor="text1"/>
        </w:rPr>
      </w:pPr>
      <w:r w:rsidRPr="00CC4F07">
        <w:rPr>
          <w:color w:val="000000" w:themeColor="text1"/>
        </w:rPr>
        <w:t>HSE</w:t>
      </w:r>
      <w:r w:rsidR="00362212" w:rsidRPr="00CC4F07">
        <w:rPr>
          <w:color w:val="000000" w:themeColor="text1"/>
        </w:rPr>
        <w:tab/>
      </w:r>
      <w:r w:rsidR="00362212"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002A4856" w:rsidRPr="00CC4F07">
        <w:rPr>
          <w:color w:val="000000" w:themeColor="text1"/>
        </w:rPr>
        <w:t>1.3% in 2018</w:t>
      </w:r>
      <w:r w:rsidR="00362212" w:rsidRPr="00CC4F07">
        <w:rPr>
          <w:color w:val="000000" w:themeColor="text1"/>
        </w:rPr>
        <w:t xml:space="preserve"> (</w:t>
      </w:r>
      <w:r w:rsidR="006D0030">
        <w:rPr>
          <w:color w:val="000000" w:themeColor="text1"/>
        </w:rPr>
        <w:t>1.8% in 2017)</w:t>
      </w:r>
    </w:p>
    <w:p w14:paraId="53268E4C" w14:textId="4288BB5B" w:rsidR="00362212" w:rsidRPr="00CC4F07" w:rsidRDefault="005C17F2" w:rsidP="00362212">
      <w:pPr>
        <w:pStyle w:val="ListBullet"/>
        <w:numPr>
          <w:ilvl w:val="0"/>
          <w:numId w:val="1"/>
        </w:numPr>
        <w:spacing w:after="240"/>
        <w:ind w:left="357" w:hanging="357"/>
        <w:rPr>
          <w:color w:val="000000" w:themeColor="text1"/>
        </w:rPr>
      </w:pPr>
      <w:r w:rsidRPr="00CC4F07">
        <w:rPr>
          <w:color w:val="000000" w:themeColor="text1"/>
        </w:rPr>
        <w:t xml:space="preserve">Bord </w:t>
      </w:r>
      <w:proofErr w:type="spellStart"/>
      <w:r w:rsidRPr="00CC4F07">
        <w:rPr>
          <w:color w:val="000000" w:themeColor="text1"/>
        </w:rPr>
        <w:t>Iascaigh</w:t>
      </w:r>
      <w:proofErr w:type="spellEnd"/>
      <w:r w:rsidRPr="00CC4F07">
        <w:rPr>
          <w:color w:val="000000" w:themeColor="text1"/>
        </w:rPr>
        <w:t xml:space="preserve"> Mhara</w:t>
      </w:r>
      <w:r w:rsidR="00362212" w:rsidRPr="00CC4F07">
        <w:rPr>
          <w:color w:val="000000" w:themeColor="text1"/>
        </w:rPr>
        <w:tab/>
      </w:r>
      <w:r w:rsidR="00362212" w:rsidRPr="00CC4F07">
        <w:rPr>
          <w:color w:val="000000" w:themeColor="text1"/>
        </w:rPr>
        <w:tab/>
      </w:r>
      <w:r w:rsidRPr="00CC4F07">
        <w:rPr>
          <w:color w:val="000000" w:themeColor="text1"/>
        </w:rPr>
        <w:tab/>
      </w:r>
      <w:r w:rsidR="00362212" w:rsidRPr="00CC4F07">
        <w:rPr>
          <w:color w:val="000000" w:themeColor="text1"/>
        </w:rPr>
        <w:t>2.</w:t>
      </w:r>
      <w:r w:rsidR="00595122" w:rsidRPr="00CC4F07">
        <w:rPr>
          <w:color w:val="000000" w:themeColor="text1"/>
        </w:rPr>
        <w:t>8%</w:t>
      </w:r>
      <w:r w:rsidR="00362212" w:rsidRPr="00CC4F07">
        <w:rPr>
          <w:color w:val="000000" w:themeColor="text1"/>
        </w:rPr>
        <w:t xml:space="preserve"> in 201</w:t>
      </w:r>
      <w:r w:rsidR="00595122" w:rsidRPr="00CC4F07">
        <w:rPr>
          <w:color w:val="000000" w:themeColor="text1"/>
        </w:rPr>
        <w:t>8</w:t>
      </w:r>
      <w:r w:rsidR="00362212" w:rsidRPr="00CC4F07">
        <w:rPr>
          <w:color w:val="000000" w:themeColor="text1"/>
        </w:rPr>
        <w:t xml:space="preserve"> (2.</w:t>
      </w:r>
      <w:r w:rsidR="002A4856" w:rsidRPr="00CC4F07">
        <w:rPr>
          <w:color w:val="000000" w:themeColor="text1"/>
        </w:rPr>
        <w:t>9</w:t>
      </w:r>
      <w:r w:rsidR="00362212" w:rsidRPr="00CC4F07">
        <w:rPr>
          <w:color w:val="000000" w:themeColor="text1"/>
        </w:rPr>
        <w:t>% in 201</w:t>
      </w:r>
      <w:r w:rsidR="002A4856" w:rsidRPr="00CC4F07">
        <w:rPr>
          <w:color w:val="000000" w:themeColor="text1"/>
        </w:rPr>
        <w:t>7</w:t>
      </w:r>
      <w:r w:rsidR="00362212" w:rsidRPr="00CC4F07">
        <w:rPr>
          <w:color w:val="000000" w:themeColor="text1"/>
        </w:rPr>
        <w:t>)</w:t>
      </w:r>
    </w:p>
    <w:p w14:paraId="4A41807F" w14:textId="1F7DFCCC" w:rsidR="00E975D4" w:rsidRPr="00CC4F07" w:rsidRDefault="00E975D4" w:rsidP="00E975D4">
      <w:pPr>
        <w:pStyle w:val="ListBullet"/>
        <w:numPr>
          <w:ilvl w:val="0"/>
          <w:numId w:val="1"/>
        </w:numPr>
        <w:spacing w:after="240"/>
        <w:ind w:left="357" w:hanging="357"/>
        <w:rPr>
          <w:color w:val="000000" w:themeColor="text1"/>
        </w:rPr>
      </w:pPr>
      <w:r w:rsidRPr="00CC4F07">
        <w:rPr>
          <w:color w:val="000000" w:themeColor="text1"/>
        </w:rPr>
        <w:t>National Gallery of Ireland</w:t>
      </w:r>
      <w:r w:rsidRPr="00CC4F07">
        <w:rPr>
          <w:color w:val="000000" w:themeColor="text1"/>
        </w:rPr>
        <w:tab/>
      </w:r>
      <w:r w:rsidRPr="00CC4F07">
        <w:rPr>
          <w:color w:val="000000" w:themeColor="text1"/>
        </w:rPr>
        <w:tab/>
        <w:t>2.8% in 2018 (2.9% in 2017)</w:t>
      </w:r>
    </w:p>
    <w:p w14:paraId="092DECED" w14:textId="77777777" w:rsidR="00362212" w:rsidRPr="00CC4F07" w:rsidRDefault="00362212" w:rsidP="00362212">
      <w:pPr>
        <w:pStyle w:val="Heading3"/>
        <w:keepLines/>
        <w:spacing w:before="20" w:after="40"/>
        <w:rPr>
          <w:rFonts w:ascii="Rockwell" w:hAnsi="Rockwell"/>
          <w:color w:val="BF2296"/>
        </w:rPr>
      </w:pPr>
      <w:r w:rsidRPr="00CC4F07">
        <w:rPr>
          <w:rFonts w:ascii="Rockwell" w:hAnsi="Rockwell"/>
          <w:color w:val="BF2296"/>
        </w:rPr>
        <w:lastRenderedPageBreak/>
        <w:t>Public Bodies staffed by Civil Servants (PBCS)</w:t>
      </w:r>
    </w:p>
    <w:p w14:paraId="41E7087B" w14:textId="5AA6627C" w:rsidR="00362212" w:rsidRPr="00CC4F07" w:rsidRDefault="00362212" w:rsidP="00362212">
      <w:pPr>
        <w:rPr>
          <w:color w:val="000000" w:themeColor="text1"/>
        </w:rPr>
      </w:pPr>
      <w:r w:rsidRPr="00CC4F07">
        <w:rPr>
          <w:color w:val="000000" w:themeColor="text1"/>
        </w:rPr>
        <w:t>In 201</w:t>
      </w:r>
      <w:r w:rsidR="00595122" w:rsidRPr="00CC4F07">
        <w:rPr>
          <w:color w:val="000000" w:themeColor="text1"/>
        </w:rPr>
        <w:t>8</w:t>
      </w:r>
      <w:r w:rsidRPr="00CC4F07">
        <w:rPr>
          <w:color w:val="000000" w:themeColor="text1"/>
        </w:rPr>
        <w:t>, these agencies constitute</w:t>
      </w:r>
      <w:r w:rsidR="00595122" w:rsidRPr="00CC4F07">
        <w:rPr>
          <w:color w:val="000000" w:themeColor="text1"/>
        </w:rPr>
        <w:t>d</w:t>
      </w:r>
      <w:r w:rsidRPr="00CC4F07">
        <w:rPr>
          <w:color w:val="000000" w:themeColor="text1"/>
        </w:rPr>
        <w:t xml:space="preserve"> 6.2% of the public sector workforce. This sector includes bodies whose employees are classified as civil servants such as the Revenue Commissioners, the Central Statistics Office</w:t>
      </w:r>
      <w:r w:rsidR="00561AFA" w:rsidRPr="00CC4F07">
        <w:rPr>
          <w:color w:val="000000" w:themeColor="text1"/>
        </w:rPr>
        <w:t>, IHREC</w:t>
      </w:r>
      <w:r w:rsidRPr="00CC4F07">
        <w:rPr>
          <w:color w:val="000000" w:themeColor="text1"/>
        </w:rPr>
        <w:t xml:space="preserve"> and the National Council for Spe</w:t>
      </w:r>
      <w:r w:rsidR="00043876" w:rsidRPr="00CC4F07">
        <w:rPr>
          <w:color w:val="000000" w:themeColor="text1"/>
        </w:rPr>
        <w:t xml:space="preserve">cial Education. </w:t>
      </w:r>
      <w:r w:rsidRPr="00CC4F07">
        <w:rPr>
          <w:color w:val="000000" w:themeColor="text1"/>
        </w:rPr>
        <w:t>In 201</w:t>
      </w:r>
      <w:r w:rsidR="00595122" w:rsidRPr="00CC4F07">
        <w:rPr>
          <w:color w:val="000000" w:themeColor="text1"/>
        </w:rPr>
        <w:t>8</w:t>
      </w:r>
      <w:r w:rsidR="004865F3">
        <w:rPr>
          <w:color w:val="000000" w:themeColor="text1"/>
        </w:rPr>
        <w:t xml:space="preserve">, </w:t>
      </w:r>
      <w:r w:rsidRPr="00CC4F07">
        <w:rPr>
          <w:color w:val="000000" w:themeColor="text1"/>
        </w:rPr>
        <w:t xml:space="preserve">this sector increased by </w:t>
      </w:r>
      <w:r w:rsidR="00595122" w:rsidRPr="00CC4F07">
        <w:rPr>
          <w:color w:val="000000" w:themeColor="text1"/>
        </w:rPr>
        <w:t>441</w:t>
      </w:r>
      <w:r w:rsidRPr="00CC4F07">
        <w:rPr>
          <w:color w:val="000000" w:themeColor="text1"/>
        </w:rPr>
        <w:t xml:space="preserve"> employees to </w:t>
      </w:r>
      <w:r w:rsidR="00595122" w:rsidRPr="00CC4F07">
        <w:t>14,330</w:t>
      </w:r>
      <w:r w:rsidRPr="00CC4F07">
        <w:t xml:space="preserve"> </w:t>
      </w:r>
      <w:r w:rsidRPr="00CC4F07">
        <w:rPr>
          <w:color w:val="000000" w:themeColor="text1"/>
        </w:rPr>
        <w:t>of whom 4.</w:t>
      </w:r>
      <w:r w:rsidR="00595122" w:rsidRPr="00CC4F07">
        <w:rPr>
          <w:color w:val="000000" w:themeColor="text1"/>
        </w:rPr>
        <w:t>5</w:t>
      </w:r>
      <w:r w:rsidRPr="00CC4F07">
        <w:rPr>
          <w:color w:val="000000" w:themeColor="text1"/>
        </w:rPr>
        <w:t>% (</w:t>
      </w:r>
      <w:r w:rsidR="00595122" w:rsidRPr="00CC4F07">
        <w:rPr>
          <w:color w:val="000000" w:themeColor="text1"/>
        </w:rPr>
        <w:t>644</w:t>
      </w:r>
      <w:r w:rsidRPr="00CC4F07">
        <w:rPr>
          <w:color w:val="000000" w:themeColor="text1"/>
        </w:rPr>
        <w:t xml:space="preserve">) </w:t>
      </w:r>
      <w:r w:rsidR="001C13DD" w:rsidRPr="00CC4F07">
        <w:rPr>
          <w:color w:val="000000" w:themeColor="text1"/>
        </w:rPr>
        <w:t xml:space="preserve">reported </w:t>
      </w:r>
      <w:r w:rsidRPr="00CC4F07">
        <w:rPr>
          <w:color w:val="000000" w:themeColor="text1"/>
        </w:rPr>
        <w:t xml:space="preserve">a disability. In total </w:t>
      </w:r>
      <w:r w:rsidR="00595122" w:rsidRPr="00CC4F07">
        <w:rPr>
          <w:color w:val="000000" w:themeColor="text1"/>
        </w:rPr>
        <w:t>73.2</w:t>
      </w:r>
      <w:r w:rsidRPr="00CC4F07">
        <w:rPr>
          <w:color w:val="000000" w:themeColor="text1"/>
        </w:rPr>
        <w:t>% of bodies in this sector achieved the target</w:t>
      </w:r>
      <w:r w:rsidR="00595122" w:rsidRPr="00CC4F07">
        <w:rPr>
          <w:color w:val="000000" w:themeColor="text1"/>
        </w:rPr>
        <w:t>, a slight drop from 75.6% in 2017</w:t>
      </w:r>
      <w:r w:rsidRPr="00CC4F07">
        <w:rPr>
          <w:color w:val="000000" w:themeColor="text1"/>
        </w:rPr>
        <w:t>.</w:t>
      </w:r>
      <w:r w:rsidR="00E975D4" w:rsidRPr="00CC4F07">
        <w:rPr>
          <w:color w:val="000000" w:themeColor="text1"/>
        </w:rPr>
        <w:t xml:space="preserve"> The number of employees in the sector increased by 3.2% and the number of employees report</w:t>
      </w:r>
      <w:r w:rsidR="00F93C0E" w:rsidRPr="00CC4F07">
        <w:rPr>
          <w:color w:val="000000" w:themeColor="text1"/>
        </w:rPr>
        <w:t>ing a disability increased by 7%</w:t>
      </w:r>
      <w:r w:rsidR="00043876" w:rsidRPr="00CC4F07">
        <w:rPr>
          <w:color w:val="000000" w:themeColor="text1"/>
        </w:rPr>
        <w:t>.</w:t>
      </w:r>
    </w:p>
    <w:p w14:paraId="573D1BFE" w14:textId="77777777" w:rsidR="00362212" w:rsidRPr="00CC4F07" w:rsidRDefault="00362212" w:rsidP="00362212">
      <w:pPr>
        <w:pStyle w:val="Heading3"/>
        <w:keepLines/>
        <w:spacing w:before="20" w:after="40"/>
        <w:rPr>
          <w:rFonts w:ascii="Rockwell" w:hAnsi="Rockwell"/>
          <w:color w:val="BF2296"/>
        </w:rPr>
      </w:pPr>
      <w:r w:rsidRPr="00CC4F07">
        <w:rPr>
          <w:rFonts w:ascii="Rockwell" w:hAnsi="Rockwell"/>
          <w:color w:val="BF2296"/>
        </w:rPr>
        <w:t>Summary</w:t>
      </w:r>
    </w:p>
    <w:p w14:paraId="2E5A5D61" w14:textId="5910B773" w:rsidR="00714529" w:rsidRPr="00CC4F07" w:rsidRDefault="00362212" w:rsidP="00362212">
      <w:pPr>
        <w:spacing w:after="120"/>
        <w:rPr>
          <w:rFonts w:ascii="Gill Sans MT" w:hAnsi="Gill Sans MT"/>
          <w:color w:val="000000" w:themeColor="text1"/>
        </w:rPr>
      </w:pPr>
      <w:r w:rsidRPr="00CC4F07">
        <w:rPr>
          <w:color w:val="000000" w:themeColor="text1"/>
        </w:rPr>
        <w:t>The 201</w:t>
      </w:r>
      <w:r w:rsidR="00595122" w:rsidRPr="00CC4F07">
        <w:rPr>
          <w:color w:val="000000" w:themeColor="text1"/>
        </w:rPr>
        <w:t>8</w:t>
      </w:r>
      <w:r w:rsidRPr="00CC4F07">
        <w:rPr>
          <w:color w:val="000000" w:themeColor="text1"/>
        </w:rPr>
        <w:t xml:space="preserve"> data indicate that the categories of Commercial Bodies, Local Government Bodies, </w:t>
      </w:r>
      <w:r w:rsidR="00E975D4" w:rsidRPr="00CC4F07">
        <w:rPr>
          <w:color w:val="000000" w:themeColor="text1"/>
        </w:rPr>
        <w:t xml:space="preserve">Government Departments, </w:t>
      </w:r>
      <w:r w:rsidRPr="00CC4F07">
        <w:rPr>
          <w:color w:val="000000" w:themeColor="text1"/>
        </w:rPr>
        <w:t xml:space="preserve">Non-Commercial bodies and Public Bodies staffed by Civil Servants have increased </w:t>
      </w:r>
      <w:r w:rsidR="00E975D4" w:rsidRPr="00CC4F07">
        <w:rPr>
          <w:color w:val="000000" w:themeColor="text1"/>
        </w:rPr>
        <w:t xml:space="preserve">their </w:t>
      </w:r>
      <w:r w:rsidRPr="00CC4F07">
        <w:rPr>
          <w:color w:val="000000" w:themeColor="text1"/>
        </w:rPr>
        <w:t>total number</w:t>
      </w:r>
      <w:r w:rsidR="00E975D4" w:rsidRPr="00CC4F07">
        <w:rPr>
          <w:color w:val="000000" w:themeColor="text1"/>
        </w:rPr>
        <w:t>s</w:t>
      </w:r>
      <w:r w:rsidRPr="00CC4F07">
        <w:rPr>
          <w:color w:val="000000" w:themeColor="text1"/>
        </w:rPr>
        <w:t xml:space="preserve"> of employees</w:t>
      </w:r>
      <w:r w:rsidR="00E975D4" w:rsidRPr="00CC4F07">
        <w:rPr>
          <w:color w:val="000000" w:themeColor="text1"/>
        </w:rPr>
        <w:t>.</w:t>
      </w:r>
    </w:p>
    <w:p w14:paraId="0DCF2D36" w14:textId="6B50563D" w:rsidR="00E975D4" w:rsidRPr="00CC4F07" w:rsidRDefault="00E975D4" w:rsidP="00C74CB5">
      <w:pPr>
        <w:spacing w:after="120"/>
        <w:rPr>
          <w:rFonts w:ascii="Gill Sans MT" w:hAnsi="Gill Sans MT"/>
          <w:color w:val="000000" w:themeColor="text1"/>
        </w:rPr>
      </w:pPr>
      <w:r w:rsidRPr="00CC4F07">
        <w:rPr>
          <w:rFonts w:ascii="Gill Sans MT" w:hAnsi="Gill Sans MT"/>
          <w:color w:val="000000" w:themeColor="text1"/>
        </w:rPr>
        <w:t>Three out of the five categories (Commercial, Government De</w:t>
      </w:r>
      <w:r w:rsidR="00C74CB5" w:rsidRPr="00CC4F07">
        <w:rPr>
          <w:rFonts w:ascii="Gill Sans MT" w:hAnsi="Gill Sans MT"/>
          <w:color w:val="000000" w:themeColor="text1"/>
        </w:rPr>
        <w:t>partments and Public Bodies staffed by Civil Servants) increased their total numbers of employees reporting a disability.</w:t>
      </w:r>
    </w:p>
    <w:p w14:paraId="6D150F32" w14:textId="41A7A45E" w:rsidR="005C17F2" w:rsidRPr="00CC4F07" w:rsidRDefault="00C023F0" w:rsidP="005C17F2">
      <w:pPr>
        <w:pStyle w:val="TableTitle"/>
        <w:spacing w:after="0"/>
      </w:pPr>
      <w:r>
        <w:t>Table 4</w:t>
      </w:r>
      <w:r w:rsidR="001330A5" w:rsidRPr="00CC4F07">
        <w:t>.</w:t>
      </w:r>
      <w:r w:rsidR="00633D4D" w:rsidRPr="00CC4F07">
        <w:t xml:space="preserve"> </w:t>
      </w:r>
      <w:r w:rsidR="005C17F2" w:rsidRPr="00CC4F07">
        <w:t>Data by type of public body, 2017, 2018</w:t>
      </w:r>
    </w:p>
    <w:tbl>
      <w:tblPr>
        <w:tblpPr w:leftFromText="180" w:rightFromText="180" w:vertAnchor="text" w:horzAnchor="margin" w:tblpY="373"/>
        <w:tblW w:w="97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1830"/>
        <w:gridCol w:w="1633"/>
        <w:gridCol w:w="1318"/>
        <w:gridCol w:w="1318"/>
        <w:gridCol w:w="1272"/>
        <w:gridCol w:w="1490"/>
        <w:gridCol w:w="905"/>
      </w:tblGrid>
      <w:tr w:rsidR="005C17F2" w:rsidRPr="00CC4F07" w14:paraId="421619C1" w14:textId="77777777" w:rsidTr="00545B54">
        <w:trPr>
          <w:tblHeader/>
        </w:trPr>
        <w:tc>
          <w:tcPr>
            <w:tcW w:w="1830" w:type="dxa"/>
            <w:tcBorders>
              <w:bottom w:val="single" w:sz="12" w:space="0" w:color="000000"/>
            </w:tcBorders>
          </w:tcPr>
          <w:p w14:paraId="5BF4D98A" w14:textId="77777777" w:rsidR="005C17F2" w:rsidRPr="00CC4F07" w:rsidRDefault="005C17F2" w:rsidP="006D697C">
            <w:pPr>
              <w:pStyle w:val="TableHead"/>
              <w:keepNext/>
              <w:jc w:val="both"/>
              <w:rPr>
                <w:rFonts w:ascii="Gill Sans MT" w:hAnsi="Gill Sans MT"/>
                <w:color w:val="000000" w:themeColor="text1"/>
                <w:sz w:val="22"/>
              </w:rPr>
            </w:pPr>
            <w:r w:rsidRPr="00CC4F07">
              <w:rPr>
                <w:rFonts w:ascii="Gill Sans MT" w:hAnsi="Gill Sans MT"/>
                <w:color w:val="000000" w:themeColor="text1"/>
                <w:sz w:val="22"/>
                <w:szCs w:val="22"/>
              </w:rPr>
              <w:t>Type of public sector body</w:t>
            </w:r>
          </w:p>
        </w:tc>
        <w:tc>
          <w:tcPr>
            <w:tcW w:w="1633" w:type="dxa"/>
            <w:tcBorders>
              <w:bottom w:val="single" w:sz="12" w:space="0" w:color="000000"/>
            </w:tcBorders>
          </w:tcPr>
          <w:p w14:paraId="5B4A5E05" w14:textId="77777777" w:rsidR="005C17F2" w:rsidRPr="00CC4F07" w:rsidRDefault="005C17F2" w:rsidP="006D697C">
            <w:pPr>
              <w:pStyle w:val="TableHead"/>
              <w:keepNext/>
              <w:rPr>
                <w:rFonts w:ascii="Gill Sans MT" w:hAnsi="Gill Sans MT"/>
                <w:color w:val="000000" w:themeColor="text1"/>
                <w:sz w:val="22"/>
              </w:rPr>
            </w:pPr>
            <w:r w:rsidRPr="00CC4F07">
              <w:rPr>
                <w:rFonts w:ascii="Gill Sans MT" w:hAnsi="Gill Sans MT"/>
                <w:color w:val="000000" w:themeColor="text1"/>
                <w:sz w:val="22"/>
                <w:szCs w:val="22"/>
              </w:rPr>
              <w:t>Total employees</w:t>
            </w:r>
          </w:p>
        </w:tc>
        <w:tc>
          <w:tcPr>
            <w:tcW w:w="1318" w:type="dxa"/>
            <w:tcBorders>
              <w:bottom w:val="single" w:sz="12" w:space="0" w:color="000000"/>
            </w:tcBorders>
          </w:tcPr>
          <w:p w14:paraId="4F05CC51" w14:textId="77777777" w:rsidR="005C17F2" w:rsidRPr="00CC4F07" w:rsidRDefault="005C17F2" w:rsidP="006D697C">
            <w:pPr>
              <w:pStyle w:val="TableHead"/>
              <w:keepNext/>
              <w:rPr>
                <w:rFonts w:ascii="Gill Sans MT" w:hAnsi="Gill Sans MT"/>
                <w:color w:val="000000" w:themeColor="text1"/>
                <w:sz w:val="22"/>
              </w:rPr>
            </w:pPr>
            <w:r w:rsidRPr="00CC4F07">
              <w:rPr>
                <w:rFonts w:ascii="Gill Sans MT" w:hAnsi="Gill Sans MT"/>
                <w:color w:val="000000" w:themeColor="text1"/>
                <w:sz w:val="22"/>
                <w:szCs w:val="22"/>
              </w:rPr>
              <w:t>No. of employees with disabilities</w:t>
            </w:r>
          </w:p>
        </w:tc>
        <w:tc>
          <w:tcPr>
            <w:tcW w:w="1318" w:type="dxa"/>
            <w:tcBorders>
              <w:bottom w:val="single" w:sz="12" w:space="0" w:color="000000"/>
            </w:tcBorders>
          </w:tcPr>
          <w:p w14:paraId="2C7C2BD9" w14:textId="77777777" w:rsidR="005C17F2" w:rsidRPr="00CC4F07" w:rsidRDefault="005C17F2" w:rsidP="006D697C">
            <w:pPr>
              <w:pStyle w:val="TableHead"/>
              <w:keepNext/>
              <w:rPr>
                <w:rFonts w:ascii="Gill Sans MT" w:hAnsi="Gill Sans MT"/>
                <w:color w:val="000000" w:themeColor="text1"/>
                <w:sz w:val="22"/>
              </w:rPr>
            </w:pPr>
            <w:r w:rsidRPr="00CC4F07">
              <w:rPr>
                <w:rFonts w:ascii="Gill Sans MT" w:hAnsi="Gill Sans MT"/>
                <w:color w:val="000000" w:themeColor="text1"/>
                <w:sz w:val="22"/>
                <w:szCs w:val="22"/>
              </w:rPr>
              <w:t xml:space="preserve">% of employees with disabilities </w:t>
            </w:r>
          </w:p>
        </w:tc>
        <w:tc>
          <w:tcPr>
            <w:tcW w:w="1272" w:type="dxa"/>
            <w:tcBorders>
              <w:bottom w:val="single" w:sz="12" w:space="0" w:color="000000"/>
            </w:tcBorders>
          </w:tcPr>
          <w:p w14:paraId="32AAF74E" w14:textId="43135458" w:rsidR="005C17F2" w:rsidRPr="00CC4F07" w:rsidRDefault="005C17F2" w:rsidP="00B703D7">
            <w:pPr>
              <w:pStyle w:val="TableHead"/>
              <w:keepNext/>
              <w:rPr>
                <w:rFonts w:ascii="Gill Sans MT" w:hAnsi="Gill Sans MT"/>
                <w:color w:val="000000" w:themeColor="text1"/>
                <w:sz w:val="22"/>
              </w:rPr>
            </w:pPr>
            <w:r w:rsidRPr="00CC4F07">
              <w:rPr>
                <w:rFonts w:ascii="Gill Sans MT" w:hAnsi="Gill Sans MT"/>
                <w:color w:val="000000" w:themeColor="text1"/>
                <w:sz w:val="22"/>
                <w:szCs w:val="22"/>
              </w:rPr>
              <w:t xml:space="preserve">% of total </w:t>
            </w:r>
            <w:proofErr w:type="gramStart"/>
            <w:r w:rsidRPr="00CC4F07">
              <w:rPr>
                <w:rFonts w:ascii="Gill Sans MT" w:hAnsi="Gill Sans MT"/>
                <w:color w:val="000000" w:themeColor="text1"/>
                <w:sz w:val="22"/>
                <w:szCs w:val="22"/>
              </w:rPr>
              <w:t>work-force</w:t>
            </w:r>
            <w:proofErr w:type="gramEnd"/>
            <w:r w:rsidRPr="00CC4F07">
              <w:rPr>
                <w:rFonts w:ascii="Gill Sans MT" w:hAnsi="Gill Sans MT"/>
                <w:color w:val="000000" w:themeColor="text1"/>
                <w:sz w:val="22"/>
                <w:szCs w:val="22"/>
              </w:rPr>
              <w:t xml:space="preserve"> reported on under Part 5</w:t>
            </w:r>
          </w:p>
        </w:tc>
        <w:tc>
          <w:tcPr>
            <w:tcW w:w="1490" w:type="dxa"/>
            <w:tcBorders>
              <w:bottom w:val="single" w:sz="12" w:space="0" w:color="000000"/>
            </w:tcBorders>
          </w:tcPr>
          <w:p w14:paraId="5D508C36" w14:textId="0491A2FD" w:rsidR="005C17F2" w:rsidRPr="00CC4F07" w:rsidRDefault="005C17F2" w:rsidP="00B703D7">
            <w:pPr>
              <w:pStyle w:val="TableHead"/>
              <w:keepNext/>
              <w:rPr>
                <w:rFonts w:ascii="Gill Sans MT" w:hAnsi="Gill Sans MT"/>
                <w:color w:val="000000" w:themeColor="text1"/>
                <w:sz w:val="22"/>
              </w:rPr>
            </w:pPr>
            <w:r w:rsidRPr="00CC4F07">
              <w:rPr>
                <w:rFonts w:ascii="Gill Sans MT" w:hAnsi="Gill Sans MT"/>
                <w:color w:val="000000" w:themeColor="text1"/>
                <w:sz w:val="22"/>
                <w:szCs w:val="22"/>
              </w:rPr>
              <w:t>% of</w:t>
            </w:r>
            <w:r w:rsidR="00B703D7">
              <w:rPr>
                <w:rFonts w:ascii="Gill Sans MT" w:hAnsi="Gill Sans MT"/>
                <w:color w:val="000000" w:themeColor="text1"/>
                <w:sz w:val="22"/>
              </w:rPr>
              <w:t xml:space="preserve"> </w:t>
            </w:r>
            <w:r w:rsidRPr="00CC4F07">
              <w:rPr>
                <w:rFonts w:ascii="Gill Sans MT" w:hAnsi="Gill Sans MT"/>
                <w:color w:val="000000" w:themeColor="text1"/>
                <w:sz w:val="22"/>
                <w:szCs w:val="22"/>
              </w:rPr>
              <w:t>bodies achieving target</w:t>
            </w:r>
          </w:p>
        </w:tc>
        <w:tc>
          <w:tcPr>
            <w:tcW w:w="905" w:type="dxa"/>
            <w:tcBorders>
              <w:bottom w:val="single" w:sz="12" w:space="0" w:color="000000"/>
            </w:tcBorders>
          </w:tcPr>
          <w:p w14:paraId="761FEEB9" w14:textId="77777777" w:rsidR="005C17F2" w:rsidRPr="00CC4F07" w:rsidRDefault="005C17F2" w:rsidP="006D697C">
            <w:pPr>
              <w:pStyle w:val="TableHead"/>
              <w:keepNext/>
              <w:rPr>
                <w:rFonts w:ascii="Gill Sans MT" w:hAnsi="Gill Sans MT"/>
                <w:color w:val="000000" w:themeColor="text1"/>
                <w:sz w:val="22"/>
              </w:rPr>
            </w:pPr>
            <w:r w:rsidRPr="00CC4F07">
              <w:rPr>
                <w:rFonts w:ascii="Gill Sans MT" w:hAnsi="Gill Sans MT"/>
                <w:color w:val="000000" w:themeColor="text1"/>
                <w:sz w:val="22"/>
                <w:szCs w:val="22"/>
              </w:rPr>
              <w:t>No. of Public Bodies</w:t>
            </w:r>
          </w:p>
        </w:tc>
      </w:tr>
      <w:tr w:rsidR="005C17F2" w:rsidRPr="00CC4F07" w14:paraId="50E606BB" w14:textId="77777777" w:rsidTr="00B703D7">
        <w:trPr>
          <w:trHeight w:val="233"/>
        </w:trPr>
        <w:tc>
          <w:tcPr>
            <w:tcW w:w="1830" w:type="dxa"/>
          </w:tcPr>
          <w:p w14:paraId="64E6E657" w14:textId="50FF7F53" w:rsidR="005C17F2" w:rsidRPr="00CC4F07" w:rsidRDefault="005C17F2" w:rsidP="00F53C61">
            <w:pPr>
              <w:pStyle w:val="TableRowHead"/>
              <w:rPr>
                <w:rFonts w:ascii="Gill Sans MT" w:hAnsi="Gill Sans MT"/>
                <w:color w:val="000000" w:themeColor="text1"/>
                <w:sz w:val="20"/>
                <w:szCs w:val="20"/>
              </w:rPr>
            </w:pPr>
            <w:r w:rsidRPr="00CC4F07">
              <w:rPr>
                <w:rFonts w:ascii="Gill Sans MT" w:hAnsi="Gill Sans MT"/>
                <w:color w:val="000000" w:themeColor="text1"/>
                <w:sz w:val="20"/>
                <w:szCs w:val="20"/>
              </w:rPr>
              <w:t>Commercial 201</w:t>
            </w:r>
            <w:r w:rsidR="00F11532" w:rsidRPr="00CC4F07">
              <w:rPr>
                <w:rFonts w:ascii="Gill Sans MT" w:hAnsi="Gill Sans MT"/>
                <w:color w:val="000000" w:themeColor="text1"/>
                <w:sz w:val="20"/>
                <w:szCs w:val="20"/>
              </w:rPr>
              <w:t>8</w:t>
            </w:r>
          </w:p>
        </w:tc>
        <w:tc>
          <w:tcPr>
            <w:tcW w:w="1633" w:type="dxa"/>
          </w:tcPr>
          <w:p w14:paraId="091F80A9" w14:textId="74C46280" w:rsidR="005C17F2" w:rsidRPr="00CC4F07" w:rsidRDefault="00F81F80" w:rsidP="006D697C">
            <w:pPr>
              <w:spacing w:after="0"/>
              <w:jc w:val="righ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37,821</w:t>
            </w:r>
          </w:p>
        </w:tc>
        <w:tc>
          <w:tcPr>
            <w:tcW w:w="1318" w:type="dxa"/>
          </w:tcPr>
          <w:p w14:paraId="189779D6" w14:textId="2D03B00D" w:rsidR="005C17F2" w:rsidRPr="00CC4F07" w:rsidRDefault="00F81F80" w:rsidP="006D697C">
            <w:pPr>
              <w:spacing w:after="0"/>
              <w:jc w:val="righ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1,641</w:t>
            </w:r>
          </w:p>
        </w:tc>
        <w:tc>
          <w:tcPr>
            <w:tcW w:w="1318" w:type="dxa"/>
          </w:tcPr>
          <w:p w14:paraId="0AE51BFE" w14:textId="02CDAFEB"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4.3%</w:t>
            </w:r>
          </w:p>
        </w:tc>
        <w:tc>
          <w:tcPr>
            <w:tcW w:w="1272" w:type="dxa"/>
          </w:tcPr>
          <w:p w14:paraId="5D5AC18D" w14:textId="388F7928" w:rsidR="005C17F2" w:rsidRPr="00B703D7" w:rsidRDefault="00F81F80" w:rsidP="00B703D7">
            <w:pPr>
              <w:spacing w:after="0"/>
              <w:jc w:val="right"/>
              <w:rPr>
                <w:rFonts w:ascii="Gill Sans MT" w:hAnsi="Gill Sans MT" w:cs="Arial"/>
                <w:bCs/>
                <w:color w:val="000000"/>
                <w:sz w:val="22"/>
                <w:szCs w:val="22"/>
              </w:rPr>
            </w:pPr>
            <w:r w:rsidRPr="00B703D7">
              <w:rPr>
                <w:rFonts w:ascii="Gill Sans MT" w:hAnsi="Gill Sans MT" w:cs="Arial"/>
                <w:bCs/>
                <w:color w:val="000000"/>
                <w:sz w:val="22"/>
                <w:szCs w:val="22"/>
              </w:rPr>
              <w:t>16.3%</w:t>
            </w:r>
          </w:p>
        </w:tc>
        <w:tc>
          <w:tcPr>
            <w:tcW w:w="1490" w:type="dxa"/>
          </w:tcPr>
          <w:p w14:paraId="4DF4C926" w14:textId="58AF7AB4" w:rsidR="005C17F2" w:rsidRPr="00B703D7" w:rsidRDefault="00F81F80" w:rsidP="00B703D7">
            <w:pPr>
              <w:spacing w:after="0"/>
              <w:jc w:val="right"/>
              <w:rPr>
                <w:rFonts w:ascii="Gill Sans MT" w:hAnsi="Gill Sans MT" w:cs="Arial"/>
                <w:bCs/>
                <w:color w:val="000000"/>
                <w:sz w:val="22"/>
                <w:szCs w:val="22"/>
              </w:rPr>
            </w:pPr>
            <w:r w:rsidRPr="00CC4F07">
              <w:rPr>
                <w:rFonts w:ascii="Gill Sans MT" w:hAnsi="Gill Sans MT" w:cs="Arial"/>
                <w:bCs/>
                <w:color w:val="000000"/>
                <w:sz w:val="22"/>
                <w:szCs w:val="22"/>
              </w:rPr>
              <w:t>84.6%</w:t>
            </w:r>
          </w:p>
        </w:tc>
        <w:tc>
          <w:tcPr>
            <w:tcW w:w="905" w:type="dxa"/>
          </w:tcPr>
          <w:p w14:paraId="14886DB9" w14:textId="15DDA3F0"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26</w:t>
            </w:r>
          </w:p>
        </w:tc>
      </w:tr>
      <w:tr w:rsidR="00F11532" w:rsidRPr="00CC4F07" w14:paraId="636E7085" w14:textId="77777777" w:rsidTr="00B703D7">
        <w:tc>
          <w:tcPr>
            <w:tcW w:w="1830" w:type="dxa"/>
          </w:tcPr>
          <w:p w14:paraId="239D1A70" w14:textId="72E6E781" w:rsidR="00F11532" w:rsidRPr="00CC4F07" w:rsidRDefault="00F11532" w:rsidP="00F11532">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Commercial 2017</w:t>
            </w:r>
          </w:p>
        </w:tc>
        <w:tc>
          <w:tcPr>
            <w:tcW w:w="1633" w:type="dxa"/>
          </w:tcPr>
          <w:p w14:paraId="5D0C00BE" w14:textId="1F4C3E58" w:rsidR="00F11532" w:rsidRPr="00CC4F07" w:rsidRDefault="00F11532" w:rsidP="00F11532">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37,623</w:t>
            </w:r>
          </w:p>
        </w:tc>
        <w:tc>
          <w:tcPr>
            <w:tcW w:w="1318" w:type="dxa"/>
          </w:tcPr>
          <w:p w14:paraId="308572DC" w14:textId="4B0080D2" w:rsidR="00F11532" w:rsidRPr="00CC4F07" w:rsidRDefault="00F11532" w:rsidP="00F11532">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1,596</w:t>
            </w:r>
          </w:p>
        </w:tc>
        <w:tc>
          <w:tcPr>
            <w:tcW w:w="1318" w:type="dxa"/>
          </w:tcPr>
          <w:p w14:paraId="0A9422BD" w14:textId="1B7A22F5" w:rsidR="00F11532" w:rsidRPr="00B703D7" w:rsidRDefault="00F11532" w:rsidP="00B703D7">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4.2%</w:t>
            </w:r>
          </w:p>
        </w:tc>
        <w:tc>
          <w:tcPr>
            <w:tcW w:w="1272" w:type="dxa"/>
          </w:tcPr>
          <w:p w14:paraId="700564B4" w14:textId="20F1524B" w:rsidR="00F11532" w:rsidRPr="00B703D7" w:rsidRDefault="00F11532" w:rsidP="00B703D7">
            <w:pPr>
              <w:spacing w:after="0"/>
              <w:jc w:val="right"/>
              <w:rPr>
                <w:rFonts w:ascii="Gill Sans MT" w:hAnsi="Gill Sans MT" w:cs="Arial"/>
                <w:bCs/>
                <w:sz w:val="22"/>
                <w:szCs w:val="22"/>
                <w:lang w:eastAsia="en-IE"/>
              </w:rPr>
            </w:pPr>
            <w:r w:rsidRPr="00CC4F07">
              <w:rPr>
                <w:rFonts w:ascii="Gill Sans MT" w:hAnsi="Gill Sans MT" w:cs="Arial"/>
                <w:bCs/>
                <w:sz w:val="22"/>
                <w:szCs w:val="22"/>
              </w:rPr>
              <w:t>16.7%</w:t>
            </w:r>
          </w:p>
        </w:tc>
        <w:tc>
          <w:tcPr>
            <w:tcW w:w="1490" w:type="dxa"/>
          </w:tcPr>
          <w:p w14:paraId="19F54880" w14:textId="3E4211E6" w:rsidR="00F11532" w:rsidRPr="00B703D7" w:rsidRDefault="00F11532" w:rsidP="00B703D7">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92.6%</w:t>
            </w:r>
          </w:p>
        </w:tc>
        <w:tc>
          <w:tcPr>
            <w:tcW w:w="905" w:type="dxa"/>
          </w:tcPr>
          <w:p w14:paraId="71EB1AC2" w14:textId="6E8C4A79" w:rsidR="00F11532" w:rsidRPr="00B703D7" w:rsidRDefault="00F11532" w:rsidP="00B703D7">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27</w:t>
            </w:r>
          </w:p>
        </w:tc>
      </w:tr>
      <w:tr w:rsidR="005C17F2" w:rsidRPr="00CC4F07" w14:paraId="3B425C65" w14:textId="77777777" w:rsidTr="00545B54">
        <w:tc>
          <w:tcPr>
            <w:tcW w:w="1830" w:type="dxa"/>
            <w:tcBorders>
              <w:bottom w:val="single" w:sz="6" w:space="0" w:color="000000"/>
            </w:tcBorders>
          </w:tcPr>
          <w:p w14:paraId="1EDF9BD3" w14:textId="795A74C5" w:rsidR="005C17F2" w:rsidRPr="00CC4F07" w:rsidRDefault="005C17F2" w:rsidP="006D697C">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Change 201</w:t>
            </w:r>
            <w:r w:rsidR="00F11532" w:rsidRPr="00CC4F07">
              <w:rPr>
                <w:rFonts w:ascii="Gill Sans MT" w:hAnsi="Gill Sans MT"/>
                <w:color w:val="000000" w:themeColor="text1"/>
                <w:sz w:val="20"/>
                <w:szCs w:val="20"/>
              </w:rPr>
              <w:t>7</w:t>
            </w:r>
            <w:r w:rsidRPr="00CC4F07">
              <w:rPr>
                <w:rFonts w:ascii="Gill Sans MT" w:hAnsi="Gill Sans MT"/>
                <w:color w:val="000000" w:themeColor="text1"/>
                <w:sz w:val="20"/>
                <w:szCs w:val="20"/>
              </w:rPr>
              <w:t>/201</w:t>
            </w:r>
            <w:r w:rsidR="00F11532" w:rsidRPr="00CC4F07">
              <w:rPr>
                <w:rFonts w:ascii="Gill Sans MT" w:hAnsi="Gill Sans MT"/>
                <w:color w:val="000000" w:themeColor="text1"/>
                <w:sz w:val="20"/>
                <w:szCs w:val="20"/>
              </w:rPr>
              <w:t>8</w:t>
            </w:r>
          </w:p>
        </w:tc>
        <w:tc>
          <w:tcPr>
            <w:tcW w:w="1633" w:type="dxa"/>
          </w:tcPr>
          <w:p w14:paraId="07C4503D" w14:textId="62859906"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198</w:t>
            </w:r>
          </w:p>
        </w:tc>
        <w:tc>
          <w:tcPr>
            <w:tcW w:w="1318" w:type="dxa"/>
          </w:tcPr>
          <w:p w14:paraId="6A2DF2FE" w14:textId="1D805154"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45</w:t>
            </w:r>
          </w:p>
        </w:tc>
        <w:tc>
          <w:tcPr>
            <w:tcW w:w="1318" w:type="dxa"/>
          </w:tcPr>
          <w:p w14:paraId="7FCFF980" w14:textId="5EBCB7D0"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0.1%</w:t>
            </w:r>
          </w:p>
        </w:tc>
        <w:tc>
          <w:tcPr>
            <w:tcW w:w="1272" w:type="dxa"/>
          </w:tcPr>
          <w:p w14:paraId="68A38DAC" w14:textId="08E49E87"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-0.4%</w:t>
            </w:r>
          </w:p>
        </w:tc>
        <w:tc>
          <w:tcPr>
            <w:tcW w:w="1490" w:type="dxa"/>
          </w:tcPr>
          <w:p w14:paraId="657EE828" w14:textId="45A24D1A"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-8.0%</w:t>
            </w:r>
          </w:p>
        </w:tc>
        <w:tc>
          <w:tcPr>
            <w:tcW w:w="905" w:type="dxa"/>
          </w:tcPr>
          <w:p w14:paraId="509D3D38" w14:textId="7E74B0CA"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-1</w:t>
            </w:r>
          </w:p>
        </w:tc>
      </w:tr>
      <w:tr w:rsidR="005C17F2" w:rsidRPr="00CC4F07" w14:paraId="5E595100" w14:textId="77777777" w:rsidTr="00545B54">
        <w:tc>
          <w:tcPr>
            <w:tcW w:w="1830" w:type="dxa"/>
            <w:tcBorders>
              <w:top w:val="single" w:sz="4" w:space="0" w:color="auto"/>
              <w:bottom w:val="single" w:sz="4" w:space="0" w:color="auto"/>
            </w:tcBorders>
          </w:tcPr>
          <w:p w14:paraId="7BDF5A5E" w14:textId="77777777" w:rsidR="005C17F2" w:rsidRPr="00CC4F07" w:rsidRDefault="005C17F2" w:rsidP="006D697C">
            <w:pPr>
              <w:pStyle w:val="TableRowHead"/>
              <w:jc w:val="both"/>
              <w:rPr>
                <w:rFonts w:ascii="Gill Sans MT" w:hAnsi="Gill Sans MT"/>
                <w:color w:val="000000" w:themeColor="text1"/>
                <w:sz w:val="20"/>
                <w:szCs w:val="20"/>
              </w:rPr>
            </w:pPr>
          </w:p>
        </w:tc>
        <w:tc>
          <w:tcPr>
            <w:tcW w:w="1633" w:type="dxa"/>
            <w:tcBorders>
              <w:top w:val="single" w:sz="4" w:space="0" w:color="auto"/>
              <w:bottom w:val="single" w:sz="4" w:space="0" w:color="auto"/>
            </w:tcBorders>
          </w:tcPr>
          <w:p w14:paraId="429AB385"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Borders>
              <w:top w:val="single" w:sz="4" w:space="0" w:color="auto"/>
              <w:bottom w:val="single" w:sz="4" w:space="0" w:color="auto"/>
            </w:tcBorders>
          </w:tcPr>
          <w:p w14:paraId="43E5DA65"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Borders>
              <w:top w:val="single" w:sz="4" w:space="0" w:color="auto"/>
              <w:bottom w:val="single" w:sz="4" w:space="0" w:color="auto"/>
            </w:tcBorders>
          </w:tcPr>
          <w:p w14:paraId="63F82FCD"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272" w:type="dxa"/>
            <w:tcBorders>
              <w:top w:val="single" w:sz="4" w:space="0" w:color="auto"/>
              <w:bottom w:val="single" w:sz="4" w:space="0" w:color="auto"/>
            </w:tcBorders>
            <w:vAlign w:val="center"/>
          </w:tcPr>
          <w:p w14:paraId="434EC6E1"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490" w:type="dxa"/>
            <w:tcBorders>
              <w:top w:val="single" w:sz="4" w:space="0" w:color="auto"/>
              <w:bottom w:val="single" w:sz="4" w:space="0" w:color="auto"/>
            </w:tcBorders>
            <w:vAlign w:val="center"/>
          </w:tcPr>
          <w:p w14:paraId="403085CC"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905" w:type="dxa"/>
            <w:tcBorders>
              <w:top w:val="single" w:sz="4" w:space="0" w:color="auto"/>
              <w:bottom w:val="single" w:sz="4" w:space="0" w:color="auto"/>
            </w:tcBorders>
          </w:tcPr>
          <w:p w14:paraId="2089B7B5"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r>
      <w:tr w:rsidR="005C17F2" w:rsidRPr="00CC4F07" w14:paraId="0F4CF6F5" w14:textId="77777777" w:rsidTr="00545B54">
        <w:tc>
          <w:tcPr>
            <w:tcW w:w="1830" w:type="dxa"/>
            <w:tcBorders>
              <w:top w:val="single" w:sz="4" w:space="0" w:color="auto"/>
              <w:bottom w:val="single" w:sz="4" w:space="0" w:color="auto"/>
            </w:tcBorders>
          </w:tcPr>
          <w:p w14:paraId="23855A53" w14:textId="5DAF271F" w:rsidR="005C17F2" w:rsidRPr="00CC4F07" w:rsidRDefault="00F81F80" w:rsidP="006D697C">
            <w:pPr>
              <w:pStyle w:val="TableRowHead"/>
              <w:rPr>
                <w:rFonts w:ascii="Gill Sans MT" w:hAnsi="Gill Sans MT"/>
                <w:color w:val="000000" w:themeColor="text1"/>
                <w:sz w:val="20"/>
                <w:szCs w:val="20"/>
              </w:rPr>
            </w:pPr>
            <w:r w:rsidRPr="00CC4F07">
              <w:rPr>
                <w:rFonts w:ascii="Gill Sans MT" w:hAnsi="Gill Sans MT"/>
                <w:color w:val="000000" w:themeColor="text1"/>
                <w:sz w:val="20"/>
                <w:szCs w:val="20"/>
              </w:rPr>
              <w:t>Gov. Dept. 2018</w:t>
            </w:r>
          </w:p>
        </w:tc>
        <w:tc>
          <w:tcPr>
            <w:tcW w:w="1633" w:type="dxa"/>
            <w:tcBorders>
              <w:top w:val="single" w:sz="4" w:space="0" w:color="auto"/>
              <w:bottom w:val="single" w:sz="4" w:space="0" w:color="auto"/>
            </w:tcBorders>
          </w:tcPr>
          <w:p w14:paraId="2BB27242" w14:textId="04CF487F"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21,205</w:t>
            </w:r>
          </w:p>
        </w:tc>
        <w:tc>
          <w:tcPr>
            <w:tcW w:w="1318" w:type="dxa"/>
            <w:tcBorders>
              <w:top w:val="single" w:sz="4" w:space="0" w:color="auto"/>
              <w:bottom w:val="single" w:sz="4" w:space="0" w:color="auto"/>
            </w:tcBorders>
          </w:tcPr>
          <w:p w14:paraId="695E6129" w14:textId="3004AA59"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990</w:t>
            </w:r>
          </w:p>
        </w:tc>
        <w:tc>
          <w:tcPr>
            <w:tcW w:w="1318" w:type="dxa"/>
            <w:tcBorders>
              <w:top w:val="single" w:sz="4" w:space="0" w:color="auto"/>
              <w:bottom w:val="single" w:sz="4" w:space="0" w:color="auto"/>
            </w:tcBorders>
          </w:tcPr>
          <w:p w14:paraId="102EAB46" w14:textId="528ECBE5"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4.7%</w:t>
            </w:r>
          </w:p>
        </w:tc>
        <w:tc>
          <w:tcPr>
            <w:tcW w:w="1272" w:type="dxa"/>
            <w:tcBorders>
              <w:top w:val="single" w:sz="4" w:space="0" w:color="auto"/>
              <w:bottom w:val="single" w:sz="4" w:space="0" w:color="auto"/>
            </w:tcBorders>
            <w:vAlign w:val="center"/>
          </w:tcPr>
          <w:p w14:paraId="24066D48" w14:textId="41E9CCD2"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9.</w:t>
            </w:r>
            <w:r w:rsidR="00C74CB5" w:rsidRPr="00CC4F07">
              <w:rPr>
                <w:rFonts w:ascii="Gill Sans MT" w:hAnsi="Gill Sans MT" w:cs="Arial"/>
                <w:bCs/>
                <w:sz w:val="22"/>
                <w:szCs w:val="22"/>
              </w:rPr>
              <w:t>2</w:t>
            </w:r>
            <w:r w:rsidRPr="00CC4F07">
              <w:rPr>
                <w:rFonts w:ascii="Gill Sans MT" w:hAnsi="Gill Sans MT" w:cs="Arial"/>
                <w:bCs/>
                <w:sz w:val="22"/>
                <w:szCs w:val="22"/>
              </w:rPr>
              <w:t>%</w:t>
            </w:r>
          </w:p>
        </w:tc>
        <w:tc>
          <w:tcPr>
            <w:tcW w:w="1490" w:type="dxa"/>
            <w:tcBorders>
              <w:top w:val="single" w:sz="4" w:space="0" w:color="auto"/>
              <w:bottom w:val="single" w:sz="4" w:space="0" w:color="auto"/>
            </w:tcBorders>
            <w:vAlign w:val="center"/>
          </w:tcPr>
          <w:p w14:paraId="49C01686" w14:textId="5E6F2620"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100.0%</w:t>
            </w:r>
          </w:p>
        </w:tc>
        <w:tc>
          <w:tcPr>
            <w:tcW w:w="905" w:type="dxa"/>
            <w:tcBorders>
              <w:top w:val="single" w:sz="4" w:space="0" w:color="auto"/>
              <w:bottom w:val="single" w:sz="4" w:space="0" w:color="auto"/>
            </w:tcBorders>
          </w:tcPr>
          <w:p w14:paraId="7B693CC3" w14:textId="1DFF31DE"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18</w:t>
            </w:r>
          </w:p>
        </w:tc>
      </w:tr>
      <w:tr w:rsidR="00F11532" w:rsidRPr="00CC4F07" w14:paraId="74AC8D29" w14:textId="77777777" w:rsidTr="00545B54">
        <w:tc>
          <w:tcPr>
            <w:tcW w:w="1830" w:type="dxa"/>
            <w:tcBorders>
              <w:top w:val="single" w:sz="4" w:space="0" w:color="auto"/>
              <w:bottom w:val="single" w:sz="4" w:space="0" w:color="auto"/>
            </w:tcBorders>
          </w:tcPr>
          <w:p w14:paraId="16AAE10F" w14:textId="6228DA2D" w:rsidR="00F11532" w:rsidRPr="00CC4F07" w:rsidRDefault="00F11532" w:rsidP="00F11532">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Gov. Dept. 2017</w:t>
            </w:r>
          </w:p>
        </w:tc>
        <w:tc>
          <w:tcPr>
            <w:tcW w:w="1633" w:type="dxa"/>
            <w:tcBorders>
              <w:top w:val="single" w:sz="4" w:space="0" w:color="auto"/>
              <w:bottom w:val="single" w:sz="4" w:space="0" w:color="auto"/>
            </w:tcBorders>
          </w:tcPr>
          <w:p w14:paraId="3F8CD43A"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20,520</w:t>
            </w:r>
          </w:p>
          <w:p w14:paraId="3488BDF0" w14:textId="5446E9F5" w:rsidR="00F11532" w:rsidRPr="00CC4F07" w:rsidRDefault="00F11532" w:rsidP="00B703D7">
            <w:pPr>
              <w:pStyle w:val="TableCell"/>
              <w:keepNext/>
              <w:jc w:val="center"/>
              <w:rPr>
                <w:rFonts w:ascii="Gill Sans MT" w:hAnsi="Gill Sans MT"/>
                <w:color w:val="000000" w:themeColor="text1"/>
                <w:sz w:val="22"/>
                <w:szCs w:val="22"/>
                <w:lang w:val="en-GB" w:eastAsia="en-GB"/>
              </w:rPr>
            </w:pPr>
          </w:p>
        </w:tc>
        <w:tc>
          <w:tcPr>
            <w:tcW w:w="1318" w:type="dxa"/>
            <w:tcBorders>
              <w:top w:val="single" w:sz="4" w:space="0" w:color="auto"/>
              <w:bottom w:val="single" w:sz="4" w:space="0" w:color="auto"/>
            </w:tcBorders>
          </w:tcPr>
          <w:p w14:paraId="18B6803A"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944</w:t>
            </w:r>
          </w:p>
          <w:p w14:paraId="7CEB7095" w14:textId="3F8A2E4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Borders>
              <w:top w:val="single" w:sz="4" w:space="0" w:color="auto"/>
              <w:bottom w:val="single" w:sz="4" w:space="0" w:color="auto"/>
            </w:tcBorders>
          </w:tcPr>
          <w:p w14:paraId="2C61EBAA"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4.6%</w:t>
            </w:r>
          </w:p>
          <w:p w14:paraId="6F4B0082" w14:textId="331E1E34"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272" w:type="dxa"/>
            <w:tcBorders>
              <w:top w:val="single" w:sz="4" w:space="0" w:color="auto"/>
              <w:bottom w:val="single" w:sz="4" w:space="0" w:color="auto"/>
            </w:tcBorders>
            <w:vAlign w:val="center"/>
          </w:tcPr>
          <w:p w14:paraId="439AB43F"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9.1%</w:t>
            </w:r>
          </w:p>
          <w:p w14:paraId="2B5F6926" w14:textId="25798483"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490" w:type="dxa"/>
            <w:tcBorders>
              <w:top w:val="single" w:sz="4" w:space="0" w:color="auto"/>
              <w:bottom w:val="single" w:sz="4" w:space="0" w:color="auto"/>
            </w:tcBorders>
            <w:vAlign w:val="center"/>
          </w:tcPr>
          <w:p w14:paraId="2101A669"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100.0%</w:t>
            </w:r>
          </w:p>
          <w:p w14:paraId="06519C44" w14:textId="41DD645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905" w:type="dxa"/>
            <w:tcBorders>
              <w:top w:val="single" w:sz="4" w:space="0" w:color="auto"/>
              <w:bottom w:val="single" w:sz="4" w:space="0" w:color="auto"/>
            </w:tcBorders>
          </w:tcPr>
          <w:p w14:paraId="5759D599"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18</w:t>
            </w:r>
          </w:p>
          <w:p w14:paraId="03E49ECB" w14:textId="655F33C5" w:rsidR="00F11532" w:rsidRPr="00CC4F07" w:rsidRDefault="00F11532" w:rsidP="00F11532">
            <w:pPr>
              <w:pStyle w:val="TableCell"/>
              <w:keepNext/>
              <w:rPr>
                <w:rFonts w:ascii="Gill Sans MT" w:hAnsi="Gill Sans MT"/>
                <w:color w:val="000000" w:themeColor="text1"/>
                <w:sz w:val="22"/>
                <w:szCs w:val="22"/>
                <w:lang w:val="en-GB" w:eastAsia="en-GB"/>
              </w:rPr>
            </w:pPr>
          </w:p>
        </w:tc>
      </w:tr>
      <w:tr w:rsidR="005C17F2" w:rsidRPr="00CC4F07" w14:paraId="041F7C2F" w14:textId="77777777" w:rsidTr="00545B54">
        <w:tc>
          <w:tcPr>
            <w:tcW w:w="1830" w:type="dxa"/>
            <w:tcBorders>
              <w:top w:val="single" w:sz="6" w:space="0" w:color="000000"/>
              <w:bottom w:val="single" w:sz="4" w:space="0" w:color="000000"/>
            </w:tcBorders>
            <w:shd w:val="clear" w:color="auto" w:fill="E0E0E0"/>
          </w:tcPr>
          <w:p w14:paraId="1AB05FAC" w14:textId="3619FABD" w:rsidR="005C17F2" w:rsidRPr="00CC4F07" w:rsidRDefault="005C17F2" w:rsidP="00F11532">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Change 201</w:t>
            </w:r>
            <w:r w:rsidR="00F11532" w:rsidRPr="00CC4F07">
              <w:rPr>
                <w:rFonts w:ascii="Gill Sans MT" w:hAnsi="Gill Sans MT"/>
                <w:color w:val="000000" w:themeColor="text1"/>
                <w:sz w:val="20"/>
                <w:szCs w:val="20"/>
              </w:rPr>
              <w:t>7</w:t>
            </w:r>
            <w:r w:rsidRPr="00CC4F07">
              <w:rPr>
                <w:rFonts w:ascii="Gill Sans MT" w:hAnsi="Gill Sans MT"/>
                <w:color w:val="000000" w:themeColor="text1"/>
                <w:sz w:val="20"/>
                <w:szCs w:val="20"/>
              </w:rPr>
              <w:t>/</w:t>
            </w:r>
            <w:r w:rsidR="00F11532" w:rsidRPr="00CC4F07">
              <w:rPr>
                <w:rFonts w:ascii="Gill Sans MT" w:hAnsi="Gill Sans MT"/>
                <w:color w:val="000000" w:themeColor="text1"/>
                <w:sz w:val="20"/>
                <w:szCs w:val="20"/>
              </w:rPr>
              <w:t>2018</w:t>
            </w:r>
          </w:p>
        </w:tc>
        <w:tc>
          <w:tcPr>
            <w:tcW w:w="1633" w:type="dxa"/>
            <w:tcBorders>
              <w:top w:val="single" w:sz="6" w:space="0" w:color="000000"/>
              <w:bottom w:val="single" w:sz="4" w:space="0" w:color="auto"/>
            </w:tcBorders>
            <w:shd w:val="clear" w:color="auto" w:fill="E0E0E0"/>
          </w:tcPr>
          <w:p w14:paraId="3D349335" w14:textId="44D637B0"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685</w:t>
            </w:r>
          </w:p>
        </w:tc>
        <w:tc>
          <w:tcPr>
            <w:tcW w:w="1318" w:type="dxa"/>
            <w:tcBorders>
              <w:top w:val="single" w:sz="6" w:space="0" w:color="000000"/>
              <w:bottom w:val="single" w:sz="4" w:space="0" w:color="auto"/>
            </w:tcBorders>
            <w:shd w:val="clear" w:color="auto" w:fill="E0E0E0"/>
          </w:tcPr>
          <w:p w14:paraId="13049A9A" w14:textId="066D4AD0"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46</w:t>
            </w:r>
          </w:p>
        </w:tc>
        <w:tc>
          <w:tcPr>
            <w:tcW w:w="1318" w:type="dxa"/>
            <w:tcBorders>
              <w:top w:val="single" w:sz="6" w:space="0" w:color="000000"/>
              <w:bottom w:val="single" w:sz="4" w:space="0" w:color="auto"/>
            </w:tcBorders>
            <w:shd w:val="clear" w:color="auto" w:fill="E0E0E0"/>
          </w:tcPr>
          <w:p w14:paraId="32ABBEF8" w14:textId="29DBCE87"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0.1%</w:t>
            </w:r>
          </w:p>
        </w:tc>
        <w:tc>
          <w:tcPr>
            <w:tcW w:w="1272" w:type="dxa"/>
            <w:tcBorders>
              <w:top w:val="single" w:sz="6" w:space="0" w:color="000000"/>
              <w:bottom w:val="single" w:sz="4" w:space="0" w:color="auto"/>
            </w:tcBorders>
            <w:shd w:val="clear" w:color="auto" w:fill="E0E0E0"/>
          </w:tcPr>
          <w:p w14:paraId="01C9EC57" w14:textId="41636A3B"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w:t>
            </w:r>
            <w:r w:rsidR="00C74CB5" w:rsidRPr="00CC4F07">
              <w:rPr>
                <w:rFonts w:ascii="Gill Sans MT" w:hAnsi="Gill Sans MT"/>
                <w:b/>
                <w:color w:val="000000" w:themeColor="text1"/>
                <w:sz w:val="22"/>
                <w:szCs w:val="22"/>
                <w:lang w:val="en-GB" w:eastAsia="en-GB"/>
              </w:rPr>
              <w:t>1</w:t>
            </w:r>
            <w:r w:rsidRPr="00CC4F07">
              <w:rPr>
                <w:rFonts w:ascii="Gill Sans MT" w:hAnsi="Gill Sans MT"/>
                <w:b/>
                <w:color w:val="000000" w:themeColor="text1"/>
                <w:sz w:val="22"/>
                <w:szCs w:val="22"/>
                <w:lang w:val="en-GB" w:eastAsia="en-GB"/>
              </w:rPr>
              <w:t>%</w:t>
            </w:r>
          </w:p>
        </w:tc>
        <w:tc>
          <w:tcPr>
            <w:tcW w:w="1490" w:type="dxa"/>
            <w:tcBorders>
              <w:top w:val="single" w:sz="6" w:space="0" w:color="000000"/>
              <w:bottom w:val="single" w:sz="4" w:space="0" w:color="auto"/>
            </w:tcBorders>
            <w:shd w:val="clear" w:color="auto" w:fill="E0E0E0"/>
          </w:tcPr>
          <w:p w14:paraId="3A7C7A95" w14:textId="32DBF40C"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0.0%</w:t>
            </w:r>
          </w:p>
        </w:tc>
        <w:tc>
          <w:tcPr>
            <w:tcW w:w="905" w:type="dxa"/>
            <w:tcBorders>
              <w:top w:val="single" w:sz="6" w:space="0" w:color="000000"/>
              <w:bottom w:val="single" w:sz="4" w:space="0" w:color="auto"/>
            </w:tcBorders>
            <w:shd w:val="clear" w:color="auto" w:fill="E0E0E0"/>
          </w:tcPr>
          <w:p w14:paraId="547769B7" w14:textId="3B2E355E"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w:t>
            </w:r>
          </w:p>
        </w:tc>
      </w:tr>
      <w:tr w:rsidR="005C17F2" w:rsidRPr="00CC4F07" w14:paraId="2F826B82" w14:textId="77777777" w:rsidTr="00545B54">
        <w:tc>
          <w:tcPr>
            <w:tcW w:w="1830" w:type="dxa"/>
          </w:tcPr>
          <w:p w14:paraId="46EBBD5D" w14:textId="77777777" w:rsidR="005C17F2" w:rsidRPr="00CC4F07" w:rsidRDefault="005C17F2" w:rsidP="006D697C">
            <w:pPr>
              <w:pStyle w:val="TableRowHead"/>
              <w:jc w:val="both"/>
              <w:rPr>
                <w:rFonts w:ascii="Gill Sans MT" w:hAnsi="Gill Sans MT"/>
                <w:color w:val="000000" w:themeColor="text1"/>
                <w:sz w:val="20"/>
                <w:szCs w:val="20"/>
              </w:rPr>
            </w:pPr>
          </w:p>
        </w:tc>
        <w:tc>
          <w:tcPr>
            <w:tcW w:w="1633" w:type="dxa"/>
          </w:tcPr>
          <w:p w14:paraId="5CCC6BA8"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Pr>
          <w:p w14:paraId="294AE1D3"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Pr>
          <w:p w14:paraId="38C634AB"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272" w:type="dxa"/>
            <w:vAlign w:val="center"/>
          </w:tcPr>
          <w:p w14:paraId="26DF55DF"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490" w:type="dxa"/>
            <w:vAlign w:val="center"/>
          </w:tcPr>
          <w:p w14:paraId="60EE0601"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905" w:type="dxa"/>
          </w:tcPr>
          <w:p w14:paraId="266944D5"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r>
      <w:tr w:rsidR="005C17F2" w:rsidRPr="00CC4F07" w14:paraId="57B43D85" w14:textId="77777777" w:rsidTr="00545B54">
        <w:tc>
          <w:tcPr>
            <w:tcW w:w="1830" w:type="dxa"/>
          </w:tcPr>
          <w:p w14:paraId="396322AF" w14:textId="76C23C26" w:rsidR="005C17F2" w:rsidRPr="00CC4F07" w:rsidRDefault="00F81F80" w:rsidP="006D697C">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Local Gov. 2018</w:t>
            </w:r>
          </w:p>
        </w:tc>
        <w:tc>
          <w:tcPr>
            <w:tcW w:w="1633" w:type="dxa"/>
          </w:tcPr>
          <w:p w14:paraId="60080496" w14:textId="1F366E4E"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32,015</w:t>
            </w:r>
          </w:p>
        </w:tc>
        <w:tc>
          <w:tcPr>
            <w:tcW w:w="1318" w:type="dxa"/>
          </w:tcPr>
          <w:p w14:paraId="052179F9" w14:textId="5697DC1E"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1,461</w:t>
            </w:r>
          </w:p>
        </w:tc>
        <w:tc>
          <w:tcPr>
            <w:tcW w:w="1318" w:type="dxa"/>
          </w:tcPr>
          <w:p w14:paraId="6ED7CA12" w14:textId="45BD0F56"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4.6%</w:t>
            </w:r>
          </w:p>
        </w:tc>
        <w:tc>
          <w:tcPr>
            <w:tcW w:w="1272" w:type="dxa"/>
            <w:vAlign w:val="center"/>
          </w:tcPr>
          <w:p w14:paraId="4E1879F7" w14:textId="4B9C8B91"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13.8%</w:t>
            </w:r>
          </w:p>
        </w:tc>
        <w:tc>
          <w:tcPr>
            <w:tcW w:w="1490" w:type="dxa"/>
            <w:vAlign w:val="center"/>
          </w:tcPr>
          <w:p w14:paraId="0CE1D97B" w14:textId="414148C9"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91.4%</w:t>
            </w:r>
          </w:p>
        </w:tc>
        <w:tc>
          <w:tcPr>
            <w:tcW w:w="905" w:type="dxa"/>
          </w:tcPr>
          <w:p w14:paraId="4F6102C6" w14:textId="00920BE2"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olor w:val="000000" w:themeColor="text1"/>
                <w:sz w:val="22"/>
                <w:szCs w:val="22"/>
                <w:lang w:val="en-GB" w:eastAsia="en-GB"/>
              </w:rPr>
              <w:t>35</w:t>
            </w:r>
          </w:p>
        </w:tc>
      </w:tr>
      <w:tr w:rsidR="00F11532" w:rsidRPr="00CC4F07" w14:paraId="57CF2962" w14:textId="77777777" w:rsidTr="00545B54">
        <w:tc>
          <w:tcPr>
            <w:tcW w:w="1830" w:type="dxa"/>
          </w:tcPr>
          <w:p w14:paraId="38A8FE1E" w14:textId="7DDE8DCD" w:rsidR="00F11532" w:rsidRPr="00CC4F07" w:rsidRDefault="00F11532" w:rsidP="00F11532">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Local Gov</w:t>
            </w:r>
            <w:r w:rsidR="00F81F80" w:rsidRPr="00CC4F07">
              <w:rPr>
                <w:rFonts w:ascii="Gill Sans MT" w:hAnsi="Gill Sans MT"/>
                <w:color w:val="000000" w:themeColor="text1"/>
                <w:sz w:val="20"/>
                <w:szCs w:val="20"/>
              </w:rPr>
              <w:t>.</w:t>
            </w:r>
            <w:r w:rsidRPr="00CC4F07">
              <w:rPr>
                <w:rFonts w:ascii="Gill Sans MT" w:hAnsi="Gill Sans MT"/>
                <w:color w:val="000000" w:themeColor="text1"/>
                <w:sz w:val="20"/>
                <w:szCs w:val="20"/>
              </w:rPr>
              <w:t xml:space="preserve"> 2017</w:t>
            </w:r>
          </w:p>
        </w:tc>
        <w:tc>
          <w:tcPr>
            <w:tcW w:w="1633" w:type="dxa"/>
          </w:tcPr>
          <w:p w14:paraId="44FD44FB"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30,736</w:t>
            </w:r>
          </w:p>
          <w:p w14:paraId="4629A6D4" w14:textId="5DF2F439"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Pr>
          <w:p w14:paraId="434C3A75"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1,476</w:t>
            </w:r>
          </w:p>
          <w:p w14:paraId="46F1FC5D" w14:textId="4C9012BC"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Pr>
          <w:p w14:paraId="5E6B7C35"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4.8%</w:t>
            </w:r>
          </w:p>
          <w:p w14:paraId="4C6B6476" w14:textId="4E2BA2F1"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272" w:type="dxa"/>
            <w:vAlign w:val="center"/>
          </w:tcPr>
          <w:p w14:paraId="5C88F80F"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13.6%</w:t>
            </w:r>
          </w:p>
          <w:p w14:paraId="4EF9D331" w14:textId="7B16DFEC"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490" w:type="dxa"/>
            <w:vAlign w:val="center"/>
          </w:tcPr>
          <w:p w14:paraId="0DA14C7E"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91.4%</w:t>
            </w:r>
          </w:p>
          <w:p w14:paraId="6127CDD9" w14:textId="379961E9"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905" w:type="dxa"/>
          </w:tcPr>
          <w:p w14:paraId="4F10EFDF" w14:textId="124E072E" w:rsidR="00F11532" w:rsidRPr="00CC4F07" w:rsidRDefault="00F11532" w:rsidP="00F11532">
            <w:pPr>
              <w:pStyle w:val="TableCell"/>
              <w:keepNext/>
              <w:rPr>
                <w:rFonts w:ascii="Gill Sans MT" w:hAnsi="Gill Sans MT"/>
                <w:color w:val="000000" w:themeColor="text1"/>
                <w:sz w:val="22"/>
                <w:szCs w:val="22"/>
                <w:lang w:val="en-GB" w:eastAsia="en-GB"/>
              </w:rPr>
            </w:pPr>
            <w:r w:rsidRPr="00CC4F07">
              <w:rPr>
                <w:rFonts w:ascii="Gill Sans MT" w:hAnsi="Gill Sans MT"/>
                <w:color w:val="000000" w:themeColor="text1"/>
                <w:sz w:val="22"/>
                <w:szCs w:val="22"/>
                <w:lang w:val="en-GB" w:eastAsia="en-GB"/>
              </w:rPr>
              <w:t>35</w:t>
            </w:r>
          </w:p>
        </w:tc>
      </w:tr>
      <w:tr w:rsidR="005C17F2" w:rsidRPr="00CC4F07" w14:paraId="4BE3ACE4" w14:textId="77777777" w:rsidTr="00545B54">
        <w:tc>
          <w:tcPr>
            <w:tcW w:w="1830" w:type="dxa"/>
            <w:tcBorders>
              <w:top w:val="single" w:sz="6" w:space="0" w:color="000000"/>
              <w:bottom w:val="single" w:sz="6" w:space="0" w:color="000000"/>
            </w:tcBorders>
            <w:shd w:val="clear" w:color="auto" w:fill="E0E0E0"/>
          </w:tcPr>
          <w:p w14:paraId="4173799B" w14:textId="1097B2ED" w:rsidR="005C17F2" w:rsidRPr="00CC4F07" w:rsidRDefault="005C17F2" w:rsidP="00F11532">
            <w:pPr>
              <w:pStyle w:val="TableRowHead"/>
              <w:rPr>
                <w:rFonts w:ascii="Gill Sans MT" w:hAnsi="Gill Sans MT"/>
                <w:color w:val="000000" w:themeColor="text1"/>
                <w:sz w:val="20"/>
                <w:szCs w:val="20"/>
              </w:rPr>
            </w:pPr>
            <w:r w:rsidRPr="00CC4F07">
              <w:rPr>
                <w:rFonts w:ascii="Gill Sans MT" w:hAnsi="Gill Sans MT"/>
                <w:color w:val="000000" w:themeColor="text1"/>
                <w:sz w:val="20"/>
                <w:szCs w:val="20"/>
              </w:rPr>
              <w:t>Change 201</w:t>
            </w:r>
            <w:r w:rsidR="00F11532" w:rsidRPr="00CC4F07">
              <w:rPr>
                <w:rFonts w:ascii="Gill Sans MT" w:hAnsi="Gill Sans MT"/>
                <w:color w:val="000000" w:themeColor="text1"/>
                <w:sz w:val="20"/>
                <w:szCs w:val="20"/>
              </w:rPr>
              <w:t>7</w:t>
            </w:r>
            <w:r w:rsidRPr="00CC4F07">
              <w:rPr>
                <w:rFonts w:ascii="Gill Sans MT" w:hAnsi="Gill Sans MT"/>
                <w:color w:val="000000" w:themeColor="text1"/>
                <w:sz w:val="20"/>
                <w:szCs w:val="20"/>
              </w:rPr>
              <w:t>/</w:t>
            </w:r>
            <w:r w:rsidR="00F11532" w:rsidRPr="00CC4F07">
              <w:rPr>
                <w:rFonts w:ascii="Gill Sans MT" w:hAnsi="Gill Sans MT"/>
                <w:color w:val="000000" w:themeColor="text1"/>
                <w:sz w:val="20"/>
                <w:szCs w:val="20"/>
              </w:rPr>
              <w:t>2018</w:t>
            </w:r>
          </w:p>
        </w:tc>
        <w:tc>
          <w:tcPr>
            <w:tcW w:w="1633" w:type="dxa"/>
            <w:tcBorders>
              <w:top w:val="single" w:sz="6" w:space="0" w:color="000000"/>
              <w:bottom w:val="single" w:sz="6" w:space="0" w:color="000000"/>
            </w:tcBorders>
            <w:shd w:val="clear" w:color="auto" w:fill="E0E0E0"/>
          </w:tcPr>
          <w:p w14:paraId="3C4A524E" w14:textId="79DC58F9"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
                <w:bCs/>
                <w:color w:val="000000"/>
                <w:sz w:val="22"/>
                <w:szCs w:val="22"/>
              </w:rPr>
              <w:t>1,279</w:t>
            </w:r>
          </w:p>
        </w:tc>
        <w:tc>
          <w:tcPr>
            <w:tcW w:w="1318" w:type="dxa"/>
            <w:tcBorders>
              <w:top w:val="single" w:sz="6" w:space="0" w:color="000000"/>
              <w:bottom w:val="single" w:sz="6" w:space="0" w:color="000000"/>
            </w:tcBorders>
            <w:shd w:val="clear" w:color="auto" w:fill="E0E0E0"/>
          </w:tcPr>
          <w:p w14:paraId="7B3E49EE" w14:textId="763AF93E"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
                <w:bCs/>
                <w:color w:val="000000"/>
                <w:sz w:val="22"/>
                <w:szCs w:val="22"/>
              </w:rPr>
              <w:t>-15</w:t>
            </w:r>
          </w:p>
        </w:tc>
        <w:tc>
          <w:tcPr>
            <w:tcW w:w="1318" w:type="dxa"/>
            <w:tcBorders>
              <w:top w:val="single" w:sz="6" w:space="0" w:color="000000"/>
              <w:bottom w:val="single" w:sz="6" w:space="0" w:color="000000"/>
            </w:tcBorders>
            <w:shd w:val="clear" w:color="auto" w:fill="E0E0E0"/>
          </w:tcPr>
          <w:p w14:paraId="1FA720AE" w14:textId="4F78A679"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-0.2%</w:t>
            </w:r>
          </w:p>
        </w:tc>
        <w:tc>
          <w:tcPr>
            <w:tcW w:w="1272" w:type="dxa"/>
            <w:tcBorders>
              <w:top w:val="single" w:sz="6" w:space="0" w:color="000000"/>
              <w:bottom w:val="single" w:sz="6" w:space="0" w:color="000000"/>
            </w:tcBorders>
            <w:shd w:val="clear" w:color="auto" w:fill="E0E0E0"/>
          </w:tcPr>
          <w:p w14:paraId="699D785E" w14:textId="62975FF9"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0.2%</w:t>
            </w:r>
          </w:p>
        </w:tc>
        <w:tc>
          <w:tcPr>
            <w:tcW w:w="1490" w:type="dxa"/>
            <w:tcBorders>
              <w:top w:val="single" w:sz="6" w:space="0" w:color="000000"/>
              <w:bottom w:val="single" w:sz="6" w:space="0" w:color="000000"/>
            </w:tcBorders>
            <w:shd w:val="clear" w:color="auto" w:fill="E0E0E0"/>
          </w:tcPr>
          <w:p w14:paraId="591FA116" w14:textId="6449C280"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0.0%</w:t>
            </w:r>
          </w:p>
        </w:tc>
        <w:tc>
          <w:tcPr>
            <w:tcW w:w="905" w:type="dxa"/>
            <w:tcBorders>
              <w:top w:val="single" w:sz="6" w:space="0" w:color="000000"/>
              <w:bottom w:val="single" w:sz="6" w:space="0" w:color="000000"/>
            </w:tcBorders>
            <w:shd w:val="clear" w:color="auto" w:fill="E0E0E0"/>
          </w:tcPr>
          <w:p w14:paraId="2D73BB42" w14:textId="7CB789AE"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w:t>
            </w:r>
          </w:p>
        </w:tc>
      </w:tr>
      <w:tr w:rsidR="005C17F2" w:rsidRPr="00CC4F07" w14:paraId="58D01ECA" w14:textId="77777777" w:rsidTr="00545B54">
        <w:tc>
          <w:tcPr>
            <w:tcW w:w="1830" w:type="dxa"/>
          </w:tcPr>
          <w:p w14:paraId="786C7F77" w14:textId="77777777" w:rsidR="005C17F2" w:rsidRPr="00CC4F07" w:rsidRDefault="005C17F2" w:rsidP="006D697C">
            <w:pPr>
              <w:pStyle w:val="TableRowHead"/>
              <w:jc w:val="both"/>
              <w:rPr>
                <w:rFonts w:ascii="Gill Sans MT" w:hAnsi="Gill Sans MT"/>
                <w:color w:val="000000" w:themeColor="text1"/>
                <w:sz w:val="20"/>
                <w:szCs w:val="20"/>
              </w:rPr>
            </w:pPr>
          </w:p>
        </w:tc>
        <w:tc>
          <w:tcPr>
            <w:tcW w:w="1633" w:type="dxa"/>
          </w:tcPr>
          <w:p w14:paraId="7562F3DC"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Pr>
          <w:p w14:paraId="70323408"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Pr>
          <w:p w14:paraId="51031383"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272" w:type="dxa"/>
            <w:vAlign w:val="center"/>
          </w:tcPr>
          <w:p w14:paraId="7E10651F"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490" w:type="dxa"/>
            <w:vAlign w:val="center"/>
          </w:tcPr>
          <w:p w14:paraId="560462FA"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905" w:type="dxa"/>
          </w:tcPr>
          <w:p w14:paraId="0155EF75"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r>
      <w:tr w:rsidR="005C17F2" w:rsidRPr="00CC4F07" w14:paraId="6980124D" w14:textId="77777777" w:rsidTr="00545B54">
        <w:tc>
          <w:tcPr>
            <w:tcW w:w="1830" w:type="dxa"/>
          </w:tcPr>
          <w:p w14:paraId="433A0992" w14:textId="2829C89B" w:rsidR="005C17F2" w:rsidRPr="00CC4F07" w:rsidRDefault="00F81F80" w:rsidP="006D697C">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lastRenderedPageBreak/>
              <w:t>Non-comm. 2018</w:t>
            </w:r>
          </w:p>
        </w:tc>
        <w:tc>
          <w:tcPr>
            <w:tcW w:w="1633" w:type="dxa"/>
          </w:tcPr>
          <w:p w14:paraId="7470857F" w14:textId="6882732B"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126,335</w:t>
            </w:r>
          </w:p>
        </w:tc>
        <w:tc>
          <w:tcPr>
            <w:tcW w:w="1318" w:type="dxa"/>
          </w:tcPr>
          <w:p w14:paraId="6F793BBB" w14:textId="7C3F2060"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2,849</w:t>
            </w:r>
          </w:p>
        </w:tc>
        <w:tc>
          <w:tcPr>
            <w:tcW w:w="1318" w:type="dxa"/>
          </w:tcPr>
          <w:p w14:paraId="1970CA80" w14:textId="0CB6EA16"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2.3%</w:t>
            </w:r>
          </w:p>
        </w:tc>
        <w:tc>
          <w:tcPr>
            <w:tcW w:w="1272" w:type="dxa"/>
            <w:vAlign w:val="center"/>
          </w:tcPr>
          <w:p w14:paraId="265939EF" w14:textId="6B8451A3"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54.5%</w:t>
            </w:r>
          </w:p>
        </w:tc>
        <w:tc>
          <w:tcPr>
            <w:tcW w:w="1490" w:type="dxa"/>
            <w:vAlign w:val="center"/>
          </w:tcPr>
          <w:p w14:paraId="33925834" w14:textId="0A782764"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83.5%</w:t>
            </w:r>
          </w:p>
        </w:tc>
        <w:tc>
          <w:tcPr>
            <w:tcW w:w="905" w:type="dxa"/>
          </w:tcPr>
          <w:p w14:paraId="3110B86E" w14:textId="158F8B6F"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97</w:t>
            </w:r>
          </w:p>
        </w:tc>
      </w:tr>
      <w:tr w:rsidR="00F11532" w:rsidRPr="00CC4F07" w14:paraId="5130A05C" w14:textId="77777777" w:rsidTr="00545B54">
        <w:tc>
          <w:tcPr>
            <w:tcW w:w="1830" w:type="dxa"/>
          </w:tcPr>
          <w:p w14:paraId="714AF29B" w14:textId="3EE4E429" w:rsidR="00F11532" w:rsidRPr="00CC4F07" w:rsidRDefault="00F11532" w:rsidP="00F11532">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Non-comm. 2017</w:t>
            </w:r>
          </w:p>
        </w:tc>
        <w:tc>
          <w:tcPr>
            <w:tcW w:w="1633" w:type="dxa"/>
          </w:tcPr>
          <w:p w14:paraId="50B3B8C1"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123,041</w:t>
            </w:r>
          </w:p>
          <w:p w14:paraId="634A0DF5" w14:textId="6E11D3A1"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Pr>
          <w:p w14:paraId="19C39962"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3,178</w:t>
            </w:r>
          </w:p>
          <w:p w14:paraId="2B064E57" w14:textId="3CF0C66B"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Pr>
          <w:p w14:paraId="7FE01333"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2.6%</w:t>
            </w:r>
          </w:p>
          <w:p w14:paraId="2BF82D62" w14:textId="7BF8C551"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272" w:type="dxa"/>
            <w:vAlign w:val="center"/>
          </w:tcPr>
          <w:p w14:paraId="524D7A1F"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54.5%</w:t>
            </w:r>
          </w:p>
          <w:p w14:paraId="6AF1D0E8" w14:textId="11B6BB73"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490" w:type="dxa"/>
            <w:vAlign w:val="center"/>
          </w:tcPr>
          <w:p w14:paraId="0152D500"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80.4%</w:t>
            </w:r>
          </w:p>
          <w:p w14:paraId="59E838FC" w14:textId="2A41EA8B"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905" w:type="dxa"/>
          </w:tcPr>
          <w:p w14:paraId="61C21D64"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97</w:t>
            </w:r>
          </w:p>
          <w:p w14:paraId="3CDEFA2F" w14:textId="3DCFA013" w:rsidR="00F11532" w:rsidRPr="00CC4F07" w:rsidRDefault="00F11532" w:rsidP="00F11532">
            <w:pPr>
              <w:pStyle w:val="TableCell"/>
              <w:keepNext/>
              <w:rPr>
                <w:rFonts w:ascii="Gill Sans MT" w:hAnsi="Gill Sans MT"/>
                <w:color w:val="000000" w:themeColor="text1"/>
                <w:sz w:val="22"/>
                <w:szCs w:val="22"/>
                <w:lang w:val="en-GB" w:eastAsia="en-GB"/>
              </w:rPr>
            </w:pPr>
          </w:p>
        </w:tc>
      </w:tr>
      <w:tr w:rsidR="005C17F2" w:rsidRPr="00CC4F07" w14:paraId="63B65768" w14:textId="77777777" w:rsidTr="00545B54">
        <w:tc>
          <w:tcPr>
            <w:tcW w:w="1830" w:type="dxa"/>
            <w:tcBorders>
              <w:top w:val="single" w:sz="6" w:space="0" w:color="000000"/>
              <w:bottom w:val="single" w:sz="6" w:space="0" w:color="000000"/>
            </w:tcBorders>
            <w:shd w:val="clear" w:color="auto" w:fill="E0E0E0"/>
          </w:tcPr>
          <w:p w14:paraId="5184C79B" w14:textId="778FBC1F" w:rsidR="005C17F2" w:rsidRPr="00CC4F07" w:rsidRDefault="005C17F2" w:rsidP="00F11532">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Change 201</w:t>
            </w:r>
            <w:r w:rsidR="00F11532" w:rsidRPr="00CC4F07">
              <w:rPr>
                <w:rFonts w:ascii="Gill Sans MT" w:hAnsi="Gill Sans MT"/>
                <w:color w:val="000000" w:themeColor="text1"/>
                <w:sz w:val="20"/>
                <w:szCs w:val="20"/>
              </w:rPr>
              <w:t>7</w:t>
            </w:r>
            <w:r w:rsidRPr="00CC4F07">
              <w:rPr>
                <w:rFonts w:ascii="Gill Sans MT" w:hAnsi="Gill Sans MT"/>
                <w:color w:val="000000" w:themeColor="text1"/>
                <w:sz w:val="20"/>
                <w:szCs w:val="20"/>
              </w:rPr>
              <w:t>/</w:t>
            </w:r>
            <w:r w:rsidR="00F11532" w:rsidRPr="00CC4F07">
              <w:rPr>
                <w:rFonts w:ascii="Gill Sans MT" w:hAnsi="Gill Sans MT"/>
                <w:color w:val="000000" w:themeColor="text1"/>
                <w:sz w:val="20"/>
                <w:szCs w:val="20"/>
              </w:rPr>
              <w:t>2018</w:t>
            </w:r>
          </w:p>
        </w:tc>
        <w:tc>
          <w:tcPr>
            <w:tcW w:w="1633" w:type="dxa"/>
            <w:tcBorders>
              <w:top w:val="single" w:sz="6" w:space="0" w:color="000000"/>
              <w:bottom w:val="single" w:sz="6" w:space="0" w:color="000000"/>
            </w:tcBorders>
            <w:shd w:val="clear" w:color="auto" w:fill="E0E0E0"/>
          </w:tcPr>
          <w:p w14:paraId="552B5123" w14:textId="4E3F4FE9"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3,294</w:t>
            </w:r>
          </w:p>
        </w:tc>
        <w:tc>
          <w:tcPr>
            <w:tcW w:w="1318" w:type="dxa"/>
            <w:tcBorders>
              <w:top w:val="single" w:sz="6" w:space="0" w:color="000000"/>
              <w:bottom w:val="single" w:sz="6" w:space="0" w:color="000000"/>
            </w:tcBorders>
            <w:shd w:val="clear" w:color="auto" w:fill="E0E0E0"/>
          </w:tcPr>
          <w:p w14:paraId="6A9B58AB" w14:textId="32BEA905"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-329</w:t>
            </w:r>
          </w:p>
        </w:tc>
        <w:tc>
          <w:tcPr>
            <w:tcW w:w="1318" w:type="dxa"/>
            <w:tcBorders>
              <w:top w:val="single" w:sz="6" w:space="0" w:color="000000"/>
              <w:bottom w:val="single" w:sz="6" w:space="0" w:color="000000"/>
            </w:tcBorders>
            <w:shd w:val="clear" w:color="auto" w:fill="E0E0E0"/>
          </w:tcPr>
          <w:p w14:paraId="64A580A5" w14:textId="5766EA6C"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-0.3%</w:t>
            </w:r>
          </w:p>
        </w:tc>
        <w:tc>
          <w:tcPr>
            <w:tcW w:w="1272" w:type="dxa"/>
            <w:tcBorders>
              <w:top w:val="single" w:sz="6" w:space="0" w:color="000000"/>
              <w:bottom w:val="single" w:sz="6" w:space="0" w:color="000000"/>
            </w:tcBorders>
            <w:shd w:val="clear" w:color="auto" w:fill="E0E0E0"/>
          </w:tcPr>
          <w:p w14:paraId="3C4522B1" w14:textId="223C27A0"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0.0%</w:t>
            </w:r>
          </w:p>
        </w:tc>
        <w:tc>
          <w:tcPr>
            <w:tcW w:w="1490" w:type="dxa"/>
            <w:tcBorders>
              <w:top w:val="single" w:sz="6" w:space="0" w:color="000000"/>
              <w:bottom w:val="single" w:sz="6" w:space="0" w:color="000000"/>
            </w:tcBorders>
            <w:shd w:val="clear" w:color="auto" w:fill="E0E0E0"/>
          </w:tcPr>
          <w:p w14:paraId="0AA00D27" w14:textId="4C1EDE22"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sz w:val="22"/>
                <w:szCs w:val="22"/>
              </w:rPr>
              <w:t>3.1%</w:t>
            </w:r>
          </w:p>
        </w:tc>
        <w:tc>
          <w:tcPr>
            <w:tcW w:w="905" w:type="dxa"/>
            <w:tcBorders>
              <w:top w:val="single" w:sz="6" w:space="0" w:color="000000"/>
              <w:bottom w:val="single" w:sz="6" w:space="0" w:color="000000"/>
            </w:tcBorders>
            <w:shd w:val="clear" w:color="auto" w:fill="E0E0E0"/>
          </w:tcPr>
          <w:p w14:paraId="392536DC" w14:textId="573CA860"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w:t>
            </w:r>
          </w:p>
        </w:tc>
      </w:tr>
      <w:tr w:rsidR="005C17F2" w:rsidRPr="00CC4F07" w14:paraId="10730805" w14:textId="77777777" w:rsidTr="00545B54">
        <w:tc>
          <w:tcPr>
            <w:tcW w:w="1830" w:type="dxa"/>
          </w:tcPr>
          <w:p w14:paraId="6544278A" w14:textId="77777777" w:rsidR="005C17F2" w:rsidRPr="00CC4F07" w:rsidRDefault="005C17F2" w:rsidP="006D697C">
            <w:pPr>
              <w:pStyle w:val="TableRowHead"/>
              <w:jc w:val="both"/>
              <w:rPr>
                <w:rFonts w:ascii="Gill Sans MT" w:hAnsi="Gill Sans MT"/>
                <w:color w:val="000000" w:themeColor="text1"/>
                <w:sz w:val="20"/>
                <w:szCs w:val="20"/>
              </w:rPr>
            </w:pPr>
          </w:p>
        </w:tc>
        <w:tc>
          <w:tcPr>
            <w:tcW w:w="1633" w:type="dxa"/>
            <w:vAlign w:val="bottom"/>
          </w:tcPr>
          <w:p w14:paraId="02ADD585"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vAlign w:val="center"/>
          </w:tcPr>
          <w:p w14:paraId="61E4F082"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Pr>
          <w:p w14:paraId="26EB96FA"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272" w:type="dxa"/>
            <w:vAlign w:val="center"/>
          </w:tcPr>
          <w:p w14:paraId="370BC6F1"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490" w:type="dxa"/>
          </w:tcPr>
          <w:p w14:paraId="59DBE863"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905" w:type="dxa"/>
          </w:tcPr>
          <w:p w14:paraId="646EF9D3"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r>
      <w:tr w:rsidR="005C17F2" w:rsidRPr="00CC4F07" w14:paraId="6AAF352D" w14:textId="77777777" w:rsidTr="00545B54">
        <w:tc>
          <w:tcPr>
            <w:tcW w:w="1830" w:type="dxa"/>
            <w:tcBorders>
              <w:top w:val="single" w:sz="4" w:space="0" w:color="000000"/>
              <w:bottom w:val="single" w:sz="6" w:space="0" w:color="000000"/>
            </w:tcBorders>
          </w:tcPr>
          <w:p w14:paraId="28075EAA" w14:textId="4D14458A" w:rsidR="005C17F2" w:rsidRPr="00CC4F07" w:rsidRDefault="00F81F80" w:rsidP="006D697C">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PBCS 2018</w:t>
            </w:r>
          </w:p>
        </w:tc>
        <w:tc>
          <w:tcPr>
            <w:tcW w:w="1633" w:type="dxa"/>
            <w:tcBorders>
              <w:top w:val="single" w:sz="4" w:space="0" w:color="auto"/>
            </w:tcBorders>
          </w:tcPr>
          <w:p w14:paraId="285736D8" w14:textId="6609285A" w:rsidR="005C17F2" w:rsidRPr="00CC4F07" w:rsidRDefault="00545B54"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14,330</w:t>
            </w:r>
          </w:p>
        </w:tc>
        <w:tc>
          <w:tcPr>
            <w:tcW w:w="1318" w:type="dxa"/>
            <w:tcBorders>
              <w:top w:val="single" w:sz="4" w:space="0" w:color="auto"/>
            </w:tcBorders>
          </w:tcPr>
          <w:p w14:paraId="0536DF89" w14:textId="18CF4A29" w:rsidR="005C17F2" w:rsidRPr="00CC4F07" w:rsidRDefault="00545B54"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644</w:t>
            </w:r>
          </w:p>
        </w:tc>
        <w:tc>
          <w:tcPr>
            <w:tcW w:w="1318" w:type="dxa"/>
            <w:tcBorders>
              <w:top w:val="single" w:sz="4" w:space="0" w:color="auto"/>
            </w:tcBorders>
          </w:tcPr>
          <w:p w14:paraId="6354A985" w14:textId="7B99AFD0" w:rsidR="005C17F2" w:rsidRPr="00CC4F07" w:rsidRDefault="00545B54"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4.5%</w:t>
            </w:r>
          </w:p>
        </w:tc>
        <w:tc>
          <w:tcPr>
            <w:tcW w:w="1272" w:type="dxa"/>
            <w:tcBorders>
              <w:top w:val="single" w:sz="4" w:space="0" w:color="auto"/>
            </w:tcBorders>
            <w:vAlign w:val="center"/>
          </w:tcPr>
          <w:p w14:paraId="6A19DB7E" w14:textId="1A61435E" w:rsidR="005C17F2" w:rsidRPr="00CC4F07" w:rsidRDefault="00545B54"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6.2%</w:t>
            </w:r>
          </w:p>
        </w:tc>
        <w:tc>
          <w:tcPr>
            <w:tcW w:w="1490" w:type="dxa"/>
            <w:tcBorders>
              <w:top w:val="single" w:sz="4" w:space="0" w:color="auto"/>
            </w:tcBorders>
            <w:vAlign w:val="center"/>
          </w:tcPr>
          <w:p w14:paraId="78DE92DF" w14:textId="72506BDA" w:rsidR="005C17F2" w:rsidRPr="00CC4F07" w:rsidRDefault="00545B54"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73.2%</w:t>
            </w:r>
          </w:p>
        </w:tc>
        <w:tc>
          <w:tcPr>
            <w:tcW w:w="905" w:type="dxa"/>
            <w:tcBorders>
              <w:top w:val="single" w:sz="4" w:space="0" w:color="auto"/>
            </w:tcBorders>
          </w:tcPr>
          <w:p w14:paraId="04D496F0" w14:textId="341640CF" w:rsidR="005C17F2" w:rsidRPr="00CC4F07" w:rsidRDefault="00545B54"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41</w:t>
            </w:r>
          </w:p>
        </w:tc>
      </w:tr>
      <w:tr w:rsidR="00F11532" w:rsidRPr="00CC4F07" w14:paraId="62BADDD3" w14:textId="77777777" w:rsidTr="00545B54">
        <w:tc>
          <w:tcPr>
            <w:tcW w:w="1830" w:type="dxa"/>
            <w:tcBorders>
              <w:top w:val="single" w:sz="4" w:space="0" w:color="000000"/>
              <w:bottom w:val="single" w:sz="6" w:space="0" w:color="000000"/>
            </w:tcBorders>
          </w:tcPr>
          <w:p w14:paraId="5E97DDD5" w14:textId="54C11D77" w:rsidR="00F11532" w:rsidRPr="00CC4F07" w:rsidRDefault="00F11532" w:rsidP="00F11532">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PBCS 2017</w:t>
            </w:r>
          </w:p>
        </w:tc>
        <w:tc>
          <w:tcPr>
            <w:tcW w:w="1633" w:type="dxa"/>
            <w:tcBorders>
              <w:top w:val="single" w:sz="4" w:space="0" w:color="auto"/>
            </w:tcBorders>
          </w:tcPr>
          <w:p w14:paraId="6A62198E"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13,889</w:t>
            </w:r>
          </w:p>
          <w:p w14:paraId="03261018" w14:textId="0F943706"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Borders>
              <w:top w:val="single" w:sz="4" w:space="0" w:color="auto"/>
            </w:tcBorders>
          </w:tcPr>
          <w:p w14:paraId="507B3C58"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602</w:t>
            </w:r>
          </w:p>
          <w:p w14:paraId="664428C8" w14:textId="440F9E06"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Borders>
              <w:top w:val="single" w:sz="4" w:space="0" w:color="auto"/>
            </w:tcBorders>
          </w:tcPr>
          <w:p w14:paraId="22C6DB0E"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4.3%</w:t>
            </w:r>
          </w:p>
          <w:p w14:paraId="5FDD661C" w14:textId="262E128A"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272" w:type="dxa"/>
            <w:tcBorders>
              <w:top w:val="single" w:sz="4" w:space="0" w:color="auto"/>
            </w:tcBorders>
            <w:vAlign w:val="center"/>
          </w:tcPr>
          <w:p w14:paraId="41CE6ED2"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6.2%</w:t>
            </w:r>
          </w:p>
          <w:p w14:paraId="4BA32EC4" w14:textId="508A011D"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490" w:type="dxa"/>
            <w:tcBorders>
              <w:top w:val="single" w:sz="4" w:space="0" w:color="auto"/>
            </w:tcBorders>
            <w:vAlign w:val="center"/>
          </w:tcPr>
          <w:p w14:paraId="277E33C0"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75.6%</w:t>
            </w:r>
          </w:p>
          <w:p w14:paraId="4E45F2F0" w14:textId="59598C3A"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905" w:type="dxa"/>
            <w:tcBorders>
              <w:top w:val="single" w:sz="4" w:space="0" w:color="auto"/>
            </w:tcBorders>
          </w:tcPr>
          <w:p w14:paraId="2F940ED7"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41</w:t>
            </w:r>
          </w:p>
          <w:p w14:paraId="6C85C3F1" w14:textId="5B656CFA" w:rsidR="00F11532" w:rsidRPr="00CC4F07" w:rsidRDefault="00F11532" w:rsidP="00F11532">
            <w:pPr>
              <w:pStyle w:val="TableCell"/>
              <w:keepNext/>
              <w:rPr>
                <w:rFonts w:ascii="Gill Sans MT" w:hAnsi="Gill Sans MT"/>
                <w:color w:val="000000" w:themeColor="text1"/>
                <w:sz w:val="22"/>
                <w:szCs w:val="22"/>
                <w:lang w:val="en-GB" w:eastAsia="en-GB"/>
              </w:rPr>
            </w:pPr>
          </w:p>
        </w:tc>
      </w:tr>
      <w:tr w:rsidR="00F11532" w:rsidRPr="00CC4F07" w14:paraId="5ECD09E5" w14:textId="77777777" w:rsidTr="00545B54">
        <w:tc>
          <w:tcPr>
            <w:tcW w:w="1830" w:type="dxa"/>
            <w:tcBorders>
              <w:top w:val="single" w:sz="6" w:space="0" w:color="000000"/>
              <w:bottom w:val="single" w:sz="6" w:space="0" w:color="000000"/>
            </w:tcBorders>
            <w:shd w:val="clear" w:color="auto" w:fill="E0E0E0"/>
          </w:tcPr>
          <w:p w14:paraId="35DCC96F" w14:textId="2E8ADFF6" w:rsidR="00F11532" w:rsidRPr="00CC4F07" w:rsidRDefault="00F11532" w:rsidP="00F11532">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Change 2017/2018</w:t>
            </w:r>
          </w:p>
        </w:tc>
        <w:tc>
          <w:tcPr>
            <w:tcW w:w="1633" w:type="dxa"/>
            <w:tcBorders>
              <w:top w:val="single" w:sz="6" w:space="0" w:color="000000"/>
              <w:bottom w:val="single" w:sz="6" w:space="0" w:color="000000"/>
            </w:tcBorders>
            <w:shd w:val="clear" w:color="auto" w:fill="E0E0E0"/>
          </w:tcPr>
          <w:p w14:paraId="172C5737" w14:textId="4D0936CF" w:rsidR="00F11532" w:rsidRPr="00CC4F07" w:rsidRDefault="00545B54" w:rsidP="00F11532">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441</w:t>
            </w:r>
          </w:p>
        </w:tc>
        <w:tc>
          <w:tcPr>
            <w:tcW w:w="1318" w:type="dxa"/>
            <w:tcBorders>
              <w:top w:val="single" w:sz="6" w:space="0" w:color="000000"/>
              <w:bottom w:val="single" w:sz="6" w:space="0" w:color="000000"/>
            </w:tcBorders>
            <w:shd w:val="clear" w:color="auto" w:fill="E0E0E0"/>
          </w:tcPr>
          <w:p w14:paraId="68C4058C" w14:textId="10F53184" w:rsidR="00F11532" w:rsidRPr="00CC4F07" w:rsidRDefault="00545B54" w:rsidP="00F11532">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42</w:t>
            </w:r>
          </w:p>
        </w:tc>
        <w:tc>
          <w:tcPr>
            <w:tcW w:w="1318" w:type="dxa"/>
            <w:tcBorders>
              <w:top w:val="single" w:sz="6" w:space="0" w:color="000000"/>
              <w:bottom w:val="single" w:sz="6" w:space="0" w:color="000000"/>
            </w:tcBorders>
            <w:shd w:val="clear" w:color="auto" w:fill="E0E0E0"/>
          </w:tcPr>
          <w:p w14:paraId="4315BCA0" w14:textId="29793C71" w:rsidR="00F11532" w:rsidRPr="00CC4F07" w:rsidRDefault="00545B54" w:rsidP="00F11532">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0.2%</w:t>
            </w:r>
          </w:p>
        </w:tc>
        <w:tc>
          <w:tcPr>
            <w:tcW w:w="1272" w:type="dxa"/>
            <w:tcBorders>
              <w:top w:val="single" w:sz="6" w:space="0" w:color="000000"/>
              <w:bottom w:val="single" w:sz="6" w:space="0" w:color="000000"/>
            </w:tcBorders>
            <w:shd w:val="clear" w:color="auto" w:fill="E0E0E0"/>
          </w:tcPr>
          <w:p w14:paraId="33F22E20" w14:textId="2B108A54" w:rsidR="00F11532" w:rsidRPr="00CC4F07" w:rsidRDefault="00545B54" w:rsidP="00F11532">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0.0%</w:t>
            </w:r>
          </w:p>
        </w:tc>
        <w:tc>
          <w:tcPr>
            <w:tcW w:w="1490" w:type="dxa"/>
            <w:tcBorders>
              <w:top w:val="single" w:sz="6" w:space="0" w:color="000000"/>
              <w:bottom w:val="single" w:sz="6" w:space="0" w:color="000000"/>
            </w:tcBorders>
            <w:shd w:val="clear" w:color="auto" w:fill="E0E0E0"/>
          </w:tcPr>
          <w:p w14:paraId="6CE05FF5" w14:textId="349772BC" w:rsidR="00F11532" w:rsidRPr="00CC4F07" w:rsidRDefault="00545B54" w:rsidP="00F11532">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-2.4%</w:t>
            </w:r>
          </w:p>
        </w:tc>
        <w:tc>
          <w:tcPr>
            <w:tcW w:w="905" w:type="dxa"/>
            <w:tcBorders>
              <w:top w:val="single" w:sz="6" w:space="0" w:color="000000"/>
              <w:bottom w:val="single" w:sz="6" w:space="0" w:color="000000"/>
            </w:tcBorders>
            <w:shd w:val="clear" w:color="auto" w:fill="E0E0E0"/>
          </w:tcPr>
          <w:p w14:paraId="76CE2E24" w14:textId="3119754F" w:rsidR="00F11532" w:rsidRPr="00CC4F07" w:rsidRDefault="00545B54" w:rsidP="00F11532">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w:t>
            </w:r>
          </w:p>
        </w:tc>
      </w:tr>
      <w:tr w:rsidR="00F11532" w:rsidRPr="00CC4F07" w14:paraId="17C19E59" w14:textId="77777777" w:rsidTr="00545B54">
        <w:tc>
          <w:tcPr>
            <w:tcW w:w="1830" w:type="dxa"/>
          </w:tcPr>
          <w:p w14:paraId="7B0188E7" w14:textId="77777777" w:rsidR="00F11532" w:rsidRPr="00CC4F07" w:rsidRDefault="00F11532" w:rsidP="00F11532">
            <w:pPr>
              <w:pStyle w:val="TableRowHead"/>
              <w:jc w:val="both"/>
              <w:rPr>
                <w:rFonts w:ascii="Gill Sans MT" w:hAnsi="Gill Sans MT"/>
                <w:color w:val="000000" w:themeColor="text1"/>
                <w:sz w:val="20"/>
                <w:szCs w:val="20"/>
              </w:rPr>
            </w:pPr>
          </w:p>
        </w:tc>
        <w:tc>
          <w:tcPr>
            <w:tcW w:w="1633" w:type="dxa"/>
            <w:vAlign w:val="bottom"/>
          </w:tcPr>
          <w:p w14:paraId="04EE09A5" w14:textId="7777777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vAlign w:val="center"/>
          </w:tcPr>
          <w:p w14:paraId="3AF4BF01" w14:textId="7777777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Pr>
          <w:p w14:paraId="5A506ED1" w14:textId="7777777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272" w:type="dxa"/>
            <w:vAlign w:val="center"/>
          </w:tcPr>
          <w:p w14:paraId="5AB81F84" w14:textId="7777777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490" w:type="dxa"/>
          </w:tcPr>
          <w:p w14:paraId="649DF1C1" w14:textId="7777777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905" w:type="dxa"/>
          </w:tcPr>
          <w:p w14:paraId="1A505B0C" w14:textId="77777777" w:rsidR="00F11532" w:rsidRPr="00CC4F07" w:rsidRDefault="00F11532" w:rsidP="00F11532">
            <w:pPr>
              <w:pStyle w:val="TableCell"/>
              <w:keepNext/>
              <w:rPr>
                <w:rFonts w:ascii="Gill Sans MT" w:hAnsi="Gill Sans MT"/>
                <w:color w:val="000000" w:themeColor="text1"/>
                <w:sz w:val="22"/>
                <w:szCs w:val="22"/>
                <w:lang w:val="en-GB" w:eastAsia="en-GB"/>
              </w:rPr>
            </w:pPr>
          </w:p>
        </w:tc>
      </w:tr>
      <w:tr w:rsidR="00545B54" w:rsidRPr="00CC4F07" w14:paraId="53D95712" w14:textId="77777777" w:rsidTr="00545B54">
        <w:tc>
          <w:tcPr>
            <w:tcW w:w="1830" w:type="dxa"/>
          </w:tcPr>
          <w:p w14:paraId="79E47EA4" w14:textId="38B61777" w:rsidR="00545B54" w:rsidRPr="00CC4F07" w:rsidRDefault="00545B54" w:rsidP="00545B54">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Totals 2018</w:t>
            </w:r>
          </w:p>
        </w:tc>
        <w:tc>
          <w:tcPr>
            <w:tcW w:w="1633" w:type="dxa"/>
          </w:tcPr>
          <w:p w14:paraId="6EC64DEC" w14:textId="77777777" w:rsidR="00545B54" w:rsidRPr="00CC4F07" w:rsidRDefault="00545B54" w:rsidP="00545B54">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231,706</w:t>
            </w:r>
          </w:p>
          <w:p w14:paraId="71A30FC0" w14:textId="77777777"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318" w:type="dxa"/>
          </w:tcPr>
          <w:p w14:paraId="48A83B5D" w14:textId="77777777" w:rsidR="00545B54" w:rsidRPr="00CC4F07" w:rsidRDefault="00545B54" w:rsidP="00545B54">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7,585</w:t>
            </w:r>
          </w:p>
          <w:p w14:paraId="769672E7" w14:textId="77777777"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318" w:type="dxa"/>
          </w:tcPr>
          <w:p w14:paraId="78FA3686" w14:textId="77777777" w:rsidR="00545B54" w:rsidRPr="00CC4F07" w:rsidRDefault="00545B54" w:rsidP="00545B54">
            <w:pPr>
              <w:spacing w:after="0"/>
              <w:jc w:val="right"/>
              <w:rPr>
                <w:rFonts w:ascii="Gill Sans MT" w:hAnsi="Gill Sans MT" w:cs="Arial"/>
                <w:bCs/>
                <w:sz w:val="22"/>
                <w:szCs w:val="22"/>
                <w:lang w:eastAsia="en-IE"/>
              </w:rPr>
            </w:pPr>
            <w:r w:rsidRPr="00CC4F07">
              <w:rPr>
                <w:rFonts w:ascii="Gill Sans MT" w:hAnsi="Gill Sans MT" w:cs="Arial"/>
                <w:bCs/>
                <w:sz w:val="22"/>
                <w:szCs w:val="22"/>
              </w:rPr>
              <w:t>3.3%</w:t>
            </w:r>
          </w:p>
          <w:p w14:paraId="471E95F9" w14:textId="77777777"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272" w:type="dxa"/>
          </w:tcPr>
          <w:p w14:paraId="320AA76B" w14:textId="77777777" w:rsidR="00545B54" w:rsidRPr="00CC4F07" w:rsidRDefault="00545B54" w:rsidP="00545B54">
            <w:pPr>
              <w:spacing w:after="0"/>
              <w:jc w:val="right"/>
              <w:rPr>
                <w:rFonts w:ascii="Gill Sans MT" w:hAnsi="Gill Sans MT" w:cs="Arial"/>
                <w:bCs/>
                <w:sz w:val="22"/>
                <w:szCs w:val="22"/>
                <w:lang w:eastAsia="en-IE"/>
              </w:rPr>
            </w:pPr>
            <w:r w:rsidRPr="00CC4F07">
              <w:rPr>
                <w:rFonts w:ascii="Gill Sans MT" w:hAnsi="Gill Sans MT" w:cs="Arial"/>
                <w:bCs/>
                <w:sz w:val="22"/>
                <w:szCs w:val="22"/>
              </w:rPr>
              <w:t>100.0%</w:t>
            </w:r>
          </w:p>
          <w:p w14:paraId="06AAFC1A" w14:textId="77777777"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490" w:type="dxa"/>
          </w:tcPr>
          <w:p w14:paraId="5DC58DB5" w14:textId="77777777" w:rsidR="00545B54" w:rsidRPr="00CC4F07" w:rsidRDefault="00545B54" w:rsidP="00545B54">
            <w:pPr>
              <w:spacing w:after="0"/>
              <w:jc w:val="right"/>
              <w:rPr>
                <w:rFonts w:ascii="Gill Sans MT" w:hAnsi="Gill Sans MT" w:cs="Arial"/>
                <w:bCs/>
                <w:sz w:val="22"/>
                <w:szCs w:val="22"/>
                <w:lang w:eastAsia="en-IE"/>
              </w:rPr>
            </w:pPr>
            <w:r w:rsidRPr="00CC4F07">
              <w:rPr>
                <w:rFonts w:ascii="Gill Sans MT" w:hAnsi="Gill Sans MT" w:cs="Arial"/>
                <w:bCs/>
                <w:sz w:val="22"/>
                <w:szCs w:val="22"/>
              </w:rPr>
              <w:t>84.3%</w:t>
            </w:r>
          </w:p>
          <w:p w14:paraId="628389DF" w14:textId="77777777"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905" w:type="dxa"/>
          </w:tcPr>
          <w:p w14:paraId="7EDA50C9" w14:textId="77777777" w:rsidR="00545B54" w:rsidRPr="00CC4F07" w:rsidRDefault="00545B54" w:rsidP="00545B54">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217</w:t>
            </w:r>
          </w:p>
          <w:p w14:paraId="0790AA13" w14:textId="77777777" w:rsidR="00545B54" w:rsidRPr="00CC4F07" w:rsidRDefault="00545B54" w:rsidP="00545B54">
            <w:pPr>
              <w:pStyle w:val="TableCell"/>
              <w:keepNext/>
              <w:rPr>
                <w:rFonts w:ascii="Gill Sans MT" w:hAnsi="Gill Sans MT"/>
                <w:color w:val="000000" w:themeColor="text1"/>
                <w:sz w:val="22"/>
                <w:szCs w:val="22"/>
                <w:lang w:val="en-GB" w:eastAsia="en-GB"/>
              </w:rPr>
            </w:pPr>
          </w:p>
        </w:tc>
      </w:tr>
      <w:tr w:rsidR="00545B54" w:rsidRPr="00CC4F07" w14:paraId="0CA807FB" w14:textId="77777777" w:rsidTr="0082665E">
        <w:tc>
          <w:tcPr>
            <w:tcW w:w="1830" w:type="dxa"/>
          </w:tcPr>
          <w:p w14:paraId="53EE21E8" w14:textId="0FDCC290" w:rsidR="00545B54" w:rsidRPr="00CC4F07" w:rsidRDefault="00545B54" w:rsidP="00545B54">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Totals 2017</w:t>
            </w:r>
          </w:p>
        </w:tc>
        <w:tc>
          <w:tcPr>
            <w:tcW w:w="1633" w:type="dxa"/>
          </w:tcPr>
          <w:p w14:paraId="7197AF59" w14:textId="2320DA71" w:rsidR="00545B54" w:rsidRPr="00CC4F07" w:rsidRDefault="00545B54" w:rsidP="00545B54">
            <w:pPr>
              <w:pStyle w:val="TableCell"/>
              <w:keepNext/>
              <w:rPr>
                <w:rFonts w:ascii="Gill Sans MT" w:hAnsi="Gill Sans MT"/>
                <w:color w:val="000000" w:themeColor="text1"/>
                <w:sz w:val="22"/>
                <w:szCs w:val="22"/>
                <w:lang w:val="en-GB" w:eastAsia="en-GB"/>
              </w:rPr>
            </w:pPr>
            <w:r w:rsidRPr="00CC4F07">
              <w:rPr>
                <w:rFonts w:ascii="Gill Sans MT" w:hAnsi="Gill Sans MT"/>
                <w:color w:val="000000" w:themeColor="text1"/>
                <w:sz w:val="22"/>
                <w:szCs w:val="22"/>
                <w:lang w:val="en-GB" w:eastAsia="en-GB"/>
              </w:rPr>
              <w:t>225,809</w:t>
            </w:r>
          </w:p>
        </w:tc>
        <w:tc>
          <w:tcPr>
            <w:tcW w:w="1318" w:type="dxa"/>
          </w:tcPr>
          <w:p w14:paraId="2523D9BE" w14:textId="275542B8" w:rsidR="00545B54" w:rsidRPr="00CC4F07" w:rsidRDefault="00545B54" w:rsidP="00545B54">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7,796</w:t>
            </w:r>
          </w:p>
          <w:p w14:paraId="632EE304" w14:textId="3E68E982"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318" w:type="dxa"/>
          </w:tcPr>
          <w:p w14:paraId="6B6505FE" w14:textId="531B5308" w:rsidR="00545B54" w:rsidRPr="00CC4F07" w:rsidRDefault="00545B54" w:rsidP="00545B54">
            <w:pPr>
              <w:spacing w:after="0"/>
              <w:jc w:val="right"/>
              <w:rPr>
                <w:rFonts w:ascii="Gill Sans MT" w:hAnsi="Gill Sans MT" w:cs="Arial"/>
                <w:bCs/>
                <w:sz w:val="22"/>
                <w:szCs w:val="22"/>
                <w:lang w:eastAsia="en-IE"/>
              </w:rPr>
            </w:pPr>
            <w:r w:rsidRPr="00CC4F07">
              <w:rPr>
                <w:rFonts w:ascii="Gill Sans MT" w:hAnsi="Gill Sans MT" w:cs="Arial"/>
                <w:bCs/>
                <w:sz w:val="22"/>
                <w:szCs w:val="22"/>
              </w:rPr>
              <w:t>3.5%</w:t>
            </w:r>
          </w:p>
          <w:p w14:paraId="18C7E9B2" w14:textId="59D2EC81"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272" w:type="dxa"/>
          </w:tcPr>
          <w:p w14:paraId="1DA3D56A" w14:textId="77777777" w:rsidR="00545B54" w:rsidRPr="00CC4F07" w:rsidRDefault="00545B54" w:rsidP="00545B54">
            <w:pPr>
              <w:spacing w:after="0"/>
              <w:jc w:val="right"/>
              <w:rPr>
                <w:rFonts w:ascii="Gill Sans MT" w:hAnsi="Gill Sans MT" w:cs="Arial"/>
                <w:bCs/>
                <w:sz w:val="22"/>
                <w:szCs w:val="22"/>
                <w:lang w:eastAsia="en-IE"/>
              </w:rPr>
            </w:pPr>
            <w:r w:rsidRPr="00CC4F07">
              <w:rPr>
                <w:rFonts w:ascii="Gill Sans MT" w:hAnsi="Gill Sans MT" w:cs="Arial"/>
                <w:bCs/>
                <w:sz w:val="22"/>
                <w:szCs w:val="22"/>
              </w:rPr>
              <w:t>100.0%</w:t>
            </w:r>
          </w:p>
          <w:p w14:paraId="485D11F4" w14:textId="0BC7E742"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490" w:type="dxa"/>
          </w:tcPr>
          <w:p w14:paraId="313F0BF7" w14:textId="6961F0C8" w:rsidR="00545B54" w:rsidRPr="00CC4F07" w:rsidRDefault="00545B54" w:rsidP="00545B54">
            <w:pPr>
              <w:spacing w:after="0"/>
              <w:jc w:val="right"/>
              <w:rPr>
                <w:rFonts w:ascii="Gill Sans MT" w:hAnsi="Gill Sans MT" w:cs="Arial"/>
                <w:bCs/>
                <w:sz w:val="22"/>
                <w:szCs w:val="22"/>
                <w:lang w:eastAsia="en-IE"/>
              </w:rPr>
            </w:pPr>
            <w:r w:rsidRPr="00CC4F07">
              <w:rPr>
                <w:rFonts w:ascii="Gill Sans MT" w:hAnsi="Gill Sans MT" w:cs="Arial"/>
                <w:bCs/>
                <w:sz w:val="22"/>
                <w:szCs w:val="22"/>
              </w:rPr>
              <w:t>84.4%</w:t>
            </w:r>
          </w:p>
          <w:p w14:paraId="358691A3" w14:textId="0EFF9304"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905" w:type="dxa"/>
          </w:tcPr>
          <w:p w14:paraId="5ABACF02" w14:textId="7B5225EA" w:rsidR="00545B54" w:rsidRPr="00CC4F07" w:rsidRDefault="00545B54" w:rsidP="00545B54">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218</w:t>
            </w:r>
          </w:p>
          <w:p w14:paraId="068DE572" w14:textId="7DB7B13A" w:rsidR="00545B54" w:rsidRPr="00CC4F07" w:rsidRDefault="00545B54" w:rsidP="00545B54">
            <w:pPr>
              <w:pStyle w:val="TableCell"/>
              <w:keepNext/>
              <w:rPr>
                <w:rFonts w:ascii="Gill Sans MT" w:hAnsi="Gill Sans MT"/>
                <w:color w:val="000000" w:themeColor="text1"/>
                <w:sz w:val="22"/>
                <w:szCs w:val="22"/>
                <w:lang w:val="en-GB" w:eastAsia="en-GB"/>
              </w:rPr>
            </w:pPr>
          </w:p>
        </w:tc>
      </w:tr>
      <w:tr w:rsidR="00545B54" w:rsidRPr="00CC4F07" w14:paraId="3213413F" w14:textId="77777777" w:rsidTr="00545B54">
        <w:tc>
          <w:tcPr>
            <w:tcW w:w="1830" w:type="dxa"/>
            <w:tcBorders>
              <w:top w:val="single" w:sz="6" w:space="0" w:color="000000"/>
              <w:bottom w:val="single" w:sz="12" w:space="0" w:color="000000"/>
            </w:tcBorders>
            <w:shd w:val="clear" w:color="auto" w:fill="E0E0E0"/>
          </w:tcPr>
          <w:p w14:paraId="2546D930" w14:textId="0D92A4D5" w:rsidR="00545B54" w:rsidRPr="00CC4F07" w:rsidRDefault="00545B54" w:rsidP="00545B54">
            <w:pPr>
              <w:pStyle w:val="TableRowHead"/>
              <w:jc w:val="both"/>
              <w:rPr>
                <w:rFonts w:ascii="Gill Sans MT" w:hAnsi="Gill Sans MT"/>
                <w:color w:val="000000" w:themeColor="text1"/>
                <w:sz w:val="22"/>
              </w:rPr>
            </w:pPr>
            <w:r w:rsidRPr="00CC4F07">
              <w:rPr>
                <w:rFonts w:ascii="Gill Sans MT" w:hAnsi="Gill Sans MT"/>
                <w:color w:val="000000" w:themeColor="text1"/>
                <w:sz w:val="20"/>
                <w:szCs w:val="20"/>
              </w:rPr>
              <w:t>Change 2017/2018</w:t>
            </w:r>
          </w:p>
        </w:tc>
        <w:tc>
          <w:tcPr>
            <w:tcW w:w="1633" w:type="dxa"/>
            <w:tcBorders>
              <w:top w:val="single" w:sz="6" w:space="0" w:color="000000"/>
              <w:bottom w:val="single" w:sz="12" w:space="0" w:color="000000"/>
            </w:tcBorders>
            <w:shd w:val="clear" w:color="auto" w:fill="E0E0E0"/>
          </w:tcPr>
          <w:p w14:paraId="2A06D856" w14:textId="4DCA27B1" w:rsidR="00545B54" w:rsidRPr="00CC4F07" w:rsidRDefault="00545B54" w:rsidP="00545B54">
            <w:pPr>
              <w:spacing w:after="0"/>
              <w:jc w:val="right"/>
              <w:rPr>
                <w:rFonts w:ascii="Gill Sans MT" w:hAnsi="Gill Sans MT" w:cs="Arial"/>
                <w:b/>
                <w:bCs/>
                <w:color w:val="000000"/>
                <w:sz w:val="22"/>
                <w:szCs w:val="22"/>
                <w:lang w:eastAsia="en-IE"/>
              </w:rPr>
            </w:pPr>
            <w:r w:rsidRPr="00CC4F07">
              <w:rPr>
                <w:rFonts w:ascii="Gill Sans MT" w:hAnsi="Gill Sans MT" w:cs="Arial"/>
                <w:b/>
                <w:bCs/>
                <w:color w:val="000000"/>
                <w:sz w:val="22"/>
                <w:szCs w:val="22"/>
              </w:rPr>
              <w:t>5,897</w:t>
            </w:r>
          </w:p>
          <w:p w14:paraId="63A6232C" w14:textId="77777777" w:rsidR="00545B54" w:rsidRPr="00CC4F07" w:rsidRDefault="00545B54" w:rsidP="00545B54">
            <w:pPr>
              <w:pStyle w:val="TableCell"/>
              <w:rPr>
                <w:rFonts w:ascii="Gill Sans MT" w:hAnsi="Gill Sans MT"/>
                <w:b/>
                <w:color w:val="000000" w:themeColor="text1"/>
                <w:sz w:val="22"/>
                <w:szCs w:val="22"/>
                <w:lang w:val="en-GB" w:eastAsia="en-GB"/>
              </w:rPr>
            </w:pPr>
          </w:p>
        </w:tc>
        <w:tc>
          <w:tcPr>
            <w:tcW w:w="1318" w:type="dxa"/>
            <w:tcBorders>
              <w:top w:val="single" w:sz="6" w:space="0" w:color="000000"/>
              <w:bottom w:val="single" w:sz="12" w:space="0" w:color="000000"/>
            </w:tcBorders>
            <w:shd w:val="clear" w:color="auto" w:fill="E0E0E0"/>
          </w:tcPr>
          <w:p w14:paraId="77A03735" w14:textId="5F618080" w:rsidR="00545B54" w:rsidRPr="00CC4F07" w:rsidRDefault="00545B54" w:rsidP="00545B54">
            <w:pPr>
              <w:spacing w:after="0"/>
              <w:jc w:val="right"/>
              <w:rPr>
                <w:rFonts w:ascii="Gill Sans MT" w:hAnsi="Gill Sans MT" w:cs="Arial"/>
                <w:b/>
                <w:bCs/>
                <w:color w:val="000000"/>
                <w:sz w:val="22"/>
                <w:szCs w:val="22"/>
                <w:lang w:eastAsia="en-IE"/>
              </w:rPr>
            </w:pPr>
            <w:r w:rsidRPr="00CC4F07">
              <w:rPr>
                <w:rFonts w:ascii="Gill Sans MT" w:hAnsi="Gill Sans MT" w:cs="Arial"/>
                <w:b/>
                <w:bCs/>
                <w:color w:val="000000"/>
                <w:sz w:val="22"/>
                <w:szCs w:val="22"/>
              </w:rPr>
              <w:t>-211</w:t>
            </w:r>
          </w:p>
          <w:p w14:paraId="5872DF7E" w14:textId="77777777" w:rsidR="00545B54" w:rsidRPr="00CC4F07" w:rsidRDefault="00545B54" w:rsidP="00545B54">
            <w:pPr>
              <w:pStyle w:val="TableCell"/>
              <w:rPr>
                <w:rFonts w:ascii="Gill Sans MT" w:hAnsi="Gill Sans MT"/>
                <w:b/>
                <w:color w:val="000000" w:themeColor="text1"/>
                <w:sz w:val="22"/>
                <w:szCs w:val="22"/>
                <w:lang w:val="en-GB" w:eastAsia="en-GB"/>
              </w:rPr>
            </w:pPr>
          </w:p>
        </w:tc>
        <w:tc>
          <w:tcPr>
            <w:tcW w:w="1318" w:type="dxa"/>
            <w:tcBorders>
              <w:top w:val="single" w:sz="6" w:space="0" w:color="000000"/>
              <w:bottom w:val="single" w:sz="12" w:space="0" w:color="000000"/>
            </w:tcBorders>
            <w:shd w:val="clear" w:color="auto" w:fill="E0E0E0"/>
          </w:tcPr>
          <w:p w14:paraId="49F4CCB3" w14:textId="28761C07" w:rsidR="00545B54" w:rsidRPr="00CC4F07" w:rsidRDefault="00545B54" w:rsidP="00545B54">
            <w:pPr>
              <w:pStyle w:val="TableCell"/>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-0.2-%</w:t>
            </w:r>
          </w:p>
        </w:tc>
        <w:tc>
          <w:tcPr>
            <w:tcW w:w="1272" w:type="dxa"/>
            <w:tcBorders>
              <w:top w:val="single" w:sz="6" w:space="0" w:color="000000"/>
              <w:bottom w:val="single" w:sz="12" w:space="0" w:color="000000"/>
            </w:tcBorders>
            <w:shd w:val="clear" w:color="auto" w:fill="E0E0E0"/>
          </w:tcPr>
          <w:p w14:paraId="4F5DC665" w14:textId="77777777" w:rsidR="00545B54" w:rsidRPr="00CC4F07" w:rsidRDefault="00545B54" w:rsidP="00545B54">
            <w:pPr>
              <w:pStyle w:val="TableCell"/>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w:t>
            </w:r>
          </w:p>
        </w:tc>
        <w:tc>
          <w:tcPr>
            <w:tcW w:w="1490" w:type="dxa"/>
            <w:tcBorders>
              <w:top w:val="single" w:sz="6" w:space="0" w:color="000000"/>
              <w:bottom w:val="single" w:sz="12" w:space="0" w:color="000000"/>
            </w:tcBorders>
            <w:shd w:val="clear" w:color="auto" w:fill="E0E0E0"/>
          </w:tcPr>
          <w:p w14:paraId="5B90E296" w14:textId="3A8B881D" w:rsidR="00545B54" w:rsidRPr="00CC4F07" w:rsidRDefault="00545B54" w:rsidP="00545B54">
            <w:pPr>
              <w:pStyle w:val="TableCell"/>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-0.1%</w:t>
            </w:r>
          </w:p>
        </w:tc>
        <w:tc>
          <w:tcPr>
            <w:tcW w:w="905" w:type="dxa"/>
            <w:tcBorders>
              <w:top w:val="single" w:sz="6" w:space="0" w:color="000000"/>
              <w:bottom w:val="single" w:sz="12" w:space="0" w:color="000000"/>
            </w:tcBorders>
            <w:shd w:val="clear" w:color="auto" w:fill="E0E0E0"/>
          </w:tcPr>
          <w:p w14:paraId="605182C9" w14:textId="15F1A3AB" w:rsidR="00545B54" w:rsidRPr="00CC4F07" w:rsidRDefault="00545B54" w:rsidP="00545B54">
            <w:pPr>
              <w:pStyle w:val="TableCell"/>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-1</w:t>
            </w:r>
          </w:p>
        </w:tc>
      </w:tr>
    </w:tbl>
    <w:p w14:paraId="4C90F887" w14:textId="77777777" w:rsidR="00C023F0" w:rsidRDefault="00C023F0" w:rsidP="00F53C61">
      <w:pPr>
        <w:pStyle w:val="Heading2"/>
        <w:rPr>
          <w:rFonts w:ascii="Rockwell" w:hAnsi="Rockwell"/>
          <w:color w:val="CC3399"/>
          <w:sz w:val="32"/>
          <w:szCs w:val="32"/>
        </w:rPr>
      </w:pPr>
      <w:bookmarkStart w:id="33" w:name="_Toc526435817"/>
      <w:bookmarkStart w:id="34" w:name="_Toc18680251"/>
    </w:p>
    <w:p w14:paraId="49E0935D" w14:textId="24BEF385" w:rsidR="00714529" w:rsidRPr="00CC4F07" w:rsidRDefault="00933FBD" w:rsidP="00F53C61">
      <w:pPr>
        <w:pStyle w:val="Heading2"/>
      </w:pPr>
      <w:r w:rsidRPr="00CC4F07">
        <w:rPr>
          <w:rFonts w:ascii="Rockwell" w:hAnsi="Rockwell"/>
          <w:color w:val="CC3399"/>
          <w:sz w:val="32"/>
          <w:szCs w:val="32"/>
        </w:rPr>
        <w:t>2.4 Analysis by size of public sector body</w:t>
      </w:r>
      <w:bookmarkEnd w:id="33"/>
      <w:bookmarkEnd w:id="34"/>
    </w:p>
    <w:p w14:paraId="1C39B515" w14:textId="4D79C713" w:rsidR="00933FBD" w:rsidRPr="00CC4F07" w:rsidRDefault="00933FBD" w:rsidP="00933FBD">
      <w:pPr>
        <w:pStyle w:val="Heading3"/>
        <w:keepLines/>
        <w:spacing w:before="20" w:after="40"/>
        <w:rPr>
          <w:rFonts w:ascii="Rockwell" w:hAnsi="Rockwell"/>
          <w:color w:val="BF2296"/>
        </w:rPr>
      </w:pPr>
      <w:r w:rsidRPr="00CC4F07">
        <w:rPr>
          <w:rFonts w:ascii="Rockwell" w:hAnsi="Rockwell"/>
          <w:color w:val="BF2296"/>
        </w:rPr>
        <w:t>Public bodies with less than 100 employees</w:t>
      </w:r>
    </w:p>
    <w:p w14:paraId="4E7EBDE5" w14:textId="16E27919" w:rsidR="008713A0" w:rsidRPr="00CC4F07" w:rsidRDefault="008713A0" w:rsidP="008713A0">
      <w:pPr>
        <w:rPr>
          <w:color w:val="000000" w:themeColor="text1"/>
        </w:rPr>
      </w:pPr>
      <w:r w:rsidRPr="00CC4F07">
        <w:rPr>
          <w:color w:val="000000" w:themeColor="text1"/>
        </w:rPr>
        <w:t xml:space="preserve">There are </w:t>
      </w:r>
      <w:r w:rsidR="00C53D91" w:rsidRPr="00CC4F07">
        <w:rPr>
          <w:color w:val="000000" w:themeColor="text1"/>
        </w:rPr>
        <w:t>79</w:t>
      </w:r>
      <w:r w:rsidRPr="00CC4F07">
        <w:rPr>
          <w:color w:val="000000" w:themeColor="text1"/>
        </w:rPr>
        <w:t xml:space="preserve"> public bodies </w:t>
      </w:r>
      <w:r w:rsidR="00633D4D" w:rsidRPr="00CC4F07">
        <w:rPr>
          <w:color w:val="000000" w:themeColor="text1"/>
        </w:rPr>
        <w:t xml:space="preserve">in the public sector with less than 100 employees, </w:t>
      </w:r>
      <w:r w:rsidRPr="00CC4F07">
        <w:rPr>
          <w:color w:val="000000" w:themeColor="text1"/>
        </w:rPr>
        <w:t xml:space="preserve">representing </w:t>
      </w:r>
      <w:r w:rsidR="00C53D91" w:rsidRPr="00CC4F07">
        <w:rPr>
          <w:color w:val="000000" w:themeColor="text1"/>
        </w:rPr>
        <w:t>1.4</w:t>
      </w:r>
      <w:r w:rsidRPr="00CC4F07">
        <w:rPr>
          <w:color w:val="000000" w:themeColor="text1"/>
        </w:rPr>
        <w:t>% of the entire workforce. This size category employs 3,3</w:t>
      </w:r>
      <w:r w:rsidR="00C53D91" w:rsidRPr="00CC4F07">
        <w:rPr>
          <w:color w:val="000000" w:themeColor="text1"/>
        </w:rPr>
        <w:t>46</w:t>
      </w:r>
      <w:r w:rsidRPr="00CC4F07">
        <w:rPr>
          <w:color w:val="000000" w:themeColor="text1"/>
        </w:rPr>
        <w:t xml:space="preserve"> people, of which </w:t>
      </w:r>
      <w:r w:rsidR="00C53D91" w:rsidRPr="00CC4F07">
        <w:rPr>
          <w:color w:val="000000" w:themeColor="text1"/>
        </w:rPr>
        <w:t>5.1</w:t>
      </w:r>
      <w:r w:rsidRPr="00CC4F07">
        <w:rPr>
          <w:color w:val="000000" w:themeColor="text1"/>
        </w:rPr>
        <w:t>% (</w:t>
      </w:r>
      <w:r w:rsidR="00C53D91" w:rsidRPr="00CC4F07">
        <w:rPr>
          <w:color w:val="000000" w:themeColor="text1"/>
        </w:rPr>
        <w:t>172</w:t>
      </w:r>
      <w:r w:rsidRPr="00CC4F07">
        <w:rPr>
          <w:color w:val="000000" w:themeColor="text1"/>
        </w:rPr>
        <w:t xml:space="preserve">) have </w:t>
      </w:r>
      <w:r w:rsidR="007F2DF6" w:rsidRPr="00CC4F07">
        <w:rPr>
          <w:color w:val="000000" w:themeColor="text1"/>
        </w:rPr>
        <w:t xml:space="preserve">reported </w:t>
      </w:r>
      <w:r w:rsidRPr="00CC4F07">
        <w:rPr>
          <w:color w:val="000000" w:themeColor="text1"/>
        </w:rPr>
        <w:t>a disability. This category represents just under 2.</w:t>
      </w:r>
      <w:r w:rsidR="00C53D91" w:rsidRPr="00CC4F07">
        <w:rPr>
          <w:color w:val="000000" w:themeColor="text1"/>
        </w:rPr>
        <w:t>3</w:t>
      </w:r>
      <w:r w:rsidRPr="00CC4F07">
        <w:rPr>
          <w:color w:val="000000" w:themeColor="text1"/>
        </w:rPr>
        <w:t xml:space="preserve">% of the workforce who have </w:t>
      </w:r>
      <w:r w:rsidR="001C13DD" w:rsidRPr="00CC4F07">
        <w:rPr>
          <w:color w:val="000000" w:themeColor="text1"/>
        </w:rPr>
        <w:t>reported</w:t>
      </w:r>
      <w:r w:rsidR="00C023F0">
        <w:rPr>
          <w:color w:val="000000" w:themeColor="text1"/>
        </w:rPr>
        <w:t xml:space="preserve"> a disability (see Table 5</w:t>
      </w:r>
      <w:r w:rsidRPr="00CC4F07">
        <w:rPr>
          <w:color w:val="000000" w:themeColor="text1"/>
        </w:rPr>
        <w:t>).</w:t>
      </w:r>
    </w:p>
    <w:p w14:paraId="6F47D527" w14:textId="5B9FCFBA" w:rsidR="008713A0" w:rsidRPr="00CC4F07" w:rsidRDefault="008713A0" w:rsidP="008713A0">
      <w:pPr>
        <w:rPr>
          <w:color w:val="000000" w:themeColor="text1"/>
        </w:rPr>
      </w:pPr>
      <w:r w:rsidRPr="00CC4F07">
        <w:rPr>
          <w:color w:val="000000" w:themeColor="text1"/>
        </w:rPr>
        <w:t>This category includes public bodies who are very small in size</w:t>
      </w:r>
      <w:r w:rsidR="001B4716" w:rsidRPr="00CC4F07">
        <w:rPr>
          <w:color w:val="000000" w:themeColor="text1"/>
        </w:rPr>
        <w:t>, employing between</w:t>
      </w:r>
      <w:r w:rsidRPr="00CC4F07">
        <w:rPr>
          <w:color w:val="000000" w:themeColor="text1"/>
        </w:rPr>
        <w:t xml:space="preserve"> 3 to 20 people</w:t>
      </w:r>
      <w:r w:rsidR="001B4716" w:rsidRPr="00CC4F07">
        <w:rPr>
          <w:color w:val="000000" w:themeColor="text1"/>
        </w:rPr>
        <w:t xml:space="preserve"> (27 out of the 79 organisations)</w:t>
      </w:r>
      <w:r w:rsidRPr="00CC4F07">
        <w:rPr>
          <w:color w:val="000000" w:themeColor="text1"/>
        </w:rPr>
        <w:t xml:space="preserve">. </w:t>
      </w:r>
      <w:r w:rsidR="001B4716" w:rsidRPr="00CC4F07">
        <w:rPr>
          <w:color w:val="000000" w:themeColor="text1"/>
        </w:rPr>
        <w:t>O</w:t>
      </w:r>
      <w:r w:rsidRPr="00CC4F07">
        <w:rPr>
          <w:color w:val="000000" w:themeColor="text1"/>
        </w:rPr>
        <w:t>f these bodies with fewer than 20 people</w:t>
      </w:r>
      <w:r w:rsidR="001B4716" w:rsidRPr="00CC4F07">
        <w:rPr>
          <w:color w:val="000000" w:themeColor="text1"/>
        </w:rPr>
        <w:t>, 20</w:t>
      </w:r>
      <w:r w:rsidRPr="00CC4F07">
        <w:rPr>
          <w:color w:val="000000" w:themeColor="text1"/>
        </w:rPr>
        <w:t xml:space="preserve"> have reported that they have no employees with disabilities in 201</w:t>
      </w:r>
      <w:r w:rsidR="001B4716" w:rsidRPr="00CC4F07">
        <w:rPr>
          <w:color w:val="000000" w:themeColor="text1"/>
        </w:rPr>
        <w:t>8</w:t>
      </w:r>
      <w:r w:rsidR="006D0030">
        <w:rPr>
          <w:color w:val="000000" w:themeColor="text1"/>
        </w:rPr>
        <w:t>.</w:t>
      </w:r>
    </w:p>
    <w:p w14:paraId="31C926A4" w14:textId="6DF2BB98" w:rsidR="008713A0" w:rsidRPr="00CC4F07" w:rsidRDefault="008713A0" w:rsidP="008713A0">
      <w:pPr>
        <w:rPr>
          <w:color w:val="000000" w:themeColor="text1"/>
          <w:sz w:val="24"/>
        </w:rPr>
      </w:pPr>
      <w:r w:rsidRPr="00CC4F07">
        <w:rPr>
          <w:szCs w:val="26"/>
        </w:rPr>
        <w:t xml:space="preserve">The NDA acknowledges that if a public body is very small with less than 20 staff then its size does impact its ability to make the </w:t>
      </w:r>
      <w:r w:rsidR="009B11ED">
        <w:rPr>
          <w:szCs w:val="26"/>
        </w:rPr>
        <w:t xml:space="preserve">minimum </w:t>
      </w:r>
      <w:r w:rsidRPr="00CC4F07">
        <w:rPr>
          <w:szCs w:val="26"/>
        </w:rPr>
        <w:t xml:space="preserve">3% target. </w:t>
      </w:r>
      <w:r w:rsidRPr="00CC4F07">
        <w:t xml:space="preserve">The departure of a staff member with a disability through retirement, via career break, or through a voluntary redundancy scheme, is one of the main factors that has prevented small public bodies from reaching the </w:t>
      </w:r>
      <w:r w:rsidR="009B11ED">
        <w:t xml:space="preserve">minimum </w:t>
      </w:r>
      <w:r w:rsidRPr="00CC4F07">
        <w:t>3% target. Losing (or hiring) one extra staff member for bodies of this size represents the difference between meeting and not meeting the</w:t>
      </w:r>
      <w:r w:rsidR="00CB719A" w:rsidRPr="00CC4F07">
        <w:t xml:space="preserve"> </w:t>
      </w:r>
      <w:r w:rsidR="00CB719A" w:rsidRPr="00CC4F07">
        <w:rPr>
          <w:color w:val="000000" w:themeColor="text1"/>
        </w:rPr>
        <w:t xml:space="preserve">minimum compliance </w:t>
      </w:r>
      <w:r w:rsidRPr="00CC4F07">
        <w:rPr>
          <w:color w:val="000000" w:themeColor="text1"/>
        </w:rPr>
        <w:t>target</w:t>
      </w:r>
      <w:r w:rsidR="00CB719A" w:rsidRPr="00CC4F07">
        <w:rPr>
          <w:color w:val="000000" w:themeColor="text1"/>
        </w:rPr>
        <w:t xml:space="preserve"> of 3%</w:t>
      </w:r>
      <w:r w:rsidR="006D0030">
        <w:rPr>
          <w:color w:val="000000" w:themeColor="text1"/>
          <w:sz w:val="24"/>
        </w:rPr>
        <w:t>.</w:t>
      </w:r>
    </w:p>
    <w:p w14:paraId="0CDC2398" w14:textId="7D5DD084" w:rsidR="008713A0" w:rsidRPr="00CC4F07" w:rsidRDefault="008713A0" w:rsidP="008713A0">
      <w:r w:rsidRPr="00CC4F07">
        <w:lastRenderedPageBreak/>
        <w:t xml:space="preserve">In public bodies of this small size, staff with disabilities may also not be comfortable disclosing their disability and this can also impact these public bodies’ ability to accurately report on </w:t>
      </w:r>
      <w:r w:rsidR="00CB719A" w:rsidRPr="00CC4F07">
        <w:rPr>
          <w:color w:val="000000" w:themeColor="text1"/>
        </w:rPr>
        <w:t>meeting</w:t>
      </w:r>
      <w:r w:rsidR="00CB719A" w:rsidRPr="00CC4F07">
        <w:rPr>
          <w:color w:val="FF0000"/>
        </w:rPr>
        <w:t xml:space="preserve"> </w:t>
      </w:r>
      <w:r w:rsidRPr="00CC4F07">
        <w:t>their obligations under Part 5</w:t>
      </w:r>
      <w:r w:rsidR="000E2E39" w:rsidRPr="00CC4F07">
        <w:t xml:space="preserve"> </w:t>
      </w:r>
      <w:r w:rsidRPr="00CC4F07">
        <w:t>of the Disability Act 2005.</w:t>
      </w:r>
    </w:p>
    <w:p w14:paraId="1ABC1B2E" w14:textId="77777777" w:rsidR="00933FBD" w:rsidRPr="00CC4F07" w:rsidRDefault="00933FBD" w:rsidP="00933FBD">
      <w:pPr>
        <w:pStyle w:val="Heading3"/>
        <w:keepLines/>
        <w:spacing w:before="20" w:after="40"/>
        <w:rPr>
          <w:rFonts w:ascii="Rockwell" w:hAnsi="Rockwell"/>
          <w:color w:val="BF2296"/>
        </w:rPr>
      </w:pPr>
      <w:r w:rsidRPr="00CC4F07">
        <w:rPr>
          <w:rFonts w:ascii="Rockwell" w:hAnsi="Rockwell"/>
          <w:color w:val="BF2296"/>
        </w:rPr>
        <w:t>Public bodies with between 100 and 999 employees</w:t>
      </w:r>
    </w:p>
    <w:p w14:paraId="14874760" w14:textId="505B8D88" w:rsidR="008713A0" w:rsidRPr="00CC4F07" w:rsidRDefault="008713A0" w:rsidP="008713A0">
      <w:pPr>
        <w:rPr>
          <w:lang w:eastAsia="en-IE"/>
        </w:rPr>
      </w:pPr>
      <w:r w:rsidRPr="00CC4F07">
        <w:rPr>
          <w:color w:val="000000" w:themeColor="text1"/>
        </w:rPr>
        <w:t>This size category has the highest number of public bodies (10</w:t>
      </w:r>
      <w:r w:rsidR="000E2E39" w:rsidRPr="00CC4F07">
        <w:rPr>
          <w:color w:val="000000" w:themeColor="text1"/>
        </w:rPr>
        <w:t>0</w:t>
      </w:r>
      <w:r w:rsidRPr="00CC4F07">
        <w:rPr>
          <w:color w:val="000000" w:themeColor="text1"/>
        </w:rPr>
        <w:t xml:space="preserve">) making up </w:t>
      </w:r>
      <w:r w:rsidR="000E2E39" w:rsidRPr="00CC4F07">
        <w:rPr>
          <w:color w:val="000000" w:themeColor="text1"/>
        </w:rPr>
        <w:t>17.6</w:t>
      </w:r>
      <w:r w:rsidRPr="00CC4F07">
        <w:rPr>
          <w:color w:val="000000" w:themeColor="text1"/>
        </w:rPr>
        <w:t xml:space="preserve">% of the total workforce. In total </w:t>
      </w:r>
      <w:r w:rsidR="000E2E39" w:rsidRPr="00CC4F07">
        <w:rPr>
          <w:lang w:eastAsia="en-IE"/>
        </w:rPr>
        <w:t>40,727</w:t>
      </w:r>
      <w:r w:rsidRPr="00CC4F07">
        <w:rPr>
          <w:lang w:eastAsia="en-IE"/>
        </w:rPr>
        <w:t xml:space="preserve"> people </w:t>
      </w:r>
      <w:r w:rsidRPr="00CC4F07">
        <w:rPr>
          <w:color w:val="000000" w:themeColor="text1"/>
        </w:rPr>
        <w:t>are employed in this category</w:t>
      </w:r>
      <w:r w:rsidR="00043876" w:rsidRPr="00CC4F07">
        <w:rPr>
          <w:color w:val="000000" w:themeColor="text1"/>
        </w:rPr>
        <w:t>,</w:t>
      </w:r>
      <w:r w:rsidRPr="00CC4F07">
        <w:rPr>
          <w:color w:val="000000" w:themeColor="text1"/>
        </w:rPr>
        <w:t xml:space="preserve"> of which </w:t>
      </w:r>
      <w:r w:rsidR="000E2E39" w:rsidRPr="00CC4F07">
        <w:rPr>
          <w:color w:val="000000" w:themeColor="text1"/>
        </w:rPr>
        <w:t>4.6</w:t>
      </w:r>
      <w:r w:rsidRPr="00CC4F07">
        <w:rPr>
          <w:color w:val="000000" w:themeColor="text1"/>
        </w:rPr>
        <w:t>% (</w:t>
      </w:r>
      <w:r w:rsidR="000E2E39" w:rsidRPr="00CC4F07">
        <w:rPr>
          <w:color w:val="000000" w:themeColor="text1"/>
        </w:rPr>
        <w:t>1,863</w:t>
      </w:r>
      <w:r w:rsidRPr="00CC4F07">
        <w:rPr>
          <w:color w:val="000000" w:themeColor="text1"/>
        </w:rPr>
        <w:t xml:space="preserve">) </w:t>
      </w:r>
      <w:r w:rsidR="007F2DF6" w:rsidRPr="00CC4F07">
        <w:rPr>
          <w:color w:val="000000" w:themeColor="text1"/>
        </w:rPr>
        <w:t>reported</w:t>
      </w:r>
      <w:r w:rsidRPr="00CC4F07">
        <w:rPr>
          <w:color w:val="000000" w:themeColor="text1"/>
        </w:rPr>
        <w:t xml:space="preserve"> a disability. This size category represents 24.</w:t>
      </w:r>
      <w:r w:rsidR="000E2E39" w:rsidRPr="00CC4F07">
        <w:rPr>
          <w:color w:val="000000" w:themeColor="text1"/>
        </w:rPr>
        <w:t>6</w:t>
      </w:r>
      <w:r w:rsidRPr="00CC4F07">
        <w:rPr>
          <w:color w:val="000000" w:themeColor="text1"/>
        </w:rPr>
        <w:t xml:space="preserve">% of the workforce who have </w:t>
      </w:r>
      <w:r w:rsidR="001C13DD" w:rsidRPr="00CC4F07">
        <w:rPr>
          <w:color w:val="000000" w:themeColor="text1"/>
        </w:rPr>
        <w:t>reported</w:t>
      </w:r>
      <w:r w:rsidRPr="00CC4F07">
        <w:rPr>
          <w:color w:val="000000" w:themeColor="text1"/>
        </w:rPr>
        <w:t xml:space="preserve"> a disability.</w:t>
      </w:r>
    </w:p>
    <w:p w14:paraId="5D1A65D5" w14:textId="0400F88A" w:rsidR="00933FBD" w:rsidRPr="00CC4F07" w:rsidRDefault="00933FBD" w:rsidP="00933FBD">
      <w:pPr>
        <w:pStyle w:val="Heading3"/>
        <w:keepLines/>
        <w:spacing w:before="20" w:after="40"/>
        <w:rPr>
          <w:rFonts w:ascii="Rockwell" w:hAnsi="Rockwell"/>
          <w:color w:val="BF2296"/>
        </w:rPr>
      </w:pPr>
      <w:r w:rsidRPr="00CC4F07">
        <w:rPr>
          <w:rFonts w:ascii="Rockwell" w:hAnsi="Rockwell"/>
          <w:color w:val="BF2296"/>
        </w:rPr>
        <w:t>Public bodies with between 1000 and 4999 employees</w:t>
      </w:r>
    </w:p>
    <w:p w14:paraId="4CE8ACEC" w14:textId="6CC1D55E" w:rsidR="008713A0" w:rsidRPr="00CC4F07" w:rsidRDefault="008713A0" w:rsidP="008713A0">
      <w:pPr>
        <w:rPr>
          <w:color w:val="000000" w:themeColor="text1"/>
        </w:rPr>
      </w:pPr>
      <w:r w:rsidRPr="00CC4F07">
        <w:rPr>
          <w:color w:val="000000" w:themeColor="text1"/>
        </w:rPr>
        <w:t xml:space="preserve">There are </w:t>
      </w:r>
      <w:r w:rsidR="000E2E39" w:rsidRPr="00CC4F07">
        <w:rPr>
          <w:color w:val="000000" w:themeColor="text1"/>
        </w:rPr>
        <w:t xml:space="preserve">32 </w:t>
      </w:r>
      <w:r w:rsidRPr="00CC4F07">
        <w:rPr>
          <w:color w:val="000000" w:themeColor="text1"/>
        </w:rPr>
        <w:t xml:space="preserve">public bodies employing between 1,000 and 4,999 employees representing </w:t>
      </w:r>
      <w:r w:rsidR="000E2E39" w:rsidRPr="00CC4F07">
        <w:rPr>
          <w:color w:val="000000" w:themeColor="text1"/>
        </w:rPr>
        <w:t>28.6</w:t>
      </w:r>
      <w:r w:rsidRPr="00CC4F07">
        <w:rPr>
          <w:color w:val="000000" w:themeColor="text1"/>
        </w:rPr>
        <w:t xml:space="preserve">% of the total workforce. This cohort employs </w:t>
      </w:r>
      <w:r w:rsidR="000E2E39" w:rsidRPr="00CC4F07">
        <w:rPr>
          <w:color w:val="000000" w:themeColor="text1"/>
        </w:rPr>
        <w:t>66,277</w:t>
      </w:r>
      <w:r w:rsidRPr="00CC4F07">
        <w:rPr>
          <w:color w:val="000000" w:themeColor="text1"/>
        </w:rPr>
        <w:t xml:space="preserve"> employees, of which 4.</w:t>
      </w:r>
      <w:r w:rsidR="000E2E39" w:rsidRPr="00CC4F07">
        <w:rPr>
          <w:color w:val="000000" w:themeColor="text1"/>
        </w:rPr>
        <w:t>2</w:t>
      </w:r>
      <w:r w:rsidRPr="00CC4F07">
        <w:rPr>
          <w:color w:val="000000" w:themeColor="text1"/>
        </w:rPr>
        <w:t>% (</w:t>
      </w:r>
      <w:r w:rsidR="000E2E39" w:rsidRPr="00CC4F07">
        <w:rPr>
          <w:color w:val="000000" w:themeColor="text1"/>
        </w:rPr>
        <w:t>2,797</w:t>
      </w:r>
      <w:r w:rsidRPr="00CC4F07">
        <w:rPr>
          <w:color w:val="000000" w:themeColor="text1"/>
        </w:rPr>
        <w:t xml:space="preserve">) have </w:t>
      </w:r>
      <w:r w:rsidR="007F2DF6" w:rsidRPr="00CC4F07">
        <w:rPr>
          <w:color w:val="000000" w:themeColor="text1"/>
        </w:rPr>
        <w:t>reported</w:t>
      </w:r>
      <w:r w:rsidRPr="00CC4F07">
        <w:rPr>
          <w:color w:val="000000" w:themeColor="text1"/>
        </w:rPr>
        <w:t xml:space="preserve"> a disability</w:t>
      </w:r>
      <w:r w:rsidR="007F2DF6" w:rsidRPr="00CC4F07">
        <w:rPr>
          <w:color w:val="000000" w:themeColor="text1"/>
        </w:rPr>
        <w:t xml:space="preserve"> and this represents </w:t>
      </w:r>
      <w:r w:rsidR="000E2E39" w:rsidRPr="00CC4F07">
        <w:rPr>
          <w:color w:val="000000" w:themeColor="text1"/>
        </w:rPr>
        <w:t>36.9</w:t>
      </w:r>
      <w:r w:rsidRPr="00CC4F07">
        <w:rPr>
          <w:color w:val="000000" w:themeColor="text1"/>
        </w:rPr>
        <w:t xml:space="preserve">% of the </w:t>
      </w:r>
      <w:r w:rsidR="007F2DF6" w:rsidRPr="00CC4F07">
        <w:rPr>
          <w:color w:val="000000" w:themeColor="text1"/>
        </w:rPr>
        <w:t>tota</w:t>
      </w:r>
      <w:r w:rsidR="00D7172A" w:rsidRPr="00CC4F07">
        <w:rPr>
          <w:color w:val="000000" w:themeColor="text1"/>
        </w:rPr>
        <w:t xml:space="preserve">l </w:t>
      </w:r>
      <w:r w:rsidRPr="00CC4F07">
        <w:rPr>
          <w:color w:val="000000" w:themeColor="text1"/>
        </w:rPr>
        <w:t xml:space="preserve">workforce who have </w:t>
      </w:r>
      <w:r w:rsidR="007F2DF6" w:rsidRPr="00CC4F07">
        <w:rPr>
          <w:color w:val="000000" w:themeColor="text1"/>
        </w:rPr>
        <w:t>reported</w:t>
      </w:r>
      <w:r w:rsidRPr="00CC4F07">
        <w:rPr>
          <w:color w:val="000000" w:themeColor="text1"/>
        </w:rPr>
        <w:t xml:space="preserve"> a disability.</w:t>
      </w:r>
    </w:p>
    <w:p w14:paraId="21BDB481" w14:textId="7C9A300D" w:rsidR="00933FBD" w:rsidRPr="00CC4F07" w:rsidRDefault="00933FBD" w:rsidP="00933FBD">
      <w:pPr>
        <w:pStyle w:val="Heading3"/>
        <w:keepLines/>
        <w:spacing w:before="20" w:after="40"/>
        <w:rPr>
          <w:rFonts w:ascii="Rockwell" w:hAnsi="Rockwell"/>
          <w:color w:val="BF2296"/>
        </w:rPr>
      </w:pPr>
      <w:r w:rsidRPr="00CC4F07">
        <w:rPr>
          <w:rFonts w:ascii="Rockwell" w:hAnsi="Rockwell"/>
          <w:color w:val="BF2296"/>
        </w:rPr>
        <w:t>Public bodies with over 5,000 employees</w:t>
      </w:r>
    </w:p>
    <w:p w14:paraId="56180500" w14:textId="5DF7DF72" w:rsidR="005C17F2" w:rsidRPr="00CC4F07" w:rsidRDefault="005C17F2" w:rsidP="005C17F2">
      <w:pPr>
        <w:rPr>
          <w:color w:val="000000" w:themeColor="text1"/>
        </w:rPr>
      </w:pPr>
      <w:r w:rsidRPr="00CC4F07">
        <w:rPr>
          <w:color w:val="000000" w:themeColor="text1"/>
        </w:rPr>
        <w:t>In 201</w:t>
      </w:r>
      <w:r w:rsidR="000E2E39" w:rsidRPr="00CC4F07">
        <w:rPr>
          <w:color w:val="000000" w:themeColor="text1"/>
        </w:rPr>
        <w:t>8</w:t>
      </w:r>
      <w:r w:rsidRPr="00CC4F07">
        <w:rPr>
          <w:color w:val="000000" w:themeColor="text1"/>
        </w:rPr>
        <w:t>, this size category had the smallest number of public bodies (6) but represented the largest percentage of the total workforce (52.</w:t>
      </w:r>
      <w:r w:rsidR="000E2E39" w:rsidRPr="00CC4F07">
        <w:rPr>
          <w:color w:val="000000" w:themeColor="text1"/>
        </w:rPr>
        <w:t>4</w:t>
      </w:r>
      <w:r w:rsidRPr="00CC4F07">
        <w:rPr>
          <w:color w:val="000000" w:themeColor="text1"/>
        </w:rPr>
        <w:t xml:space="preserve">%). It employed </w:t>
      </w:r>
      <w:r w:rsidR="000E2E39" w:rsidRPr="00CC4F07">
        <w:rPr>
          <w:color w:val="000000" w:themeColor="text1"/>
        </w:rPr>
        <w:t>121,356</w:t>
      </w:r>
      <w:r w:rsidRPr="00CC4F07">
        <w:rPr>
          <w:color w:val="000000" w:themeColor="text1"/>
        </w:rPr>
        <w:t xml:space="preserve"> employees of which 2.</w:t>
      </w:r>
      <w:r w:rsidR="000E2E39" w:rsidRPr="00CC4F07">
        <w:rPr>
          <w:color w:val="000000" w:themeColor="text1"/>
        </w:rPr>
        <w:t>3</w:t>
      </w:r>
      <w:r w:rsidRPr="00CC4F07">
        <w:rPr>
          <w:color w:val="000000" w:themeColor="text1"/>
        </w:rPr>
        <w:t>% (</w:t>
      </w:r>
      <w:r w:rsidR="000E2E39" w:rsidRPr="00CC4F07">
        <w:rPr>
          <w:color w:val="000000" w:themeColor="text1"/>
        </w:rPr>
        <w:t>2,753</w:t>
      </w:r>
      <w:r w:rsidRPr="00CC4F07">
        <w:rPr>
          <w:color w:val="000000" w:themeColor="text1"/>
        </w:rPr>
        <w:t xml:space="preserve">) have </w:t>
      </w:r>
      <w:r w:rsidR="002E5047" w:rsidRPr="00CC4F07">
        <w:rPr>
          <w:color w:val="000000" w:themeColor="text1"/>
        </w:rPr>
        <w:t>reported</w:t>
      </w:r>
      <w:r w:rsidRPr="00CC4F07">
        <w:rPr>
          <w:color w:val="000000" w:themeColor="text1"/>
        </w:rPr>
        <w:t xml:space="preserve"> a disability. In 201</w:t>
      </w:r>
      <w:r w:rsidR="000E2E39" w:rsidRPr="00CC4F07">
        <w:rPr>
          <w:color w:val="000000" w:themeColor="text1"/>
        </w:rPr>
        <w:t>8</w:t>
      </w:r>
      <w:r w:rsidRPr="00CC4F07">
        <w:rPr>
          <w:color w:val="000000" w:themeColor="text1"/>
        </w:rPr>
        <w:t xml:space="preserve">, these large public bodies accounted for </w:t>
      </w:r>
      <w:r w:rsidR="000E2E39" w:rsidRPr="00CC4F07">
        <w:rPr>
          <w:color w:val="000000" w:themeColor="text1"/>
        </w:rPr>
        <w:t>36.3</w:t>
      </w:r>
      <w:r w:rsidRPr="00CC4F07">
        <w:rPr>
          <w:color w:val="000000" w:themeColor="text1"/>
        </w:rPr>
        <w:t xml:space="preserve">% of all public sector employees who have </w:t>
      </w:r>
      <w:r w:rsidR="002E5047" w:rsidRPr="00CC4F07">
        <w:rPr>
          <w:color w:val="000000" w:themeColor="text1"/>
        </w:rPr>
        <w:t>reported</w:t>
      </w:r>
      <w:r w:rsidRPr="00CC4F07">
        <w:rPr>
          <w:color w:val="000000" w:themeColor="text1"/>
        </w:rPr>
        <w:t xml:space="preserve"> a disability.</w:t>
      </w:r>
    </w:p>
    <w:p w14:paraId="7284AE6F" w14:textId="29B855C5" w:rsidR="005C17F2" w:rsidRPr="00CC4F07" w:rsidRDefault="005C17F2" w:rsidP="005C17F2">
      <w:pPr>
        <w:rPr>
          <w:color w:val="000000" w:themeColor="text1"/>
        </w:rPr>
      </w:pPr>
      <w:r w:rsidRPr="00CC4F07">
        <w:rPr>
          <w:color w:val="000000" w:themeColor="text1"/>
        </w:rPr>
        <w:t>In 201</w:t>
      </w:r>
      <w:r w:rsidR="000E2E39" w:rsidRPr="00CC4F07">
        <w:rPr>
          <w:color w:val="000000" w:themeColor="text1"/>
        </w:rPr>
        <w:t>7</w:t>
      </w:r>
      <w:r w:rsidRPr="00CC4F07">
        <w:rPr>
          <w:color w:val="000000" w:themeColor="text1"/>
        </w:rPr>
        <w:t>, this sector also had the smallest</w:t>
      </w:r>
      <w:r w:rsidR="00BE2A70" w:rsidRPr="00CC4F07">
        <w:rPr>
          <w:color w:val="000000" w:themeColor="text1"/>
        </w:rPr>
        <w:t xml:space="preserve"> number of public bodies (6) </w:t>
      </w:r>
      <w:r w:rsidR="006A2CE0" w:rsidRPr="00CC4F07">
        <w:rPr>
          <w:color w:val="000000" w:themeColor="text1"/>
        </w:rPr>
        <w:t>and represented</w:t>
      </w:r>
      <w:r w:rsidRPr="00CC4F07">
        <w:rPr>
          <w:color w:val="000000" w:themeColor="text1"/>
        </w:rPr>
        <w:t xml:space="preserve"> the largest percentage of the total workforce (</w:t>
      </w:r>
      <w:r w:rsidR="000E2E39" w:rsidRPr="00CC4F07">
        <w:rPr>
          <w:color w:val="000000" w:themeColor="text1"/>
        </w:rPr>
        <w:t>52.8</w:t>
      </w:r>
      <w:r w:rsidRPr="00CC4F07">
        <w:rPr>
          <w:color w:val="000000" w:themeColor="text1"/>
        </w:rPr>
        <w:t>%). In 201</w:t>
      </w:r>
      <w:r w:rsidR="000E2E39" w:rsidRPr="00CC4F07">
        <w:rPr>
          <w:color w:val="000000" w:themeColor="text1"/>
        </w:rPr>
        <w:t>7</w:t>
      </w:r>
      <w:r w:rsidRPr="00CC4F07">
        <w:rPr>
          <w:color w:val="000000" w:themeColor="text1"/>
        </w:rPr>
        <w:t xml:space="preserve">, it employed </w:t>
      </w:r>
      <w:r w:rsidR="000E2E39" w:rsidRPr="00CC4F07">
        <w:rPr>
          <w:color w:val="000000" w:themeColor="text1"/>
        </w:rPr>
        <w:t>119,125</w:t>
      </w:r>
      <w:r w:rsidRPr="00CC4F07">
        <w:rPr>
          <w:color w:val="000000" w:themeColor="text1"/>
        </w:rPr>
        <w:t xml:space="preserve"> employees of which 2.</w:t>
      </w:r>
      <w:r w:rsidR="000E2E39" w:rsidRPr="00CC4F07">
        <w:rPr>
          <w:color w:val="000000" w:themeColor="text1"/>
        </w:rPr>
        <w:t>7</w:t>
      </w:r>
      <w:r w:rsidRPr="00CC4F07">
        <w:rPr>
          <w:color w:val="000000" w:themeColor="text1"/>
        </w:rPr>
        <w:t>% (</w:t>
      </w:r>
      <w:r w:rsidR="000E2E39" w:rsidRPr="00CC4F07">
        <w:rPr>
          <w:color w:val="000000" w:themeColor="text1"/>
        </w:rPr>
        <w:t>3,158</w:t>
      </w:r>
      <w:r w:rsidRPr="00CC4F07">
        <w:rPr>
          <w:color w:val="000000" w:themeColor="text1"/>
        </w:rPr>
        <w:t xml:space="preserve">) were persons with disabilities. These larger public bodies accounted for </w:t>
      </w:r>
      <w:r w:rsidR="000E2E39" w:rsidRPr="00CC4F07">
        <w:rPr>
          <w:color w:val="000000" w:themeColor="text1"/>
        </w:rPr>
        <w:t>40.5</w:t>
      </w:r>
      <w:r w:rsidRPr="00CC4F07">
        <w:rPr>
          <w:color w:val="000000" w:themeColor="text1"/>
        </w:rPr>
        <w:t xml:space="preserve">% of all public sector employees who have </w:t>
      </w:r>
      <w:r w:rsidR="002E5047" w:rsidRPr="00CC4F07">
        <w:rPr>
          <w:color w:val="000000" w:themeColor="text1"/>
        </w:rPr>
        <w:t>reported</w:t>
      </w:r>
      <w:r w:rsidRPr="00CC4F07">
        <w:rPr>
          <w:color w:val="000000" w:themeColor="text1"/>
        </w:rPr>
        <w:t xml:space="preserve"> a disability.</w:t>
      </w:r>
      <w:r w:rsidR="00BE2A70" w:rsidRPr="00CC4F07">
        <w:rPr>
          <w:color w:val="000000" w:themeColor="text1"/>
        </w:rPr>
        <w:t xml:space="preserve"> The 2018 returns for this category therefore show a decrease </w:t>
      </w:r>
      <w:proofErr w:type="spellStart"/>
      <w:r w:rsidR="00BE2A70" w:rsidRPr="00CC4F07">
        <w:rPr>
          <w:color w:val="000000" w:themeColor="text1"/>
        </w:rPr>
        <w:t>on</w:t>
      </w:r>
      <w:proofErr w:type="spellEnd"/>
      <w:r w:rsidR="00BE2A70" w:rsidRPr="00CC4F07">
        <w:rPr>
          <w:color w:val="000000" w:themeColor="text1"/>
        </w:rPr>
        <w:t xml:space="preserve"> 2017 levels.</w:t>
      </w:r>
    </w:p>
    <w:p w14:paraId="6724C591" w14:textId="3A9CD876" w:rsidR="005C17F2" w:rsidRPr="00CC4F07" w:rsidRDefault="005C17F2" w:rsidP="005C17F2">
      <w:pPr>
        <w:spacing w:after="120"/>
        <w:rPr>
          <w:color w:val="000000" w:themeColor="text1"/>
        </w:rPr>
      </w:pPr>
      <w:r w:rsidRPr="00CC4F07">
        <w:rPr>
          <w:color w:val="000000" w:themeColor="text1"/>
        </w:rPr>
        <w:t>The public bodies in this category and their reported percentage of employees with disabilities for 201</w:t>
      </w:r>
      <w:r w:rsidR="009A749D" w:rsidRPr="00CC4F07">
        <w:rPr>
          <w:color w:val="000000" w:themeColor="text1"/>
        </w:rPr>
        <w:t>8</w:t>
      </w:r>
      <w:r w:rsidRPr="00CC4F07">
        <w:rPr>
          <w:color w:val="000000" w:themeColor="text1"/>
        </w:rPr>
        <w:t xml:space="preserve"> are:</w:t>
      </w:r>
    </w:p>
    <w:p w14:paraId="08BC4596" w14:textId="5C659CA5" w:rsidR="005C17F2" w:rsidRPr="00CC4F07" w:rsidRDefault="005C17F2" w:rsidP="005C17F2">
      <w:pPr>
        <w:pStyle w:val="ListBullet"/>
        <w:numPr>
          <w:ilvl w:val="0"/>
          <w:numId w:val="1"/>
        </w:numPr>
        <w:rPr>
          <w:color w:val="000000" w:themeColor="text1"/>
        </w:rPr>
      </w:pPr>
      <w:proofErr w:type="gramStart"/>
      <w:r w:rsidRPr="00CC4F07">
        <w:rPr>
          <w:color w:val="000000" w:themeColor="text1"/>
        </w:rPr>
        <w:t>An</w:t>
      </w:r>
      <w:proofErr w:type="gramEnd"/>
      <w:r w:rsidRPr="00CC4F07">
        <w:rPr>
          <w:color w:val="000000" w:themeColor="text1"/>
        </w:rPr>
        <w:t xml:space="preserve"> Post</w:t>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t>5.</w:t>
      </w:r>
      <w:r w:rsidR="009A749D" w:rsidRPr="00CC4F07">
        <w:rPr>
          <w:color w:val="000000" w:themeColor="text1"/>
        </w:rPr>
        <w:t>6</w:t>
      </w:r>
      <w:r w:rsidRPr="00CC4F07">
        <w:rPr>
          <w:color w:val="000000" w:themeColor="text1"/>
        </w:rPr>
        <w:t>% (5.</w:t>
      </w:r>
      <w:r w:rsidR="009A749D" w:rsidRPr="00CC4F07">
        <w:rPr>
          <w:color w:val="000000" w:themeColor="text1"/>
        </w:rPr>
        <w:t>5</w:t>
      </w:r>
      <w:r w:rsidRPr="00CC4F07">
        <w:rPr>
          <w:color w:val="000000" w:themeColor="text1"/>
        </w:rPr>
        <w:t>% in 201</w:t>
      </w:r>
      <w:r w:rsidR="009A749D" w:rsidRPr="00CC4F07">
        <w:rPr>
          <w:color w:val="000000" w:themeColor="text1"/>
        </w:rPr>
        <w:t>7</w:t>
      </w:r>
      <w:r w:rsidRPr="00CC4F07">
        <w:rPr>
          <w:color w:val="000000" w:themeColor="text1"/>
        </w:rPr>
        <w:t>)</w:t>
      </w:r>
    </w:p>
    <w:p w14:paraId="39C65346" w14:textId="7F3BAF3A" w:rsidR="005C17F2" w:rsidRPr="00CC4F07" w:rsidRDefault="005C17F2" w:rsidP="005C17F2">
      <w:pPr>
        <w:pStyle w:val="ListBullet"/>
        <w:numPr>
          <w:ilvl w:val="0"/>
          <w:numId w:val="1"/>
        </w:numPr>
        <w:rPr>
          <w:color w:val="000000" w:themeColor="text1"/>
        </w:rPr>
      </w:pPr>
      <w:r w:rsidRPr="00CC4F07">
        <w:rPr>
          <w:color w:val="000000" w:themeColor="text1"/>
        </w:rPr>
        <w:t xml:space="preserve">Department of Employment Affairs and Social Protection </w:t>
      </w:r>
      <w:r w:rsidRPr="00CC4F07">
        <w:rPr>
          <w:color w:val="000000" w:themeColor="text1"/>
        </w:rPr>
        <w:tab/>
        <w:t>5.</w:t>
      </w:r>
      <w:r w:rsidR="009A749D" w:rsidRPr="00CC4F07">
        <w:rPr>
          <w:color w:val="000000" w:themeColor="text1"/>
        </w:rPr>
        <w:t>2</w:t>
      </w:r>
      <w:r w:rsidRPr="00CC4F07">
        <w:rPr>
          <w:color w:val="000000" w:themeColor="text1"/>
        </w:rPr>
        <w:t>% (5.</w:t>
      </w:r>
      <w:r w:rsidR="009A749D" w:rsidRPr="00CC4F07">
        <w:rPr>
          <w:color w:val="000000" w:themeColor="text1"/>
        </w:rPr>
        <w:t>0</w:t>
      </w:r>
      <w:r w:rsidRPr="00CC4F07">
        <w:rPr>
          <w:color w:val="000000" w:themeColor="text1"/>
        </w:rPr>
        <w:t>% in 201</w:t>
      </w:r>
      <w:r w:rsidR="009A749D" w:rsidRPr="00CC4F07">
        <w:rPr>
          <w:color w:val="000000" w:themeColor="text1"/>
        </w:rPr>
        <w:t>7</w:t>
      </w:r>
      <w:r w:rsidRPr="00CC4F07">
        <w:rPr>
          <w:color w:val="000000" w:themeColor="text1"/>
        </w:rPr>
        <w:t>)</w:t>
      </w:r>
    </w:p>
    <w:p w14:paraId="08757EB9" w14:textId="30011248" w:rsidR="005C17F2" w:rsidRPr="00CC4F07" w:rsidRDefault="005C17F2" w:rsidP="005C17F2">
      <w:pPr>
        <w:pStyle w:val="ListBullet"/>
        <w:numPr>
          <w:ilvl w:val="0"/>
          <w:numId w:val="1"/>
        </w:numPr>
        <w:rPr>
          <w:color w:val="000000" w:themeColor="text1"/>
        </w:rPr>
      </w:pPr>
      <w:r w:rsidRPr="00CC4F07">
        <w:rPr>
          <w:color w:val="000000" w:themeColor="text1"/>
        </w:rPr>
        <w:t>Dublin City Council</w:t>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009A749D" w:rsidRPr="00CC4F07">
        <w:rPr>
          <w:color w:val="000000" w:themeColor="text1"/>
        </w:rPr>
        <w:t>4.</w:t>
      </w:r>
      <w:r w:rsidR="006A3D52">
        <w:rPr>
          <w:color w:val="000000" w:themeColor="text1"/>
        </w:rPr>
        <w:t>6</w:t>
      </w:r>
      <w:r w:rsidRPr="00CC4F07">
        <w:rPr>
          <w:color w:val="000000" w:themeColor="text1"/>
        </w:rPr>
        <w:t>% (</w:t>
      </w:r>
      <w:r w:rsidR="009A749D" w:rsidRPr="00CC4F07">
        <w:rPr>
          <w:color w:val="000000" w:themeColor="text1"/>
        </w:rPr>
        <w:t>5.8</w:t>
      </w:r>
      <w:r w:rsidRPr="00CC4F07">
        <w:rPr>
          <w:color w:val="000000" w:themeColor="text1"/>
        </w:rPr>
        <w:t>% in 201</w:t>
      </w:r>
      <w:r w:rsidR="009A749D" w:rsidRPr="00CC4F07">
        <w:rPr>
          <w:color w:val="000000" w:themeColor="text1"/>
        </w:rPr>
        <w:t>7</w:t>
      </w:r>
      <w:r w:rsidRPr="00CC4F07">
        <w:rPr>
          <w:color w:val="000000" w:themeColor="text1"/>
        </w:rPr>
        <w:t>)</w:t>
      </w:r>
    </w:p>
    <w:p w14:paraId="1E8B2DF7" w14:textId="3D6A3897" w:rsidR="005C17F2" w:rsidRPr="00CC4F07" w:rsidRDefault="005C17F2" w:rsidP="005C17F2">
      <w:pPr>
        <w:pStyle w:val="ListBullet"/>
        <w:numPr>
          <w:ilvl w:val="0"/>
          <w:numId w:val="1"/>
        </w:numPr>
        <w:rPr>
          <w:color w:val="000000" w:themeColor="text1"/>
        </w:rPr>
      </w:pPr>
      <w:r w:rsidRPr="00CC4F07">
        <w:rPr>
          <w:color w:val="000000" w:themeColor="text1"/>
        </w:rPr>
        <w:t>Electricity Supply Board (ESB)</w:t>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t>3.</w:t>
      </w:r>
      <w:r w:rsidR="009A749D" w:rsidRPr="00CC4F07">
        <w:rPr>
          <w:color w:val="000000" w:themeColor="text1"/>
        </w:rPr>
        <w:t>1</w:t>
      </w:r>
      <w:r w:rsidRPr="00CC4F07">
        <w:rPr>
          <w:color w:val="000000" w:themeColor="text1"/>
        </w:rPr>
        <w:t>% (</w:t>
      </w:r>
      <w:r w:rsidR="009A749D" w:rsidRPr="00CC4F07">
        <w:rPr>
          <w:color w:val="000000" w:themeColor="text1"/>
        </w:rPr>
        <w:t>3.3</w:t>
      </w:r>
      <w:r w:rsidRPr="00CC4F07">
        <w:rPr>
          <w:color w:val="000000" w:themeColor="text1"/>
        </w:rPr>
        <w:t>% in 201</w:t>
      </w:r>
      <w:r w:rsidR="009A749D" w:rsidRPr="00CC4F07">
        <w:rPr>
          <w:color w:val="000000" w:themeColor="text1"/>
        </w:rPr>
        <w:t>7</w:t>
      </w:r>
      <w:r w:rsidRPr="00CC4F07">
        <w:rPr>
          <w:color w:val="000000" w:themeColor="text1"/>
        </w:rPr>
        <w:t>)</w:t>
      </w:r>
    </w:p>
    <w:p w14:paraId="5C6F1D64" w14:textId="51269D7F" w:rsidR="005C17F2" w:rsidRPr="00CC4F07" w:rsidRDefault="00FF26B9" w:rsidP="005C17F2">
      <w:pPr>
        <w:pStyle w:val="ListBullet"/>
        <w:numPr>
          <w:ilvl w:val="0"/>
          <w:numId w:val="1"/>
        </w:numPr>
        <w:rPr>
          <w:color w:val="000000" w:themeColor="text1"/>
        </w:rPr>
      </w:pPr>
      <w:r w:rsidRPr="00CC4F07">
        <w:rPr>
          <w:color w:val="000000" w:themeColor="text1"/>
        </w:rPr>
        <w:t>HSE</w:t>
      </w:r>
      <w:r w:rsidR="005C17F2"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005C17F2" w:rsidRPr="00CC4F07">
        <w:rPr>
          <w:color w:val="000000" w:themeColor="text1"/>
        </w:rPr>
        <w:tab/>
      </w:r>
      <w:r w:rsidR="005C17F2" w:rsidRPr="00CC4F07">
        <w:rPr>
          <w:color w:val="000000" w:themeColor="text1"/>
        </w:rPr>
        <w:tab/>
      </w:r>
      <w:r w:rsidR="005C17F2" w:rsidRPr="00CC4F07">
        <w:rPr>
          <w:color w:val="000000" w:themeColor="text1"/>
        </w:rPr>
        <w:tab/>
        <w:t>1.</w:t>
      </w:r>
      <w:r w:rsidR="009A749D" w:rsidRPr="00CC4F07">
        <w:rPr>
          <w:color w:val="000000" w:themeColor="text1"/>
        </w:rPr>
        <w:t>3</w:t>
      </w:r>
      <w:r w:rsidR="005C17F2" w:rsidRPr="00CC4F07">
        <w:rPr>
          <w:color w:val="000000" w:themeColor="text1"/>
        </w:rPr>
        <w:t>% (</w:t>
      </w:r>
      <w:r w:rsidR="009A749D" w:rsidRPr="00CC4F07">
        <w:rPr>
          <w:color w:val="000000" w:themeColor="text1"/>
        </w:rPr>
        <w:t>1.8</w:t>
      </w:r>
      <w:r w:rsidR="005C17F2" w:rsidRPr="00CC4F07">
        <w:rPr>
          <w:color w:val="000000" w:themeColor="text1"/>
        </w:rPr>
        <w:t>% in 201</w:t>
      </w:r>
      <w:r w:rsidR="009A749D" w:rsidRPr="00CC4F07">
        <w:rPr>
          <w:color w:val="000000" w:themeColor="text1"/>
        </w:rPr>
        <w:t>7</w:t>
      </w:r>
      <w:r w:rsidR="005C17F2" w:rsidRPr="00CC4F07">
        <w:rPr>
          <w:color w:val="000000" w:themeColor="text1"/>
        </w:rPr>
        <w:t>)</w:t>
      </w:r>
    </w:p>
    <w:p w14:paraId="2DC77C2A" w14:textId="2BD5176B" w:rsidR="005C17F2" w:rsidRPr="00CC4F07" w:rsidRDefault="005C17F2" w:rsidP="005C17F2">
      <w:pPr>
        <w:pStyle w:val="ListBullet"/>
        <w:numPr>
          <w:ilvl w:val="0"/>
          <w:numId w:val="1"/>
        </w:numPr>
        <w:spacing w:after="240"/>
        <w:ind w:left="357" w:hanging="357"/>
        <w:rPr>
          <w:color w:val="000000" w:themeColor="text1"/>
        </w:rPr>
      </w:pPr>
      <w:r w:rsidRPr="00CC4F07">
        <w:rPr>
          <w:color w:val="000000" w:themeColor="text1"/>
        </w:rPr>
        <w:t>Revenue Commissioners</w:t>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t>4.</w:t>
      </w:r>
      <w:r w:rsidR="00175D02" w:rsidRPr="00CC4F07">
        <w:rPr>
          <w:color w:val="000000" w:themeColor="text1"/>
        </w:rPr>
        <w:t>7</w:t>
      </w:r>
      <w:r w:rsidRPr="00CC4F07">
        <w:rPr>
          <w:color w:val="000000" w:themeColor="text1"/>
        </w:rPr>
        <w:t>% (4.3% in 201</w:t>
      </w:r>
      <w:r w:rsidR="009A749D" w:rsidRPr="00CC4F07">
        <w:rPr>
          <w:color w:val="000000" w:themeColor="text1"/>
        </w:rPr>
        <w:t>7</w:t>
      </w:r>
      <w:r w:rsidRPr="00CC4F07">
        <w:rPr>
          <w:color w:val="000000" w:themeColor="text1"/>
        </w:rPr>
        <w:t>)</w:t>
      </w:r>
    </w:p>
    <w:p w14:paraId="58F3343E" w14:textId="1CDDBB05" w:rsidR="005C17F2" w:rsidRPr="00CC4F07" w:rsidRDefault="00DB7A57" w:rsidP="005C17F2">
      <w:pPr>
        <w:pStyle w:val="ListBullet"/>
        <w:numPr>
          <w:ilvl w:val="0"/>
          <w:numId w:val="0"/>
        </w:numPr>
        <w:rPr>
          <w:color w:val="000000" w:themeColor="text1"/>
        </w:rPr>
      </w:pPr>
      <w:r w:rsidRPr="00CC4F07">
        <w:rPr>
          <w:color w:val="000000" w:themeColor="text1"/>
        </w:rPr>
        <w:lastRenderedPageBreak/>
        <w:t>Half of the organisations within this category reported increases on the percentage target achieved (</w:t>
      </w:r>
      <w:proofErr w:type="gramStart"/>
      <w:r w:rsidRPr="00CC4F07">
        <w:rPr>
          <w:color w:val="000000" w:themeColor="text1"/>
        </w:rPr>
        <w:t>An</w:t>
      </w:r>
      <w:proofErr w:type="gramEnd"/>
      <w:r w:rsidRPr="00CC4F07">
        <w:rPr>
          <w:color w:val="000000" w:themeColor="text1"/>
        </w:rPr>
        <w:t xml:space="preserve"> Post, Department of Employment Affairs and Social Protection and Revenue Commissioners). The remaining three organisations (Dublin City Council, Electricity Supply Board and Health Service Executive) reported falls in their percentage, ranging from -0.2% to </w:t>
      </w:r>
      <w:r w:rsidR="00783EE5">
        <w:rPr>
          <w:color w:val="000000" w:themeColor="text1"/>
        </w:rPr>
        <w:t>-1.2</w:t>
      </w:r>
      <w:r w:rsidRPr="00CC4F07">
        <w:rPr>
          <w:color w:val="000000" w:themeColor="text1"/>
        </w:rPr>
        <w:t>%.</w:t>
      </w:r>
    </w:p>
    <w:p w14:paraId="732769B8" w14:textId="5B8E6A2D" w:rsidR="008713A0" w:rsidRPr="00CC4F07" w:rsidRDefault="00C023F0" w:rsidP="001330A5">
      <w:pPr>
        <w:pStyle w:val="TableTitle"/>
      </w:pPr>
      <w:r>
        <w:t>Table 5</w:t>
      </w:r>
      <w:r w:rsidR="001330A5" w:rsidRPr="00CC4F07">
        <w:t xml:space="preserve">. </w:t>
      </w:r>
      <w:r w:rsidR="008713A0" w:rsidRPr="00CC4F07">
        <w:t>Data by size of public body 2018</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859"/>
        <w:gridCol w:w="1329"/>
        <w:gridCol w:w="1417"/>
        <w:gridCol w:w="1276"/>
        <w:gridCol w:w="1276"/>
        <w:gridCol w:w="1275"/>
      </w:tblGrid>
      <w:tr w:rsidR="008713A0" w:rsidRPr="00CC4F07" w14:paraId="7B2AA792" w14:textId="77777777" w:rsidTr="006D697C">
        <w:trPr>
          <w:cantSplit/>
          <w:tblHeader/>
          <w:jc w:val="center"/>
        </w:trPr>
        <w:tc>
          <w:tcPr>
            <w:tcW w:w="1635" w:type="dxa"/>
          </w:tcPr>
          <w:p w14:paraId="3F9146A0" w14:textId="77777777" w:rsidR="008713A0" w:rsidRPr="00CC4F07" w:rsidRDefault="008713A0" w:rsidP="006D697C">
            <w:pPr>
              <w:pStyle w:val="TableHead"/>
              <w:keepNext/>
              <w:rPr>
                <w:rFonts w:ascii="Gill Sans MT" w:hAnsi="Gill Sans MT"/>
                <w:color w:val="000000" w:themeColor="text1"/>
                <w:sz w:val="20"/>
                <w:szCs w:val="20"/>
              </w:rPr>
            </w:pPr>
            <w:r w:rsidRPr="00CC4F07">
              <w:rPr>
                <w:rFonts w:ascii="Gill Sans MT" w:hAnsi="Gill Sans MT"/>
                <w:color w:val="000000" w:themeColor="text1"/>
                <w:sz w:val="20"/>
                <w:szCs w:val="20"/>
              </w:rPr>
              <w:t>No. of Employees</w:t>
            </w:r>
          </w:p>
          <w:p w14:paraId="434F365A" w14:textId="77777777" w:rsidR="008713A0" w:rsidRPr="00CC4F07" w:rsidRDefault="008713A0" w:rsidP="006D697C">
            <w:pPr>
              <w:pStyle w:val="TableHead"/>
              <w:keepNext/>
              <w:rPr>
                <w:rFonts w:ascii="Gill Sans MT" w:hAnsi="Gill Sans MT"/>
                <w:color w:val="000000" w:themeColor="text1"/>
                <w:sz w:val="20"/>
                <w:szCs w:val="20"/>
              </w:rPr>
            </w:pPr>
          </w:p>
        </w:tc>
        <w:tc>
          <w:tcPr>
            <w:tcW w:w="859" w:type="dxa"/>
          </w:tcPr>
          <w:p w14:paraId="50E4E672" w14:textId="071D9B4D" w:rsidR="008713A0" w:rsidRPr="00CC4F07" w:rsidRDefault="00B703D7" w:rsidP="006D697C">
            <w:pPr>
              <w:pStyle w:val="TableHead"/>
              <w:keepNext/>
              <w:rPr>
                <w:rFonts w:ascii="Gill Sans MT" w:hAnsi="Gill Sans MT"/>
                <w:color w:val="000000" w:themeColor="text1"/>
                <w:sz w:val="20"/>
                <w:szCs w:val="20"/>
              </w:rPr>
            </w:pPr>
            <w:r>
              <w:rPr>
                <w:rFonts w:ascii="Gill Sans MT" w:hAnsi="Gill Sans MT"/>
                <w:color w:val="000000" w:themeColor="text1"/>
                <w:sz w:val="20"/>
                <w:szCs w:val="20"/>
              </w:rPr>
              <w:t>No. of</w:t>
            </w:r>
            <w:r w:rsidR="008713A0" w:rsidRPr="00CC4F07">
              <w:rPr>
                <w:rFonts w:ascii="Gill Sans MT" w:hAnsi="Gill Sans MT"/>
                <w:color w:val="000000" w:themeColor="text1"/>
                <w:sz w:val="20"/>
                <w:szCs w:val="20"/>
              </w:rPr>
              <w:t xml:space="preserve"> Public Bodies</w:t>
            </w:r>
          </w:p>
          <w:p w14:paraId="786995C0" w14:textId="77777777" w:rsidR="008713A0" w:rsidRPr="00CC4F07" w:rsidRDefault="008713A0" w:rsidP="006D697C">
            <w:pPr>
              <w:keepNext/>
              <w:spacing w:after="0"/>
              <w:rPr>
                <w:rFonts w:ascii="Gill Sans MT" w:hAnsi="Gill Sans MT"/>
                <w:color w:val="000000" w:themeColor="text1"/>
                <w:sz w:val="20"/>
                <w:szCs w:val="20"/>
              </w:rPr>
            </w:pPr>
          </w:p>
        </w:tc>
        <w:tc>
          <w:tcPr>
            <w:tcW w:w="1329" w:type="dxa"/>
          </w:tcPr>
          <w:p w14:paraId="05A2EE00" w14:textId="77777777" w:rsidR="008713A0" w:rsidRPr="00CC4F07" w:rsidRDefault="008713A0" w:rsidP="006D697C">
            <w:pPr>
              <w:pStyle w:val="TableHead"/>
              <w:keepNext/>
              <w:rPr>
                <w:rFonts w:ascii="Gill Sans MT" w:hAnsi="Gill Sans MT"/>
                <w:color w:val="000000" w:themeColor="text1"/>
                <w:sz w:val="20"/>
                <w:szCs w:val="20"/>
              </w:rPr>
            </w:pPr>
            <w:r w:rsidRPr="00CC4F07">
              <w:rPr>
                <w:rFonts w:ascii="Gill Sans MT" w:hAnsi="Gill Sans MT"/>
                <w:color w:val="000000" w:themeColor="text1"/>
                <w:sz w:val="20"/>
                <w:szCs w:val="20"/>
              </w:rPr>
              <w:t>Total Employees</w:t>
            </w:r>
          </w:p>
          <w:p w14:paraId="5691243B" w14:textId="77777777" w:rsidR="008713A0" w:rsidRPr="00CC4F07" w:rsidRDefault="008713A0" w:rsidP="006D697C">
            <w:pPr>
              <w:keepNext/>
              <w:spacing w:after="0"/>
              <w:rPr>
                <w:rFonts w:ascii="Gill Sans MT" w:hAnsi="Gill Sans MT"/>
                <w:color w:val="000000" w:themeColor="text1"/>
                <w:sz w:val="20"/>
                <w:szCs w:val="20"/>
              </w:rPr>
            </w:pPr>
          </w:p>
        </w:tc>
        <w:tc>
          <w:tcPr>
            <w:tcW w:w="1417" w:type="dxa"/>
          </w:tcPr>
          <w:p w14:paraId="1927C80C" w14:textId="0E113B08" w:rsidR="008713A0" w:rsidRPr="00CC4F07" w:rsidRDefault="008713A0" w:rsidP="006D697C">
            <w:pPr>
              <w:pStyle w:val="TableHead"/>
              <w:keepNext/>
              <w:rPr>
                <w:rFonts w:ascii="Gill Sans MT" w:hAnsi="Gill Sans MT"/>
                <w:color w:val="000000" w:themeColor="text1"/>
                <w:sz w:val="20"/>
                <w:szCs w:val="20"/>
              </w:rPr>
            </w:pPr>
            <w:r w:rsidRPr="00CC4F07">
              <w:rPr>
                <w:rFonts w:ascii="Gill Sans MT" w:hAnsi="Gill Sans MT"/>
                <w:color w:val="000000" w:themeColor="text1"/>
                <w:sz w:val="20"/>
                <w:szCs w:val="20"/>
              </w:rPr>
              <w:t>No.</w:t>
            </w:r>
            <w:r w:rsidR="00B703D7">
              <w:rPr>
                <w:rFonts w:ascii="Gill Sans MT" w:hAnsi="Gill Sans MT"/>
                <w:color w:val="000000" w:themeColor="text1"/>
                <w:sz w:val="20"/>
                <w:szCs w:val="20"/>
              </w:rPr>
              <w:t xml:space="preserve"> of employees with disabilities</w:t>
            </w:r>
          </w:p>
        </w:tc>
        <w:tc>
          <w:tcPr>
            <w:tcW w:w="1276" w:type="dxa"/>
          </w:tcPr>
          <w:p w14:paraId="26323B52" w14:textId="77777777" w:rsidR="008713A0" w:rsidRPr="00CC4F07" w:rsidRDefault="008713A0" w:rsidP="006D697C">
            <w:pPr>
              <w:pStyle w:val="TableHead"/>
              <w:keepNext/>
              <w:rPr>
                <w:rFonts w:ascii="Gill Sans MT" w:hAnsi="Gill Sans MT"/>
                <w:color w:val="000000" w:themeColor="text1"/>
                <w:sz w:val="20"/>
                <w:szCs w:val="20"/>
              </w:rPr>
            </w:pPr>
            <w:proofErr w:type="gramStart"/>
            <w:r w:rsidRPr="00CC4F07">
              <w:rPr>
                <w:rFonts w:ascii="Gill Sans MT" w:hAnsi="Gill Sans MT"/>
                <w:color w:val="000000" w:themeColor="text1"/>
                <w:sz w:val="20"/>
                <w:szCs w:val="20"/>
              </w:rPr>
              <w:t>%  of</w:t>
            </w:r>
            <w:proofErr w:type="gramEnd"/>
            <w:r w:rsidRPr="00CC4F07">
              <w:rPr>
                <w:rFonts w:ascii="Gill Sans MT" w:hAnsi="Gill Sans MT"/>
                <w:color w:val="000000" w:themeColor="text1"/>
                <w:sz w:val="20"/>
                <w:szCs w:val="20"/>
              </w:rPr>
              <w:t xml:space="preserve"> employees with disabilities</w:t>
            </w:r>
          </w:p>
        </w:tc>
        <w:tc>
          <w:tcPr>
            <w:tcW w:w="1276" w:type="dxa"/>
          </w:tcPr>
          <w:p w14:paraId="701A6CC9" w14:textId="77777777" w:rsidR="008713A0" w:rsidRPr="00CC4F07" w:rsidRDefault="008713A0" w:rsidP="006D697C">
            <w:pPr>
              <w:pStyle w:val="TableHead"/>
              <w:keepNext/>
              <w:rPr>
                <w:rFonts w:ascii="Gill Sans MT" w:hAnsi="Gill Sans MT"/>
                <w:color w:val="000000" w:themeColor="text1"/>
                <w:sz w:val="20"/>
                <w:szCs w:val="20"/>
              </w:rPr>
            </w:pPr>
            <w:r w:rsidRPr="00CC4F07">
              <w:rPr>
                <w:rFonts w:ascii="Gill Sans MT" w:hAnsi="Gill Sans MT"/>
                <w:color w:val="000000" w:themeColor="text1"/>
                <w:sz w:val="20"/>
                <w:szCs w:val="20"/>
              </w:rPr>
              <w:t xml:space="preserve">% of total public sector workforce </w:t>
            </w:r>
          </w:p>
        </w:tc>
        <w:tc>
          <w:tcPr>
            <w:tcW w:w="1275" w:type="dxa"/>
          </w:tcPr>
          <w:p w14:paraId="40CC5D78" w14:textId="779E321E" w:rsidR="008713A0" w:rsidRPr="00CC4F07" w:rsidRDefault="008713A0" w:rsidP="006D697C">
            <w:pPr>
              <w:pStyle w:val="TableHead"/>
              <w:keepNext/>
              <w:rPr>
                <w:rFonts w:ascii="Gill Sans MT" w:hAnsi="Gill Sans MT"/>
                <w:color w:val="000000" w:themeColor="text1"/>
                <w:sz w:val="20"/>
                <w:szCs w:val="20"/>
              </w:rPr>
            </w:pPr>
            <w:r w:rsidRPr="00CC4F07">
              <w:rPr>
                <w:rFonts w:ascii="Gill Sans MT" w:hAnsi="Gill Sans MT"/>
                <w:color w:val="000000" w:themeColor="text1"/>
                <w:sz w:val="20"/>
                <w:szCs w:val="20"/>
              </w:rPr>
              <w:t>% of total public sector</w:t>
            </w:r>
            <w:r w:rsidR="00B703D7">
              <w:rPr>
                <w:rFonts w:ascii="Gill Sans MT" w:hAnsi="Gill Sans MT"/>
                <w:color w:val="000000" w:themeColor="text1"/>
                <w:sz w:val="20"/>
                <w:szCs w:val="20"/>
              </w:rPr>
              <w:t xml:space="preserve"> workforce</w:t>
            </w:r>
            <w:r w:rsidRPr="00CC4F07">
              <w:rPr>
                <w:rFonts w:ascii="Gill Sans MT" w:hAnsi="Gill Sans MT"/>
                <w:color w:val="000000" w:themeColor="text1"/>
                <w:sz w:val="20"/>
                <w:szCs w:val="20"/>
              </w:rPr>
              <w:t xml:space="preserve"> with disabilities</w:t>
            </w:r>
          </w:p>
        </w:tc>
      </w:tr>
      <w:tr w:rsidR="008713A0" w:rsidRPr="00CC4F07" w14:paraId="650B8E6C" w14:textId="77777777" w:rsidTr="00B703D7">
        <w:trPr>
          <w:cantSplit/>
          <w:trHeight w:val="510"/>
          <w:jc w:val="center"/>
        </w:trPr>
        <w:tc>
          <w:tcPr>
            <w:tcW w:w="1635" w:type="dxa"/>
            <w:tcBorders>
              <w:bottom w:val="single" w:sz="4" w:space="0" w:color="auto"/>
            </w:tcBorders>
          </w:tcPr>
          <w:p w14:paraId="2E6B8A38" w14:textId="77777777" w:rsidR="008713A0" w:rsidRPr="00CC4F07" w:rsidRDefault="008713A0" w:rsidP="006D697C">
            <w:pPr>
              <w:pStyle w:val="TableHead"/>
              <w:keepNext/>
              <w:rPr>
                <w:rFonts w:ascii="Gill Sans MT" w:hAnsi="Gill Sans MT"/>
                <w:color w:val="000000" w:themeColor="text1"/>
                <w:sz w:val="24"/>
              </w:rPr>
            </w:pPr>
            <w:r w:rsidRPr="00CC4F07">
              <w:rPr>
                <w:rFonts w:ascii="Gill Sans MT" w:hAnsi="Gill Sans MT"/>
                <w:color w:val="000000" w:themeColor="text1"/>
                <w:sz w:val="24"/>
              </w:rPr>
              <w:t>1-99</w:t>
            </w:r>
          </w:p>
        </w:tc>
        <w:tc>
          <w:tcPr>
            <w:tcW w:w="859" w:type="dxa"/>
            <w:tcBorders>
              <w:bottom w:val="single" w:sz="4" w:space="0" w:color="auto"/>
            </w:tcBorders>
          </w:tcPr>
          <w:p w14:paraId="6EA25BAF" w14:textId="35D77D2F" w:rsidR="008713A0" w:rsidRPr="00CC4F07" w:rsidRDefault="0016023C" w:rsidP="0016023C">
            <w:pPr>
              <w:pStyle w:val="TableCell"/>
              <w:keepNext/>
              <w:rPr>
                <w:rFonts w:ascii="Gill Sans MT" w:hAnsi="Gill Sans MT"/>
                <w:color w:val="000000" w:themeColor="text1"/>
                <w:sz w:val="24"/>
                <w:lang w:val="en-GB" w:eastAsia="en-GB"/>
              </w:rPr>
            </w:pPr>
            <w:r w:rsidRPr="00CC4F07">
              <w:rPr>
                <w:rFonts w:ascii="Gill Sans MT" w:hAnsi="Gill Sans MT" w:cs="Arial"/>
                <w:sz w:val="24"/>
              </w:rPr>
              <w:t>79</w:t>
            </w:r>
            <w:r w:rsidR="008713A0" w:rsidRPr="00CC4F07">
              <w:rPr>
                <w:rFonts w:ascii="Gill Sans MT" w:hAnsi="Gill Sans MT" w:cs="Arial"/>
                <w:sz w:val="24"/>
              </w:rPr>
              <w:t xml:space="preserve"> </w:t>
            </w:r>
          </w:p>
        </w:tc>
        <w:tc>
          <w:tcPr>
            <w:tcW w:w="1329" w:type="dxa"/>
            <w:tcBorders>
              <w:bottom w:val="single" w:sz="4" w:space="0" w:color="auto"/>
            </w:tcBorders>
          </w:tcPr>
          <w:p w14:paraId="65A44481" w14:textId="5E9FAE88" w:rsidR="008713A0" w:rsidRPr="00CC4F07" w:rsidRDefault="0016023C" w:rsidP="00B703D7">
            <w:pPr>
              <w:pStyle w:val="TableCell"/>
              <w:keepNext/>
              <w:rPr>
                <w:rFonts w:ascii="Gill Sans MT" w:hAnsi="Gill Sans MT"/>
                <w:color w:val="000000" w:themeColor="text1"/>
                <w:sz w:val="24"/>
                <w:lang w:val="en-GB" w:eastAsia="en-GB"/>
              </w:rPr>
            </w:pPr>
            <w:r w:rsidRPr="00CC4F07">
              <w:rPr>
                <w:rFonts w:ascii="Gill Sans MT" w:hAnsi="Gill Sans MT" w:cs="Arial"/>
                <w:sz w:val="24"/>
              </w:rPr>
              <w:t>3,346</w:t>
            </w:r>
          </w:p>
        </w:tc>
        <w:tc>
          <w:tcPr>
            <w:tcW w:w="1417" w:type="dxa"/>
            <w:tcBorders>
              <w:bottom w:val="single" w:sz="4" w:space="0" w:color="auto"/>
            </w:tcBorders>
          </w:tcPr>
          <w:p w14:paraId="69E4F37C" w14:textId="1561E52F" w:rsidR="008713A0" w:rsidRPr="00CC4F07" w:rsidRDefault="0016023C" w:rsidP="00B703D7">
            <w:pPr>
              <w:pStyle w:val="TableCell"/>
              <w:keepNext/>
              <w:rPr>
                <w:rFonts w:ascii="Gill Sans MT" w:hAnsi="Gill Sans MT"/>
                <w:color w:val="000000" w:themeColor="text1"/>
                <w:sz w:val="24"/>
                <w:lang w:val="en-GB" w:eastAsia="en-GB"/>
              </w:rPr>
            </w:pPr>
            <w:r w:rsidRPr="00CC4F07">
              <w:rPr>
                <w:rFonts w:ascii="Gill Sans MT" w:hAnsi="Gill Sans MT" w:cs="Arial"/>
                <w:sz w:val="24"/>
              </w:rPr>
              <w:t>172</w:t>
            </w:r>
          </w:p>
        </w:tc>
        <w:tc>
          <w:tcPr>
            <w:tcW w:w="1276" w:type="dxa"/>
            <w:tcBorders>
              <w:bottom w:val="single" w:sz="4" w:space="0" w:color="auto"/>
            </w:tcBorders>
          </w:tcPr>
          <w:p w14:paraId="0F5DC819" w14:textId="73D20081" w:rsidR="008713A0" w:rsidRPr="00CC4F07" w:rsidRDefault="0016023C" w:rsidP="00B703D7">
            <w:pPr>
              <w:pStyle w:val="TableCell"/>
              <w:keepNext/>
              <w:rPr>
                <w:rFonts w:ascii="Gill Sans MT" w:hAnsi="Gill Sans MT"/>
                <w:color w:val="000000" w:themeColor="text1"/>
                <w:sz w:val="24"/>
                <w:lang w:val="en-GB" w:eastAsia="en-GB"/>
              </w:rPr>
            </w:pPr>
            <w:r w:rsidRPr="00CC4F07">
              <w:rPr>
                <w:rFonts w:ascii="Gill Sans MT" w:hAnsi="Gill Sans MT" w:cs="Arial"/>
                <w:color w:val="000000"/>
                <w:sz w:val="24"/>
              </w:rPr>
              <w:t>5.1</w:t>
            </w:r>
            <w:r w:rsidR="008713A0" w:rsidRPr="00CC4F07">
              <w:rPr>
                <w:rFonts w:ascii="Gill Sans MT" w:hAnsi="Gill Sans MT" w:cs="Arial"/>
                <w:color w:val="000000"/>
                <w:sz w:val="24"/>
              </w:rPr>
              <w:t>%</w:t>
            </w:r>
          </w:p>
        </w:tc>
        <w:tc>
          <w:tcPr>
            <w:tcW w:w="1276" w:type="dxa"/>
            <w:tcBorders>
              <w:bottom w:val="single" w:sz="4" w:space="0" w:color="auto"/>
            </w:tcBorders>
          </w:tcPr>
          <w:p w14:paraId="65E47689" w14:textId="4BC08D88" w:rsidR="008713A0" w:rsidRPr="00CC4F07" w:rsidRDefault="0016023C" w:rsidP="00B703D7">
            <w:pPr>
              <w:pStyle w:val="TableCell"/>
              <w:keepNext/>
              <w:rPr>
                <w:rFonts w:ascii="Gill Sans MT" w:hAnsi="Gill Sans MT"/>
                <w:color w:val="000000" w:themeColor="text1"/>
                <w:sz w:val="24"/>
                <w:lang w:val="en-GB" w:eastAsia="en-GB"/>
              </w:rPr>
            </w:pPr>
            <w:r w:rsidRPr="00CC4F07">
              <w:rPr>
                <w:rFonts w:ascii="Gill Sans MT" w:hAnsi="Gill Sans MT" w:cs="Arial"/>
                <w:sz w:val="24"/>
              </w:rPr>
              <w:t>1.4</w:t>
            </w:r>
            <w:r w:rsidR="008713A0" w:rsidRPr="00CC4F07">
              <w:rPr>
                <w:rFonts w:ascii="Gill Sans MT" w:hAnsi="Gill Sans MT" w:cs="Arial"/>
                <w:sz w:val="24"/>
              </w:rPr>
              <w:t>%</w:t>
            </w:r>
          </w:p>
        </w:tc>
        <w:tc>
          <w:tcPr>
            <w:tcW w:w="1275" w:type="dxa"/>
            <w:tcBorders>
              <w:bottom w:val="single" w:sz="4" w:space="0" w:color="auto"/>
            </w:tcBorders>
          </w:tcPr>
          <w:p w14:paraId="209090B1" w14:textId="17EF4684" w:rsidR="008713A0" w:rsidRPr="00CC4F07" w:rsidRDefault="0016023C" w:rsidP="00B703D7">
            <w:pPr>
              <w:pStyle w:val="TableCell"/>
              <w:keepNext/>
              <w:rPr>
                <w:rFonts w:ascii="Gill Sans MT" w:hAnsi="Gill Sans MT"/>
                <w:color w:val="000000" w:themeColor="text1"/>
                <w:sz w:val="24"/>
                <w:lang w:val="en-GB" w:eastAsia="en-GB"/>
              </w:rPr>
            </w:pPr>
            <w:r w:rsidRPr="00CC4F07">
              <w:rPr>
                <w:rFonts w:ascii="Gill Sans MT" w:hAnsi="Gill Sans MT" w:cs="Arial"/>
                <w:sz w:val="24"/>
              </w:rPr>
              <w:t>2.3</w:t>
            </w:r>
            <w:r w:rsidR="008713A0" w:rsidRPr="00CC4F07">
              <w:rPr>
                <w:rFonts w:ascii="Gill Sans MT" w:hAnsi="Gill Sans MT" w:cs="Arial"/>
                <w:sz w:val="24"/>
              </w:rPr>
              <w:t>%</w:t>
            </w:r>
          </w:p>
        </w:tc>
      </w:tr>
      <w:tr w:rsidR="008713A0" w:rsidRPr="00CC4F07" w14:paraId="42A0871F" w14:textId="77777777" w:rsidTr="00B703D7">
        <w:trPr>
          <w:cantSplit/>
          <w:trHeight w:val="510"/>
          <w:jc w:val="center"/>
        </w:trPr>
        <w:tc>
          <w:tcPr>
            <w:tcW w:w="1635" w:type="dxa"/>
          </w:tcPr>
          <w:p w14:paraId="0763A0F3" w14:textId="77777777" w:rsidR="008713A0" w:rsidRPr="00CC4F07" w:rsidRDefault="008713A0" w:rsidP="006D697C">
            <w:pPr>
              <w:pStyle w:val="TableHead"/>
              <w:rPr>
                <w:rFonts w:ascii="Gill Sans MT" w:hAnsi="Gill Sans MT"/>
                <w:color w:val="000000" w:themeColor="text1"/>
                <w:sz w:val="24"/>
              </w:rPr>
            </w:pPr>
            <w:r w:rsidRPr="00CC4F07">
              <w:rPr>
                <w:rFonts w:ascii="Gill Sans MT" w:hAnsi="Gill Sans MT"/>
                <w:color w:val="000000" w:themeColor="text1"/>
                <w:sz w:val="24"/>
              </w:rPr>
              <w:t xml:space="preserve">100 -999 </w:t>
            </w:r>
          </w:p>
        </w:tc>
        <w:tc>
          <w:tcPr>
            <w:tcW w:w="859" w:type="dxa"/>
          </w:tcPr>
          <w:p w14:paraId="14224A58" w14:textId="39BEAB2D" w:rsidR="008713A0" w:rsidRPr="00CC4F07" w:rsidRDefault="0016023C" w:rsidP="00B703D7">
            <w:pPr>
              <w:pStyle w:val="TableCell"/>
              <w:rPr>
                <w:rFonts w:ascii="Gill Sans MT" w:hAnsi="Gill Sans MT"/>
                <w:color w:val="000000" w:themeColor="text1"/>
                <w:sz w:val="24"/>
                <w:lang w:val="en-GB" w:eastAsia="en-GB"/>
              </w:rPr>
            </w:pPr>
            <w:r w:rsidRPr="00CC4F07">
              <w:rPr>
                <w:rFonts w:ascii="Gill Sans MT" w:hAnsi="Gill Sans MT" w:cs="Arial"/>
                <w:sz w:val="24"/>
              </w:rPr>
              <w:t>100</w:t>
            </w:r>
          </w:p>
        </w:tc>
        <w:tc>
          <w:tcPr>
            <w:tcW w:w="1329" w:type="dxa"/>
          </w:tcPr>
          <w:p w14:paraId="028AD110" w14:textId="1DC140F9" w:rsidR="008713A0" w:rsidRPr="00CC4F07" w:rsidRDefault="0016023C" w:rsidP="00B703D7">
            <w:pPr>
              <w:pStyle w:val="TableCell"/>
              <w:rPr>
                <w:rFonts w:ascii="Gill Sans MT" w:hAnsi="Gill Sans MT"/>
                <w:color w:val="000000" w:themeColor="text1"/>
                <w:sz w:val="24"/>
                <w:lang w:val="en-GB" w:eastAsia="en-GB"/>
              </w:rPr>
            </w:pPr>
            <w:r w:rsidRPr="00CC4F07">
              <w:rPr>
                <w:rFonts w:ascii="Gill Sans MT" w:hAnsi="Gill Sans MT" w:cs="Arial"/>
                <w:sz w:val="24"/>
              </w:rPr>
              <w:t>40,727</w:t>
            </w:r>
          </w:p>
        </w:tc>
        <w:tc>
          <w:tcPr>
            <w:tcW w:w="1417" w:type="dxa"/>
          </w:tcPr>
          <w:p w14:paraId="2283040B" w14:textId="12A8957E" w:rsidR="008713A0" w:rsidRPr="00CC4F07" w:rsidRDefault="0016023C" w:rsidP="00B703D7">
            <w:pPr>
              <w:pStyle w:val="TableCell"/>
              <w:rPr>
                <w:rFonts w:ascii="Gill Sans MT" w:hAnsi="Gill Sans MT"/>
                <w:color w:val="000000" w:themeColor="text1"/>
                <w:sz w:val="24"/>
                <w:lang w:val="en-GB" w:eastAsia="en-GB"/>
              </w:rPr>
            </w:pPr>
            <w:r w:rsidRPr="00CC4F07">
              <w:rPr>
                <w:rFonts w:ascii="Gill Sans MT" w:hAnsi="Gill Sans MT" w:cs="Arial"/>
                <w:sz w:val="24"/>
              </w:rPr>
              <w:t>1,863</w:t>
            </w:r>
          </w:p>
        </w:tc>
        <w:tc>
          <w:tcPr>
            <w:tcW w:w="1276" w:type="dxa"/>
          </w:tcPr>
          <w:p w14:paraId="173EDA71" w14:textId="3982D529" w:rsidR="008713A0" w:rsidRPr="00CC4F07" w:rsidRDefault="0016023C" w:rsidP="00B703D7">
            <w:pPr>
              <w:pStyle w:val="TableCell"/>
              <w:rPr>
                <w:rFonts w:ascii="Gill Sans MT" w:hAnsi="Gill Sans MT"/>
                <w:color w:val="000000" w:themeColor="text1"/>
                <w:sz w:val="24"/>
                <w:lang w:val="en-GB" w:eastAsia="en-GB"/>
              </w:rPr>
            </w:pPr>
            <w:r w:rsidRPr="00CC4F07">
              <w:rPr>
                <w:rFonts w:ascii="Gill Sans MT" w:hAnsi="Gill Sans MT" w:cs="Arial"/>
                <w:color w:val="000000"/>
                <w:sz w:val="24"/>
              </w:rPr>
              <w:t>4.6</w:t>
            </w:r>
            <w:r w:rsidR="008713A0" w:rsidRPr="00CC4F07">
              <w:rPr>
                <w:rFonts w:ascii="Gill Sans MT" w:hAnsi="Gill Sans MT" w:cs="Arial"/>
                <w:color w:val="000000"/>
                <w:sz w:val="24"/>
              </w:rPr>
              <w:t>%</w:t>
            </w:r>
          </w:p>
        </w:tc>
        <w:tc>
          <w:tcPr>
            <w:tcW w:w="1276" w:type="dxa"/>
          </w:tcPr>
          <w:p w14:paraId="27253D43" w14:textId="061DAD13" w:rsidR="008713A0" w:rsidRPr="00CC4F07" w:rsidRDefault="0016023C" w:rsidP="006D697C">
            <w:pPr>
              <w:pStyle w:val="TableCell"/>
              <w:rPr>
                <w:rFonts w:ascii="Gill Sans MT" w:hAnsi="Gill Sans MT"/>
                <w:color w:val="000000" w:themeColor="text1"/>
                <w:sz w:val="24"/>
                <w:lang w:val="en-GB" w:eastAsia="en-GB"/>
              </w:rPr>
            </w:pPr>
            <w:r w:rsidRPr="00CC4F07">
              <w:rPr>
                <w:rFonts w:ascii="Gill Sans MT" w:hAnsi="Gill Sans MT" w:cs="Arial"/>
                <w:sz w:val="24"/>
              </w:rPr>
              <w:t>17.6</w:t>
            </w:r>
            <w:r w:rsidR="008713A0" w:rsidRPr="00CC4F07">
              <w:rPr>
                <w:rFonts w:ascii="Gill Sans MT" w:hAnsi="Gill Sans MT" w:cs="Arial"/>
                <w:sz w:val="24"/>
              </w:rPr>
              <w:t>%</w:t>
            </w:r>
          </w:p>
        </w:tc>
        <w:tc>
          <w:tcPr>
            <w:tcW w:w="1275" w:type="dxa"/>
          </w:tcPr>
          <w:p w14:paraId="121B7692" w14:textId="3B85726B" w:rsidR="008713A0" w:rsidRPr="00CC4F07" w:rsidRDefault="0016023C" w:rsidP="006D697C">
            <w:pPr>
              <w:pStyle w:val="TableCell"/>
              <w:rPr>
                <w:rFonts w:ascii="Gill Sans MT" w:hAnsi="Gill Sans MT"/>
                <w:color w:val="000000" w:themeColor="text1"/>
                <w:sz w:val="24"/>
                <w:lang w:val="en-GB" w:eastAsia="en-GB"/>
              </w:rPr>
            </w:pPr>
            <w:r w:rsidRPr="00CC4F07">
              <w:rPr>
                <w:rFonts w:ascii="Gill Sans MT" w:hAnsi="Gill Sans MT" w:cs="Arial"/>
                <w:sz w:val="24"/>
              </w:rPr>
              <w:t>24.6</w:t>
            </w:r>
            <w:r w:rsidR="008713A0" w:rsidRPr="00CC4F07">
              <w:rPr>
                <w:rFonts w:ascii="Gill Sans MT" w:hAnsi="Gill Sans MT" w:cs="Arial"/>
                <w:sz w:val="24"/>
              </w:rPr>
              <w:t>%</w:t>
            </w:r>
          </w:p>
        </w:tc>
      </w:tr>
      <w:tr w:rsidR="008713A0" w:rsidRPr="00CC4F07" w14:paraId="61F4958E" w14:textId="77777777" w:rsidTr="00B703D7">
        <w:trPr>
          <w:cantSplit/>
          <w:trHeight w:val="510"/>
          <w:jc w:val="center"/>
        </w:trPr>
        <w:tc>
          <w:tcPr>
            <w:tcW w:w="1635" w:type="dxa"/>
          </w:tcPr>
          <w:p w14:paraId="236C8010" w14:textId="77777777" w:rsidR="008713A0" w:rsidRPr="00CC4F07" w:rsidRDefault="008713A0" w:rsidP="006D697C">
            <w:pPr>
              <w:spacing w:after="0"/>
              <w:rPr>
                <w:rFonts w:ascii="Gill Sans MT" w:hAnsi="Gill Sans MT"/>
                <w:b/>
                <w:color w:val="000000" w:themeColor="text1"/>
                <w:sz w:val="24"/>
              </w:rPr>
            </w:pPr>
            <w:r w:rsidRPr="00CC4F07">
              <w:rPr>
                <w:rFonts w:ascii="Gill Sans MT" w:hAnsi="Gill Sans MT"/>
                <w:b/>
                <w:color w:val="000000" w:themeColor="text1"/>
                <w:sz w:val="24"/>
              </w:rPr>
              <w:t xml:space="preserve">1,000 -4,999 </w:t>
            </w:r>
          </w:p>
        </w:tc>
        <w:tc>
          <w:tcPr>
            <w:tcW w:w="859" w:type="dxa"/>
          </w:tcPr>
          <w:p w14:paraId="1479AA73" w14:textId="2D97CD94" w:rsidR="008713A0" w:rsidRPr="00CC4F07" w:rsidRDefault="0016023C" w:rsidP="00B703D7">
            <w:pPr>
              <w:spacing w:after="0"/>
              <w:jc w:val="right"/>
              <w:rPr>
                <w:rFonts w:ascii="Gill Sans MT" w:hAnsi="Gill Sans MT"/>
                <w:color w:val="000000" w:themeColor="text1"/>
                <w:sz w:val="24"/>
              </w:rPr>
            </w:pPr>
            <w:r w:rsidRPr="00CC4F07">
              <w:rPr>
                <w:rFonts w:ascii="Gill Sans MT" w:hAnsi="Gill Sans MT" w:cs="Arial"/>
                <w:sz w:val="24"/>
              </w:rPr>
              <w:t>32</w:t>
            </w:r>
          </w:p>
        </w:tc>
        <w:tc>
          <w:tcPr>
            <w:tcW w:w="1329" w:type="dxa"/>
          </w:tcPr>
          <w:p w14:paraId="1A8CBFF1" w14:textId="31C59E83" w:rsidR="008713A0" w:rsidRPr="00CC4F07" w:rsidRDefault="0016023C" w:rsidP="00B703D7">
            <w:pPr>
              <w:spacing w:after="0"/>
              <w:jc w:val="right"/>
              <w:rPr>
                <w:rFonts w:ascii="Gill Sans MT" w:hAnsi="Gill Sans MT"/>
                <w:color w:val="000000" w:themeColor="text1"/>
                <w:sz w:val="24"/>
              </w:rPr>
            </w:pPr>
            <w:r w:rsidRPr="00CC4F07">
              <w:rPr>
                <w:rFonts w:ascii="Gill Sans MT" w:hAnsi="Gill Sans MT" w:cs="Arial"/>
                <w:sz w:val="24"/>
              </w:rPr>
              <w:t>66,277</w:t>
            </w:r>
          </w:p>
        </w:tc>
        <w:tc>
          <w:tcPr>
            <w:tcW w:w="1417" w:type="dxa"/>
          </w:tcPr>
          <w:p w14:paraId="24AC42F0" w14:textId="4AD34F77" w:rsidR="008713A0" w:rsidRPr="00CC4F07" w:rsidRDefault="0016023C" w:rsidP="00B703D7">
            <w:pPr>
              <w:spacing w:after="0"/>
              <w:jc w:val="right"/>
              <w:rPr>
                <w:rFonts w:ascii="Gill Sans MT" w:hAnsi="Gill Sans MT"/>
                <w:color w:val="000000" w:themeColor="text1"/>
                <w:sz w:val="24"/>
              </w:rPr>
            </w:pPr>
            <w:r w:rsidRPr="00CC4F07">
              <w:rPr>
                <w:rFonts w:ascii="Gill Sans MT" w:hAnsi="Gill Sans MT" w:cs="Arial"/>
                <w:sz w:val="24"/>
              </w:rPr>
              <w:t>2,797</w:t>
            </w:r>
          </w:p>
        </w:tc>
        <w:tc>
          <w:tcPr>
            <w:tcW w:w="1276" w:type="dxa"/>
          </w:tcPr>
          <w:p w14:paraId="7F90C87A" w14:textId="6BFC5851" w:rsidR="008713A0" w:rsidRPr="00CC4F07" w:rsidRDefault="0016023C" w:rsidP="0016023C">
            <w:pPr>
              <w:spacing w:after="0"/>
              <w:jc w:val="right"/>
              <w:rPr>
                <w:rFonts w:ascii="Gill Sans MT" w:hAnsi="Gill Sans MT"/>
                <w:color w:val="000000" w:themeColor="text1"/>
                <w:sz w:val="24"/>
              </w:rPr>
            </w:pPr>
            <w:r w:rsidRPr="00CC4F07">
              <w:rPr>
                <w:rFonts w:ascii="Gill Sans MT" w:hAnsi="Gill Sans MT" w:cs="Arial"/>
                <w:color w:val="000000"/>
                <w:sz w:val="24"/>
              </w:rPr>
              <w:t>4.2</w:t>
            </w:r>
            <w:r w:rsidR="008713A0" w:rsidRPr="00CC4F07">
              <w:rPr>
                <w:rFonts w:ascii="Gill Sans MT" w:hAnsi="Gill Sans MT" w:cs="Arial"/>
                <w:color w:val="000000"/>
                <w:sz w:val="24"/>
              </w:rPr>
              <w:t>%</w:t>
            </w:r>
          </w:p>
        </w:tc>
        <w:tc>
          <w:tcPr>
            <w:tcW w:w="1276" w:type="dxa"/>
          </w:tcPr>
          <w:p w14:paraId="5C471016" w14:textId="7DB85997" w:rsidR="008713A0" w:rsidRPr="00CC4F07" w:rsidRDefault="0016023C" w:rsidP="006D697C">
            <w:pPr>
              <w:spacing w:after="0"/>
              <w:jc w:val="right"/>
              <w:rPr>
                <w:rFonts w:ascii="Gill Sans MT" w:hAnsi="Gill Sans MT"/>
                <w:color w:val="000000" w:themeColor="text1"/>
                <w:sz w:val="24"/>
              </w:rPr>
            </w:pPr>
            <w:r w:rsidRPr="00CC4F07">
              <w:rPr>
                <w:rFonts w:ascii="Gill Sans MT" w:hAnsi="Gill Sans MT" w:cs="Arial"/>
                <w:sz w:val="24"/>
              </w:rPr>
              <w:t>28.6</w:t>
            </w:r>
            <w:r w:rsidR="008713A0" w:rsidRPr="00CC4F07">
              <w:rPr>
                <w:rFonts w:ascii="Gill Sans MT" w:hAnsi="Gill Sans MT" w:cs="Arial"/>
                <w:sz w:val="24"/>
              </w:rPr>
              <w:t>%</w:t>
            </w:r>
          </w:p>
        </w:tc>
        <w:tc>
          <w:tcPr>
            <w:tcW w:w="1275" w:type="dxa"/>
          </w:tcPr>
          <w:p w14:paraId="324025BD" w14:textId="2451F5FC" w:rsidR="008713A0" w:rsidRPr="00CC4F07" w:rsidRDefault="0016023C" w:rsidP="006D697C">
            <w:pPr>
              <w:spacing w:after="0"/>
              <w:jc w:val="right"/>
              <w:rPr>
                <w:rFonts w:ascii="Gill Sans MT" w:hAnsi="Gill Sans MT"/>
                <w:color w:val="000000" w:themeColor="text1"/>
                <w:sz w:val="24"/>
              </w:rPr>
            </w:pPr>
            <w:r w:rsidRPr="00CC4F07">
              <w:rPr>
                <w:rFonts w:ascii="Gill Sans MT" w:hAnsi="Gill Sans MT" w:cs="Arial"/>
                <w:sz w:val="24"/>
              </w:rPr>
              <w:t>36.9</w:t>
            </w:r>
            <w:r w:rsidR="008713A0" w:rsidRPr="00CC4F07">
              <w:rPr>
                <w:rFonts w:ascii="Gill Sans MT" w:hAnsi="Gill Sans MT" w:cs="Arial"/>
                <w:sz w:val="24"/>
              </w:rPr>
              <w:t>%</w:t>
            </w:r>
          </w:p>
        </w:tc>
      </w:tr>
      <w:tr w:rsidR="008713A0" w:rsidRPr="00CC4F07" w14:paraId="4F45369C" w14:textId="77777777" w:rsidTr="00B703D7">
        <w:trPr>
          <w:cantSplit/>
          <w:trHeight w:val="510"/>
          <w:jc w:val="center"/>
        </w:trPr>
        <w:tc>
          <w:tcPr>
            <w:tcW w:w="1635" w:type="dxa"/>
          </w:tcPr>
          <w:p w14:paraId="7F1A56E0" w14:textId="77777777" w:rsidR="008713A0" w:rsidRPr="00CC4F07" w:rsidRDefault="008713A0" w:rsidP="006D697C">
            <w:pPr>
              <w:spacing w:after="0"/>
              <w:rPr>
                <w:rFonts w:ascii="Gill Sans MT" w:hAnsi="Gill Sans MT"/>
                <w:b/>
                <w:color w:val="000000" w:themeColor="text1"/>
                <w:sz w:val="24"/>
              </w:rPr>
            </w:pPr>
            <w:r w:rsidRPr="00CC4F07">
              <w:rPr>
                <w:rFonts w:ascii="Gill Sans MT" w:hAnsi="Gill Sans MT"/>
                <w:b/>
                <w:color w:val="000000" w:themeColor="text1"/>
                <w:sz w:val="24"/>
              </w:rPr>
              <w:t>5,000 +</w:t>
            </w:r>
          </w:p>
        </w:tc>
        <w:tc>
          <w:tcPr>
            <w:tcW w:w="859" w:type="dxa"/>
          </w:tcPr>
          <w:p w14:paraId="3083DDF7" w14:textId="5B7C3D67" w:rsidR="008713A0" w:rsidRPr="00CC4F07" w:rsidRDefault="008713A0" w:rsidP="00B703D7">
            <w:pPr>
              <w:spacing w:after="0"/>
              <w:jc w:val="right"/>
              <w:rPr>
                <w:rFonts w:ascii="Gill Sans MT" w:hAnsi="Gill Sans MT"/>
                <w:color w:val="000000" w:themeColor="text1"/>
                <w:sz w:val="24"/>
              </w:rPr>
            </w:pPr>
            <w:r w:rsidRPr="00CC4F07">
              <w:rPr>
                <w:rFonts w:ascii="Gill Sans MT" w:hAnsi="Gill Sans MT" w:cs="Arial"/>
                <w:sz w:val="24"/>
              </w:rPr>
              <w:t>6</w:t>
            </w:r>
          </w:p>
        </w:tc>
        <w:tc>
          <w:tcPr>
            <w:tcW w:w="1329" w:type="dxa"/>
          </w:tcPr>
          <w:p w14:paraId="4DE719AE" w14:textId="36D3160B" w:rsidR="008713A0" w:rsidRPr="00CC4F07" w:rsidRDefault="0016023C" w:rsidP="00B703D7">
            <w:pPr>
              <w:spacing w:after="0"/>
              <w:jc w:val="right"/>
              <w:rPr>
                <w:rFonts w:ascii="Gill Sans MT" w:hAnsi="Gill Sans MT"/>
                <w:color w:val="000000" w:themeColor="text1"/>
                <w:sz w:val="24"/>
              </w:rPr>
            </w:pPr>
            <w:r w:rsidRPr="00CC4F07">
              <w:rPr>
                <w:rFonts w:ascii="Gill Sans MT" w:hAnsi="Gill Sans MT" w:cs="Arial"/>
                <w:sz w:val="24"/>
              </w:rPr>
              <w:t>121,356</w:t>
            </w:r>
          </w:p>
        </w:tc>
        <w:tc>
          <w:tcPr>
            <w:tcW w:w="1417" w:type="dxa"/>
          </w:tcPr>
          <w:p w14:paraId="35D116F5" w14:textId="045AC32D" w:rsidR="008713A0" w:rsidRPr="00CC4F07" w:rsidRDefault="0016023C" w:rsidP="00B703D7">
            <w:pPr>
              <w:spacing w:after="0"/>
              <w:jc w:val="right"/>
              <w:rPr>
                <w:rFonts w:ascii="Gill Sans MT" w:hAnsi="Gill Sans MT"/>
                <w:color w:val="000000" w:themeColor="text1"/>
                <w:sz w:val="24"/>
              </w:rPr>
            </w:pPr>
            <w:r w:rsidRPr="00CC4F07">
              <w:rPr>
                <w:rFonts w:ascii="Gill Sans MT" w:hAnsi="Gill Sans MT" w:cs="Arial"/>
                <w:sz w:val="24"/>
              </w:rPr>
              <w:t>2,753</w:t>
            </w:r>
          </w:p>
        </w:tc>
        <w:tc>
          <w:tcPr>
            <w:tcW w:w="1276" w:type="dxa"/>
          </w:tcPr>
          <w:p w14:paraId="316A7A50" w14:textId="59A06DAB" w:rsidR="008713A0" w:rsidRPr="00CC4F07" w:rsidRDefault="0016023C" w:rsidP="00B703D7">
            <w:pPr>
              <w:spacing w:after="0"/>
              <w:jc w:val="right"/>
              <w:rPr>
                <w:rFonts w:ascii="Gill Sans MT" w:hAnsi="Gill Sans MT"/>
                <w:color w:val="000000" w:themeColor="text1"/>
                <w:sz w:val="24"/>
              </w:rPr>
            </w:pPr>
            <w:r w:rsidRPr="00CC4F07">
              <w:rPr>
                <w:rFonts w:ascii="Gill Sans MT" w:hAnsi="Gill Sans MT" w:cs="Arial"/>
                <w:color w:val="000000"/>
                <w:sz w:val="24"/>
              </w:rPr>
              <w:t>2.3</w:t>
            </w:r>
            <w:r w:rsidR="008713A0" w:rsidRPr="00CC4F07">
              <w:rPr>
                <w:rFonts w:ascii="Gill Sans MT" w:hAnsi="Gill Sans MT" w:cs="Arial"/>
                <w:color w:val="000000"/>
                <w:sz w:val="24"/>
              </w:rPr>
              <w:t>%</w:t>
            </w:r>
          </w:p>
        </w:tc>
        <w:tc>
          <w:tcPr>
            <w:tcW w:w="1276" w:type="dxa"/>
          </w:tcPr>
          <w:p w14:paraId="11BED66E" w14:textId="729BC2B8" w:rsidR="008713A0" w:rsidRPr="00CC4F07" w:rsidRDefault="0016023C" w:rsidP="006D697C">
            <w:pPr>
              <w:spacing w:after="0"/>
              <w:jc w:val="right"/>
              <w:rPr>
                <w:rFonts w:ascii="Gill Sans MT" w:hAnsi="Gill Sans MT"/>
                <w:color w:val="000000" w:themeColor="text1"/>
                <w:sz w:val="24"/>
              </w:rPr>
            </w:pPr>
            <w:r w:rsidRPr="00CC4F07">
              <w:rPr>
                <w:rFonts w:ascii="Gill Sans MT" w:hAnsi="Gill Sans MT" w:cs="Arial"/>
                <w:sz w:val="24"/>
              </w:rPr>
              <w:t>52.4</w:t>
            </w:r>
            <w:r w:rsidR="008713A0" w:rsidRPr="00CC4F07">
              <w:rPr>
                <w:rFonts w:ascii="Gill Sans MT" w:hAnsi="Gill Sans MT" w:cs="Arial"/>
                <w:sz w:val="24"/>
              </w:rPr>
              <w:t>%</w:t>
            </w:r>
          </w:p>
        </w:tc>
        <w:tc>
          <w:tcPr>
            <w:tcW w:w="1275" w:type="dxa"/>
          </w:tcPr>
          <w:p w14:paraId="46A551F0" w14:textId="5C8A04A7" w:rsidR="008713A0" w:rsidRPr="00CC4F07" w:rsidRDefault="0016023C" w:rsidP="006D697C">
            <w:pPr>
              <w:spacing w:after="0"/>
              <w:jc w:val="right"/>
              <w:rPr>
                <w:rFonts w:ascii="Gill Sans MT" w:hAnsi="Gill Sans MT"/>
                <w:color w:val="000000" w:themeColor="text1"/>
                <w:sz w:val="24"/>
              </w:rPr>
            </w:pPr>
            <w:r w:rsidRPr="00CC4F07">
              <w:rPr>
                <w:rFonts w:ascii="Gill Sans MT" w:hAnsi="Gill Sans MT" w:cs="Arial"/>
                <w:sz w:val="24"/>
              </w:rPr>
              <w:t>36.3</w:t>
            </w:r>
            <w:r w:rsidR="008713A0" w:rsidRPr="00CC4F07">
              <w:rPr>
                <w:rFonts w:ascii="Gill Sans MT" w:hAnsi="Gill Sans MT" w:cs="Arial"/>
                <w:sz w:val="24"/>
              </w:rPr>
              <w:t>%</w:t>
            </w:r>
          </w:p>
        </w:tc>
      </w:tr>
      <w:tr w:rsidR="008713A0" w:rsidRPr="00CC4F07" w14:paraId="390FA836" w14:textId="77777777" w:rsidTr="00B703D7">
        <w:trPr>
          <w:cantSplit/>
          <w:trHeight w:val="510"/>
          <w:jc w:val="center"/>
        </w:trPr>
        <w:tc>
          <w:tcPr>
            <w:tcW w:w="1635" w:type="dxa"/>
          </w:tcPr>
          <w:p w14:paraId="2D4CD105" w14:textId="0188F320" w:rsidR="008713A0" w:rsidRPr="00CC4F07" w:rsidRDefault="008713A0" w:rsidP="006D697C">
            <w:pPr>
              <w:spacing w:after="0"/>
              <w:rPr>
                <w:rFonts w:ascii="Gill Sans MT" w:hAnsi="Gill Sans MT"/>
                <w:b/>
                <w:color w:val="000000" w:themeColor="text1"/>
                <w:sz w:val="24"/>
              </w:rPr>
            </w:pPr>
            <w:r w:rsidRPr="00CC4F07">
              <w:rPr>
                <w:rFonts w:ascii="Gill Sans MT" w:hAnsi="Gill Sans MT"/>
                <w:b/>
                <w:color w:val="000000" w:themeColor="text1"/>
                <w:sz w:val="24"/>
              </w:rPr>
              <w:t>Total 201</w:t>
            </w:r>
            <w:r w:rsidR="00E4729F">
              <w:rPr>
                <w:rFonts w:ascii="Gill Sans MT" w:hAnsi="Gill Sans MT"/>
                <w:b/>
                <w:color w:val="000000" w:themeColor="text1"/>
                <w:sz w:val="24"/>
              </w:rPr>
              <w:t>8</w:t>
            </w:r>
          </w:p>
        </w:tc>
        <w:tc>
          <w:tcPr>
            <w:tcW w:w="859" w:type="dxa"/>
          </w:tcPr>
          <w:p w14:paraId="76FB7831" w14:textId="35E16597" w:rsidR="008713A0" w:rsidRPr="00CC4F07" w:rsidRDefault="008713A0" w:rsidP="006D697C">
            <w:pPr>
              <w:spacing w:after="0"/>
              <w:jc w:val="right"/>
              <w:rPr>
                <w:rFonts w:ascii="Gill Sans MT" w:hAnsi="Gill Sans MT"/>
                <w:b/>
                <w:color w:val="000000" w:themeColor="text1"/>
                <w:sz w:val="24"/>
              </w:rPr>
            </w:pPr>
            <w:r w:rsidRPr="00CC4F07">
              <w:rPr>
                <w:rFonts w:ascii="Gill Sans MT" w:hAnsi="Gill Sans MT"/>
                <w:b/>
                <w:color w:val="000000" w:themeColor="text1"/>
                <w:sz w:val="24"/>
              </w:rPr>
              <w:t>21</w:t>
            </w:r>
            <w:r w:rsidR="0016023C" w:rsidRPr="00CC4F07">
              <w:rPr>
                <w:rFonts w:ascii="Gill Sans MT" w:hAnsi="Gill Sans MT"/>
                <w:b/>
                <w:color w:val="000000" w:themeColor="text1"/>
                <w:sz w:val="24"/>
              </w:rPr>
              <w:t>7</w:t>
            </w:r>
          </w:p>
        </w:tc>
        <w:tc>
          <w:tcPr>
            <w:tcW w:w="1329" w:type="dxa"/>
          </w:tcPr>
          <w:p w14:paraId="283EE5AA" w14:textId="2303336A" w:rsidR="008713A0" w:rsidRPr="00CC4F07" w:rsidRDefault="0016023C" w:rsidP="006D697C">
            <w:pPr>
              <w:spacing w:after="0"/>
              <w:jc w:val="right"/>
              <w:rPr>
                <w:rFonts w:ascii="Gill Sans MT" w:hAnsi="Gill Sans MT"/>
                <w:b/>
                <w:color w:val="000000" w:themeColor="text1"/>
                <w:sz w:val="24"/>
              </w:rPr>
            </w:pPr>
            <w:r w:rsidRPr="00CC4F07">
              <w:rPr>
                <w:rFonts w:ascii="Gill Sans MT" w:hAnsi="Gill Sans MT"/>
                <w:b/>
                <w:color w:val="000000" w:themeColor="text1"/>
                <w:sz w:val="24"/>
              </w:rPr>
              <w:t>231,706</w:t>
            </w:r>
          </w:p>
        </w:tc>
        <w:tc>
          <w:tcPr>
            <w:tcW w:w="1417" w:type="dxa"/>
          </w:tcPr>
          <w:p w14:paraId="0FFD79F6" w14:textId="4CD83004" w:rsidR="008713A0" w:rsidRPr="00CC4F07" w:rsidRDefault="008713A0" w:rsidP="0016023C">
            <w:pPr>
              <w:spacing w:after="0"/>
              <w:jc w:val="right"/>
              <w:rPr>
                <w:rFonts w:ascii="Gill Sans MT" w:hAnsi="Gill Sans MT"/>
                <w:b/>
                <w:color w:val="000000" w:themeColor="text1"/>
                <w:sz w:val="24"/>
              </w:rPr>
            </w:pPr>
            <w:r w:rsidRPr="00CC4F07">
              <w:rPr>
                <w:rFonts w:ascii="Gill Sans MT" w:hAnsi="Gill Sans MT"/>
                <w:b/>
                <w:color w:val="000000" w:themeColor="text1"/>
                <w:sz w:val="24"/>
              </w:rPr>
              <w:t>7</w:t>
            </w:r>
            <w:r w:rsidR="0016023C" w:rsidRPr="00CC4F07">
              <w:rPr>
                <w:rFonts w:ascii="Gill Sans MT" w:hAnsi="Gill Sans MT"/>
                <w:b/>
                <w:color w:val="000000" w:themeColor="text1"/>
                <w:sz w:val="24"/>
              </w:rPr>
              <w:t>,585</w:t>
            </w:r>
          </w:p>
        </w:tc>
        <w:tc>
          <w:tcPr>
            <w:tcW w:w="1276" w:type="dxa"/>
          </w:tcPr>
          <w:p w14:paraId="0A3C859F" w14:textId="1CB6E05F" w:rsidR="008713A0" w:rsidRPr="00CC4F07" w:rsidRDefault="0016023C" w:rsidP="006D697C">
            <w:pPr>
              <w:spacing w:after="0"/>
              <w:jc w:val="right"/>
              <w:rPr>
                <w:rFonts w:ascii="Gill Sans MT" w:hAnsi="Gill Sans MT"/>
                <w:b/>
                <w:color w:val="000000" w:themeColor="text1"/>
                <w:sz w:val="24"/>
              </w:rPr>
            </w:pPr>
            <w:r w:rsidRPr="00CC4F07">
              <w:rPr>
                <w:rFonts w:ascii="Gill Sans MT" w:hAnsi="Gill Sans MT"/>
                <w:b/>
                <w:color w:val="000000" w:themeColor="text1"/>
                <w:sz w:val="24"/>
              </w:rPr>
              <w:t>3.3</w:t>
            </w:r>
            <w:r w:rsidR="008713A0" w:rsidRPr="00CC4F07">
              <w:rPr>
                <w:rFonts w:ascii="Gill Sans MT" w:hAnsi="Gill Sans MT"/>
                <w:b/>
                <w:color w:val="000000" w:themeColor="text1"/>
                <w:sz w:val="24"/>
              </w:rPr>
              <w:t>%</w:t>
            </w:r>
          </w:p>
        </w:tc>
        <w:tc>
          <w:tcPr>
            <w:tcW w:w="1276" w:type="dxa"/>
          </w:tcPr>
          <w:p w14:paraId="4EDEE187" w14:textId="77777777" w:rsidR="008713A0" w:rsidRPr="00CC4F07" w:rsidRDefault="008713A0" w:rsidP="006D697C">
            <w:pPr>
              <w:spacing w:after="0"/>
              <w:jc w:val="right"/>
              <w:rPr>
                <w:rFonts w:ascii="Gill Sans MT" w:hAnsi="Gill Sans MT"/>
                <w:b/>
                <w:color w:val="000000" w:themeColor="text1"/>
                <w:sz w:val="24"/>
              </w:rPr>
            </w:pPr>
            <w:r w:rsidRPr="00CC4F07">
              <w:rPr>
                <w:rFonts w:ascii="Gill Sans MT" w:hAnsi="Gill Sans MT"/>
                <w:b/>
                <w:color w:val="000000" w:themeColor="text1"/>
                <w:sz w:val="24"/>
              </w:rPr>
              <w:t>100%</w:t>
            </w:r>
          </w:p>
        </w:tc>
        <w:tc>
          <w:tcPr>
            <w:tcW w:w="1275" w:type="dxa"/>
          </w:tcPr>
          <w:p w14:paraId="577EDDCB" w14:textId="77777777" w:rsidR="008713A0" w:rsidRPr="00CC4F07" w:rsidRDefault="008713A0" w:rsidP="006D697C">
            <w:pPr>
              <w:spacing w:after="0"/>
              <w:jc w:val="right"/>
              <w:rPr>
                <w:rFonts w:ascii="Gill Sans MT" w:hAnsi="Gill Sans MT"/>
                <w:b/>
                <w:color w:val="000000" w:themeColor="text1"/>
                <w:sz w:val="24"/>
              </w:rPr>
            </w:pPr>
            <w:r w:rsidRPr="00CC4F07">
              <w:rPr>
                <w:rFonts w:ascii="Gill Sans MT" w:hAnsi="Gill Sans MT"/>
                <w:b/>
                <w:color w:val="000000" w:themeColor="text1"/>
                <w:sz w:val="24"/>
              </w:rPr>
              <w:t>100%</w:t>
            </w:r>
          </w:p>
        </w:tc>
      </w:tr>
    </w:tbl>
    <w:p w14:paraId="29CC73C1" w14:textId="385B6312" w:rsidR="00933FBD" w:rsidRPr="00CC4F07" w:rsidRDefault="00933FBD" w:rsidP="00B703D7">
      <w:pPr>
        <w:pStyle w:val="Heading3"/>
        <w:keepLines/>
        <w:spacing w:before="240" w:after="40"/>
        <w:rPr>
          <w:rFonts w:ascii="Rockwell" w:hAnsi="Rockwell"/>
          <w:color w:val="BF2296"/>
        </w:rPr>
      </w:pPr>
      <w:r w:rsidRPr="00CC4F07">
        <w:rPr>
          <w:rFonts w:ascii="Rockwell" w:hAnsi="Rockwell"/>
          <w:color w:val="BF2296"/>
        </w:rPr>
        <w:t>Summary</w:t>
      </w:r>
    </w:p>
    <w:p w14:paraId="145F9AFC" w14:textId="048346D1" w:rsidR="008C48C5" w:rsidRDefault="000B1AD1" w:rsidP="00B703D7">
      <w:pPr>
        <w:sectPr w:rsidR="008C48C5" w:rsidSect="00D555D0">
          <w:pgSz w:w="12240" w:h="15840"/>
          <w:pgMar w:top="1418" w:right="1758" w:bottom="1418" w:left="1758" w:header="709" w:footer="709" w:gutter="0"/>
          <w:cols w:space="708"/>
          <w:docGrid w:linePitch="360"/>
        </w:sectPr>
      </w:pPr>
      <w:r w:rsidRPr="00CC4F07">
        <w:t>Just over half of the total public sector workforce is accounted for by employees working for the largest bodies (+5,000). This largest size category faile</w:t>
      </w:r>
      <w:r w:rsidR="0020009F" w:rsidRPr="00CC4F07">
        <w:t xml:space="preserve">d to reach the </w:t>
      </w:r>
      <w:r w:rsidR="009B11ED">
        <w:t xml:space="preserve">minimum </w:t>
      </w:r>
      <w:r w:rsidR="0020009F" w:rsidRPr="00CC4F07">
        <w:t>3% target in 2018</w:t>
      </w:r>
      <w:r w:rsidRPr="00CC4F07">
        <w:t xml:space="preserve">, </w:t>
      </w:r>
      <w:r w:rsidR="0020009F" w:rsidRPr="00CC4F07">
        <w:t>at 2.3</w:t>
      </w:r>
      <w:r w:rsidRPr="00CC4F07">
        <w:t>%.</w:t>
      </w:r>
      <w:bookmarkStart w:id="35" w:name="_Toc498585836"/>
    </w:p>
    <w:p w14:paraId="543088C5" w14:textId="73E0DBDD" w:rsidR="00933FBD" w:rsidRPr="008C48C5" w:rsidRDefault="00933FBD" w:rsidP="008C48C5">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b w:val="0"/>
          <w:bCs w:val="0"/>
          <w:color w:val="CC3399"/>
          <w:sz w:val="56"/>
          <w:szCs w:val="56"/>
        </w:rPr>
      </w:pPr>
      <w:bookmarkStart w:id="36" w:name="_Toc18680252"/>
      <w:r w:rsidRPr="008C48C5">
        <w:rPr>
          <w:rFonts w:ascii="Rockwell" w:hAnsi="Rockwell"/>
          <w:color w:val="CC3399"/>
          <w:sz w:val="56"/>
          <w:szCs w:val="56"/>
        </w:rPr>
        <w:lastRenderedPageBreak/>
        <w:t>3. Monitoring and Compliance</w:t>
      </w:r>
      <w:bookmarkEnd w:id="35"/>
      <w:bookmarkEnd w:id="36"/>
    </w:p>
    <w:p w14:paraId="71E02DAF" w14:textId="5ED65DAD" w:rsidR="00933FBD" w:rsidRPr="00CC4F07" w:rsidRDefault="001C699B" w:rsidP="00933FBD">
      <w:pPr>
        <w:pStyle w:val="Heading2"/>
        <w:rPr>
          <w:rFonts w:ascii="Rockwell" w:hAnsi="Rockwell"/>
          <w:color w:val="CC3399"/>
          <w:sz w:val="32"/>
          <w:szCs w:val="32"/>
        </w:rPr>
      </w:pPr>
      <w:bookmarkStart w:id="37" w:name="_Toc498585838"/>
      <w:bookmarkStart w:id="38" w:name="_Toc526435819"/>
      <w:bookmarkStart w:id="39" w:name="_Toc18680253"/>
      <w:r w:rsidRPr="00CC4F07">
        <w:rPr>
          <w:rFonts w:ascii="Rockwell" w:hAnsi="Rockwell"/>
          <w:color w:val="CC3399"/>
          <w:sz w:val="32"/>
          <w:szCs w:val="32"/>
        </w:rPr>
        <w:t>3.1</w:t>
      </w:r>
      <w:r w:rsidR="00933FBD" w:rsidRPr="00CC4F07">
        <w:rPr>
          <w:rFonts w:ascii="Rockwell" w:hAnsi="Rockwell"/>
          <w:color w:val="CC3399"/>
          <w:sz w:val="32"/>
          <w:szCs w:val="32"/>
        </w:rPr>
        <w:t xml:space="preserve"> </w:t>
      </w:r>
      <w:bookmarkEnd w:id="37"/>
      <w:r w:rsidR="00714529" w:rsidRPr="00CC4F07">
        <w:rPr>
          <w:rFonts w:ascii="Rockwell" w:hAnsi="Rockwell"/>
          <w:color w:val="CC3399"/>
          <w:sz w:val="32"/>
          <w:szCs w:val="32"/>
        </w:rPr>
        <w:t>Compliance with the Act - 2015</w:t>
      </w:r>
      <w:r w:rsidR="00933FBD" w:rsidRPr="00CC4F07">
        <w:rPr>
          <w:rFonts w:ascii="Rockwell" w:hAnsi="Rockwell"/>
          <w:color w:val="CC3399"/>
          <w:sz w:val="32"/>
          <w:szCs w:val="32"/>
        </w:rPr>
        <w:t xml:space="preserve"> and 201</w:t>
      </w:r>
      <w:bookmarkEnd w:id="38"/>
      <w:r w:rsidR="00714529" w:rsidRPr="00CC4F07">
        <w:rPr>
          <w:rFonts w:ascii="Rockwell" w:hAnsi="Rockwell"/>
          <w:color w:val="CC3399"/>
          <w:sz w:val="32"/>
          <w:szCs w:val="32"/>
        </w:rPr>
        <w:t>6</w:t>
      </w:r>
      <w:bookmarkEnd w:id="39"/>
    </w:p>
    <w:p w14:paraId="0EB090EA" w14:textId="3A387BE5" w:rsidR="00E9588C" w:rsidRPr="00CC4F07" w:rsidRDefault="00E9588C" w:rsidP="00E9588C">
      <w:pPr>
        <w:spacing w:after="120"/>
        <w:rPr>
          <w:color w:val="000000" w:themeColor="text1"/>
        </w:rPr>
      </w:pPr>
      <w:bookmarkStart w:id="40" w:name="_Toc498585840"/>
      <w:bookmarkStart w:id="41" w:name="_Toc526435820"/>
      <w:r w:rsidRPr="00CC4F07">
        <w:rPr>
          <w:color w:val="000000" w:themeColor="text1"/>
        </w:rPr>
        <w:t>In 2017 and 2018, the NDA made S</w:t>
      </w:r>
      <w:r w:rsidR="00BE2A70" w:rsidRPr="00CC4F07">
        <w:rPr>
          <w:color w:val="000000" w:themeColor="text1"/>
        </w:rPr>
        <w:t>.</w:t>
      </w:r>
      <w:r w:rsidRPr="00CC4F07">
        <w:rPr>
          <w:color w:val="000000" w:themeColor="text1"/>
        </w:rPr>
        <w:t>49 requests to eleven public bodies (</w:t>
      </w:r>
      <w:r w:rsidR="00D7172A" w:rsidRPr="00CC4F07">
        <w:rPr>
          <w:color w:val="000000" w:themeColor="text1"/>
        </w:rPr>
        <w:t xml:space="preserve">with </w:t>
      </w:r>
      <w:r w:rsidR="00BE2A70" w:rsidRPr="00CC4F07">
        <w:rPr>
          <w:color w:val="000000" w:themeColor="text1"/>
        </w:rPr>
        <w:t>more than 50 staff</w:t>
      </w:r>
      <w:r w:rsidRPr="00CC4F07">
        <w:rPr>
          <w:color w:val="000000" w:themeColor="text1"/>
        </w:rPr>
        <w:t xml:space="preserve">) who had not </w:t>
      </w:r>
      <w:r w:rsidR="00BE33FC">
        <w:rPr>
          <w:color w:val="000000" w:themeColor="text1"/>
        </w:rPr>
        <w:t xml:space="preserve">reached the </w:t>
      </w:r>
      <w:r w:rsidR="009B11ED">
        <w:rPr>
          <w:color w:val="000000" w:themeColor="text1"/>
        </w:rPr>
        <w:t xml:space="preserve">minimum </w:t>
      </w:r>
      <w:r w:rsidR="00BE33FC">
        <w:rPr>
          <w:color w:val="000000" w:themeColor="text1"/>
        </w:rPr>
        <w:t>3%</w:t>
      </w:r>
      <w:r w:rsidR="009B11ED">
        <w:rPr>
          <w:color w:val="000000" w:themeColor="text1"/>
        </w:rPr>
        <w:t xml:space="preserve"> target</w:t>
      </w:r>
      <w:r w:rsidR="00BE33FC">
        <w:rPr>
          <w:color w:val="000000" w:themeColor="text1"/>
        </w:rPr>
        <w:t xml:space="preserve"> in 2015 and 2016.</w:t>
      </w:r>
    </w:p>
    <w:p w14:paraId="39A3E64B" w14:textId="3AD636A0" w:rsidR="00E9588C" w:rsidRPr="00CC4F07" w:rsidRDefault="00E9588C" w:rsidP="00F53C61">
      <w:pPr>
        <w:rPr>
          <w:color w:val="000000" w:themeColor="text1"/>
        </w:rPr>
      </w:pPr>
      <w:r w:rsidRPr="00CC4F07">
        <w:rPr>
          <w:color w:val="000000" w:themeColor="text1"/>
        </w:rPr>
        <w:t>The NDA reviewed their responses with due regard to the extent of the effort made by thos</w:t>
      </w:r>
      <w:r w:rsidR="00BE33FC">
        <w:rPr>
          <w:color w:val="000000" w:themeColor="text1"/>
        </w:rPr>
        <w:t>e bodies to improve compliance.</w:t>
      </w:r>
    </w:p>
    <w:p w14:paraId="14BA554A" w14:textId="188E67C5" w:rsidR="00714529" w:rsidRPr="00BE33FC" w:rsidRDefault="00E9588C" w:rsidP="0071585A">
      <w:pPr>
        <w:spacing w:after="120"/>
      </w:pPr>
      <w:r w:rsidRPr="00CC4F07">
        <w:t xml:space="preserve">The NDA has determined that </w:t>
      </w:r>
      <w:r w:rsidR="00FF26B9" w:rsidRPr="00CC4F07">
        <w:t>seven</w:t>
      </w:r>
      <w:r w:rsidRPr="00CC4F07">
        <w:t xml:space="preserve"> </w:t>
      </w:r>
      <w:r w:rsidR="00CB719A" w:rsidRPr="00CC4F07">
        <w:rPr>
          <w:color w:val="000000" w:themeColor="text1"/>
        </w:rPr>
        <w:t xml:space="preserve">of those </w:t>
      </w:r>
      <w:r w:rsidRPr="00CC4F07">
        <w:t>bodies were non-compliant with Part 5 of the Disability Act 2005 for 2015 and 2016</w:t>
      </w:r>
      <w:r w:rsidR="00CB719A" w:rsidRPr="00CC4F07">
        <w:t xml:space="preserve"> </w:t>
      </w:r>
      <w:r w:rsidR="00CB719A" w:rsidRPr="00CC4F07">
        <w:rPr>
          <w:color w:val="000000" w:themeColor="text1"/>
        </w:rPr>
        <w:t xml:space="preserve">as </w:t>
      </w:r>
      <w:r w:rsidR="00CB719A" w:rsidRPr="00BE33FC">
        <w:t>follows</w:t>
      </w:r>
      <w:r w:rsidR="00BE33FC">
        <w:t>:</w:t>
      </w:r>
    </w:p>
    <w:p w14:paraId="3B616F89" w14:textId="77777777" w:rsidR="00FF26B9" w:rsidRPr="00CC4F07" w:rsidRDefault="00FF26B9" w:rsidP="00E9588C">
      <w:pPr>
        <w:pStyle w:val="ListParagraph"/>
        <w:numPr>
          <w:ilvl w:val="0"/>
          <w:numId w:val="39"/>
        </w:numPr>
      </w:pPr>
      <w:r w:rsidRPr="00CC4F07">
        <w:t>HSE</w:t>
      </w:r>
    </w:p>
    <w:p w14:paraId="5C63231F" w14:textId="06C1297E" w:rsidR="00E9588C" w:rsidRPr="00CC4F07" w:rsidRDefault="00E9588C" w:rsidP="00E9588C">
      <w:pPr>
        <w:pStyle w:val="ListParagraph"/>
        <w:numPr>
          <w:ilvl w:val="0"/>
          <w:numId w:val="39"/>
        </w:numPr>
      </w:pPr>
      <w:r w:rsidRPr="00CC4F07">
        <w:t>Health Research Board</w:t>
      </w:r>
    </w:p>
    <w:p w14:paraId="62475678" w14:textId="77777777" w:rsidR="00E9588C" w:rsidRPr="00CC4F07" w:rsidRDefault="00E9588C" w:rsidP="00E9588C">
      <w:pPr>
        <w:pStyle w:val="ListParagraph"/>
        <w:numPr>
          <w:ilvl w:val="0"/>
          <w:numId w:val="39"/>
        </w:numPr>
      </w:pPr>
      <w:r w:rsidRPr="00CC4F07">
        <w:rPr>
          <w:lang w:eastAsia="en-IE"/>
        </w:rPr>
        <w:t>Horse Racing Ireland</w:t>
      </w:r>
    </w:p>
    <w:p w14:paraId="65CD1D3F" w14:textId="77777777" w:rsidR="00E9588C" w:rsidRPr="00CC4F07" w:rsidRDefault="00E9588C" w:rsidP="00E9588C">
      <w:pPr>
        <w:pStyle w:val="ListParagraph"/>
        <w:numPr>
          <w:ilvl w:val="0"/>
          <w:numId w:val="39"/>
        </w:numPr>
      </w:pPr>
      <w:r w:rsidRPr="00CC4F07">
        <w:rPr>
          <w:lang w:eastAsia="en-IE"/>
        </w:rPr>
        <w:t>Irish Blood Transfusion Service</w:t>
      </w:r>
    </w:p>
    <w:p w14:paraId="08E7EA0F" w14:textId="77777777" w:rsidR="00E9588C" w:rsidRPr="00CC4F07" w:rsidRDefault="00E9588C" w:rsidP="00E9588C">
      <w:pPr>
        <w:pStyle w:val="ListParagraph"/>
        <w:numPr>
          <w:ilvl w:val="0"/>
          <w:numId w:val="39"/>
        </w:numPr>
      </w:pPr>
      <w:r w:rsidRPr="00CC4F07">
        <w:rPr>
          <w:lang w:eastAsia="en-IE"/>
        </w:rPr>
        <w:t>National College of Arts and Design</w:t>
      </w:r>
    </w:p>
    <w:p w14:paraId="72E75F54" w14:textId="77777777" w:rsidR="00E9588C" w:rsidRPr="00CC4F07" w:rsidRDefault="00E9588C" w:rsidP="00E9588C">
      <w:pPr>
        <w:pStyle w:val="ListParagraph"/>
        <w:numPr>
          <w:ilvl w:val="0"/>
          <w:numId w:val="39"/>
        </w:numPr>
      </w:pPr>
      <w:r w:rsidRPr="00CC4F07">
        <w:rPr>
          <w:lang w:eastAsia="en-IE"/>
        </w:rPr>
        <w:t>Personal Injuries Assessment Board</w:t>
      </w:r>
    </w:p>
    <w:p w14:paraId="31410AA9" w14:textId="77777777" w:rsidR="00E9588C" w:rsidRPr="00CC4F07" w:rsidRDefault="00E9588C" w:rsidP="00E9588C">
      <w:pPr>
        <w:pStyle w:val="ListParagraph"/>
        <w:numPr>
          <w:ilvl w:val="0"/>
          <w:numId w:val="39"/>
        </w:numPr>
      </w:pPr>
      <w:r w:rsidRPr="00CC4F07">
        <w:rPr>
          <w:lang w:eastAsia="en-IE"/>
        </w:rPr>
        <w:t>Quality and Qualifications Ireland</w:t>
      </w:r>
    </w:p>
    <w:p w14:paraId="11A69C2A" w14:textId="6E305ACF" w:rsidR="00E9588C" w:rsidRPr="00CC4F07" w:rsidRDefault="00E9588C" w:rsidP="00F53C61">
      <w:r w:rsidRPr="00CC4F07">
        <w:t xml:space="preserve">The NDA has contacted the relevant Ministers and these public bodies regarding these determinations of non-compliance and </w:t>
      </w:r>
      <w:r w:rsidR="00CB719A" w:rsidRPr="00CC4F07">
        <w:rPr>
          <w:color w:val="000000" w:themeColor="text1"/>
        </w:rPr>
        <w:t xml:space="preserve">advised of </w:t>
      </w:r>
      <w:r w:rsidRPr="00CC4F07">
        <w:t>the actions these public bodies need to implement under Part</w:t>
      </w:r>
      <w:r w:rsidR="00BE33FC">
        <w:t xml:space="preserve"> 5 of the Disability Act 2005.</w:t>
      </w:r>
    </w:p>
    <w:p w14:paraId="35E64BCF" w14:textId="4FAC6332" w:rsidR="00D7172A" w:rsidRPr="00CC4F07" w:rsidRDefault="00E9588C" w:rsidP="0071585A">
      <w:pPr>
        <w:spacing w:after="120"/>
      </w:pPr>
      <w:r w:rsidRPr="00CC4F07">
        <w:t>The NDA is pleased to note that</w:t>
      </w:r>
      <w:r w:rsidR="00D7172A" w:rsidRPr="00CC4F07">
        <w:t xml:space="preserve"> the following four public bodies</w:t>
      </w:r>
      <w:r w:rsidR="00CB719A" w:rsidRPr="00CC4F07">
        <w:t xml:space="preserve"> </w:t>
      </w:r>
      <w:r w:rsidR="007779F3" w:rsidRPr="00CC4F07">
        <w:t xml:space="preserve">have </w:t>
      </w:r>
      <w:r w:rsidR="006A2CE0" w:rsidRPr="00CC4F07">
        <w:rPr>
          <w:color w:val="000000" w:themeColor="text1"/>
        </w:rPr>
        <w:t>since reached</w:t>
      </w:r>
      <w:r w:rsidR="00D7172A" w:rsidRPr="00CC4F07">
        <w:t xml:space="preserve"> the minimum 3% target in 2017:</w:t>
      </w:r>
    </w:p>
    <w:p w14:paraId="67CE1757" w14:textId="77777777" w:rsidR="00D7172A" w:rsidRPr="00CC4F07" w:rsidRDefault="00D7172A" w:rsidP="00F53C61">
      <w:pPr>
        <w:pStyle w:val="ListBullet"/>
      </w:pPr>
      <w:r w:rsidRPr="00CC4F07">
        <w:t>Horse Racing Ireland</w:t>
      </w:r>
    </w:p>
    <w:p w14:paraId="769BCB58" w14:textId="18BD4017" w:rsidR="00D7172A" w:rsidRPr="00CC4F07" w:rsidRDefault="00F53C61" w:rsidP="00F53C61">
      <w:pPr>
        <w:pStyle w:val="ListBullet"/>
      </w:pPr>
      <w:r w:rsidRPr="00CC4F07">
        <w:t>T</w:t>
      </w:r>
      <w:r w:rsidR="00E9588C" w:rsidRPr="00CC4F07">
        <w:t>he Irish Blood Transfusion Services</w:t>
      </w:r>
    </w:p>
    <w:p w14:paraId="183B2D69" w14:textId="77777777" w:rsidR="00D7172A" w:rsidRPr="00CC4F07" w:rsidRDefault="00E9588C" w:rsidP="00F53C61">
      <w:pPr>
        <w:pStyle w:val="ListBullet"/>
      </w:pPr>
      <w:r w:rsidRPr="00CC4F07">
        <w:t>Nation</w:t>
      </w:r>
      <w:r w:rsidR="00D7172A" w:rsidRPr="00CC4F07">
        <w:t xml:space="preserve">al College of Art and Design </w:t>
      </w:r>
    </w:p>
    <w:p w14:paraId="6EC52909" w14:textId="1A91A242" w:rsidR="007779F3" w:rsidRPr="00CC4F07" w:rsidRDefault="00DB1926" w:rsidP="00BE33FC">
      <w:pPr>
        <w:pStyle w:val="ListBullet"/>
        <w:spacing w:after="240"/>
        <w:ind w:left="357" w:hanging="357"/>
      </w:pPr>
      <w:r w:rsidRPr="00CC4F07">
        <w:t>Qua</w:t>
      </w:r>
      <w:r w:rsidR="00BE33FC">
        <w:t>lity and Qualifications Ireland</w:t>
      </w:r>
    </w:p>
    <w:p w14:paraId="33A39140" w14:textId="00FD67C7" w:rsidR="007779F3" w:rsidRPr="00CC4F07" w:rsidRDefault="007779F3" w:rsidP="007779F3">
      <w:pPr>
        <w:pStyle w:val="ListBullet"/>
        <w:numPr>
          <w:ilvl w:val="0"/>
          <w:numId w:val="0"/>
        </w:numPr>
      </w:pPr>
      <w:r w:rsidRPr="00CC4F07">
        <w:t>In 2018, three of these public bodies have remain</w:t>
      </w:r>
      <w:r w:rsidR="004865F3">
        <w:t>ed</w:t>
      </w:r>
      <w:r w:rsidR="00BE33FC">
        <w:t xml:space="preserve"> complia</w:t>
      </w:r>
      <w:r w:rsidRPr="00CC4F07">
        <w:t>nt</w:t>
      </w:r>
      <w:r w:rsidR="00025200" w:rsidRPr="00CC4F07">
        <w:t>,</w:t>
      </w:r>
      <w:r w:rsidRPr="00CC4F07">
        <w:t xml:space="preserve"> </w:t>
      </w:r>
      <w:proofErr w:type="gramStart"/>
      <w:r w:rsidRPr="00CC4F07">
        <w:t>with the exception of</w:t>
      </w:r>
      <w:proofErr w:type="gramEnd"/>
      <w:r w:rsidRPr="00CC4F07">
        <w:t xml:space="preserve"> the National College of Art and Design </w:t>
      </w:r>
      <w:r w:rsidR="00025200" w:rsidRPr="00CC4F07">
        <w:t>which</w:t>
      </w:r>
      <w:r w:rsidRPr="00CC4F07">
        <w:t xml:space="preserve"> has fal</w:t>
      </w:r>
      <w:r w:rsidR="00025200" w:rsidRPr="00CC4F07">
        <w:t>len below the minimum 3% target for this year</w:t>
      </w:r>
      <w:r w:rsidR="00243479" w:rsidRPr="00CC4F07">
        <w:t>.</w:t>
      </w:r>
    </w:p>
    <w:p w14:paraId="75CD9D5F" w14:textId="0B765CBE" w:rsidR="00933FBD" w:rsidRPr="00CC4F07" w:rsidRDefault="00933FBD" w:rsidP="00933FBD">
      <w:pPr>
        <w:pStyle w:val="Heading2"/>
        <w:rPr>
          <w:rFonts w:ascii="Rockwell" w:hAnsi="Rockwell"/>
          <w:color w:val="CC3399"/>
          <w:sz w:val="32"/>
          <w:szCs w:val="32"/>
        </w:rPr>
      </w:pPr>
      <w:bookmarkStart w:id="42" w:name="_Toc18680254"/>
      <w:r w:rsidRPr="00CC4F07">
        <w:rPr>
          <w:rFonts w:ascii="Rockwell" w:hAnsi="Rockwell"/>
          <w:color w:val="CC3399"/>
          <w:sz w:val="32"/>
          <w:szCs w:val="32"/>
        </w:rPr>
        <w:t>3</w:t>
      </w:r>
      <w:r w:rsidR="00F805BA" w:rsidRPr="00CC4F07">
        <w:rPr>
          <w:rFonts w:ascii="Rockwell" w:hAnsi="Rockwell"/>
          <w:color w:val="CC3399"/>
          <w:sz w:val="32"/>
          <w:szCs w:val="32"/>
        </w:rPr>
        <w:t>.2</w:t>
      </w:r>
      <w:r w:rsidRPr="00CC4F07">
        <w:rPr>
          <w:rFonts w:ascii="Rockwell" w:hAnsi="Rockwell"/>
          <w:color w:val="CC3399"/>
          <w:sz w:val="32"/>
          <w:szCs w:val="32"/>
        </w:rPr>
        <w:t xml:space="preserve"> Compliance with the Act </w:t>
      </w:r>
      <w:r w:rsidR="004067FB" w:rsidRPr="00CC4F07">
        <w:rPr>
          <w:rFonts w:ascii="Rockwell" w:hAnsi="Rockwell"/>
          <w:color w:val="CC3399"/>
          <w:sz w:val="32"/>
          <w:szCs w:val="32"/>
        </w:rPr>
        <w:t>–</w:t>
      </w:r>
      <w:r w:rsidRPr="00CC4F07">
        <w:rPr>
          <w:rFonts w:ascii="Rockwell" w:hAnsi="Rockwell"/>
          <w:color w:val="CC3399"/>
          <w:sz w:val="32"/>
          <w:szCs w:val="32"/>
        </w:rPr>
        <w:t xml:space="preserve"> 201</w:t>
      </w:r>
      <w:bookmarkEnd w:id="40"/>
      <w:bookmarkEnd w:id="41"/>
      <w:r w:rsidR="004067FB" w:rsidRPr="00CC4F07">
        <w:rPr>
          <w:rFonts w:ascii="Rockwell" w:hAnsi="Rockwell"/>
          <w:color w:val="CC3399"/>
          <w:sz w:val="32"/>
          <w:szCs w:val="32"/>
        </w:rPr>
        <w:t>6 and 2017</w:t>
      </w:r>
      <w:bookmarkEnd w:id="42"/>
    </w:p>
    <w:p w14:paraId="65D3CC92" w14:textId="59D4ED17" w:rsidR="00C37437" w:rsidRPr="00CC4F07" w:rsidRDefault="000B1AD1" w:rsidP="0071585A">
      <w:pPr>
        <w:spacing w:after="120"/>
      </w:pPr>
      <w:r w:rsidRPr="00CC4F07">
        <w:t>In 2019, the NDA made S</w:t>
      </w:r>
      <w:r w:rsidR="00043876" w:rsidRPr="00CC4F07">
        <w:t>.</w:t>
      </w:r>
      <w:r w:rsidRPr="00CC4F07">
        <w:t xml:space="preserve">49 requests to the following </w:t>
      </w:r>
      <w:r w:rsidR="00C37437" w:rsidRPr="00CC4F07">
        <w:t xml:space="preserve">three </w:t>
      </w:r>
      <w:r w:rsidRPr="00CC4F07">
        <w:t>public bodies who did not make the minimum 3% target for 2016 and 2017:</w:t>
      </w:r>
    </w:p>
    <w:p w14:paraId="2245E4DB" w14:textId="05E14E84" w:rsidR="000B1AD1" w:rsidRPr="00CC4F07" w:rsidRDefault="000B1AD1" w:rsidP="00F53C61">
      <w:pPr>
        <w:pStyle w:val="ListParagraph"/>
        <w:numPr>
          <w:ilvl w:val="0"/>
          <w:numId w:val="44"/>
        </w:numPr>
      </w:pPr>
      <w:r w:rsidRPr="00CC4F07">
        <w:t xml:space="preserve">The Personal Injuries Assessment Board </w:t>
      </w:r>
      <w:r w:rsidR="00CB719A" w:rsidRPr="00CC4F07">
        <w:rPr>
          <w:color w:val="000000" w:themeColor="text1"/>
        </w:rPr>
        <w:t>(PIAB)</w:t>
      </w:r>
    </w:p>
    <w:p w14:paraId="7217824B" w14:textId="3CA6E34E" w:rsidR="000B1AD1" w:rsidRPr="00CC4F07" w:rsidRDefault="000B1AD1" w:rsidP="00F53C61">
      <w:pPr>
        <w:pStyle w:val="ListParagraph"/>
        <w:numPr>
          <w:ilvl w:val="0"/>
          <w:numId w:val="44"/>
        </w:numPr>
        <w:rPr>
          <w:color w:val="000000" w:themeColor="text1"/>
        </w:rPr>
      </w:pPr>
      <w:r w:rsidRPr="00CC4F07">
        <w:lastRenderedPageBreak/>
        <w:t xml:space="preserve">The Health Research Board </w:t>
      </w:r>
      <w:r w:rsidR="00CB719A" w:rsidRPr="00CC4F07">
        <w:rPr>
          <w:color w:val="000000" w:themeColor="text1"/>
        </w:rPr>
        <w:t>(HRB)</w:t>
      </w:r>
    </w:p>
    <w:p w14:paraId="33FF56EE" w14:textId="3B5B30AB" w:rsidR="000B1AD1" w:rsidRPr="00CC4F07" w:rsidRDefault="00BE33FC" w:rsidP="00F53C61">
      <w:pPr>
        <w:pStyle w:val="ListParagraph"/>
        <w:numPr>
          <w:ilvl w:val="0"/>
          <w:numId w:val="44"/>
        </w:numPr>
      </w:pPr>
      <w:r>
        <w:t>IT Waterford</w:t>
      </w:r>
    </w:p>
    <w:p w14:paraId="32DF9F82" w14:textId="0BF9177F" w:rsidR="00F73C73" w:rsidRPr="00CC4F07" w:rsidRDefault="00F73C73" w:rsidP="00F73C73">
      <w:pPr>
        <w:rPr>
          <w:color w:val="000000" w:themeColor="text1"/>
        </w:rPr>
      </w:pPr>
      <w:r w:rsidRPr="00CC4F07">
        <w:rPr>
          <w:color w:val="000000" w:themeColor="text1"/>
        </w:rPr>
        <w:t>The NDA reviewed the responses received from these public bodies with due regard to the extent of the effort made by those</w:t>
      </w:r>
      <w:r w:rsidR="00BE33FC">
        <w:rPr>
          <w:color w:val="000000" w:themeColor="text1"/>
        </w:rPr>
        <w:t xml:space="preserve"> bodies to improve compliance. </w:t>
      </w:r>
      <w:r w:rsidRPr="00CC4F07">
        <w:rPr>
          <w:color w:val="000000" w:themeColor="text1"/>
        </w:rPr>
        <w:t>The NDA sought clarification where necessary on information provided by these public bodies and determinations of non-compl</w:t>
      </w:r>
      <w:r w:rsidR="00CB719A" w:rsidRPr="00CC4F07">
        <w:rPr>
          <w:color w:val="000000" w:themeColor="text1"/>
        </w:rPr>
        <w:t>iance were decided in the case of the PIAB and the HRB.</w:t>
      </w:r>
    </w:p>
    <w:p w14:paraId="13EC0D93" w14:textId="30F5C1B8" w:rsidR="00F73C73" w:rsidRPr="00CC4F07" w:rsidRDefault="00F73C73" w:rsidP="00F73C73">
      <w:pPr>
        <w:rPr>
          <w:color w:val="000000" w:themeColor="text1"/>
        </w:rPr>
      </w:pPr>
      <w:r w:rsidRPr="00CC4F07">
        <w:rPr>
          <w:color w:val="000000" w:themeColor="text1"/>
        </w:rPr>
        <w:t xml:space="preserve">The NDA is pleased to note that the following public bodies </w:t>
      </w:r>
      <w:r w:rsidR="00E9588C" w:rsidRPr="00CC4F07">
        <w:rPr>
          <w:color w:val="000000" w:themeColor="text1"/>
        </w:rPr>
        <w:t>who did not</w:t>
      </w:r>
      <w:r w:rsidR="0026506B" w:rsidRPr="00CC4F07">
        <w:rPr>
          <w:color w:val="000000" w:themeColor="text1"/>
        </w:rPr>
        <w:t xml:space="preserve"> reach the minimum 3% target in 2016 and 2017 achieved complia</w:t>
      </w:r>
      <w:r w:rsidR="0071585A">
        <w:rPr>
          <w:color w:val="000000" w:themeColor="text1"/>
        </w:rPr>
        <w:t>nce in 2018.</w:t>
      </w:r>
    </w:p>
    <w:p w14:paraId="0493E1A9" w14:textId="5C0BA2AB" w:rsidR="008160E2" w:rsidRPr="00CC4F07" w:rsidRDefault="001330A5" w:rsidP="00F53C61">
      <w:pPr>
        <w:pStyle w:val="TableTitle"/>
      </w:pPr>
      <w:r w:rsidRPr="00CC4F07">
        <w:t xml:space="preserve">Table 5. </w:t>
      </w:r>
      <w:r w:rsidR="008160E2" w:rsidRPr="00CC4F07">
        <w:t>Public bodies that achieved compliance in 2018</w:t>
      </w:r>
    </w:p>
    <w:tbl>
      <w:tblPr>
        <w:tblW w:w="9072"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4"/>
        <w:gridCol w:w="1523"/>
        <w:gridCol w:w="1276"/>
        <w:gridCol w:w="1276"/>
        <w:gridCol w:w="1275"/>
        <w:gridCol w:w="2268"/>
      </w:tblGrid>
      <w:tr w:rsidR="0026506B" w:rsidRPr="00CC4F07" w14:paraId="1CA39A34" w14:textId="77777777" w:rsidTr="00F14292">
        <w:trPr>
          <w:tblHeader/>
        </w:trPr>
        <w:tc>
          <w:tcPr>
            <w:tcW w:w="1454" w:type="dxa"/>
            <w:tcBorders>
              <w:bottom w:val="single" w:sz="12" w:space="0" w:color="000000"/>
            </w:tcBorders>
          </w:tcPr>
          <w:p w14:paraId="13510D2B" w14:textId="77777777" w:rsidR="0026506B" w:rsidRPr="00CC4F07" w:rsidRDefault="0026506B" w:rsidP="00F14292">
            <w:pPr>
              <w:pStyle w:val="TableHead"/>
              <w:jc w:val="right"/>
              <w:rPr>
                <w:sz w:val="22"/>
                <w:szCs w:val="22"/>
              </w:rPr>
            </w:pPr>
          </w:p>
        </w:tc>
        <w:tc>
          <w:tcPr>
            <w:tcW w:w="2799" w:type="dxa"/>
            <w:gridSpan w:val="2"/>
            <w:tcBorders>
              <w:bottom w:val="single" w:sz="12" w:space="0" w:color="000000"/>
            </w:tcBorders>
          </w:tcPr>
          <w:p w14:paraId="2772E9F0" w14:textId="77777777" w:rsidR="0026506B" w:rsidRPr="00CC4F07" w:rsidRDefault="0026506B" w:rsidP="00F14292">
            <w:pPr>
              <w:pStyle w:val="TableHead"/>
              <w:rPr>
                <w:sz w:val="22"/>
                <w:szCs w:val="22"/>
              </w:rPr>
            </w:pPr>
            <w:r w:rsidRPr="00CC4F07">
              <w:rPr>
                <w:sz w:val="22"/>
                <w:szCs w:val="22"/>
              </w:rPr>
              <w:t>Total number of employees</w:t>
            </w:r>
          </w:p>
        </w:tc>
        <w:tc>
          <w:tcPr>
            <w:tcW w:w="2551" w:type="dxa"/>
            <w:gridSpan w:val="2"/>
            <w:tcBorders>
              <w:bottom w:val="single" w:sz="12" w:space="0" w:color="000000"/>
            </w:tcBorders>
          </w:tcPr>
          <w:p w14:paraId="7E856251" w14:textId="57BF03DD" w:rsidR="0026506B" w:rsidRPr="00CC4F07" w:rsidRDefault="0071585A" w:rsidP="00F14292">
            <w:pPr>
              <w:pStyle w:val="TableHead"/>
              <w:rPr>
                <w:sz w:val="22"/>
                <w:szCs w:val="22"/>
              </w:rPr>
            </w:pPr>
            <w:r>
              <w:rPr>
                <w:sz w:val="22"/>
                <w:szCs w:val="22"/>
              </w:rPr>
              <w:t xml:space="preserve">Number and % of employees with </w:t>
            </w:r>
            <w:r w:rsidR="0026506B" w:rsidRPr="00CC4F07">
              <w:rPr>
                <w:sz w:val="22"/>
                <w:szCs w:val="22"/>
              </w:rPr>
              <w:t xml:space="preserve">disabilities </w:t>
            </w:r>
          </w:p>
        </w:tc>
        <w:tc>
          <w:tcPr>
            <w:tcW w:w="2268" w:type="dxa"/>
            <w:tcBorders>
              <w:bottom w:val="single" w:sz="12" w:space="0" w:color="000000"/>
            </w:tcBorders>
          </w:tcPr>
          <w:p w14:paraId="5E19BE3A" w14:textId="77777777" w:rsidR="0026506B" w:rsidRPr="00CC4F07" w:rsidRDefault="0026506B" w:rsidP="00F14292">
            <w:pPr>
              <w:pStyle w:val="TableHead"/>
              <w:jc w:val="right"/>
              <w:rPr>
                <w:sz w:val="22"/>
                <w:szCs w:val="22"/>
              </w:rPr>
            </w:pPr>
          </w:p>
        </w:tc>
      </w:tr>
      <w:tr w:rsidR="0026506B" w:rsidRPr="00CC4F07" w14:paraId="4E3079BA" w14:textId="77777777" w:rsidTr="00F14292">
        <w:trPr>
          <w:tblHeader/>
        </w:trPr>
        <w:tc>
          <w:tcPr>
            <w:tcW w:w="1454" w:type="dxa"/>
            <w:tcBorders>
              <w:bottom w:val="single" w:sz="12" w:space="0" w:color="000000"/>
            </w:tcBorders>
          </w:tcPr>
          <w:p w14:paraId="4B5F7C48" w14:textId="77777777" w:rsidR="0026506B" w:rsidRPr="00CC4F07" w:rsidRDefault="0026506B" w:rsidP="00F14292">
            <w:pPr>
              <w:pStyle w:val="TableHead"/>
              <w:rPr>
                <w:sz w:val="22"/>
                <w:szCs w:val="22"/>
              </w:rPr>
            </w:pPr>
            <w:r w:rsidRPr="00CC4F07">
              <w:rPr>
                <w:sz w:val="22"/>
                <w:szCs w:val="22"/>
              </w:rPr>
              <w:t xml:space="preserve">Public Body </w:t>
            </w:r>
          </w:p>
        </w:tc>
        <w:tc>
          <w:tcPr>
            <w:tcW w:w="1523" w:type="dxa"/>
            <w:tcBorders>
              <w:bottom w:val="single" w:sz="12" w:space="0" w:color="000000"/>
            </w:tcBorders>
          </w:tcPr>
          <w:p w14:paraId="292FA342" w14:textId="32EF0DB7" w:rsidR="0026506B" w:rsidRPr="00CC4F07" w:rsidRDefault="0026506B" w:rsidP="00BE33FC">
            <w:pPr>
              <w:pStyle w:val="TableHead"/>
              <w:jc w:val="right"/>
              <w:rPr>
                <w:sz w:val="22"/>
                <w:szCs w:val="22"/>
              </w:rPr>
            </w:pPr>
            <w:r w:rsidRPr="00CC4F07">
              <w:rPr>
                <w:sz w:val="22"/>
                <w:szCs w:val="22"/>
              </w:rPr>
              <w:t>2017</w:t>
            </w:r>
          </w:p>
        </w:tc>
        <w:tc>
          <w:tcPr>
            <w:tcW w:w="1276" w:type="dxa"/>
            <w:tcBorders>
              <w:bottom w:val="single" w:sz="12" w:space="0" w:color="000000"/>
            </w:tcBorders>
          </w:tcPr>
          <w:p w14:paraId="2396F14C" w14:textId="6EE86F20" w:rsidR="0026506B" w:rsidRPr="00CC4F07" w:rsidRDefault="0026506B" w:rsidP="00BE33FC">
            <w:pPr>
              <w:pStyle w:val="TableHead"/>
              <w:jc w:val="right"/>
              <w:rPr>
                <w:sz w:val="22"/>
                <w:szCs w:val="22"/>
              </w:rPr>
            </w:pPr>
            <w:r w:rsidRPr="00CC4F07">
              <w:rPr>
                <w:sz w:val="22"/>
                <w:szCs w:val="22"/>
              </w:rPr>
              <w:t>2018</w:t>
            </w:r>
          </w:p>
        </w:tc>
        <w:tc>
          <w:tcPr>
            <w:tcW w:w="1276" w:type="dxa"/>
            <w:tcBorders>
              <w:bottom w:val="single" w:sz="12" w:space="0" w:color="000000"/>
            </w:tcBorders>
          </w:tcPr>
          <w:p w14:paraId="70B3ADAC" w14:textId="035E3D1F" w:rsidR="0026506B" w:rsidRPr="00CC4F07" w:rsidRDefault="0026506B" w:rsidP="00BE33FC">
            <w:pPr>
              <w:pStyle w:val="TableHead"/>
              <w:jc w:val="right"/>
              <w:rPr>
                <w:sz w:val="22"/>
                <w:szCs w:val="22"/>
              </w:rPr>
            </w:pPr>
            <w:r w:rsidRPr="00CC4F07">
              <w:rPr>
                <w:sz w:val="22"/>
                <w:szCs w:val="22"/>
              </w:rPr>
              <w:t>2017</w:t>
            </w:r>
          </w:p>
        </w:tc>
        <w:tc>
          <w:tcPr>
            <w:tcW w:w="1275" w:type="dxa"/>
            <w:tcBorders>
              <w:bottom w:val="single" w:sz="12" w:space="0" w:color="000000"/>
            </w:tcBorders>
          </w:tcPr>
          <w:p w14:paraId="381AA11C" w14:textId="6A8035A2" w:rsidR="0026506B" w:rsidRPr="00CC4F07" w:rsidRDefault="0026506B" w:rsidP="00BE33FC">
            <w:pPr>
              <w:pStyle w:val="TableHead"/>
              <w:jc w:val="right"/>
              <w:rPr>
                <w:sz w:val="22"/>
                <w:szCs w:val="22"/>
              </w:rPr>
            </w:pPr>
            <w:r w:rsidRPr="00CC4F07">
              <w:rPr>
                <w:sz w:val="22"/>
                <w:szCs w:val="22"/>
              </w:rPr>
              <w:t>2018</w:t>
            </w:r>
          </w:p>
        </w:tc>
        <w:tc>
          <w:tcPr>
            <w:tcW w:w="2268" w:type="dxa"/>
            <w:tcBorders>
              <w:bottom w:val="single" w:sz="12" w:space="0" w:color="000000"/>
            </w:tcBorders>
          </w:tcPr>
          <w:p w14:paraId="70A3924D" w14:textId="07CDE576" w:rsidR="0026506B" w:rsidRPr="00CC4F07" w:rsidRDefault="0026506B" w:rsidP="00F14292">
            <w:pPr>
              <w:pStyle w:val="TableHead"/>
              <w:rPr>
                <w:sz w:val="22"/>
                <w:szCs w:val="22"/>
              </w:rPr>
            </w:pPr>
            <w:r w:rsidRPr="00CC4F07">
              <w:rPr>
                <w:sz w:val="22"/>
                <w:szCs w:val="22"/>
              </w:rPr>
              <w:t>Increase in the number of employees with disabilities in 2018</w:t>
            </w:r>
          </w:p>
        </w:tc>
      </w:tr>
      <w:tr w:rsidR="0026506B" w:rsidRPr="00CC4F07" w14:paraId="05FE96C2" w14:textId="77777777" w:rsidTr="00F14292">
        <w:tc>
          <w:tcPr>
            <w:tcW w:w="1454" w:type="dxa"/>
          </w:tcPr>
          <w:p w14:paraId="34BAA1D3" w14:textId="1955E086" w:rsidR="0026506B" w:rsidRPr="00CC4F07" w:rsidRDefault="0026506B" w:rsidP="00F14292">
            <w:pPr>
              <w:pStyle w:val="TableRowHead"/>
              <w:rPr>
                <w:rFonts w:ascii="Gill Sans MT" w:hAnsi="Gill Sans MT"/>
                <w:b w:val="0"/>
                <w:sz w:val="22"/>
                <w:szCs w:val="22"/>
              </w:rPr>
            </w:pPr>
            <w:r w:rsidRPr="00CC4F07">
              <w:rPr>
                <w:rFonts w:ascii="Gill Sans MT" w:hAnsi="Gill Sans MT"/>
                <w:b w:val="0"/>
                <w:sz w:val="22"/>
                <w:szCs w:val="22"/>
              </w:rPr>
              <w:t>Health Research Board</w:t>
            </w:r>
          </w:p>
        </w:tc>
        <w:tc>
          <w:tcPr>
            <w:tcW w:w="1523" w:type="dxa"/>
          </w:tcPr>
          <w:p w14:paraId="76DED98A" w14:textId="62AF3607" w:rsidR="0026506B" w:rsidRPr="00CC4F07" w:rsidRDefault="0026506B" w:rsidP="00F14292">
            <w:pPr>
              <w:pStyle w:val="TableCell"/>
              <w:rPr>
                <w:rFonts w:ascii="Gill Sans MT" w:hAnsi="Gill Sans MT"/>
                <w:sz w:val="22"/>
                <w:szCs w:val="22"/>
              </w:rPr>
            </w:pPr>
            <w:r w:rsidRPr="00CC4F07">
              <w:rPr>
                <w:rFonts w:ascii="Gill Sans MT" w:hAnsi="Gill Sans MT"/>
                <w:sz w:val="22"/>
                <w:szCs w:val="22"/>
              </w:rPr>
              <w:t>63</w:t>
            </w:r>
          </w:p>
        </w:tc>
        <w:tc>
          <w:tcPr>
            <w:tcW w:w="1276" w:type="dxa"/>
          </w:tcPr>
          <w:p w14:paraId="5E4C84AF" w14:textId="5242C334" w:rsidR="0026506B" w:rsidRPr="00CC4F07" w:rsidRDefault="0026506B" w:rsidP="00F14292">
            <w:pPr>
              <w:pStyle w:val="TableCell"/>
              <w:rPr>
                <w:rFonts w:ascii="Gill Sans MT" w:hAnsi="Gill Sans MT"/>
                <w:sz w:val="22"/>
                <w:szCs w:val="22"/>
              </w:rPr>
            </w:pPr>
            <w:r w:rsidRPr="00CC4F07">
              <w:rPr>
                <w:rFonts w:ascii="Gill Sans MT" w:hAnsi="Gill Sans MT"/>
                <w:sz w:val="22"/>
                <w:szCs w:val="22"/>
              </w:rPr>
              <w:t>67</w:t>
            </w:r>
          </w:p>
        </w:tc>
        <w:tc>
          <w:tcPr>
            <w:tcW w:w="1276" w:type="dxa"/>
          </w:tcPr>
          <w:p w14:paraId="388B09A9" w14:textId="13E82F39" w:rsidR="0026506B" w:rsidRPr="00CC4F07" w:rsidRDefault="0026506B" w:rsidP="00F14292">
            <w:pPr>
              <w:pStyle w:val="TableCell"/>
              <w:rPr>
                <w:rFonts w:ascii="Gill Sans MT" w:hAnsi="Gill Sans MT"/>
                <w:sz w:val="22"/>
                <w:szCs w:val="22"/>
              </w:rPr>
            </w:pPr>
            <w:r w:rsidRPr="00CC4F07">
              <w:rPr>
                <w:rFonts w:ascii="Gill Sans MT" w:hAnsi="Gill Sans MT"/>
                <w:sz w:val="22"/>
                <w:szCs w:val="22"/>
              </w:rPr>
              <w:t>1 (1.6%)</w:t>
            </w:r>
          </w:p>
        </w:tc>
        <w:tc>
          <w:tcPr>
            <w:tcW w:w="1275" w:type="dxa"/>
          </w:tcPr>
          <w:p w14:paraId="48FE7B4D" w14:textId="3942EC86" w:rsidR="0026506B" w:rsidRPr="00CC4F07" w:rsidRDefault="0026506B" w:rsidP="00F14292">
            <w:pPr>
              <w:pStyle w:val="TableCell"/>
              <w:rPr>
                <w:rFonts w:ascii="Gill Sans MT" w:hAnsi="Gill Sans MT"/>
                <w:sz w:val="22"/>
                <w:szCs w:val="22"/>
              </w:rPr>
            </w:pPr>
            <w:r w:rsidRPr="00CC4F07">
              <w:rPr>
                <w:rFonts w:ascii="Gill Sans MT" w:hAnsi="Gill Sans MT"/>
                <w:sz w:val="22"/>
                <w:szCs w:val="22"/>
              </w:rPr>
              <w:t>2 (3</w:t>
            </w:r>
            <w:r w:rsidR="000227F0" w:rsidRPr="00CC4F07">
              <w:rPr>
                <w:rFonts w:ascii="Gill Sans MT" w:hAnsi="Gill Sans MT"/>
                <w:sz w:val="22"/>
                <w:szCs w:val="22"/>
              </w:rPr>
              <w:t>%</w:t>
            </w:r>
            <w:r w:rsidRPr="00CC4F07">
              <w:rPr>
                <w:rFonts w:ascii="Gill Sans MT" w:hAnsi="Gill Sans MT"/>
                <w:sz w:val="22"/>
                <w:szCs w:val="22"/>
              </w:rPr>
              <w:t>)</w:t>
            </w:r>
          </w:p>
        </w:tc>
        <w:tc>
          <w:tcPr>
            <w:tcW w:w="2268" w:type="dxa"/>
          </w:tcPr>
          <w:p w14:paraId="65CD09D1" w14:textId="56D7D08F" w:rsidR="0026506B" w:rsidRPr="00CC4F07" w:rsidRDefault="0026506B" w:rsidP="00441696">
            <w:pPr>
              <w:pStyle w:val="TableCell"/>
              <w:rPr>
                <w:rFonts w:ascii="Gill Sans MT" w:hAnsi="Gill Sans MT"/>
                <w:sz w:val="22"/>
                <w:szCs w:val="22"/>
              </w:rPr>
            </w:pPr>
            <w:r w:rsidRPr="00CC4F07">
              <w:rPr>
                <w:rFonts w:ascii="Gill Sans MT" w:hAnsi="Gill Sans MT"/>
                <w:sz w:val="22"/>
                <w:szCs w:val="22"/>
              </w:rPr>
              <w:t>+1</w:t>
            </w:r>
          </w:p>
        </w:tc>
      </w:tr>
      <w:tr w:rsidR="0026506B" w:rsidRPr="00CC4F07" w14:paraId="4AA7617F" w14:textId="77777777" w:rsidTr="00F14292">
        <w:tc>
          <w:tcPr>
            <w:tcW w:w="1454" w:type="dxa"/>
          </w:tcPr>
          <w:p w14:paraId="12EA3F4F" w14:textId="41BD212B" w:rsidR="0026506B" w:rsidRPr="00CC4F07" w:rsidRDefault="0026506B" w:rsidP="0026506B">
            <w:pPr>
              <w:pStyle w:val="TableRowHead"/>
              <w:rPr>
                <w:rFonts w:ascii="Gill Sans MT" w:hAnsi="Gill Sans MT"/>
                <w:b w:val="0"/>
                <w:sz w:val="22"/>
                <w:szCs w:val="22"/>
              </w:rPr>
            </w:pPr>
            <w:r w:rsidRPr="00CC4F07">
              <w:rPr>
                <w:rFonts w:ascii="Gill Sans MT" w:hAnsi="Gill Sans MT"/>
                <w:b w:val="0"/>
                <w:sz w:val="22"/>
                <w:szCs w:val="22"/>
              </w:rPr>
              <w:t xml:space="preserve">IT Waterford </w:t>
            </w:r>
          </w:p>
        </w:tc>
        <w:tc>
          <w:tcPr>
            <w:tcW w:w="1523" w:type="dxa"/>
          </w:tcPr>
          <w:p w14:paraId="3F8B8155" w14:textId="0FAE3428" w:rsidR="0026506B" w:rsidRPr="00CC4F07" w:rsidRDefault="0026506B" w:rsidP="0026506B">
            <w:pPr>
              <w:pStyle w:val="TableCell"/>
              <w:rPr>
                <w:rFonts w:ascii="Gill Sans MT" w:hAnsi="Gill Sans MT"/>
                <w:sz w:val="22"/>
                <w:szCs w:val="22"/>
              </w:rPr>
            </w:pPr>
            <w:r w:rsidRPr="00CC4F07">
              <w:rPr>
                <w:rFonts w:ascii="Gill Sans MT" w:hAnsi="Gill Sans MT"/>
                <w:sz w:val="22"/>
                <w:szCs w:val="22"/>
              </w:rPr>
              <w:t>983</w:t>
            </w:r>
          </w:p>
        </w:tc>
        <w:tc>
          <w:tcPr>
            <w:tcW w:w="1276" w:type="dxa"/>
          </w:tcPr>
          <w:p w14:paraId="65ED663B" w14:textId="083AA29B" w:rsidR="0026506B" w:rsidRPr="00CC4F07" w:rsidRDefault="0026506B" w:rsidP="0026506B">
            <w:pPr>
              <w:pStyle w:val="TableCell"/>
              <w:rPr>
                <w:rFonts w:ascii="Gill Sans MT" w:hAnsi="Gill Sans MT"/>
                <w:sz w:val="22"/>
                <w:szCs w:val="22"/>
              </w:rPr>
            </w:pPr>
            <w:r w:rsidRPr="00CC4F07">
              <w:rPr>
                <w:rFonts w:ascii="Gill Sans MT" w:hAnsi="Gill Sans MT"/>
                <w:sz w:val="22"/>
                <w:szCs w:val="22"/>
              </w:rPr>
              <w:t>1</w:t>
            </w:r>
            <w:r w:rsidR="00D7172A" w:rsidRPr="00CC4F07">
              <w:rPr>
                <w:rFonts w:ascii="Gill Sans MT" w:hAnsi="Gill Sans MT"/>
                <w:sz w:val="22"/>
                <w:szCs w:val="22"/>
              </w:rPr>
              <w:t>,</w:t>
            </w:r>
            <w:r w:rsidRPr="00CC4F07">
              <w:rPr>
                <w:rFonts w:ascii="Gill Sans MT" w:hAnsi="Gill Sans MT"/>
                <w:sz w:val="22"/>
                <w:szCs w:val="22"/>
              </w:rPr>
              <w:t>007</w:t>
            </w:r>
          </w:p>
        </w:tc>
        <w:tc>
          <w:tcPr>
            <w:tcW w:w="1276" w:type="dxa"/>
          </w:tcPr>
          <w:p w14:paraId="5F77C2CB" w14:textId="72AA7726" w:rsidR="0026506B" w:rsidRPr="00CC4F07" w:rsidRDefault="0026506B" w:rsidP="0026506B">
            <w:pPr>
              <w:pStyle w:val="TableCell"/>
              <w:rPr>
                <w:rFonts w:ascii="Gill Sans MT" w:hAnsi="Gill Sans MT"/>
                <w:sz w:val="22"/>
                <w:szCs w:val="22"/>
              </w:rPr>
            </w:pPr>
            <w:r w:rsidRPr="00CC4F07">
              <w:rPr>
                <w:rFonts w:ascii="Gill Sans MT" w:hAnsi="Gill Sans MT"/>
                <w:sz w:val="22"/>
                <w:szCs w:val="22"/>
              </w:rPr>
              <w:t>27 (2.7%)</w:t>
            </w:r>
          </w:p>
        </w:tc>
        <w:tc>
          <w:tcPr>
            <w:tcW w:w="1275" w:type="dxa"/>
          </w:tcPr>
          <w:p w14:paraId="1078CC07" w14:textId="10A9EEF5" w:rsidR="0026506B" w:rsidRPr="00CC4F07" w:rsidRDefault="0026506B" w:rsidP="0026506B">
            <w:pPr>
              <w:pStyle w:val="TableCell"/>
              <w:rPr>
                <w:rFonts w:ascii="Gill Sans MT" w:hAnsi="Gill Sans MT"/>
                <w:sz w:val="22"/>
                <w:szCs w:val="22"/>
              </w:rPr>
            </w:pPr>
            <w:r w:rsidRPr="00CC4F07">
              <w:rPr>
                <w:rFonts w:ascii="Gill Sans MT" w:hAnsi="Gill Sans MT"/>
                <w:sz w:val="22"/>
                <w:szCs w:val="22"/>
              </w:rPr>
              <w:t>32 (3.2%)</w:t>
            </w:r>
          </w:p>
        </w:tc>
        <w:tc>
          <w:tcPr>
            <w:tcW w:w="2268" w:type="dxa"/>
          </w:tcPr>
          <w:p w14:paraId="0537D9B3" w14:textId="6B97EE05" w:rsidR="0026506B" w:rsidRPr="00CC4F07" w:rsidRDefault="0026506B" w:rsidP="00441696">
            <w:pPr>
              <w:pStyle w:val="TableCell"/>
              <w:rPr>
                <w:rFonts w:ascii="Gill Sans MT" w:hAnsi="Gill Sans MT"/>
                <w:sz w:val="22"/>
                <w:szCs w:val="22"/>
              </w:rPr>
            </w:pPr>
            <w:r w:rsidRPr="00CC4F07">
              <w:rPr>
                <w:rFonts w:ascii="Gill Sans MT" w:hAnsi="Gill Sans MT"/>
                <w:sz w:val="22"/>
                <w:szCs w:val="22"/>
              </w:rPr>
              <w:t>+5</w:t>
            </w:r>
          </w:p>
        </w:tc>
      </w:tr>
    </w:tbl>
    <w:p w14:paraId="6D440432" w14:textId="1A328385" w:rsidR="008160E2" w:rsidRPr="00CC4F07" w:rsidRDefault="003E0E77" w:rsidP="00FF26B9">
      <w:pPr>
        <w:spacing w:before="240"/>
        <w:rPr>
          <w:rFonts w:eastAsia="SimSun"/>
        </w:rPr>
      </w:pPr>
      <w:r w:rsidRPr="00CC4F07">
        <w:rPr>
          <w:rFonts w:eastAsia="SimSun"/>
        </w:rPr>
        <w:t xml:space="preserve">The HSE did not make the minimum 3% target </w:t>
      </w:r>
      <w:r w:rsidR="008160E2" w:rsidRPr="00CC4F07">
        <w:rPr>
          <w:rFonts w:eastAsia="SimSun"/>
        </w:rPr>
        <w:t>in 2016 and 2017</w:t>
      </w:r>
      <w:r w:rsidRPr="00CC4F07">
        <w:rPr>
          <w:rFonts w:eastAsia="SimSun"/>
        </w:rPr>
        <w:t xml:space="preserve">. </w:t>
      </w:r>
      <w:r w:rsidR="008160E2" w:rsidRPr="00CC4F07">
        <w:rPr>
          <w:rFonts w:eastAsia="SimSun"/>
        </w:rPr>
        <w:t>The NDA has sent a S</w:t>
      </w:r>
      <w:r w:rsidR="00043876" w:rsidRPr="00CC4F07">
        <w:rPr>
          <w:rFonts w:eastAsia="SimSun"/>
        </w:rPr>
        <w:t>.</w:t>
      </w:r>
      <w:r w:rsidR="00BE33FC">
        <w:rPr>
          <w:rFonts w:eastAsia="SimSun"/>
        </w:rPr>
        <w:t xml:space="preserve">49 request to HSE </w:t>
      </w:r>
      <w:r w:rsidR="008160E2" w:rsidRPr="00CC4F07">
        <w:rPr>
          <w:rFonts w:eastAsia="SimSun"/>
        </w:rPr>
        <w:t xml:space="preserve">for this </w:t>
      </w:r>
      <w:proofErr w:type="gramStart"/>
      <w:r w:rsidR="008160E2" w:rsidRPr="00CC4F07">
        <w:rPr>
          <w:rFonts w:eastAsia="SimSun"/>
        </w:rPr>
        <w:t>two year</w:t>
      </w:r>
      <w:proofErr w:type="gramEnd"/>
      <w:r w:rsidR="008160E2" w:rsidRPr="00CC4F07">
        <w:rPr>
          <w:rFonts w:eastAsia="SimSun"/>
        </w:rPr>
        <w:t xml:space="preserve"> period but has also met with this public body </w:t>
      </w:r>
      <w:r w:rsidR="00FF26B9" w:rsidRPr="00CC4F07">
        <w:rPr>
          <w:rFonts w:eastAsia="SimSun"/>
        </w:rPr>
        <w:t xml:space="preserve">in 2019 </w:t>
      </w:r>
      <w:r w:rsidR="008160E2" w:rsidRPr="00CC4F07">
        <w:rPr>
          <w:rFonts w:eastAsia="SimSun"/>
        </w:rPr>
        <w:t>to discuss its Disability Action Plan for 2019 and other actions it can implement to increase recruitment opportunitie</w:t>
      </w:r>
      <w:r w:rsidR="00F53C61" w:rsidRPr="00CC4F07">
        <w:rPr>
          <w:rFonts w:eastAsia="SimSun"/>
        </w:rPr>
        <w:t xml:space="preserve">s for persons with disabilities </w:t>
      </w:r>
      <w:r w:rsidR="008E25E6" w:rsidRPr="00CC4F07">
        <w:rPr>
          <w:rFonts w:eastAsia="SimSun"/>
        </w:rPr>
        <w:t>in</w:t>
      </w:r>
      <w:r w:rsidR="00F53C61" w:rsidRPr="00CC4F07">
        <w:rPr>
          <w:rFonts w:eastAsia="SimSun"/>
        </w:rPr>
        <w:t xml:space="preserve"> the future.</w:t>
      </w:r>
    </w:p>
    <w:p w14:paraId="68E06BF1" w14:textId="677571D1" w:rsidR="00933FBD" w:rsidRPr="00CC4F07" w:rsidRDefault="00933FBD" w:rsidP="00933FBD">
      <w:pPr>
        <w:pStyle w:val="Heading2"/>
        <w:rPr>
          <w:rFonts w:ascii="Rockwell" w:hAnsi="Rockwell"/>
          <w:color w:val="CC3399"/>
          <w:sz w:val="32"/>
          <w:szCs w:val="32"/>
        </w:rPr>
      </w:pPr>
      <w:bookmarkStart w:id="43" w:name="_Toc526435821"/>
      <w:bookmarkStart w:id="44" w:name="_Toc18680255"/>
      <w:r w:rsidRPr="00CC4F07">
        <w:rPr>
          <w:rFonts w:ascii="Rockwell" w:hAnsi="Rockwell"/>
          <w:color w:val="CC3399"/>
          <w:sz w:val="32"/>
          <w:szCs w:val="32"/>
        </w:rPr>
        <w:t>3.</w:t>
      </w:r>
      <w:r w:rsidR="00EA7B7F" w:rsidRPr="00CC4F07">
        <w:rPr>
          <w:rFonts w:ascii="Rockwell" w:hAnsi="Rockwell"/>
          <w:color w:val="CC3399"/>
          <w:sz w:val="32"/>
          <w:szCs w:val="32"/>
        </w:rPr>
        <w:t>3</w:t>
      </w:r>
      <w:r w:rsidR="004067FB" w:rsidRPr="00CC4F07">
        <w:rPr>
          <w:rFonts w:ascii="Rockwell" w:hAnsi="Rockwell"/>
          <w:color w:val="CC3399"/>
          <w:sz w:val="32"/>
          <w:szCs w:val="32"/>
        </w:rPr>
        <w:t xml:space="preserve"> Compliance with the Act - 2017</w:t>
      </w:r>
      <w:r w:rsidRPr="00CC4F07">
        <w:rPr>
          <w:rFonts w:ascii="Rockwell" w:hAnsi="Rockwell"/>
          <w:color w:val="CC3399"/>
          <w:sz w:val="32"/>
          <w:szCs w:val="32"/>
        </w:rPr>
        <w:t xml:space="preserve"> and 201</w:t>
      </w:r>
      <w:bookmarkEnd w:id="43"/>
      <w:r w:rsidR="004067FB" w:rsidRPr="00CC4F07">
        <w:rPr>
          <w:rFonts w:ascii="Rockwell" w:hAnsi="Rockwell"/>
          <w:color w:val="CC3399"/>
          <w:sz w:val="32"/>
          <w:szCs w:val="32"/>
        </w:rPr>
        <w:t>8</w:t>
      </w:r>
      <w:bookmarkEnd w:id="44"/>
    </w:p>
    <w:p w14:paraId="67988954" w14:textId="3CD0778F" w:rsidR="00F14292" w:rsidRPr="00CC4F07" w:rsidRDefault="00F14292" w:rsidP="0071585A">
      <w:pPr>
        <w:spacing w:after="120"/>
      </w:pPr>
      <w:r w:rsidRPr="00CC4F07">
        <w:t>The NDA also note</w:t>
      </w:r>
      <w:r w:rsidR="00FF26B9" w:rsidRPr="00CC4F07">
        <w:t xml:space="preserve">s that the </w:t>
      </w:r>
      <w:r w:rsidRPr="00CC4F07">
        <w:t xml:space="preserve">following public bodies with </w:t>
      </w:r>
      <w:r w:rsidR="00BE2A70" w:rsidRPr="00CC4F07">
        <w:t xml:space="preserve">more than 50 </w:t>
      </w:r>
      <w:r w:rsidRPr="00CC4F07">
        <w:t xml:space="preserve">staff have </w:t>
      </w:r>
      <w:r w:rsidR="00BE2A70" w:rsidRPr="00CC4F07">
        <w:t xml:space="preserve">not </w:t>
      </w:r>
      <w:r w:rsidR="001E2A94" w:rsidRPr="00CC4F07">
        <w:rPr>
          <w:color w:val="000000" w:themeColor="text1"/>
        </w:rPr>
        <w:t xml:space="preserve">demonstrated achievement of the minimum compliance target of </w:t>
      </w:r>
      <w:r w:rsidRPr="00CC4F07">
        <w:t>3% for 2017 and 2018:</w:t>
      </w:r>
    </w:p>
    <w:p w14:paraId="61D94BC2" w14:textId="00DF6009" w:rsidR="00F14292" w:rsidRPr="00CC4F07" w:rsidRDefault="00F14292" w:rsidP="00F14292">
      <w:pPr>
        <w:pStyle w:val="ListParagraph"/>
        <w:numPr>
          <w:ilvl w:val="0"/>
          <w:numId w:val="39"/>
        </w:numPr>
      </w:pPr>
      <w:r w:rsidRPr="00CC4F07">
        <w:t xml:space="preserve">Bord </w:t>
      </w:r>
      <w:proofErr w:type="spellStart"/>
      <w:r w:rsidRPr="00CC4F07">
        <w:t>Iascaigh</w:t>
      </w:r>
      <w:proofErr w:type="spellEnd"/>
      <w:r w:rsidRPr="00CC4F07">
        <w:t xml:space="preserve"> Mhara </w:t>
      </w:r>
    </w:p>
    <w:p w14:paraId="1473FBE2" w14:textId="4F5B08EA" w:rsidR="00F14292" w:rsidRPr="00CC4F07" w:rsidRDefault="00F14292" w:rsidP="00F14292">
      <w:pPr>
        <w:pStyle w:val="ListParagraph"/>
        <w:numPr>
          <w:ilvl w:val="0"/>
          <w:numId w:val="39"/>
        </w:numPr>
      </w:pPr>
      <w:r w:rsidRPr="00CC4F07">
        <w:t xml:space="preserve">National Gallery Ireland </w:t>
      </w:r>
    </w:p>
    <w:p w14:paraId="683C2F0F" w14:textId="77777777" w:rsidR="00F14292" w:rsidRPr="00CC4F07" w:rsidRDefault="00F14292" w:rsidP="00F14292">
      <w:pPr>
        <w:pStyle w:val="ListParagraph"/>
        <w:numPr>
          <w:ilvl w:val="0"/>
          <w:numId w:val="39"/>
        </w:numPr>
      </w:pPr>
      <w:r w:rsidRPr="00CC4F07">
        <w:rPr>
          <w:lang w:eastAsia="en-IE"/>
        </w:rPr>
        <w:t>Personal Injuries Assessment Board</w:t>
      </w:r>
    </w:p>
    <w:p w14:paraId="093D0B02" w14:textId="525BE829" w:rsidR="00F14292" w:rsidRPr="00CC4F07" w:rsidRDefault="00F14292" w:rsidP="00F14292">
      <w:pPr>
        <w:rPr>
          <w:strike/>
          <w:color w:val="000000" w:themeColor="text1"/>
        </w:rPr>
      </w:pPr>
      <w:r w:rsidRPr="00CC4F07">
        <w:rPr>
          <w:color w:val="000000" w:themeColor="text1"/>
        </w:rPr>
        <w:t>The NDA will be using the statutory powers under Section 49 of the Act to seek further information from these bodies</w:t>
      </w:r>
      <w:r w:rsidR="00CB719A" w:rsidRPr="00CC4F07">
        <w:rPr>
          <w:color w:val="000000" w:themeColor="text1"/>
        </w:rPr>
        <w:t xml:space="preserve"> to consider the actions taken by those bodies during that </w:t>
      </w:r>
      <w:proofErr w:type="gramStart"/>
      <w:r w:rsidR="00CB719A" w:rsidRPr="00CC4F07">
        <w:rPr>
          <w:color w:val="000000" w:themeColor="text1"/>
        </w:rPr>
        <w:t>2 year</w:t>
      </w:r>
      <w:proofErr w:type="gramEnd"/>
      <w:r w:rsidR="00CB719A" w:rsidRPr="00CC4F07">
        <w:rPr>
          <w:color w:val="000000" w:themeColor="text1"/>
        </w:rPr>
        <w:t xml:space="preserve"> period</w:t>
      </w:r>
      <w:r w:rsidRPr="00CC4F07">
        <w:rPr>
          <w:color w:val="000000" w:themeColor="text1"/>
        </w:rPr>
        <w:t>.</w:t>
      </w:r>
    </w:p>
    <w:p w14:paraId="39133BD5" w14:textId="727A2CD5" w:rsidR="00714529" w:rsidRPr="00CC4F07" w:rsidRDefault="00C37437" w:rsidP="00714529">
      <w:pPr>
        <w:rPr>
          <w:strike/>
        </w:rPr>
      </w:pPr>
      <w:r w:rsidRPr="00CC4F07">
        <w:lastRenderedPageBreak/>
        <w:t xml:space="preserve">The HSE did not </w:t>
      </w:r>
      <w:r w:rsidR="001E2A94" w:rsidRPr="00CC4F07">
        <w:rPr>
          <w:color w:val="000000" w:themeColor="text1"/>
        </w:rPr>
        <w:t xml:space="preserve">demonstrate achievement of </w:t>
      </w:r>
      <w:r w:rsidRPr="00CC4F07">
        <w:t>the minimum 3% target</w:t>
      </w:r>
      <w:r w:rsidR="00C67C7F" w:rsidRPr="00CC4F07">
        <w:t xml:space="preserve"> for 2017 and 2018. </w:t>
      </w:r>
      <w:r w:rsidRPr="00CC4F07">
        <w:t xml:space="preserve">As mentioned previously, the </w:t>
      </w:r>
      <w:r w:rsidR="00C67C7F" w:rsidRPr="00CC4F07">
        <w:t xml:space="preserve">NDA continues to work closely with this public body </w:t>
      </w:r>
      <w:r w:rsidR="00F53C61" w:rsidRPr="00CC4F07">
        <w:t xml:space="preserve">to </w:t>
      </w:r>
      <w:r w:rsidR="001E2A94" w:rsidRPr="00CC4F07">
        <w:rPr>
          <w:color w:val="000000" w:themeColor="text1"/>
        </w:rPr>
        <w:t xml:space="preserve">guide actions </w:t>
      </w:r>
      <w:r w:rsidR="00BE2A70" w:rsidRPr="00CC4F07">
        <w:rPr>
          <w:color w:val="000000" w:themeColor="text1"/>
        </w:rPr>
        <w:t xml:space="preserve">and </w:t>
      </w:r>
      <w:r w:rsidR="00BE33FC">
        <w:rPr>
          <w:color w:val="000000" w:themeColor="text1"/>
        </w:rPr>
        <w:t>progress in this regard.</w:t>
      </w:r>
    </w:p>
    <w:p w14:paraId="1225DB16" w14:textId="44C5BC65" w:rsidR="00400986" w:rsidRPr="00CC4F07" w:rsidRDefault="000C187A" w:rsidP="00400986">
      <w:pPr>
        <w:pStyle w:val="Heading2"/>
        <w:rPr>
          <w:rFonts w:ascii="Rockwell" w:hAnsi="Rockwell"/>
          <w:color w:val="CC3399"/>
          <w:sz w:val="32"/>
          <w:szCs w:val="32"/>
        </w:rPr>
      </w:pPr>
      <w:bookmarkStart w:id="45" w:name="_Toc526435822"/>
      <w:bookmarkStart w:id="46" w:name="_Toc18680256"/>
      <w:r w:rsidRPr="00CC4F07">
        <w:rPr>
          <w:rFonts w:ascii="Rockwell" w:hAnsi="Rockwell"/>
          <w:color w:val="CC3399"/>
          <w:sz w:val="32"/>
          <w:szCs w:val="32"/>
        </w:rPr>
        <w:t>3.4</w:t>
      </w:r>
      <w:r w:rsidR="00056990" w:rsidRPr="00CC4F07">
        <w:rPr>
          <w:rFonts w:ascii="Rockwell" w:hAnsi="Rockwell"/>
          <w:color w:val="CC3399"/>
          <w:sz w:val="32"/>
          <w:szCs w:val="32"/>
        </w:rPr>
        <w:t xml:space="preserve"> Responsibility</w:t>
      </w:r>
      <w:r w:rsidR="00400986" w:rsidRPr="00CC4F07">
        <w:rPr>
          <w:rFonts w:ascii="Rockwell" w:hAnsi="Rockwell"/>
          <w:color w:val="CC3399"/>
          <w:sz w:val="32"/>
          <w:szCs w:val="32"/>
        </w:rPr>
        <w:t xml:space="preserve"> in providing accurate data</w:t>
      </w:r>
      <w:bookmarkEnd w:id="45"/>
      <w:bookmarkEnd w:id="46"/>
    </w:p>
    <w:p w14:paraId="698C081B" w14:textId="70BE7151" w:rsidR="00400986" w:rsidRPr="00CC4F07" w:rsidRDefault="00400986" w:rsidP="00400986">
      <w:pPr>
        <w:rPr>
          <w:color w:val="000000" w:themeColor="text1"/>
        </w:rPr>
      </w:pPr>
      <w:r w:rsidRPr="00CC4F07">
        <w:rPr>
          <w:color w:val="000000" w:themeColor="text1"/>
        </w:rPr>
        <w:t>The NDA works closely with th</w:t>
      </w:r>
      <w:r w:rsidR="00BE2A70" w:rsidRPr="00CC4F07">
        <w:rPr>
          <w:color w:val="000000" w:themeColor="text1"/>
        </w:rPr>
        <w:t xml:space="preserve">e Monitoring Committees and </w:t>
      </w:r>
      <w:r w:rsidRPr="00CC4F07">
        <w:rPr>
          <w:color w:val="000000" w:themeColor="text1"/>
        </w:rPr>
        <w:t xml:space="preserve">public </w:t>
      </w:r>
      <w:r w:rsidR="00992923" w:rsidRPr="00CC4F07">
        <w:rPr>
          <w:color w:val="000000" w:themeColor="text1"/>
        </w:rPr>
        <w:t>bodies and</w:t>
      </w:r>
      <w:r w:rsidRPr="00CC4F07">
        <w:rPr>
          <w:color w:val="000000" w:themeColor="text1"/>
        </w:rPr>
        <w:t xml:space="preserve"> provides them with guidance to help them improve the quality and the accuracy of the data they i</w:t>
      </w:r>
      <w:r w:rsidR="00BE33FC">
        <w:rPr>
          <w:color w:val="000000" w:themeColor="text1"/>
        </w:rPr>
        <w:t>nclude in their Part 5 reports.</w:t>
      </w:r>
    </w:p>
    <w:p w14:paraId="7AF4EA64" w14:textId="4540899E" w:rsidR="00933FBD" w:rsidRPr="00CC4F07" w:rsidRDefault="00400986" w:rsidP="00933FBD">
      <w:pPr>
        <w:rPr>
          <w:color w:val="000000" w:themeColor="text1"/>
        </w:rPr>
      </w:pPr>
      <w:r w:rsidRPr="00CC4F07">
        <w:rPr>
          <w:color w:val="000000" w:themeColor="text1"/>
        </w:rPr>
        <w:t>The NDA conducts a rigorous checking process to verify the acc</w:t>
      </w:r>
      <w:r w:rsidR="00657104" w:rsidRPr="00CC4F07">
        <w:rPr>
          <w:color w:val="000000" w:themeColor="text1"/>
        </w:rPr>
        <w:t xml:space="preserve">uracy of the data it receives. Responsibility for </w:t>
      </w:r>
      <w:r w:rsidRPr="00CC4F07">
        <w:rPr>
          <w:color w:val="000000" w:themeColor="text1"/>
        </w:rPr>
        <w:t>any errors or omissions of dat</w:t>
      </w:r>
      <w:r w:rsidR="00657104" w:rsidRPr="00CC4F07">
        <w:rPr>
          <w:color w:val="000000" w:themeColor="text1"/>
        </w:rPr>
        <w:t>a that may occur in this report remains with the Monitoring Committees and the public bodies.</w:t>
      </w:r>
    </w:p>
    <w:p w14:paraId="4C8E2DF5" w14:textId="3FFE0534" w:rsidR="000C187A" w:rsidRPr="00CC4F07" w:rsidRDefault="00F30C46" w:rsidP="000C187A">
      <w:pPr>
        <w:pStyle w:val="Heading2"/>
        <w:rPr>
          <w:rFonts w:ascii="Rockwell" w:hAnsi="Rockwell"/>
          <w:color w:val="CC3399"/>
          <w:sz w:val="32"/>
          <w:szCs w:val="32"/>
        </w:rPr>
      </w:pPr>
      <w:bookmarkStart w:id="47" w:name="_Toc498585841"/>
      <w:bookmarkStart w:id="48" w:name="_Toc526435823"/>
      <w:bookmarkStart w:id="49" w:name="_Toc18680257"/>
      <w:r w:rsidRPr="00CC4F07">
        <w:rPr>
          <w:rFonts w:ascii="Rockwell" w:hAnsi="Rockwell"/>
          <w:color w:val="CC3399"/>
          <w:sz w:val="32"/>
          <w:szCs w:val="32"/>
        </w:rPr>
        <w:t>3.5</w:t>
      </w:r>
      <w:r w:rsidR="000C187A" w:rsidRPr="00CC4F07">
        <w:rPr>
          <w:rFonts w:ascii="Rockwell" w:hAnsi="Rockwell"/>
          <w:color w:val="CC3399"/>
          <w:sz w:val="32"/>
          <w:szCs w:val="32"/>
        </w:rPr>
        <w:t xml:space="preserve"> Monitoring Committee</w:t>
      </w:r>
      <w:bookmarkEnd w:id="47"/>
      <w:r w:rsidR="004B128C" w:rsidRPr="00CC4F07">
        <w:rPr>
          <w:rFonts w:ascii="Rockwell" w:hAnsi="Rockwell"/>
          <w:color w:val="CC3399"/>
          <w:sz w:val="32"/>
          <w:szCs w:val="32"/>
        </w:rPr>
        <w:t>s</w:t>
      </w:r>
      <w:bookmarkEnd w:id="48"/>
      <w:bookmarkEnd w:id="49"/>
    </w:p>
    <w:p w14:paraId="62C4B822" w14:textId="2B6A06CA" w:rsidR="00412EE4" w:rsidRPr="00CC4F07" w:rsidRDefault="000C187A" w:rsidP="00412EE4">
      <w:pPr>
        <w:rPr>
          <w:color w:val="000000" w:themeColor="text1"/>
        </w:rPr>
      </w:pPr>
      <w:r w:rsidRPr="00CC4F07">
        <w:rPr>
          <w:color w:val="000000" w:themeColor="text1"/>
        </w:rPr>
        <w:t>The Monito</w:t>
      </w:r>
      <w:r w:rsidR="004B128C" w:rsidRPr="00CC4F07">
        <w:rPr>
          <w:color w:val="000000" w:themeColor="text1"/>
        </w:rPr>
        <w:t xml:space="preserve">ring Committees continue to work </w:t>
      </w:r>
      <w:r w:rsidRPr="00CC4F07">
        <w:rPr>
          <w:color w:val="000000" w:themeColor="text1"/>
        </w:rPr>
        <w:t>with the NDA to</w:t>
      </w:r>
      <w:r w:rsidR="00412EE4" w:rsidRPr="00CC4F07">
        <w:rPr>
          <w:color w:val="000000" w:themeColor="text1"/>
        </w:rPr>
        <w:t xml:space="preserve"> ensure that our guidance on creating an inclusive working environment is disseminated to public bodies and to support public bodies to incrementally increase their recruitment of persons with disabilities, so that by 2024 a minimum of 6% of employees in the public sector will be persons with disabilities.</w:t>
      </w:r>
    </w:p>
    <w:p w14:paraId="342FFF9A" w14:textId="084AD767" w:rsidR="00933FBD" w:rsidRPr="00CC4F07" w:rsidRDefault="00400986" w:rsidP="00933FBD">
      <w:pPr>
        <w:pStyle w:val="Heading2"/>
        <w:rPr>
          <w:rFonts w:ascii="Rockwell" w:hAnsi="Rockwell"/>
          <w:color w:val="CC3399"/>
          <w:sz w:val="32"/>
          <w:szCs w:val="32"/>
        </w:rPr>
      </w:pPr>
      <w:bookmarkStart w:id="50" w:name="_Toc498585842"/>
      <w:bookmarkStart w:id="51" w:name="_Toc526435824"/>
      <w:bookmarkStart w:id="52" w:name="_Toc18680258"/>
      <w:r w:rsidRPr="00CC4F07">
        <w:rPr>
          <w:rFonts w:ascii="Rockwell" w:hAnsi="Rockwell"/>
          <w:color w:val="CC3399"/>
          <w:sz w:val="32"/>
          <w:szCs w:val="32"/>
        </w:rPr>
        <w:t>3.6</w:t>
      </w:r>
      <w:r w:rsidR="00933FBD" w:rsidRPr="00CC4F07">
        <w:rPr>
          <w:rFonts w:ascii="Rockwell" w:hAnsi="Rockwell"/>
          <w:color w:val="CC3399"/>
          <w:sz w:val="32"/>
          <w:szCs w:val="32"/>
        </w:rPr>
        <w:t xml:space="preserve"> Rounding</w:t>
      </w:r>
      <w:bookmarkEnd w:id="50"/>
      <w:bookmarkEnd w:id="51"/>
      <w:bookmarkEnd w:id="52"/>
    </w:p>
    <w:p w14:paraId="47E59E37" w14:textId="2AEEBEF1" w:rsidR="00676CE1" w:rsidRPr="00CC4F07" w:rsidRDefault="00933FBD" w:rsidP="00676CE1">
      <w:pPr>
        <w:rPr>
          <w:color w:val="000000" w:themeColor="text1"/>
        </w:rPr>
      </w:pPr>
      <w:r w:rsidRPr="00CC4F07">
        <w:rPr>
          <w:color w:val="000000" w:themeColor="text1"/>
        </w:rPr>
        <w:t>All calculated percentages are rounded to one decimal place.</w:t>
      </w:r>
      <w:r w:rsidR="00676CE1" w:rsidRPr="00CC4F07">
        <w:rPr>
          <w:color w:val="000000" w:themeColor="text1"/>
        </w:rPr>
        <w:t xml:space="preserve"> </w:t>
      </w:r>
    </w:p>
    <w:p w14:paraId="72D4892B" w14:textId="21E952D9" w:rsidR="00933FBD" w:rsidRPr="00CC4F07" w:rsidRDefault="00400986" w:rsidP="00933FBD">
      <w:pPr>
        <w:pStyle w:val="Heading2"/>
        <w:rPr>
          <w:rFonts w:ascii="Rockwell" w:hAnsi="Rockwell"/>
          <w:color w:val="CC3399"/>
          <w:sz w:val="32"/>
          <w:szCs w:val="32"/>
        </w:rPr>
      </w:pPr>
      <w:bookmarkStart w:id="53" w:name="_Toc498585843"/>
      <w:bookmarkStart w:id="54" w:name="_Toc526435825"/>
      <w:bookmarkStart w:id="55" w:name="_Toc18680259"/>
      <w:r w:rsidRPr="00CC4F07">
        <w:rPr>
          <w:rFonts w:ascii="Rockwell" w:hAnsi="Rockwell"/>
          <w:color w:val="CC3399"/>
          <w:sz w:val="32"/>
          <w:szCs w:val="32"/>
        </w:rPr>
        <w:t>3.7</w:t>
      </w:r>
      <w:r w:rsidR="00933FBD" w:rsidRPr="00CC4F07">
        <w:rPr>
          <w:rFonts w:ascii="Rockwell" w:hAnsi="Rockwell"/>
          <w:color w:val="CC3399"/>
          <w:sz w:val="32"/>
          <w:szCs w:val="32"/>
        </w:rPr>
        <w:t xml:space="preserve"> Errata – changes after publishing date</w:t>
      </w:r>
      <w:bookmarkEnd w:id="53"/>
      <w:bookmarkEnd w:id="54"/>
      <w:bookmarkEnd w:id="55"/>
    </w:p>
    <w:p w14:paraId="5E9F27E9" w14:textId="79C8F8A0" w:rsidR="00933FBD" w:rsidRPr="00CC4F07" w:rsidRDefault="00933FBD" w:rsidP="00933FBD">
      <w:pPr>
        <w:rPr>
          <w:color w:val="000000" w:themeColor="text1"/>
        </w:rPr>
      </w:pPr>
      <w:r w:rsidRPr="00CC4F07">
        <w:rPr>
          <w:color w:val="000000" w:themeColor="text1"/>
        </w:rPr>
        <w:t>There are no changes to the published data at this point.</w:t>
      </w:r>
    </w:p>
    <w:p w14:paraId="2DF70F1B" w14:textId="77777777" w:rsidR="00676CE1" w:rsidRPr="00CC4F07" w:rsidRDefault="00676CE1" w:rsidP="00933FBD">
      <w:pPr>
        <w:rPr>
          <w:color w:val="000000" w:themeColor="text1"/>
        </w:rPr>
      </w:pPr>
    </w:p>
    <w:p w14:paraId="1ACB0810" w14:textId="77777777" w:rsidR="00933FBD" w:rsidRPr="00CC4F07" w:rsidRDefault="00933FBD" w:rsidP="00933FBD">
      <w:pPr>
        <w:sectPr w:rsidR="00933FBD" w:rsidRPr="00CC4F07" w:rsidSect="00D555D0">
          <w:pgSz w:w="12240" w:h="15840"/>
          <w:pgMar w:top="1418" w:right="1758" w:bottom="1418" w:left="1758" w:header="709" w:footer="709" w:gutter="0"/>
          <w:cols w:space="708"/>
          <w:docGrid w:linePitch="360"/>
        </w:sectPr>
      </w:pPr>
    </w:p>
    <w:p w14:paraId="11FB16D6" w14:textId="31163312" w:rsidR="008713A0" w:rsidRPr="00605447" w:rsidRDefault="00933FBD" w:rsidP="00605447">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color w:val="CC3399"/>
          <w:sz w:val="56"/>
          <w:szCs w:val="56"/>
        </w:rPr>
      </w:pPr>
      <w:bookmarkStart w:id="56" w:name="_Toc498585844"/>
      <w:bookmarkStart w:id="57" w:name="_Toc18680260"/>
      <w:r w:rsidRPr="00605447">
        <w:rPr>
          <w:rFonts w:ascii="Rockwell" w:hAnsi="Rockwell"/>
          <w:color w:val="CC3399"/>
          <w:sz w:val="56"/>
          <w:szCs w:val="56"/>
        </w:rPr>
        <w:lastRenderedPageBreak/>
        <w:t>Appendix A – Government Departments</w:t>
      </w:r>
      <w:bookmarkEnd w:id="56"/>
      <w:bookmarkEnd w:id="57"/>
    </w:p>
    <w:tbl>
      <w:tblPr>
        <w:tblStyle w:val="TableGrid11"/>
        <w:tblW w:w="10343" w:type="dxa"/>
        <w:tblInd w:w="-818" w:type="dxa"/>
        <w:tblLayout w:type="fixed"/>
        <w:tblLook w:val="04A0" w:firstRow="1" w:lastRow="0" w:firstColumn="1" w:lastColumn="0" w:noHBand="0" w:noVBand="1"/>
        <w:tblCaption w:val="Appendix A Government Departments"/>
        <w:tblDescription w:val="Data by Government Department"/>
      </w:tblPr>
      <w:tblGrid>
        <w:gridCol w:w="2972"/>
        <w:gridCol w:w="1418"/>
        <w:gridCol w:w="283"/>
        <w:gridCol w:w="709"/>
        <w:gridCol w:w="1843"/>
        <w:gridCol w:w="992"/>
        <w:gridCol w:w="1134"/>
        <w:gridCol w:w="567"/>
        <w:gridCol w:w="425"/>
      </w:tblGrid>
      <w:tr w:rsidR="00B06653" w:rsidRPr="00BE33FC" w14:paraId="04FA2BB6" w14:textId="77777777" w:rsidTr="006D697C">
        <w:trPr>
          <w:tblHeader/>
        </w:trPr>
        <w:tc>
          <w:tcPr>
            <w:tcW w:w="2972" w:type="dxa"/>
          </w:tcPr>
          <w:p w14:paraId="39F2F4ED" w14:textId="77777777" w:rsidR="00B06653" w:rsidRPr="00BE33FC" w:rsidRDefault="00B06653" w:rsidP="00B06653">
            <w:pPr>
              <w:rPr>
                <w:rFonts w:ascii="Gill Sans MT" w:hAnsi="Gill Sans MT"/>
                <w:b/>
                <w:sz w:val="24"/>
              </w:rPr>
            </w:pPr>
            <w:r w:rsidRPr="00BE33FC">
              <w:rPr>
                <w:rFonts w:ascii="Gill Sans MT" w:hAnsi="Gill Sans MT"/>
                <w:b/>
                <w:sz w:val="24"/>
              </w:rPr>
              <w:t>Department</w:t>
            </w:r>
          </w:p>
        </w:tc>
        <w:tc>
          <w:tcPr>
            <w:tcW w:w="1701" w:type="dxa"/>
            <w:gridSpan w:val="2"/>
            <w:tcBorders>
              <w:right w:val="nil"/>
            </w:tcBorders>
          </w:tcPr>
          <w:p w14:paraId="38AAFBA5" w14:textId="77777777" w:rsidR="00B06653" w:rsidRPr="00BE33FC" w:rsidRDefault="00B06653" w:rsidP="00B06653">
            <w:pPr>
              <w:rPr>
                <w:rFonts w:ascii="Gill Sans MT" w:hAnsi="Gill Sans MT"/>
                <w:b/>
                <w:sz w:val="24"/>
              </w:rPr>
            </w:pPr>
            <w:r w:rsidRPr="00BE33FC">
              <w:rPr>
                <w:rFonts w:ascii="Gill Sans MT" w:hAnsi="Gill Sans MT"/>
                <w:b/>
                <w:sz w:val="24"/>
              </w:rPr>
              <w:t>Total number of employees</w:t>
            </w:r>
          </w:p>
        </w:tc>
        <w:tc>
          <w:tcPr>
            <w:tcW w:w="709" w:type="dxa"/>
            <w:tcBorders>
              <w:left w:val="nil"/>
            </w:tcBorders>
          </w:tcPr>
          <w:p w14:paraId="1284B0BA" w14:textId="77777777" w:rsidR="00B06653" w:rsidRPr="00BE33FC" w:rsidRDefault="00B06653" w:rsidP="00B06653">
            <w:pPr>
              <w:rPr>
                <w:rFonts w:ascii="Gill Sans MT" w:hAnsi="Gill Sans MT"/>
                <w:b/>
                <w:sz w:val="24"/>
              </w:rPr>
            </w:pPr>
          </w:p>
        </w:tc>
        <w:tc>
          <w:tcPr>
            <w:tcW w:w="1843" w:type="dxa"/>
            <w:tcBorders>
              <w:right w:val="nil"/>
            </w:tcBorders>
          </w:tcPr>
          <w:p w14:paraId="077C8380" w14:textId="77777777" w:rsidR="00B06653" w:rsidRPr="00BE33FC" w:rsidRDefault="00B06653" w:rsidP="00B06653">
            <w:pPr>
              <w:rPr>
                <w:rFonts w:ascii="Gill Sans MT" w:hAnsi="Gill Sans MT"/>
                <w:b/>
                <w:sz w:val="24"/>
              </w:rPr>
            </w:pPr>
            <w:r w:rsidRPr="00BE33FC">
              <w:rPr>
                <w:rFonts w:ascii="Gill Sans MT" w:hAnsi="Gill Sans MT"/>
                <w:b/>
                <w:sz w:val="24"/>
              </w:rPr>
              <w:t>Number employees with disabilities</w:t>
            </w:r>
          </w:p>
        </w:tc>
        <w:tc>
          <w:tcPr>
            <w:tcW w:w="992" w:type="dxa"/>
            <w:tcBorders>
              <w:left w:val="nil"/>
            </w:tcBorders>
          </w:tcPr>
          <w:p w14:paraId="4ECD7441" w14:textId="77777777" w:rsidR="00B06653" w:rsidRPr="00BE33FC" w:rsidRDefault="00B06653" w:rsidP="00B06653">
            <w:pPr>
              <w:rPr>
                <w:rFonts w:ascii="Gill Sans MT" w:hAnsi="Gill Sans MT"/>
                <w:b/>
                <w:sz w:val="24"/>
              </w:rPr>
            </w:pPr>
          </w:p>
        </w:tc>
        <w:tc>
          <w:tcPr>
            <w:tcW w:w="1701" w:type="dxa"/>
            <w:gridSpan w:val="2"/>
            <w:tcBorders>
              <w:right w:val="nil"/>
            </w:tcBorders>
          </w:tcPr>
          <w:p w14:paraId="3AF1C8A4" w14:textId="77777777" w:rsidR="00B06653" w:rsidRPr="00BE33FC" w:rsidRDefault="00B06653" w:rsidP="00B06653">
            <w:pPr>
              <w:rPr>
                <w:rFonts w:ascii="Gill Sans MT" w:hAnsi="Gill Sans MT"/>
                <w:b/>
                <w:sz w:val="24"/>
              </w:rPr>
            </w:pPr>
            <w:r w:rsidRPr="00BE33FC">
              <w:rPr>
                <w:rFonts w:ascii="Gill Sans MT" w:hAnsi="Gill Sans MT"/>
                <w:b/>
                <w:sz w:val="24"/>
              </w:rPr>
              <w:t>% workforce with disabilities</w:t>
            </w:r>
          </w:p>
        </w:tc>
        <w:tc>
          <w:tcPr>
            <w:tcW w:w="425" w:type="dxa"/>
            <w:tcBorders>
              <w:left w:val="nil"/>
            </w:tcBorders>
          </w:tcPr>
          <w:p w14:paraId="68AB0C0D" w14:textId="77777777" w:rsidR="00B06653" w:rsidRPr="00BE33FC" w:rsidRDefault="00B06653" w:rsidP="00B06653">
            <w:pPr>
              <w:rPr>
                <w:rFonts w:ascii="Gill Sans MT" w:hAnsi="Gill Sans MT"/>
                <w:b/>
                <w:sz w:val="24"/>
              </w:rPr>
            </w:pPr>
          </w:p>
        </w:tc>
      </w:tr>
      <w:tr w:rsidR="00B06653" w:rsidRPr="00BE33FC" w14:paraId="2AE57AA6" w14:textId="77777777" w:rsidTr="006D697C">
        <w:trPr>
          <w:tblHeader/>
        </w:trPr>
        <w:tc>
          <w:tcPr>
            <w:tcW w:w="2972" w:type="dxa"/>
            <w:tcBorders>
              <w:bottom w:val="single" w:sz="4" w:space="0" w:color="auto"/>
            </w:tcBorders>
          </w:tcPr>
          <w:p w14:paraId="0C6BA88E" w14:textId="77777777" w:rsidR="00B06653" w:rsidRPr="00BE33FC" w:rsidRDefault="00B06653" w:rsidP="00B06653">
            <w:pPr>
              <w:rPr>
                <w:rFonts w:ascii="Gill Sans MT" w:hAnsi="Gill Sans MT"/>
                <w:b/>
                <w:sz w:val="24"/>
              </w:rPr>
            </w:pPr>
          </w:p>
        </w:tc>
        <w:tc>
          <w:tcPr>
            <w:tcW w:w="1418" w:type="dxa"/>
            <w:tcBorders>
              <w:bottom w:val="single" w:sz="4" w:space="0" w:color="auto"/>
            </w:tcBorders>
          </w:tcPr>
          <w:p w14:paraId="192E1559" w14:textId="77777777" w:rsidR="00B06653" w:rsidRPr="00BE33FC" w:rsidRDefault="00B06653" w:rsidP="00B06653">
            <w:pPr>
              <w:jc w:val="right"/>
              <w:rPr>
                <w:rFonts w:ascii="Gill Sans MT" w:hAnsi="Gill Sans MT"/>
                <w:b/>
                <w:sz w:val="24"/>
              </w:rPr>
            </w:pPr>
            <w:r w:rsidRPr="00BE33FC">
              <w:rPr>
                <w:rFonts w:ascii="Gill Sans MT" w:hAnsi="Gill Sans MT"/>
                <w:b/>
                <w:sz w:val="24"/>
              </w:rPr>
              <w:t>2017</w:t>
            </w:r>
          </w:p>
        </w:tc>
        <w:tc>
          <w:tcPr>
            <w:tcW w:w="992" w:type="dxa"/>
            <w:gridSpan w:val="2"/>
            <w:tcBorders>
              <w:bottom w:val="single" w:sz="4" w:space="0" w:color="auto"/>
            </w:tcBorders>
          </w:tcPr>
          <w:p w14:paraId="17F5AEEE" w14:textId="77777777" w:rsidR="00B06653" w:rsidRPr="00BE33FC" w:rsidRDefault="00B06653" w:rsidP="00B06653">
            <w:pPr>
              <w:jc w:val="right"/>
              <w:rPr>
                <w:rFonts w:ascii="Gill Sans MT" w:hAnsi="Gill Sans MT"/>
                <w:b/>
                <w:sz w:val="24"/>
              </w:rPr>
            </w:pPr>
            <w:r w:rsidRPr="00BE33FC">
              <w:rPr>
                <w:rFonts w:ascii="Gill Sans MT" w:hAnsi="Gill Sans MT"/>
                <w:b/>
                <w:sz w:val="24"/>
              </w:rPr>
              <w:t>2018</w:t>
            </w:r>
          </w:p>
        </w:tc>
        <w:tc>
          <w:tcPr>
            <w:tcW w:w="1843" w:type="dxa"/>
            <w:tcBorders>
              <w:bottom w:val="single" w:sz="4" w:space="0" w:color="auto"/>
            </w:tcBorders>
          </w:tcPr>
          <w:p w14:paraId="4744B1C2" w14:textId="77777777" w:rsidR="00B06653" w:rsidRPr="00BE33FC" w:rsidRDefault="00B06653" w:rsidP="00B06653">
            <w:pPr>
              <w:jc w:val="right"/>
              <w:rPr>
                <w:rFonts w:ascii="Gill Sans MT" w:hAnsi="Gill Sans MT"/>
                <w:b/>
                <w:sz w:val="24"/>
              </w:rPr>
            </w:pPr>
            <w:r w:rsidRPr="00BE33FC">
              <w:rPr>
                <w:rFonts w:ascii="Gill Sans MT" w:hAnsi="Gill Sans MT"/>
                <w:b/>
                <w:sz w:val="24"/>
              </w:rPr>
              <w:t>2017</w:t>
            </w:r>
          </w:p>
        </w:tc>
        <w:tc>
          <w:tcPr>
            <w:tcW w:w="992" w:type="dxa"/>
            <w:tcBorders>
              <w:bottom w:val="single" w:sz="4" w:space="0" w:color="auto"/>
            </w:tcBorders>
          </w:tcPr>
          <w:p w14:paraId="31643C64" w14:textId="77777777" w:rsidR="00B06653" w:rsidRPr="00BE33FC" w:rsidRDefault="00B06653" w:rsidP="00B06653">
            <w:pPr>
              <w:jc w:val="right"/>
              <w:rPr>
                <w:rFonts w:ascii="Gill Sans MT" w:hAnsi="Gill Sans MT"/>
                <w:b/>
                <w:sz w:val="24"/>
              </w:rPr>
            </w:pPr>
            <w:r w:rsidRPr="00BE33FC">
              <w:rPr>
                <w:rFonts w:ascii="Gill Sans MT" w:hAnsi="Gill Sans MT"/>
                <w:b/>
                <w:sz w:val="24"/>
              </w:rPr>
              <w:t>2018</w:t>
            </w:r>
          </w:p>
        </w:tc>
        <w:tc>
          <w:tcPr>
            <w:tcW w:w="1134" w:type="dxa"/>
            <w:tcBorders>
              <w:bottom w:val="single" w:sz="4" w:space="0" w:color="auto"/>
            </w:tcBorders>
          </w:tcPr>
          <w:p w14:paraId="6D6D84CB" w14:textId="77777777" w:rsidR="00B06653" w:rsidRPr="00BE33FC" w:rsidRDefault="00B06653" w:rsidP="00B06653">
            <w:pPr>
              <w:jc w:val="right"/>
              <w:rPr>
                <w:rFonts w:ascii="Gill Sans MT" w:hAnsi="Gill Sans MT"/>
                <w:b/>
                <w:sz w:val="24"/>
              </w:rPr>
            </w:pPr>
            <w:r w:rsidRPr="00BE33FC">
              <w:rPr>
                <w:rFonts w:ascii="Gill Sans MT" w:hAnsi="Gill Sans MT"/>
                <w:b/>
                <w:sz w:val="24"/>
              </w:rPr>
              <w:t>2017</w:t>
            </w:r>
          </w:p>
        </w:tc>
        <w:tc>
          <w:tcPr>
            <w:tcW w:w="992" w:type="dxa"/>
            <w:gridSpan w:val="2"/>
            <w:tcBorders>
              <w:bottom w:val="single" w:sz="4" w:space="0" w:color="auto"/>
            </w:tcBorders>
          </w:tcPr>
          <w:p w14:paraId="1D8C4FFE" w14:textId="77777777" w:rsidR="00B06653" w:rsidRPr="00BE33FC" w:rsidRDefault="00B06653" w:rsidP="00B06653">
            <w:pPr>
              <w:jc w:val="right"/>
              <w:rPr>
                <w:rFonts w:ascii="Gill Sans MT" w:hAnsi="Gill Sans MT"/>
                <w:b/>
                <w:sz w:val="24"/>
              </w:rPr>
            </w:pPr>
            <w:r w:rsidRPr="00BE33FC">
              <w:rPr>
                <w:rFonts w:ascii="Gill Sans MT" w:hAnsi="Gill Sans MT"/>
                <w:b/>
                <w:sz w:val="24"/>
              </w:rPr>
              <w:t>2018</w:t>
            </w:r>
          </w:p>
        </w:tc>
      </w:tr>
      <w:tr w:rsidR="00B06653" w:rsidRPr="00BE33FC" w14:paraId="037770F1" w14:textId="77777777" w:rsidTr="006D697C">
        <w:trPr>
          <w:trHeight w:val="255"/>
        </w:trPr>
        <w:tc>
          <w:tcPr>
            <w:tcW w:w="2972" w:type="dxa"/>
            <w:noWrap/>
            <w:hideMark/>
          </w:tcPr>
          <w:p w14:paraId="409EEEB2"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Agriculture, Food &amp; the Marine</w:t>
            </w:r>
          </w:p>
        </w:tc>
        <w:tc>
          <w:tcPr>
            <w:tcW w:w="1418" w:type="dxa"/>
            <w:noWrap/>
            <w:hideMark/>
          </w:tcPr>
          <w:p w14:paraId="2C380BF1"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3258</w:t>
            </w:r>
          </w:p>
        </w:tc>
        <w:tc>
          <w:tcPr>
            <w:tcW w:w="992" w:type="dxa"/>
            <w:gridSpan w:val="2"/>
            <w:noWrap/>
            <w:hideMark/>
          </w:tcPr>
          <w:p w14:paraId="7D2ED7E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3369</w:t>
            </w:r>
          </w:p>
        </w:tc>
        <w:tc>
          <w:tcPr>
            <w:tcW w:w="1843" w:type="dxa"/>
            <w:noWrap/>
            <w:hideMark/>
          </w:tcPr>
          <w:p w14:paraId="091D40A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133</w:t>
            </w:r>
          </w:p>
        </w:tc>
        <w:tc>
          <w:tcPr>
            <w:tcW w:w="992" w:type="dxa"/>
            <w:noWrap/>
            <w:hideMark/>
          </w:tcPr>
          <w:p w14:paraId="42457BF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128</w:t>
            </w:r>
          </w:p>
        </w:tc>
        <w:tc>
          <w:tcPr>
            <w:tcW w:w="1134" w:type="dxa"/>
            <w:noWrap/>
            <w:hideMark/>
          </w:tcPr>
          <w:p w14:paraId="7EB188E5" w14:textId="37F69C43"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4.1</w:t>
            </w:r>
          </w:p>
        </w:tc>
        <w:tc>
          <w:tcPr>
            <w:tcW w:w="992" w:type="dxa"/>
            <w:gridSpan w:val="2"/>
            <w:noWrap/>
            <w:hideMark/>
          </w:tcPr>
          <w:p w14:paraId="7BDDB50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3.8</w:t>
            </w:r>
          </w:p>
        </w:tc>
      </w:tr>
      <w:tr w:rsidR="00B06653" w:rsidRPr="00BE33FC" w14:paraId="132D1224" w14:textId="77777777" w:rsidTr="006D697C">
        <w:trPr>
          <w:trHeight w:val="255"/>
        </w:trPr>
        <w:tc>
          <w:tcPr>
            <w:tcW w:w="2972" w:type="dxa"/>
            <w:noWrap/>
            <w:hideMark/>
          </w:tcPr>
          <w:p w14:paraId="18349077"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Business, Enterprise &amp; Innovation</w:t>
            </w:r>
          </w:p>
        </w:tc>
        <w:tc>
          <w:tcPr>
            <w:tcW w:w="1418" w:type="dxa"/>
            <w:noWrap/>
            <w:hideMark/>
          </w:tcPr>
          <w:p w14:paraId="3396E09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871</w:t>
            </w:r>
          </w:p>
        </w:tc>
        <w:tc>
          <w:tcPr>
            <w:tcW w:w="992" w:type="dxa"/>
            <w:gridSpan w:val="2"/>
            <w:noWrap/>
            <w:hideMark/>
          </w:tcPr>
          <w:p w14:paraId="3E323BD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897</w:t>
            </w:r>
          </w:p>
        </w:tc>
        <w:tc>
          <w:tcPr>
            <w:tcW w:w="1843" w:type="dxa"/>
            <w:noWrap/>
            <w:hideMark/>
          </w:tcPr>
          <w:p w14:paraId="282EC282"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45</w:t>
            </w:r>
          </w:p>
        </w:tc>
        <w:tc>
          <w:tcPr>
            <w:tcW w:w="992" w:type="dxa"/>
            <w:noWrap/>
            <w:hideMark/>
          </w:tcPr>
          <w:p w14:paraId="24E8C46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45</w:t>
            </w:r>
          </w:p>
        </w:tc>
        <w:tc>
          <w:tcPr>
            <w:tcW w:w="1134" w:type="dxa"/>
            <w:noWrap/>
            <w:hideMark/>
          </w:tcPr>
          <w:p w14:paraId="10C4633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5.2</w:t>
            </w:r>
          </w:p>
        </w:tc>
        <w:tc>
          <w:tcPr>
            <w:tcW w:w="992" w:type="dxa"/>
            <w:gridSpan w:val="2"/>
            <w:noWrap/>
            <w:hideMark/>
          </w:tcPr>
          <w:p w14:paraId="591EF1BF"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5.0</w:t>
            </w:r>
          </w:p>
        </w:tc>
      </w:tr>
      <w:tr w:rsidR="00B06653" w:rsidRPr="00BE33FC" w14:paraId="4C7958C1" w14:textId="77777777" w:rsidTr="006D697C">
        <w:trPr>
          <w:trHeight w:val="255"/>
        </w:trPr>
        <w:tc>
          <w:tcPr>
            <w:tcW w:w="2972" w:type="dxa"/>
            <w:noWrap/>
            <w:hideMark/>
          </w:tcPr>
          <w:p w14:paraId="431DBC2E"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Children &amp; Youth Affairs</w:t>
            </w:r>
          </w:p>
        </w:tc>
        <w:tc>
          <w:tcPr>
            <w:tcW w:w="1418" w:type="dxa"/>
            <w:noWrap/>
            <w:hideMark/>
          </w:tcPr>
          <w:p w14:paraId="66C9070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242</w:t>
            </w:r>
          </w:p>
        </w:tc>
        <w:tc>
          <w:tcPr>
            <w:tcW w:w="992" w:type="dxa"/>
            <w:gridSpan w:val="2"/>
            <w:noWrap/>
            <w:hideMark/>
          </w:tcPr>
          <w:p w14:paraId="491F7AF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277</w:t>
            </w:r>
          </w:p>
        </w:tc>
        <w:tc>
          <w:tcPr>
            <w:tcW w:w="1843" w:type="dxa"/>
            <w:noWrap/>
            <w:hideMark/>
          </w:tcPr>
          <w:p w14:paraId="57BD7DB8"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13</w:t>
            </w:r>
          </w:p>
        </w:tc>
        <w:tc>
          <w:tcPr>
            <w:tcW w:w="992" w:type="dxa"/>
            <w:noWrap/>
            <w:hideMark/>
          </w:tcPr>
          <w:p w14:paraId="1B8CDED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14</w:t>
            </w:r>
          </w:p>
        </w:tc>
        <w:tc>
          <w:tcPr>
            <w:tcW w:w="1134" w:type="dxa"/>
            <w:noWrap/>
            <w:hideMark/>
          </w:tcPr>
          <w:p w14:paraId="064D1C7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5.4</w:t>
            </w:r>
          </w:p>
        </w:tc>
        <w:tc>
          <w:tcPr>
            <w:tcW w:w="992" w:type="dxa"/>
            <w:gridSpan w:val="2"/>
            <w:noWrap/>
            <w:hideMark/>
          </w:tcPr>
          <w:p w14:paraId="5749FCF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5.1</w:t>
            </w:r>
          </w:p>
        </w:tc>
      </w:tr>
      <w:tr w:rsidR="00B06653" w:rsidRPr="00BE33FC" w14:paraId="373CDAB8" w14:textId="77777777" w:rsidTr="006D697C">
        <w:trPr>
          <w:trHeight w:val="255"/>
        </w:trPr>
        <w:tc>
          <w:tcPr>
            <w:tcW w:w="2972" w:type="dxa"/>
            <w:noWrap/>
            <w:hideMark/>
          </w:tcPr>
          <w:p w14:paraId="664ECE96"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Communications, Climate Action &amp; Environment</w:t>
            </w:r>
          </w:p>
        </w:tc>
        <w:tc>
          <w:tcPr>
            <w:tcW w:w="1418" w:type="dxa"/>
            <w:noWrap/>
            <w:hideMark/>
          </w:tcPr>
          <w:p w14:paraId="78582E9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387</w:t>
            </w:r>
          </w:p>
        </w:tc>
        <w:tc>
          <w:tcPr>
            <w:tcW w:w="992" w:type="dxa"/>
            <w:gridSpan w:val="2"/>
            <w:noWrap/>
            <w:hideMark/>
          </w:tcPr>
          <w:p w14:paraId="6A00A92D"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412</w:t>
            </w:r>
          </w:p>
        </w:tc>
        <w:tc>
          <w:tcPr>
            <w:tcW w:w="1843" w:type="dxa"/>
            <w:noWrap/>
            <w:hideMark/>
          </w:tcPr>
          <w:p w14:paraId="36671E75"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14</w:t>
            </w:r>
          </w:p>
        </w:tc>
        <w:tc>
          <w:tcPr>
            <w:tcW w:w="992" w:type="dxa"/>
            <w:noWrap/>
            <w:hideMark/>
          </w:tcPr>
          <w:p w14:paraId="2D0832B1"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14</w:t>
            </w:r>
          </w:p>
        </w:tc>
        <w:tc>
          <w:tcPr>
            <w:tcW w:w="1134" w:type="dxa"/>
            <w:noWrap/>
            <w:hideMark/>
          </w:tcPr>
          <w:p w14:paraId="2E8D6F0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3.6</w:t>
            </w:r>
          </w:p>
        </w:tc>
        <w:tc>
          <w:tcPr>
            <w:tcW w:w="992" w:type="dxa"/>
            <w:gridSpan w:val="2"/>
            <w:noWrap/>
            <w:hideMark/>
          </w:tcPr>
          <w:p w14:paraId="02E8C792"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3.4</w:t>
            </w:r>
          </w:p>
        </w:tc>
      </w:tr>
      <w:tr w:rsidR="00B06653" w:rsidRPr="00BE33FC" w14:paraId="421B6A1D" w14:textId="77777777" w:rsidTr="006D697C">
        <w:trPr>
          <w:trHeight w:val="255"/>
        </w:trPr>
        <w:tc>
          <w:tcPr>
            <w:tcW w:w="2972" w:type="dxa"/>
            <w:noWrap/>
            <w:hideMark/>
          </w:tcPr>
          <w:p w14:paraId="349FA4E8"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Culture, Heritage &amp; the Gaeltacht</w:t>
            </w:r>
          </w:p>
        </w:tc>
        <w:tc>
          <w:tcPr>
            <w:tcW w:w="1418" w:type="dxa"/>
            <w:noWrap/>
            <w:hideMark/>
          </w:tcPr>
          <w:p w14:paraId="6B861D8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649</w:t>
            </w:r>
          </w:p>
        </w:tc>
        <w:tc>
          <w:tcPr>
            <w:tcW w:w="992" w:type="dxa"/>
            <w:gridSpan w:val="2"/>
            <w:noWrap/>
            <w:hideMark/>
          </w:tcPr>
          <w:p w14:paraId="1327248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643</w:t>
            </w:r>
          </w:p>
        </w:tc>
        <w:tc>
          <w:tcPr>
            <w:tcW w:w="1843" w:type="dxa"/>
            <w:noWrap/>
            <w:hideMark/>
          </w:tcPr>
          <w:p w14:paraId="5FB00A5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20</w:t>
            </w:r>
          </w:p>
        </w:tc>
        <w:tc>
          <w:tcPr>
            <w:tcW w:w="992" w:type="dxa"/>
            <w:noWrap/>
            <w:hideMark/>
          </w:tcPr>
          <w:p w14:paraId="7F8A265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20</w:t>
            </w:r>
          </w:p>
        </w:tc>
        <w:tc>
          <w:tcPr>
            <w:tcW w:w="1134" w:type="dxa"/>
            <w:noWrap/>
            <w:hideMark/>
          </w:tcPr>
          <w:p w14:paraId="71ECC26C"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3.1</w:t>
            </w:r>
          </w:p>
        </w:tc>
        <w:tc>
          <w:tcPr>
            <w:tcW w:w="992" w:type="dxa"/>
            <w:gridSpan w:val="2"/>
            <w:noWrap/>
            <w:hideMark/>
          </w:tcPr>
          <w:p w14:paraId="22EB90B6"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3.1</w:t>
            </w:r>
          </w:p>
        </w:tc>
      </w:tr>
      <w:tr w:rsidR="00B06653" w:rsidRPr="00BE33FC" w14:paraId="52A4C125" w14:textId="77777777" w:rsidTr="006D697C">
        <w:trPr>
          <w:trHeight w:val="255"/>
        </w:trPr>
        <w:tc>
          <w:tcPr>
            <w:tcW w:w="2972" w:type="dxa"/>
            <w:noWrap/>
            <w:hideMark/>
          </w:tcPr>
          <w:p w14:paraId="30C2A5C4"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Defence</w:t>
            </w:r>
          </w:p>
        </w:tc>
        <w:tc>
          <w:tcPr>
            <w:tcW w:w="1418" w:type="dxa"/>
            <w:noWrap/>
            <w:hideMark/>
          </w:tcPr>
          <w:p w14:paraId="365E11C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351</w:t>
            </w:r>
          </w:p>
        </w:tc>
        <w:tc>
          <w:tcPr>
            <w:tcW w:w="992" w:type="dxa"/>
            <w:gridSpan w:val="2"/>
            <w:noWrap/>
            <w:hideMark/>
          </w:tcPr>
          <w:p w14:paraId="51DC6392"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355</w:t>
            </w:r>
          </w:p>
        </w:tc>
        <w:tc>
          <w:tcPr>
            <w:tcW w:w="1843" w:type="dxa"/>
            <w:noWrap/>
            <w:hideMark/>
          </w:tcPr>
          <w:p w14:paraId="0EE4A9F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20</w:t>
            </w:r>
          </w:p>
        </w:tc>
        <w:tc>
          <w:tcPr>
            <w:tcW w:w="992" w:type="dxa"/>
            <w:noWrap/>
            <w:hideMark/>
          </w:tcPr>
          <w:p w14:paraId="7558241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15</w:t>
            </w:r>
          </w:p>
        </w:tc>
        <w:tc>
          <w:tcPr>
            <w:tcW w:w="1134" w:type="dxa"/>
            <w:noWrap/>
            <w:hideMark/>
          </w:tcPr>
          <w:p w14:paraId="516E7B1F"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5.7</w:t>
            </w:r>
          </w:p>
        </w:tc>
        <w:tc>
          <w:tcPr>
            <w:tcW w:w="992" w:type="dxa"/>
            <w:gridSpan w:val="2"/>
            <w:noWrap/>
            <w:hideMark/>
          </w:tcPr>
          <w:p w14:paraId="1676479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4.2</w:t>
            </w:r>
          </w:p>
        </w:tc>
      </w:tr>
      <w:tr w:rsidR="00B06653" w:rsidRPr="00BE33FC" w14:paraId="49BBD903" w14:textId="77777777" w:rsidTr="006D697C">
        <w:trPr>
          <w:trHeight w:val="255"/>
        </w:trPr>
        <w:tc>
          <w:tcPr>
            <w:tcW w:w="2972" w:type="dxa"/>
            <w:noWrap/>
            <w:hideMark/>
          </w:tcPr>
          <w:p w14:paraId="1592941E"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Defence - Civilian Employees</w:t>
            </w:r>
          </w:p>
        </w:tc>
        <w:tc>
          <w:tcPr>
            <w:tcW w:w="1418" w:type="dxa"/>
            <w:noWrap/>
            <w:hideMark/>
          </w:tcPr>
          <w:p w14:paraId="3348F70D"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469</w:t>
            </w:r>
          </w:p>
        </w:tc>
        <w:tc>
          <w:tcPr>
            <w:tcW w:w="992" w:type="dxa"/>
            <w:gridSpan w:val="2"/>
            <w:noWrap/>
            <w:hideMark/>
          </w:tcPr>
          <w:p w14:paraId="113A716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431</w:t>
            </w:r>
          </w:p>
        </w:tc>
        <w:tc>
          <w:tcPr>
            <w:tcW w:w="1843" w:type="dxa"/>
            <w:noWrap/>
            <w:hideMark/>
          </w:tcPr>
          <w:p w14:paraId="0A1C9745"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20</w:t>
            </w:r>
          </w:p>
        </w:tc>
        <w:tc>
          <w:tcPr>
            <w:tcW w:w="992" w:type="dxa"/>
            <w:noWrap/>
            <w:hideMark/>
          </w:tcPr>
          <w:p w14:paraId="05E3DD4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29</w:t>
            </w:r>
          </w:p>
        </w:tc>
        <w:tc>
          <w:tcPr>
            <w:tcW w:w="1134" w:type="dxa"/>
            <w:noWrap/>
            <w:hideMark/>
          </w:tcPr>
          <w:p w14:paraId="11ADA566"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4.3</w:t>
            </w:r>
          </w:p>
        </w:tc>
        <w:tc>
          <w:tcPr>
            <w:tcW w:w="992" w:type="dxa"/>
            <w:gridSpan w:val="2"/>
            <w:noWrap/>
            <w:hideMark/>
          </w:tcPr>
          <w:p w14:paraId="4DAEE60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6.7</w:t>
            </w:r>
          </w:p>
        </w:tc>
      </w:tr>
      <w:tr w:rsidR="00B06653" w:rsidRPr="00BE33FC" w14:paraId="08D39A6F" w14:textId="77777777" w:rsidTr="006D697C">
        <w:trPr>
          <w:trHeight w:val="255"/>
        </w:trPr>
        <w:tc>
          <w:tcPr>
            <w:tcW w:w="2972" w:type="dxa"/>
            <w:noWrap/>
            <w:hideMark/>
          </w:tcPr>
          <w:p w14:paraId="46811797"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Education &amp; Skills</w:t>
            </w:r>
          </w:p>
        </w:tc>
        <w:tc>
          <w:tcPr>
            <w:tcW w:w="1418" w:type="dxa"/>
            <w:noWrap/>
            <w:hideMark/>
          </w:tcPr>
          <w:p w14:paraId="6172CAFA"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1372</w:t>
            </w:r>
          </w:p>
        </w:tc>
        <w:tc>
          <w:tcPr>
            <w:tcW w:w="992" w:type="dxa"/>
            <w:gridSpan w:val="2"/>
            <w:noWrap/>
            <w:hideMark/>
          </w:tcPr>
          <w:p w14:paraId="0BE1D1D5"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1372</w:t>
            </w:r>
          </w:p>
        </w:tc>
        <w:tc>
          <w:tcPr>
            <w:tcW w:w="1843" w:type="dxa"/>
            <w:noWrap/>
            <w:hideMark/>
          </w:tcPr>
          <w:p w14:paraId="713B994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55</w:t>
            </w:r>
          </w:p>
        </w:tc>
        <w:tc>
          <w:tcPr>
            <w:tcW w:w="992" w:type="dxa"/>
            <w:noWrap/>
            <w:hideMark/>
          </w:tcPr>
          <w:p w14:paraId="1673AB15"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55</w:t>
            </w:r>
          </w:p>
        </w:tc>
        <w:tc>
          <w:tcPr>
            <w:tcW w:w="1134" w:type="dxa"/>
            <w:noWrap/>
            <w:hideMark/>
          </w:tcPr>
          <w:p w14:paraId="6E77155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4.0</w:t>
            </w:r>
          </w:p>
        </w:tc>
        <w:tc>
          <w:tcPr>
            <w:tcW w:w="992" w:type="dxa"/>
            <w:gridSpan w:val="2"/>
            <w:noWrap/>
            <w:hideMark/>
          </w:tcPr>
          <w:p w14:paraId="697A030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4.0</w:t>
            </w:r>
          </w:p>
        </w:tc>
      </w:tr>
      <w:tr w:rsidR="00B06653" w:rsidRPr="00BE33FC" w14:paraId="6E32474E" w14:textId="77777777" w:rsidTr="006D697C">
        <w:trPr>
          <w:trHeight w:val="255"/>
        </w:trPr>
        <w:tc>
          <w:tcPr>
            <w:tcW w:w="2972" w:type="dxa"/>
            <w:noWrap/>
            <w:hideMark/>
          </w:tcPr>
          <w:p w14:paraId="38D85B35"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Employment Affairs &amp; Social Protection</w:t>
            </w:r>
          </w:p>
        </w:tc>
        <w:tc>
          <w:tcPr>
            <w:tcW w:w="1418" w:type="dxa"/>
            <w:noWrap/>
            <w:hideMark/>
          </w:tcPr>
          <w:p w14:paraId="5F2FD3A6"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6728</w:t>
            </w:r>
          </w:p>
        </w:tc>
        <w:tc>
          <w:tcPr>
            <w:tcW w:w="992" w:type="dxa"/>
            <w:gridSpan w:val="2"/>
            <w:noWrap/>
            <w:hideMark/>
          </w:tcPr>
          <w:p w14:paraId="48D7678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6725</w:t>
            </w:r>
          </w:p>
        </w:tc>
        <w:tc>
          <w:tcPr>
            <w:tcW w:w="1843" w:type="dxa"/>
            <w:noWrap/>
            <w:hideMark/>
          </w:tcPr>
          <w:p w14:paraId="0AAAEF2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339</w:t>
            </w:r>
          </w:p>
        </w:tc>
        <w:tc>
          <w:tcPr>
            <w:tcW w:w="992" w:type="dxa"/>
            <w:noWrap/>
            <w:hideMark/>
          </w:tcPr>
          <w:p w14:paraId="5AA44CA1"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351</w:t>
            </w:r>
          </w:p>
        </w:tc>
        <w:tc>
          <w:tcPr>
            <w:tcW w:w="1134" w:type="dxa"/>
            <w:noWrap/>
            <w:hideMark/>
          </w:tcPr>
          <w:p w14:paraId="6C1CAA8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5.0</w:t>
            </w:r>
          </w:p>
        </w:tc>
        <w:tc>
          <w:tcPr>
            <w:tcW w:w="992" w:type="dxa"/>
            <w:gridSpan w:val="2"/>
            <w:noWrap/>
            <w:hideMark/>
          </w:tcPr>
          <w:p w14:paraId="22C80346"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5.2</w:t>
            </w:r>
          </w:p>
        </w:tc>
      </w:tr>
      <w:tr w:rsidR="00B06653" w:rsidRPr="00BE33FC" w14:paraId="73400F41" w14:textId="77777777" w:rsidTr="006D697C">
        <w:trPr>
          <w:trHeight w:val="255"/>
        </w:trPr>
        <w:tc>
          <w:tcPr>
            <w:tcW w:w="2972" w:type="dxa"/>
            <w:noWrap/>
            <w:hideMark/>
          </w:tcPr>
          <w:p w14:paraId="19E661FE"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Finance</w:t>
            </w:r>
          </w:p>
        </w:tc>
        <w:tc>
          <w:tcPr>
            <w:tcW w:w="1418" w:type="dxa"/>
            <w:noWrap/>
            <w:hideMark/>
          </w:tcPr>
          <w:p w14:paraId="3649FB0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320</w:t>
            </w:r>
          </w:p>
        </w:tc>
        <w:tc>
          <w:tcPr>
            <w:tcW w:w="992" w:type="dxa"/>
            <w:gridSpan w:val="2"/>
            <w:noWrap/>
            <w:hideMark/>
          </w:tcPr>
          <w:p w14:paraId="4F31214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319</w:t>
            </w:r>
          </w:p>
        </w:tc>
        <w:tc>
          <w:tcPr>
            <w:tcW w:w="1843" w:type="dxa"/>
            <w:noWrap/>
            <w:hideMark/>
          </w:tcPr>
          <w:p w14:paraId="2AD573EF"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13</w:t>
            </w:r>
          </w:p>
        </w:tc>
        <w:tc>
          <w:tcPr>
            <w:tcW w:w="992" w:type="dxa"/>
            <w:noWrap/>
            <w:hideMark/>
          </w:tcPr>
          <w:p w14:paraId="59CD6FF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13</w:t>
            </w:r>
          </w:p>
        </w:tc>
        <w:tc>
          <w:tcPr>
            <w:tcW w:w="1134" w:type="dxa"/>
            <w:noWrap/>
            <w:hideMark/>
          </w:tcPr>
          <w:p w14:paraId="394C3B68"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4.1</w:t>
            </w:r>
          </w:p>
        </w:tc>
        <w:tc>
          <w:tcPr>
            <w:tcW w:w="992" w:type="dxa"/>
            <w:gridSpan w:val="2"/>
            <w:noWrap/>
            <w:hideMark/>
          </w:tcPr>
          <w:p w14:paraId="3C8FC9D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4.1</w:t>
            </w:r>
          </w:p>
        </w:tc>
      </w:tr>
      <w:tr w:rsidR="00B06653" w:rsidRPr="00BE33FC" w14:paraId="0579DD6D" w14:textId="77777777" w:rsidTr="006D697C">
        <w:trPr>
          <w:trHeight w:val="255"/>
        </w:trPr>
        <w:tc>
          <w:tcPr>
            <w:tcW w:w="2972" w:type="dxa"/>
            <w:noWrap/>
            <w:hideMark/>
          </w:tcPr>
          <w:p w14:paraId="7B9626FF"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lastRenderedPageBreak/>
              <w:t>Department of Foreign Affairs &amp; Trade</w:t>
            </w:r>
          </w:p>
        </w:tc>
        <w:tc>
          <w:tcPr>
            <w:tcW w:w="1418" w:type="dxa"/>
            <w:noWrap/>
            <w:hideMark/>
          </w:tcPr>
          <w:p w14:paraId="4A63048A"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1584</w:t>
            </w:r>
          </w:p>
        </w:tc>
        <w:tc>
          <w:tcPr>
            <w:tcW w:w="992" w:type="dxa"/>
            <w:gridSpan w:val="2"/>
            <w:noWrap/>
            <w:hideMark/>
          </w:tcPr>
          <w:p w14:paraId="53B1FE5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1763</w:t>
            </w:r>
          </w:p>
        </w:tc>
        <w:tc>
          <w:tcPr>
            <w:tcW w:w="1843" w:type="dxa"/>
            <w:noWrap/>
            <w:hideMark/>
          </w:tcPr>
          <w:p w14:paraId="6E784CFD"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56</w:t>
            </w:r>
          </w:p>
        </w:tc>
        <w:tc>
          <w:tcPr>
            <w:tcW w:w="992" w:type="dxa"/>
            <w:noWrap/>
            <w:hideMark/>
          </w:tcPr>
          <w:p w14:paraId="182E74E2"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65</w:t>
            </w:r>
          </w:p>
        </w:tc>
        <w:tc>
          <w:tcPr>
            <w:tcW w:w="1134" w:type="dxa"/>
            <w:noWrap/>
            <w:hideMark/>
          </w:tcPr>
          <w:p w14:paraId="4946B60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3.5</w:t>
            </w:r>
          </w:p>
        </w:tc>
        <w:tc>
          <w:tcPr>
            <w:tcW w:w="992" w:type="dxa"/>
            <w:gridSpan w:val="2"/>
            <w:noWrap/>
            <w:hideMark/>
          </w:tcPr>
          <w:p w14:paraId="38C1FFAA"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3.7</w:t>
            </w:r>
          </w:p>
        </w:tc>
      </w:tr>
      <w:tr w:rsidR="00B06653" w:rsidRPr="00BE33FC" w14:paraId="6CA30A3A" w14:textId="77777777" w:rsidTr="006D697C">
        <w:trPr>
          <w:trHeight w:val="255"/>
        </w:trPr>
        <w:tc>
          <w:tcPr>
            <w:tcW w:w="2972" w:type="dxa"/>
            <w:noWrap/>
            <w:hideMark/>
          </w:tcPr>
          <w:p w14:paraId="2F3048B5"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Health</w:t>
            </w:r>
          </w:p>
        </w:tc>
        <w:tc>
          <w:tcPr>
            <w:tcW w:w="1418" w:type="dxa"/>
            <w:noWrap/>
            <w:hideMark/>
          </w:tcPr>
          <w:p w14:paraId="6A6224BD"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457</w:t>
            </w:r>
          </w:p>
        </w:tc>
        <w:tc>
          <w:tcPr>
            <w:tcW w:w="992" w:type="dxa"/>
            <w:gridSpan w:val="2"/>
            <w:noWrap/>
            <w:hideMark/>
          </w:tcPr>
          <w:p w14:paraId="52285075"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498</w:t>
            </w:r>
          </w:p>
        </w:tc>
        <w:tc>
          <w:tcPr>
            <w:tcW w:w="1843" w:type="dxa"/>
            <w:noWrap/>
            <w:hideMark/>
          </w:tcPr>
          <w:p w14:paraId="6FA3849F"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21</w:t>
            </w:r>
          </w:p>
        </w:tc>
        <w:tc>
          <w:tcPr>
            <w:tcW w:w="992" w:type="dxa"/>
            <w:noWrap/>
            <w:hideMark/>
          </w:tcPr>
          <w:p w14:paraId="6F23CC15"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22</w:t>
            </w:r>
          </w:p>
        </w:tc>
        <w:tc>
          <w:tcPr>
            <w:tcW w:w="1134" w:type="dxa"/>
            <w:noWrap/>
            <w:hideMark/>
          </w:tcPr>
          <w:p w14:paraId="4B59397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4.6</w:t>
            </w:r>
          </w:p>
        </w:tc>
        <w:tc>
          <w:tcPr>
            <w:tcW w:w="992" w:type="dxa"/>
            <w:gridSpan w:val="2"/>
            <w:noWrap/>
            <w:hideMark/>
          </w:tcPr>
          <w:p w14:paraId="38FD689C"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4.4</w:t>
            </w:r>
          </w:p>
        </w:tc>
      </w:tr>
      <w:tr w:rsidR="00B06653" w:rsidRPr="00BE33FC" w14:paraId="4FAE1624" w14:textId="77777777" w:rsidTr="006D697C">
        <w:trPr>
          <w:trHeight w:val="255"/>
        </w:trPr>
        <w:tc>
          <w:tcPr>
            <w:tcW w:w="2972" w:type="dxa"/>
            <w:noWrap/>
            <w:hideMark/>
          </w:tcPr>
          <w:p w14:paraId="45CC3FF1"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Housing, Planning &amp; Local Government</w:t>
            </w:r>
          </w:p>
        </w:tc>
        <w:tc>
          <w:tcPr>
            <w:tcW w:w="1418" w:type="dxa"/>
            <w:noWrap/>
            <w:hideMark/>
          </w:tcPr>
          <w:p w14:paraId="47BDD78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656</w:t>
            </w:r>
          </w:p>
        </w:tc>
        <w:tc>
          <w:tcPr>
            <w:tcW w:w="992" w:type="dxa"/>
            <w:gridSpan w:val="2"/>
            <w:noWrap/>
            <w:hideMark/>
          </w:tcPr>
          <w:p w14:paraId="5902C4EA"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750</w:t>
            </w:r>
          </w:p>
        </w:tc>
        <w:tc>
          <w:tcPr>
            <w:tcW w:w="1843" w:type="dxa"/>
            <w:noWrap/>
            <w:hideMark/>
          </w:tcPr>
          <w:p w14:paraId="5A49218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34</w:t>
            </w:r>
          </w:p>
        </w:tc>
        <w:tc>
          <w:tcPr>
            <w:tcW w:w="992" w:type="dxa"/>
            <w:noWrap/>
            <w:hideMark/>
          </w:tcPr>
          <w:p w14:paraId="4298B7D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41</w:t>
            </w:r>
          </w:p>
        </w:tc>
        <w:tc>
          <w:tcPr>
            <w:tcW w:w="1134" w:type="dxa"/>
            <w:noWrap/>
            <w:hideMark/>
          </w:tcPr>
          <w:p w14:paraId="77D1DE5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5.2</w:t>
            </w:r>
          </w:p>
        </w:tc>
        <w:tc>
          <w:tcPr>
            <w:tcW w:w="992" w:type="dxa"/>
            <w:gridSpan w:val="2"/>
            <w:noWrap/>
            <w:hideMark/>
          </w:tcPr>
          <w:p w14:paraId="494AA52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5.5</w:t>
            </w:r>
          </w:p>
        </w:tc>
      </w:tr>
      <w:tr w:rsidR="00B06653" w:rsidRPr="00BE33FC" w14:paraId="63E37326" w14:textId="77777777" w:rsidTr="006D697C">
        <w:trPr>
          <w:trHeight w:val="255"/>
        </w:trPr>
        <w:tc>
          <w:tcPr>
            <w:tcW w:w="2972" w:type="dxa"/>
            <w:noWrap/>
            <w:hideMark/>
          </w:tcPr>
          <w:p w14:paraId="64944887"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Justice &amp; Equality</w:t>
            </w:r>
          </w:p>
        </w:tc>
        <w:tc>
          <w:tcPr>
            <w:tcW w:w="1418" w:type="dxa"/>
            <w:noWrap/>
            <w:hideMark/>
          </w:tcPr>
          <w:p w14:paraId="27AF610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1945</w:t>
            </w:r>
          </w:p>
        </w:tc>
        <w:tc>
          <w:tcPr>
            <w:tcW w:w="992" w:type="dxa"/>
            <w:gridSpan w:val="2"/>
            <w:noWrap/>
            <w:hideMark/>
          </w:tcPr>
          <w:p w14:paraId="0E28FD71"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2016</w:t>
            </w:r>
          </w:p>
        </w:tc>
        <w:tc>
          <w:tcPr>
            <w:tcW w:w="1843" w:type="dxa"/>
            <w:noWrap/>
            <w:hideMark/>
          </w:tcPr>
          <w:p w14:paraId="558F939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110</w:t>
            </w:r>
          </w:p>
        </w:tc>
        <w:tc>
          <w:tcPr>
            <w:tcW w:w="992" w:type="dxa"/>
            <w:noWrap/>
            <w:hideMark/>
          </w:tcPr>
          <w:p w14:paraId="001EFDC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121</w:t>
            </w:r>
          </w:p>
        </w:tc>
        <w:tc>
          <w:tcPr>
            <w:tcW w:w="1134" w:type="dxa"/>
            <w:noWrap/>
            <w:hideMark/>
          </w:tcPr>
          <w:p w14:paraId="3FF9711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5.7</w:t>
            </w:r>
          </w:p>
        </w:tc>
        <w:tc>
          <w:tcPr>
            <w:tcW w:w="992" w:type="dxa"/>
            <w:gridSpan w:val="2"/>
            <w:noWrap/>
            <w:hideMark/>
          </w:tcPr>
          <w:p w14:paraId="5F73432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6.0</w:t>
            </w:r>
          </w:p>
        </w:tc>
      </w:tr>
      <w:tr w:rsidR="00B06653" w:rsidRPr="00BE33FC" w14:paraId="0E89A6CF" w14:textId="77777777" w:rsidTr="006D697C">
        <w:trPr>
          <w:trHeight w:val="255"/>
        </w:trPr>
        <w:tc>
          <w:tcPr>
            <w:tcW w:w="2972" w:type="dxa"/>
            <w:noWrap/>
            <w:hideMark/>
          </w:tcPr>
          <w:p w14:paraId="27C5660D"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Public Expenditure &amp; Reform</w:t>
            </w:r>
          </w:p>
        </w:tc>
        <w:tc>
          <w:tcPr>
            <w:tcW w:w="1418" w:type="dxa"/>
            <w:noWrap/>
            <w:hideMark/>
          </w:tcPr>
          <w:p w14:paraId="5AE8D41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412</w:t>
            </w:r>
          </w:p>
        </w:tc>
        <w:tc>
          <w:tcPr>
            <w:tcW w:w="992" w:type="dxa"/>
            <w:gridSpan w:val="2"/>
            <w:noWrap/>
            <w:hideMark/>
          </w:tcPr>
          <w:p w14:paraId="311E631C"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447</w:t>
            </w:r>
          </w:p>
        </w:tc>
        <w:tc>
          <w:tcPr>
            <w:tcW w:w="1843" w:type="dxa"/>
            <w:noWrap/>
            <w:hideMark/>
          </w:tcPr>
          <w:p w14:paraId="75CCE556"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14</w:t>
            </w:r>
          </w:p>
        </w:tc>
        <w:tc>
          <w:tcPr>
            <w:tcW w:w="992" w:type="dxa"/>
            <w:noWrap/>
            <w:hideMark/>
          </w:tcPr>
          <w:p w14:paraId="50870EF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19</w:t>
            </w:r>
          </w:p>
        </w:tc>
        <w:tc>
          <w:tcPr>
            <w:tcW w:w="1134" w:type="dxa"/>
            <w:noWrap/>
            <w:hideMark/>
          </w:tcPr>
          <w:p w14:paraId="685654AD"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3.4</w:t>
            </w:r>
          </w:p>
        </w:tc>
        <w:tc>
          <w:tcPr>
            <w:tcW w:w="992" w:type="dxa"/>
            <w:gridSpan w:val="2"/>
            <w:noWrap/>
            <w:hideMark/>
          </w:tcPr>
          <w:p w14:paraId="52FB521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4.3</w:t>
            </w:r>
          </w:p>
        </w:tc>
      </w:tr>
      <w:tr w:rsidR="00B06653" w:rsidRPr="00BE33FC" w14:paraId="2EBA5FAE" w14:textId="77777777" w:rsidTr="006D697C">
        <w:trPr>
          <w:trHeight w:val="255"/>
        </w:trPr>
        <w:tc>
          <w:tcPr>
            <w:tcW w:w="2972" w:type="dxa"/>
            <w:noWrap/>
            <w:hideMark/>
          </w:tcPr>
          <w:p w14:paraId="51D1143C"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 xml:space="preserve">Department of </w:t>
            </w:r>
            <w:proofErr w:type="gramStart"/>
            <w:r w:rsidRPr="00BE33FC">
              <w:rPr>
                <w:rFonts w:ascii="Gill Sans MT" w:hAnsi="Gill Sans MT" w:cs="Arial"/>
                <w:sz w:val="24"/>
                <w:lang w:eastAsia="en-IE"/>
              </w:rPr>
              <w:t>Rural  Community</w:t>
            </w:r>
            <w:proofErr w:type="gramEnd"/>
            <w:r w:rsidRPr="00BE33FC">
              <w:rPr>
                <w:rFonts w:ascii="Gill Sans MT" w:hAnsi="Gill Sans MT" w:cs="Arial"/>
                <w:sz w:val="24"/>
                <w:lang w:eastAsia="en-IE"/>
              </w:rPr>
              <w:t xml:space="preserve"> Development</w:t>
            </w:r>
          </w:p>
        </w:tc>
        <w:tc>
          <w:tcPr>
            <w:tcW w:w="1418" w:type="dxa"/>
            <w:noWrap/>
            <w:hideMark/>
          </w:tcPr>
          <w:p w14:paraId="5D02351C"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115</w:t>
            </w:r>
          </w:p>
        </w:tc>
        <w:tc>
          <w:tcPr>
            <w:tcW w:w="992" w:type="dxa"/>
            <w:gridSpan w:val="2"/>
            <w:noWrap/>
            <w:hideMark/>
          </w:tcPr>
          <w:p w14:paraId="38BC61E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150</w:t>
            </w:r>
          </w:p>
        </w:tc>
        <w:tc>
          <w:tcPr>
            <w:tcW w:w="1843" w:type="dxa"/>
            <w:noWrap/>
            <w:hideMark/>
          </w:tcPr>
          <w:p w14:paraId="2E0539A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8</w:t>
            </w:r>
          </w:p>
        </w:tc>
        <w:tc>
          <w:tcPr>
            <w:tcW w:w="992" w:type="dxa"/>
            <w:noWrap/>
            <w:hideMark/>
          </w:tcPr>
          <w:p w14:paraId="1982A2BA"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8</w:t>
            </w:r>
          </w:p>
        </w:tc>
        <w:tc>
          <w:tcPr>
            <w:tcW w:w="1134" w:type="dxa"/>
            <w:noWrap/>
            <w:hideMark/>
          </w:tcPr>
          <w:p w14:paraId="43A97D3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7.0</w:t>
            </w:r>
          </w:p>
        </w:tc>
        <w:tc>
          <w:tcPr>
            <w:tcW w:w="992" w:type="dxa"/>
            <w:gridSpan w:val="2"/>
            <w:noWrap/>
            <w:hideMark/>
          </w:tcPr>
          <w:p w14:paraId="58361B18"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5.3</w:t>
            </w:r>
          </w:p>
        </w:tc>
      </w:tr>
      <w:tr w:rsidR="00B06653" w:rsidRPr="00BE33FC" w14:paraId="57D40E0A" w14:textId="77777777" w:rsidTr="006D697C">
        <w:trPr>
          <w:trHeight w:val="255"/>
        </w:trPr>
        <w:tc>
          <w:tcPr>
            <w:tcW w:w="2972" w:type="dxa"/>
            <w:noWrap/>
            <w:hideMark/>
          </w:tcPr>
          <w:p w14:paraId="3EF568A2"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the Taoiseach</w:t>
            </w:r>
          </w:p>
        </w:tc>
        <w:tc>
          <w:tcPr>
            <w:tcW w:w="1418" w:type="dxa"/>
            <w:noWrap/>
            <w:hideMark/>
          </w:tcPr>
          <w:p w14:paraId="67BBE132"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218</w:t>
            </w:r>
          </w:p>
        </w:tc>
        <w:tc>
          <w:tcPr>
            <w:tcW w:w="992" w:type="dxa"/>
            <w:gridSpan w:val="2"/>
            <w:noWrap/>
            <w:hideMark/>
          </w:tcPr>
          <w:p w14:paraId="2DBB2CE8"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224</w:t>
            </w:r>
          </w:p>
        </w:tc>
        <w:tc>
          <w:tcPr>
            <w:tcW w:w="1843" w:type="dxa"/>
            <w:noWrap/>
            <w:hideMark/>
          </w:tcPr>
          <w:p w14:paraId="00B68FC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10</w:t>
            </w:r>
          </w:p>
        </w:tc>
        <w:tc>
          <w:tcPr>
            <w:tcW w:w="992" w:type="dxa"/>
            <w:noWrap/>
            <w:hideMark/>
          </w:tcPr>
          <w:p w14:paraId="76B6BAC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12</w:t>
            </w:r>
          </w:p>
        </w:tc>
        <w:tc>
          <w:tcPr>
            <w:tcW w:w="1134" w:type="dxa"/>
            <w:noWrap/>
            <w:hideMark/>
          </w:tcPr>
          <w:p w14:paraId="5B285D4D"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4.6</w:t>
            </w:r>
          </w:p>
        </w:tc>
        <w:tc>
          <w:tcPr>
            <w:tcW w:w="992" w:type="dxa"/>
            <w:gridSpan w:val="2"/>
            <w:noWrap/>
            <w:hideMark/>
          </w:tcPr>
          <w:p w14:paraId="369045D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5.4</w:t>
            </w:r>
          </w:p>
        </w:tc>
      </w:tr>
      <w:tr w:rsidR="00B06653" w:rsidRPr="00BE33FC" w14:paraId="0DE76CBB" w14:textId="77777777" w:rsidTr="006D697C">
        <w:trPr>
          <w:trHeight w:val="255"/>
        </w:trPr>
        <w:tc>
          <w:tcPr>
            <w:tcW w:w="2972" w:type="dxa"/>
            <w:noWrap/>
            <w:hideMark/>
          </w:tcPr>
          <w:p w14:paraId="7D2B73AA" w14:textId="77777777" w:rsidR="00B06653" w:rsidRPr="00BE33FC" w:rsidRDefault="00B06653" w:rsidP="00B06653">
            <w:pPr>
              <w:spacing w:after="300"/>
              <w:rPr>
                <w:rFonts w:ascii="Gill Sans MT" w:hAnsi="Gill Sans MT" w:cs="Arial"/>
                <w:sz w:val="24"/>
                <w:lang w:eastAsia="en-IE"/>
              </w:rPr>
            </w:pPr>
            <w:r w:rsidRPr="00BE33FC">
              <w:rPr>
                <w:rFonts w:ascii="Gill Sans MT" w:hAnsi="Gill Sans MT" w:cs="Arial"/>
                <w:sz w:val="24"/>
                <w:lang w:eastAsia="en-IE"/>
              </w:rPr>
              <w:t>Department of Transport, Tourism &amp; Sport</w:t>
            </w:r>
          </w:p>
        </w:tc>
        <w:tc>
          <w:tcPr>
            <w:tcW w:w="1418" w:type="dxa"/>
            <w:noWrap/>
            <w:hideMark/>
          </w:tcPr>
          <w:p w14:paraId="07013F6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486</w:t>
            </w:r>
          </w:p>
        </w:tc>
        <w:tc>
          <w:tcPr>
            <w:tcW w:w="992" w:type="dxa"/>
            <w:gridSpan w:val="2"/>
            <w:noWrap/>
            <w:hideMark/>
          </w:tcPr>
          <w:p w14:paraId="55E991E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557</w:t>
            </w:r>
          </w:p>
        </w:tc>
        <w:tc>
          <w:tcPr>
            <w:tcW w:w="1843" w:type="dxa"/>
            <w:noWrap/>
            <w:hideMark/>
          </w:tcPr>
          <w:p w14:paraId="7C8F3C0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19</w:t>
            </w:r>
          </w:p>
        </w:tc>
        <w:tc>
          <w:tcPr>
            <w:tcW w:w="992" w:type="dxa"/>
            <w:noWrap/>
            <w:hideMark/>
          </w:tcPr>
          <w:p w14:paraId="1DFFEFE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18</w:t>
            </w:r>
          </w:p>
        </w:tc>
        <w:tc>
          <w:tcPr>
            <w:tcW w:w="1134" w:type="dxa"/>
            <w:noWrap/>
            <w:hideMark/>
          </w:tcPr>
          <w:p w14:paraId="7EA4474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3.9</w:t>
            </w:r>
          </w:p>
        </w:tc>
        <w:tc>
          <w:tcPr>
            <w:tcW w:w="992" w:type="dxa"/>
            <w:gridSpan w:val="2"/>
            <w:noWrap/>
            <w:hideMark/>
          </w:tcPr>
          <w:p w14:paraId="7F4ED251"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3.2</w:t>
            </w:r>
          </w:p>
        </w:tc>
      </w:tr>
      <w:tr w:rsidR="00B06653" w:rsidRPr="00BE33FC" w14:paraId="26A6BC50" w14:textId="77777777" w:rsidTr="006D697C">
        <w:trPr>
          <w:trHeight w:val="255"/>
        </w:trPr>
        <w:tc>
          <w:tcPr>
            <w:tcW w:w="2972" w:type="dxa"/>
            <w:noWrap/>
            <w:hideMark/>
          </w:tcPr>
          <w:p w14:paraId="5F9BCC76" w14:textId="77777777" w:rsidR="00B06653" w:rsidRPr="00BE33FC" w:rsidRDefault="00B06653" w:rsidP="00B06653">
            <w:pPr>
              <w:spacing w:after="300"/>
              <w:rPr>
                <w:rFonts w:ascii="Gill Sans MT" w:hAnsi="Gill Sans MT" w:cs="Arial"/>
                <w:b/>
                <w:sz w:val="24"/>
                <w:lang w:eastAsia="en-IE"/>
              </w:rPr>
            </w:pPr>
            <w:r w:rsidRPr="00BE33FC">
              <w:rPr>
                <w:rFonts w:ascii="Gill Sans MT" w:hAnsi="Gill Sans MT" w:cs="Arial"/>
                <w:b/>
                <w:sz w:val="24"/>
                <w:lang w:eastAsia="en-IE"/>
              </w:rPr>
              <w:t>Grand Total</w:t>
            </w:r>
          </w:p>
          <w:p w14:paraId="02430CCB" w14:textId="02B47291" w:rsidR="003B315D" w:rsidRPr="00BE33FC" w:rsidRDefault="003B315D" w:rsidP="00B06653">
            <w:pPr>
              <w:spacing w:after="300"/>
              <w:rPr>
                <w:rFonts w:ascii="Gill Sans MT" w:hAnsi="Gill Sans MT" w:cs="Arial"/>
                <w:b/>
                <w:sz w:val="24"/>
                <w:lang w:eastAsia="en-IE"/>
              </w:rPr>
            </w:pPr>
          </w:p>
        </w:tc>
        <w:tc>
          <w:tcPr>
            <w:tcW w:w="1418" w:type="dxa"/>
            <w:noWrap/>
            <w:hideMark/>
          </w:tcPr>
          <w:p w14:paraId="614E6677" w14:textId="31088A08" w:rsidR="00B06653" w:rsidRPr="00BE33FC" w:rsidRDefault="00B06653" w:rsidP="00B06653">
            <w:pPr>
              <w:spacing w:after="300"/>
              <w:jc w:val="right"/>
              <w:rPr>
                <w:rFonts w:ascii="Gill Sans MT" w:hAnsi="Gill Sans MT" w:cs="Arial"/>
                <w:b/>
                <w:bCs/>
                <w:sz w:val="24"/>
                <w:lang w:eastAsia="en-IE"/>
              </w:rPr>
            </w:pPr>
            <w:r w:rsidRPr="00BE33FC">
              <w:rPr>
                <w:rFonts w:ascii="Gill Sans MT" w:hAnsi="Gill Sans MT" w:cs="Arial"/>
                <w:b/>
                <w:bCs/>
                <w:sz w:val="24"/>
                <w:lang w:eastAsia="en-IE"/>
              </w:rPr>
              <w:t>20</w:t>
            </w:r>
            <w:r w:rsidR="00441696">
              <w:rPr>
                <w:rFonts w:ascii="Gill Sans MT" w:hAnsi="Gill Sans MT" w:cs="Arial"/>
                <w:b/>
                <w:bCs/>
                <w:sz w:val="24"/>
                <w:lang w:eastAsia="en-IE"/>
              </w:rPr>
              <w:t>,</w:t>
            </w:r>
            <w:r w:rsidRPr="00BE33FC">
              <w:rPr>
                <w:rFonts w:ascii="Gill Sans MT" w:hAnsi="Gill Sans MT" w:cs="Arial"/>
                <w:b/>
                <w:bCs/>
                <w:sz w:val="24"/>
                <w:lang w:eastAsia="en-IE"/>
              </w:rPr>
              <w:t>520</w:t>
            </w:r>
          </w:p>
        </w:tc>
        <w:tc>
          <w:tcPr>
            <w:tcW w:w="992" w:type="dxa"/>
            <w:gridSpan w:val="2"/>
            <w:noWrap/>
            <w:hideMark/>
          </w:tcPr>
          <w:p w14:paraId="17BDCF35" w14:textId="79516C55" w:rsidR="00B06653" w:rsidRPr="00BE33FC" w:rsidRDefault="00B06653" w:rsidP="00B06653">
            <w:pPr>
              <w:spacing w:after="300"/>
              <w:jc w:val="right"/>
              <w:rPr>
                <w:rFonts w:ascii="Gill Sans MT" w:hAnsi="Gill Sans MT" w:cs="Arial"/>
                <w:b/>
                <w:bCs/>
                <w:sz w:val="24"/>
                <w:lang w:eastAsia="en-IE"/>
              </w:rPr>
            </w:pPr>
            <w:r w:rsidRPr="00BE33FC">
              <w:rPr>
                <w:rFonts w:ascii="Gill Sans MT" w:hAnsi="Gill Sans MT" w:cs="Arial"/>
                <w:b/>
                <w:bCs/>
                <w:sz w:val="24"/>
                <w:lang w:eastAsia="en-IE"/>
              </w:rPr>
              <w:t>21</w:t>
            </w:r>
            <w:r w:rsidR="00441696">
              <w:rPr>
                <w:rFonts w:ascii="Gill Sans MT" w:hAnsi="Gill Sans MT" w:cs="Arial"/>
                <w:b/>
                <w:bCs/>
                <w:sz w:val="24"/>
                <w:lang w:eastAsia="en-IE"/>
              </w:rPr>
              <w:t>,</w:t>
            </w:r>
            <w:r w:rsidRPr="00BE33FC">
              <w:rPr>
                <w:rFonts w:ascii="Gill Sans MT" w:hAnsi="Gill Sans MT" w:cs="Arial"/>
                <w:b/>
                <w:bCs/>
                <w:sz w:val="24"/>
                <w:lang w:eastAsia="en-IE"/>
              </w:rPr>
              <w:t>205</w:t>
            </w:r>
          </w:p>
        </w:tc>
        <w:tc>
          <w:tcPr>
            <w:tcW w:w="1843" w:type="dxa"/>
            <w:noWrap/>
            <w:hideMark/>
          </w:tcPr>
          <w:p w14:paraId="67C2E4EA" w14:textId="77777777" w:rsidR="00B06653" w:rsidRPr="00BE33FC" w:rsidRDefault="00B06653" w:rsidP="00B06653">
            <w:pPr>
              <w:spacing w:after="300"/>
              <w:jc w:val="right"/>
              <w:rPr>
                <w:rFonts w:ascii="Gill Sans MT" w:hAnsi="Gill Sans MT" w:cs="Arial"/>
                <w:b/>
                <w:bCs/>
                <w:sz w:val="24"/>
                <w:lang w:eastAsia="en-IE"/>
              </w:rPr>
            </w:pPr>
            <w:r w:rsidRPr="00BE33FC">
              <w:rPr>
                <w:rFonts w:ascii="Gill Sans MT" w:hAnsi="Gill Sans MT" w:cs="Arial"/>
                <w:b/>
                <w:bCs/>
                <w:sz w:val="24"/>
                <w:lang w:eastAsia="en-IE"/>
              </w:rPr>
              <w:t>944</w:t>
            </w:r>
          </w:p>
        </w:tc>
        <w:tc>
          <w:tcPr>
            <w:tcW w:w="992" w:type="dxa"/>
            <w:noWrap/>
            <w:hideMark/>
          </w:tcPr>
          <w:p w14:paraId="3AD4DBD8" w14:textId="77777777" w:rsidR="00B06653" w:rsidRPr="00BE33FC" w:rsidRDefault="00B06653" w:rsidP="00B06653">
            <w:pPr>
              <w:spacing w:after="300"/>
              <w:jc w:val="right"/>
              <w:rPr>
                <w:rFonts w:ascii="Gill Sans MT" w:hAnsi="Gill Sans MT" w:cs="Arial"/>
                <w:b/>
                <w:bCs/>
                <w:sz w:val="24"/>
                <w:lang w:eastAsia="en-IE"/>
              </w:rPr>
            </w:pPr>
            <w:r w:rsidRPr="00BE33FC">
              <w:rPr>
                <w:rFonts w:ascii="Gill Sans MT" w:hAnsi="Gill Sans MT" w:cs="Arial"/>
                <w:b/>
                <w:bCs/>
                <w:sz w:val="24"/>
                <w:lang w:eastAsia="en-IE"/>
              </w:rPr>
              <w:t>990</w:t>
            </w:r>
          </w:p>
        </w:tc>
        <w:tc>
          <w:tcPr>
            <w:tcW w:w="1134" w:type="dxa"/>
            <w:noWrap/>
            <w:hideMark/>
          </w:tcPr>
          <w:p w14:paraId="1302CA75" w14:textId="227F2870" w:rsidR="00B06653" w:rsidRPr="00BE33FC" w:rsidRDefault="002E5047" w:rsidP="00F53C61">
            <w:pPr>
              <w:spacing w:after="300"/>
              <w:jc w:val="right"/>
              <w:rPr>
                <w:rFonts w:ascii="Gill Sans MT" w:hAnsi="Gill Sans MT" w:cs="Arial"/>
                <w:b/>
                <w:sz w:val="24"/>
                <w:lang w:eastAsia="en-IE"/>
              </w:rPr>
            </w:pPr>
            <w:r w:rsidRPr="00BE33FC">
              <w:rPr>
                <w:rFonts w:ascii="Gill Sans MT" w:hAnsi="Gill Sans MT" w:cs="Arial"/>
                <w:b/>
                <w:sz w:val="24"/>
                <w:lang w:eastAsia="en-IE"/>
              </w:rPr>
              <w:t>4.6</w:t>
            </w:r>
          </w:p>
        </w:tc>
        <w:tc>
          <w:tcPr>
            <w:tcW w:w="992" w:type="dxa"/>
            <w:gridSpan w:val="2"/>
            <w:noWrap/>
            <w:hideMark/>
          </w:tcPr>
          <w:p w14:paraId="6D1DADF0" w14:textId="60552BAF" w:rsidR="00B06653" w:rsidRPr="00BE33FC" w:rsidRDefault="002E5047" w:rsidP="00F53C61">
            <w:pPr>
              <w:spacing w:after="300"/>
              <w:jc w:val="right"/>
              <w:rPr>
                <w:rFonts w:ascii="Gill Sans MT" w:hAnsi="Gill Sans MT" w:cs="Arial"/>
                <w:b/>
                <w:sz w:val="24"/>
                <w:lang w:eastAsia="en-IE"/>
              </w:rPr>
            </w:pPr>
            <w:r w:rsidRPr="00BE33FC">
              <w:rPr>
                <w:rFonts w:ascii="Gill Sans MT" w:hAnsi="Gill Sans MT" w:cs="Arial"/>
                <w:b/>
                <w:sz w:val="24"/>
                <w:lang w:eastAsia="en-IE"/>
              </w:rPr>
              <w:t>4.7</w:t>
            </w:r>
          </w:p>
        </w:tc>
      </w:tr>
    </w:tbl>
    <w:p w14:paraId="15B4CD60" w14:textId="77777777" w:rsidR="00933FBD" w:rsidRPr="00CC4F07" w:rsidRDefault="00933FBD" w:rsidP="00933FBD"/>
    <w:p w14:paraId="41766C2B" w14:textId="04E8333F" w:rsidR="00714529" w:rsidRPr="00CC4F07" w:rsidRDefault="00933FBD" w:rsidP="00605447">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b w:val="0"/>
          <w:color w:val="CC3399"/>
          <w:sz w:val="56"/>
          <w:szCs w:val="56"/>
        </w:rPr>
      </w:pPr>
      <w:r w:rsidRPr="00CC4F07">
        <w:br w:type="page"/>
      </w:r>
      <w:bookmarkStart w:id="58" w:name="_Toc435789590"/>
      <w:bookmarkStart w:id="59" w:name="_Toc18680261"/>
      <w:r w:rsidRPr="00605447">
        <w:rPr>
          <w:rFonts w:ascii="Rockwell" w:hAnsi="Rockwell"/>
          <w:color w:val="CC3399"/>
          <w:sz w:val="56"/>
          <w:szCs w:val="56"/>
        </w:rPr>
        <w:lastRenderedPageBreak/>
        <w:t>Appendix B – Public bodies</w:t>
      </w:r>
      <w:bookmarkEnd w:id="58"/>
      <w:bookmarkEnd w:id="59"/>
    </w:p>
    <w:p w14:paraId="55401478" w14:textId="77777777" w:rsidR="003B315D" w:rsidRPr="00CC4F07" w:rsidRDefault="003B315D" w:rsidP="003B315D">
      <w:pPr>
        <w:rPr>
          <w:b/>
        </w:rPr>
      </w:pPr>
      <w:r w:rsidRPr="00CC4F07">
        <w:rPr>
          <w:b/>
        </w:rPr>
        <w:t>Department of Agriculture, Food &amp; the Marine</w:t>
      </w:r>
    </w:p>
    <w:tbl>
      <w:tblPr>
        <w:tblStyle w:val="TableGrid"/>
        <w:tblW w:w="0" w:type="auto"/>
        <w:tblLook w:val="04A0" w:firstRow="1" w:lastRow="0" w:firstColumn="1" w:lastColumn="0" w:noHBand="0" w:noVBand="1"/>
        <w:tblCaption w:val="Appendix B Public bodies"/>
        <w:tblDescription w:val="Department of Agriculture, Food and the Marine"/>
      </w:tblPr>
      <w:tblGrid>
        <w:gridCol w:w="2506"/>
        <w:gridCol w:w="1053"/>
        <w:gridCol w:w="350"/>
        <w:gridCol w:w="636"/>
        <w:gridCol w:w="1053"/>
        <w:gridCol w:w="830"/>
        <w:gridCol w:w="288"/>
        <w:gridCol w:w="1034"/>
        <w:gridCol w:w="718"/>
        <w:gridCol w:w="246"/>
      </w:tblGrid>
      <w:tr w:rsidR="003B315D" w:rsidRPr="00BE33FC" w14:paraId="33F76DBF" w14:textId="77777777" w:rsidTr="00B961C4">
        <w:tc>
          <w:tcPr>
            <w:tcW w:w="2506" w:type="dxa"/>
          </w:tcPr>
          <w:p w14:paraId="165E26D9"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403" w:type="dxa"/>
            <w:gridSpan w:val="2"/>
            <w:tcBorders>
              <w:right w:val="nil"/>
            </w:tcBorders>
          </w:tcPr>
          <w:p w14:paraId="350511D9"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xml:space="preserve">Total number of </w:t>
            </w:r>
            <w:proofErr w:type="gramStart"/>
            <w:r w:rsidRPr="00BE33FC">
              <w:rPr>
                <w:rFonts w:ascii="Gill Sans MT" w:hAnsi="Gill Sans MT"/>
                <w:b/>
                <w:sz w:val="22"/>
                <w:szCs w:val="22"/>
              </w:rPr>
              <w:t>employee</w:t>
            </w:r>
            <w:proofErr w:type="gramEnd"/>
          </w:p>
        </w:tc>
        <w:tc>
          <w:tcPr>
            <w:tcW w:w="636" w:type="dxa"/>
            <w:tcBorders>
              <w:left w:val="nil"/>
            </w:tcBorders>
          </w:tcPr>
          <w:p w14:paraId="1E8A8275"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42BB8710"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8" w:type="dxa"/>
            <w:tcBorders>
              <w:left w:val="nil"/>
            </w:tcBorders>
          </w:tcPr>
          <w:p w14:paraId="2F39525F"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4519CD05"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6" w:type="dxa"/>
            <w:tcBorders>
              <w:left w:val="nil"/>
            </w:tcBorders>
          </w:tcPr>
          <w:p w14:paraId="09DB0FBD" w14:textId="77777777" w:rsidR="003B315D" w:rsidRPr="00BE33FC" w:rsidRDefault="003B315D" w:rsidP="006D697C">
            <w:pPr>
              <w:rPr>
                <w:rFonts w:ascii="Gill Sans MT" w:hAnsi="Gill Sans MT"/>
                <w:b/>
                <w:sz w:val="22"/>
                <w:szCs w:val="22"/>
              </w:rPr>
            </w:pPr>
          </w:p>
        </w:tc>
      </w:tr>
      <w:tr w:rsidR="003B315D" w:rsidRPr="00BE33FC" w14:paraId="4DE8EA09" w14:textId="77777777" w:rsidTr="00B961C4">
        <w:tc>
          <w:tcPr>
            <w:tcW w:w="2506" w:type="dxa"/>
          </w:tcPr>
          <w:p w14:paraId="363A190C" w14:textId="77777777" w:rsidR="003B315D" w:rsidRPr="00BE33FC" w:rsidRDefault="003B315D" w:rsidP="006D697C">
            <w:pPr>
              <w:rPr>
                <w:rFonts w:ascii="Gill Sans MT" w:hAnsi="Gill Sans MT"/>
                <w:b/>
                <w:sz w:val="22"/>
                <w:szCs w:val="22"/>
              </w:rPr>
            </w:pPr>
          </w:p>
        </w:tc>
        <w:tc>
          <w:tcPr>
            <w:tcW w:w="1053" w:type="dxa"/>
          </w:tcPr>
          <w:p w14:paraId="6DDFA0F9"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372F527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2D7B693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727F14A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1047353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16D03E0B"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44AE1F3C" w14:textId="77777777" w:rsidTr="00B961C4">
        <w:trPr>
          <w:trHeight w:val="255"/>
        </w:trPr>
        <w:tc>
          <w:tcPr>
            <w:tcW w:w="2506" w:type="dxa"/>
            <w:noWrap/>
          </w:tcPr>
          <w:p w14:paraId="7B674464"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Bord Bia</w:t>
            </w:r>
          </w:p>
        </w:tc>
        <w:tc>
          <w:tcPr>
            <w:tcW w:w="1053" w:type="dxa"/>
            <w:noWrap/>
          </w:tcPr>
          <w:p w14:paraId="43B7AA76"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108</w:t>
            </w:r>
          </w:p>
        </w:tc>
        <w:tc>
          <w:tcPr>
            <w:tcW w:w="986" w:type="dxa"/>
            <w:gridSpan w:val="2"/>
            <w:noWrap/>
          </w:tcPr>
          <w:p w14:paraId="78134DB3"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127</w:t>
            </w:r>
          </w:p>
        </w:tc>
        <w:tc>
          <w:tcPr>
            <w:tcW w:w="1053" w:type="dxa"/>
            <w:noWrap/>
          </w:tcPr>
          <w:p w14:paraId="1798CE41"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w:t>
            </w:r>
          </w:p>
        </w:tc>
        <w:tc>
          <w:tcPr>
            <w:tcW w:w="1118" w:type="dxa"/>
            <w:gridSpan w:val="2"/>
            <w:noWrap/>
          </w:tcPr>
          <w:p w14:paraId="5C2D61C3"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w:t>
            </w:r>
          </w:p>
        </w:tc>
        <w:tc>
          <w:tcPr>
            <w:tcW w:w="1034" w:type="dxa"/>
            <w:noWrap/>
          </w:tcPr>
          <w:p w14:paraId="540C60F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4.6</w:t>
            </w:r>
          </w:p>
        </w:tc>
        <w:tc>
          <w:tcPr>
            <w:tcW w:w="964" w:type="dxa"/>
            <w:gridSpan w:val="2"/>
            <w:noWrap/>
          </w:tcPr>
          <w:p w14:paraId="79F19A01"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3.9</w:t>
            </w:r>
          </w:p>
        </w:tc>
      </w:tr>
      <w:tr w:rsidR="003B315D" w:rsidRPr="00BE33FC" w14:paraId="0440BD76" w14:textId="77777777" w:rsidTr="00B961C4">
        <w:trPr>
          <w:trHeight w:val="255"/>
        </w:trPr>
        <w:tc>
          <w:tcPr>
            <w:tcW w:w="2506" w:type="dxa"/>
            <w:noWrap/>
          </w:tcPr>
          <w:p w14:paraId="66F118D6"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 xml:space="preserve">Bord </w:t>
            </w:r>
            <w:proofErr w:type="spellStart"/>
            <w:r w:rsidRPr="00BE33FC">
              <w:rPr>
                <w:rFonts w:ascii="Gill Sans MT" w:hAnsi="Gill Sans MT"/>
                <w:sz w:val="22"/>
                <w:szCs w:val="22"/>
              </w:rPr>
              <w:t>Iascaigh</w:t>
            </w:r>
            <w:proofErr w:type="spellEnd"/>
            <w:r w:rsidRPr="00BE33FC">
              <w:rPr>
                <w:rFonts w:ascii="Gill Sans MT" w:hAnsi="Gill Sans MT"/>
                <w:sz w:val="22"/>
                <w:szCs w:val="22"/>
              </w:rPr>
              <w:t xml:space="preserve"> Mhara</w:t>
            </w:r>
          </w:p>
        </w:tc>
        <w:tc>
          <w:tcPr>
            <w:tcW w:w="1053" w:type="dxa"/>
            <w:noWrap/>
          </w:tcPr>
          <w:p w14:paraId="4A52B3F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140</w:t>
            </w:r>
          </w:p>
        </w:tc>
        <w:tc>
          <w:tcPr>
            <w:tcW w:w="986" w:type="dxa"/>
            <w:gridSpan w:val="2"/>
            <w:noWrap/>
          </w:tcPr>
          <w:p w14:paraId="61CFE07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144</w:t>
            </w:r>
          </w:p>
        </w:tc>
        <w:tc>
          <w:tcPr>
            <w:tcW w:w="1053" w:type="dxa"/>
            <w:noWrap/>
          </w:tcPr>
          <w:p w14:paraId="7EE393E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w:t>
            </w:r>
          </w:p>
        </w:tc>
        <w:tc>
          <w:tcPr>
            <w:tcW w:w="1118" w:type="dxa"/>
            <w:gridSpan w:val="2"/>
            <w:noWrap/>
          </w:tcPr>
          <w:p w14:paraId="7BAE71E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w:t>
            </w:r>
          </w:p>
        </w:tc>
        <w:tc>
          <w:tcPr>
            <w:tcW w:w="1034" w:type="dxa"/>
            <w:noWrap/>
          </w:tcPr>
          <w:p w14:paraId="6E550C3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2.9</w:t>
            </w:r>
          </w:p>
        </w:tc>
        <w:tc>
          <w:tcPr>
            <w:tcW w:w="964" w:type="dxa"/>
            <w:gridSpan w:val="2"/>
            <w:noWrap/>
          </w:tcPr>
          <w:p w14:paraId="4FC2EE67"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2.8</w:t>
            </w:r>
          </w:p>
        </w:tc>
      </w:tr>
      <w:tr w:rsidR="003B315D" w:rsidRPr="00BE33FC" w14:paraId="72AB81FC" w14:textId="77777777" w:rsidTr="00B961C4">
        <w:trPr>
          <w:trHeight w:val="255"/>
        </w:trPr>
        <w:tc>
          <w:tcPr>
            <w:tcW w:w="2506" w:type="dxa"/>
            <w:noWrap/>
          </w:tcPr>
          <w:p w14:paraId="42B11BC1"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 xml:space="preserve">Bord </w:t>
            </w:r>
            <w:proofErr w:type="spellStart"/>
            <w:r w:rsidRPr="00BE33FC">
              <w:rPr>
                <w:rFonts w:ascii="Gill Sans MT" w:hAnsi="Gill Sans MT"/>
                <w:sz w:val="22"/>
                <w:szCs w:val="22"/>
              </w:rPr>
              <w:t>na</w:t>
            </w:r>
            <w:proofErr w:type="spellEnd"/>
            <w:r w:rsidRPr="00BE33FC">
              <w:rPr>
                <w:rFonts w:ascii="Gill Sans MT" w:hAnsi="Gill Sans MT"/>
                <w:sz w:val="22"/>
                <w:szCs w:val="22"/>
              </w:rPr>
              <w:t xml:space="preserve"> </w:t>
            </w:r>
            <w:proofErr w:type="spellStart"/>
            <w:r w:rsidRPr="00BE33FC">
              <w:rPr>
                <w:rFonts w:ascii="Gill Sans MT" w:hAnsi="Gill Sans MT"/>
                <w:sz w:val="22"/>
                <w:szCs w:val="22"/>
              </w:rPr>
              <w:t>gCon</w:t>
            </w:r>
            <w:proofErr w:type="spellEnd"/>
          </w:p>
        </w:tc>
        <w:tc>
          <w:tcPr>
            <w:tcW w:w="1053" w:type="dxa"/>
            <w:noWrap/>
          </w:tcPr>
          <w:p w14:paraId="1F828452"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491</w:t>
            </w:r>
          </w:p>
        </w:tc>
        <w:tc>
          <w:tcPr>
            <w:tcW w:w="986" w:type="dxa"/>
            <w:gridSpan w:val="2"/>
            <w:noWrap/>
          </w:tcPr>
          <w:p w14:paraId="6D1B0305"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434</w:t>
            </w:r>
          </w:p>
        </w:tc>
        <w:tc>
          <w:tcPr>
            <w:tcW w:w="1053" w:type="dxa"/>
            <w:noWrap/>
          </w:tcPr>
          <w:p w14:paraId="404FD0B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17</w:t>
            </w:r>
          </w:p>
        </w:tc>
        <w:tc>
          <w:tcPr>
            <w:tcW w:w="1118" w:type="dxa"/>
            <w:gridSpan w:val="2"/>
            <w:noWrap/>
          </w:tcPr>
          <w:p w14:paraId="5107376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11</w:t>
            </w:r>
          </w:p>
        </w:tc>
        <w:tc>
          <w:tcPr>
            <w:tcW w:w="1034" w:type="dxa"/>
            <w:noWrap/>
          </w:tcPr>
          <w:p w14:paraId="1CE631D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3.5</w:t>
            </w:r>
          </w:p>
        </w:tc>
        <w:tc>
          <w:tcPr>
            <w:tcW w:w="964" w:type="dxa"/>
            <w:gridSpan w:val="2"/>
            <w:noWrap/>
          </w:tcPr>
          <w:p w14:paraId="46136F8E"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2.5</w:t>
            </w:r>
          </w:p>
        </w:tc>
      </w:tr>
      <w:tr w:rsidR="003B315D" w:rsidRPr="00BE33FC" w14:paraId="1B0F7EBE" w14:textId="77777777" w:rsidTr="00B961C4">
        <w:trPr>
          <w:trHeight w:val="255"/>
        </w:trPr>
        <w:tc>
          <w:tcPr>
            <w:tcW w:w="2506" w:type="dxa"/>
            <w:noWrap/>
          </w:tcPr>
          <w:p w14:paraId="38A693DD"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Coillte</w:t>
            </w:r>
          </w:p>
        </w:tc>
        <w:tc>
          <w:tcPr>
            <w:tcW w:w="1053" w:type="dxa"/>
            <w:noWrap/>
          </w:tcPr>
          <w:p w14:paraId="69834DB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442</w:t>
            </w:r>
          </w:p>
        </w:tc>
        <w:tc>
          <w:tcPr>
            <w:tcW w:w="986" w:type="dxa"/>
            <w:gridSpan w:val="2"/>
            <w:noWrap/>
          </w:tcPr>
          <w:p w14:paraId="6D4A3E4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448</w:t>
            </w:r>
          </w:p>
        </w:tc>
        <w:tc>
          <w:tcPr>
            <w:tcW w:w="1053" w:type="dxa"/>
            <w:noWrap/>
          </w:tcPr>
          <w:p w14:paraId="5444E65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23</w:t>
            </w:r>
          </w:p>
        </w:tc>
        <w:tc>
          <w:tcPr>
            <w:tcW w:w="1118" w:type="dxa"/>
            <w:gridSpan w:val="2"/>
            <w:noWrap/>
          </w:tcPr>
          <w:p w14:paraId="72466841"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11</w:t>
            </w:r>
          </w:p>
        </w:tc>
        <w:tc>
          <w:tcPr>
            <w:tcW w:w="1034" w:type="dxa"/>
            <w:noWrap/>
          </w:tcPr>
          <w:p w14:paraId="121A8A17"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5.2</w:t>
            </w:r>
          </w:p>
        </w:tc>
        <w:tc>
          <w:tcPr>
            <w:tcW w:w="964" w:type="dxa"/>
            <w:gridSpan w:val="2"/>
            <w:noWrap/>
          </w:tcPr>
          <w:p w14:paraId="1F304D3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2.5</w:t>
            </w:r>
          </w:p>
        </w:tc>
      </w:tr>
      <w:tr w:rsidR="003B315D" w:rsidRPr="00BE33FC" w14:paraId="7A56CBCC" w14:textId="77777777" w:rsidTr="00B961C4">
        <w:trPr>
          <w:trHeight w:val="255"/>
        </w:trPr>
        <w:tc>
          <w:tcPr>
            <w:tcW w:w="2506" w:type="dxa"/>
            <w:noWrap/>
          </w:tcPr>
          <w:p w14:paraId="3C7DFC3E"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Horse Racing Ireland</w:t>
            </w:r>
          </w:p>
        </w:tc>
        <w:tc>
          <w:tcPr>
            <w:tcW w:w="1053" w:type="dxa"/>
            <w:noWrap/>
          </w:tcPr>
          <w:p w14:paraId="4842995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195</w:t>
            </w:r>
          </w:p>
        </w:tc>
        <w:tc>
          <w:tcPr>
            <w:tcW w:w="986" w:type="dxa"/>
            <w:gridSpan w:val="2"/>
            <w:noWrap/>
          </w:tcPr>
          <w:p w14:paraId="3E02392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199</w:t>
            </w:r>
          </w:p>
        </w:tc>
        <w:tc>
          <w:tcPr>
            <w:tcW w:w="1053" w:type="dxa"/>
            <w:noWrap/>
          </w:tcPr>
          <w:p w14:paraId="7657B275"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6</w:t>
            </w:r>
          </w:p>
        </w:tc>
        <w:tc>
          <w:tcPr>
            <w:tcW w:w="1118" w:type="dxa"/>
            <w:gridSpan w:val="2"/>
            <w:noWrap/>
          </w:tcPr>
          <w:p w14:paraId="1D66272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8</w:t>
            </w:r>
          </w:p>
        </w:tc>
        <w:tc>
          <w:tcPr>
            <w:tcW w:w="1034" w:type="dxa"/>
            <w:noWrap/>
          </w:tcPr>
          <w:p w14:paraId="72F96F6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3.1</w:t>
            </w:r>
          </w:p>
        </w:tc>
        <w:tc>
          <w:tcPr>
            <w:tcW w:w="964" w:type="dxa"/>
            <w:gridSpan w:val="2"/>
            <w:noWrap/>
          </w:tcPr>
          <w:p w14:paraId="66342AB2"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4.0</w:t>
            </w:r>
          </w:p>
        </w:tc>
      </w:tr>
      <w:tr w:rsidR="003B315D" w:rsidRPr="00BE33FC" w14:paraId="5A2BF7DF" w14:textId="77777777" w:rsidTr="00B961C4">
        <w:trPr>
          <w:trHeight w:val="255"/>
        </w:trPr>
        <w:tc>
          <w:tcPr>
            <w:tcW w:w="2506" w:type="dxa"/>
            <w:noWrap/>
          </w:tcPr>
          <w:p w14:paraId="6ED548D8"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Irish National Stud</w:t>
            </w:r>
          </w:p>
        </w:tc>
        <w:tc>
          <w:tcPr>
            <w:tcW w:w="1053" w:type="dxa"/>
            <w:noWrap/>
          </w:tcPr>
          <w:p w14:paraId="07586A80"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46</w:t>
            </w:r>
          </w:p>
        </w:tc>
        <w:tc>
          <w:tcPr>
            <w:tcW w:w="986" w:type="dxa"/>
            <w:gridSpan w:val="2"/>
            <w:noWrap/>
          </w:tcPr>
          <w:p w14:paraId="65FA76D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50</w:t>
            </w:r>
          </w:p>
        </w:tc>
        <w:tc>
          <w:tcPr>
            <w:tcW w:w="1053" w:type="dxa"/>
            <w:noWrap/>
          </w:tcPr>
          <w:p w14:paraId="54AE9EE7"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w:t>
            </w:r>
          </w:p>
        </w:tc>
        <w:tc>
          <w:tcPr>
            <w:tcW w:w="1118" w:type="dxa"/>
            <w:gridSpan w:val="2"/>
            <w:noWrap/>
          </w:tcPr>
          <w:p w14:paraId="4A12DA9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w:t>
            </w:r>
          </w:p>
        </w:tc>
        <w:tc>
          <w:tcPr>
            <w:tcW w:w="1034" w:type="dxa"/>
            <w:noWrap/>
          </w:tcPr>
          <w:p w14:paraId="50597294"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8.7</w:t>
            </w:r>
          </w:p>
        </w:tc>
        <w:tc>
          <w:tcPr>
            <w:tcW w:w="964" w:type="dxa"/>
            <w:gridSpan w:val="2"/>
            <w:noWrap/>
          </w:tcPr>
          <w:p w14:paraId="128D84C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8.0</w:t>
            </w:r>
          </w:p>
        </w:tc>
      </w:tr>
      <w:tr w:rsidR="003B315D" w:rsidRPr="00BE33FC" w14:paraId="2D584F11" w14:textId="77777777" w:rsidTr="00B961C4">
        <w:trPr>
          <w:trHeight w:val="255"/>
        </w:trPr>
        <w:tc>
          <w:tcPr>
            <w:tcW w:w="2506" w:type="dxa"/>
            <w:noWrap/>
          </w:tcPr>
          <w:p w14:paraId="63D11295"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Marine Institute</w:t>
            </w:r>
          </w:p>
        </w:tc>
        <w:tc>
          <w:tcPr>
            <w:tcW w:w="1053" w:type="dxa"/>
            <w:noWrap/>
          </w:tcPr>
          <w:p w14:paraId="66C2BF8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216</w:t>
            </w:r>
          </w:p>
        </w:tc>
        <w:tc>
          <w:tcPr>
            <w:tcW w:w="986" w:type="dxa"/>
            <w:gridSpan w:val="2"/>
            <w:noWrap/>
          </w:tcPr>
          <w:p w14:paraId="583AC9B4"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236</w:t>
            </w:r>
          </w:p>
        </w:tc>
        <w:tc>
          <w:tcPr>
            <w:tcW w:w="1053" w:type="dxa"/>
            <w:noWrap/>
          </w:tcPr>
          <w:p w14:paraId="6258DD8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9</w:t>
            </w:r>
          </w:p>
        </w:tc>
        <w:tc>
          <w:tcPr>
            <w:tcW w:w="1118" w:type="dxa"/>
            <w:gridSpan w:val="2"/>
            <w:noWrap/>
          </w:tcPr>
          <w:p w14:paraId="063837E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12</w:t>
            </w:r>
          </w:p>
        </w:tc>
        <w:tc>
          <w:tcPr>
            <w:tcW w:w="1034" w:type="dxa"/>
            <w:noWrap/>
          </w:tcPr>
          <w:p w14:paraId="35C64070"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4.2</w:t>
            </w:r>
          </w:p>
        </w:tc>
        <w:tc>
          <w:tcPr>
            <w:tcW w:w="964" w:type="dxa"/>
            <w:gridSpan w:val="2"/>
            <w:noWrap/>
          </w:tcPr>
          <w:p w14:paraId="11A2CB27"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5.1</w:t>
            </w:r>
          </w:p>
        </w:tc>
      </w:tr>
      <w:tr w:rsidR="003B315D" w:rsidRPr="00BE33FC" w14:paraId="03F69B82" w14:textId="77777777" w:rsidTr="00B961C4">
        <w:trPr>
          <w:trHeight w:val="255"/>
        </w:trPr>
        <w:tc>
          <w:tcPr>
            <w:tcW w:w="2506" w:type="dxa"/>
            <w:noWrap/>
          </w:tcPr>
          <w:p w14:paraId="2FDE05FC"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National Milk Agency</w:t>
            </w:r>
          </w:p>
        </w:tc>
        <w:tc>
          <w:tcPr>
            <w:tcW w:w="1053" w:type="dxa"/>
            <w:noWrap/>
          </w:tcPr>
          <w:p w14:paraId="739860F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w:t>
            </w:r>
          </w:p>
        </w:tc>
        <w:tc>
          <w:tcPr>
            <w:tcW w:w="986" w:type="dxa"/>
            <w:gridSpan w:val="2"/>
            <w:noWrap/>
          </w:tcPr>
          <w:p w14:paraId="37CD14C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w:t>
            </w:r>
          </w:p>
        </w:tc>
        <w:tc>
          <w:tcPr>
            <w:tcW w:w="1053" w:type="dxa"/>
            <w:noWrap/>
          </w:tcPr>
          <w:p w14:paraId="51A34540"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w:t>
            </w:r>
          </w:p>
        </w:tc>
        <w:tc>
          <w:tcPr>
            <w:tcW w:w="1118" w:type="dxa"/>
            <w:gridSpan w:val="2"/>
            <w:noWrap/>
          </w:tcPr>
          <w:p w14:paraId="7FA4871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w:t>
            </w:r>
          </w:p>
        </w:tc>
        <w:tc>
          <w:tcPr>
            <w:tcW w:w="1034" w:type="dxa"/>
            <w:noWrap/>
          </w:tcPr>
          <w:p w14:paraId="65E0155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0.0</w:t>
            </w:r>
          </w:p>
        </w:tc>
        <w:tc>
          <w:tcPr>
            <w:tcW w:w="964" w:type="dxa"/>
            <w:gridSpan w:val="2"/>
            <w:noWrap/>
          </w:tcPr>
          <w:p w14:paraId="60A062AE"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0.0</w:t>
            </w:r>
          </w:p>
        </w:tc>
      </w:tr>
      <w:tr w:rsidR="003B315D" w:rsidRPr="00BE33FC" w14:paraId="6F9EBA68" w14:textId="77777777" w:rsidTr="00B961C4">
        <w:trPr>
          <w:trHeight w:val="255"/>
        </w:trPr>
        <w:tc>
          <w:tcPr>
            <w:tcW w:w="2506" w:type="dxa"/>
            <w:noWrap/>
          </w:tcPr>
          <w:p w14:paraId="26B88C17"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Sea Fisheries Protection Authority</w:t>
            </w:r>
          </w:p>
        </w:tc>
        <w:tc>
          <w:tcPr>
            <w:tcW w:w="1053" w:type="dxa"/>
            <w:noWrap/>
          </w:tcPr>
          <w:p w14:paraId="10E31B3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99</w:t>
            </w:r>
          </w:p>
        </w:tc>
        <w:tc>
          <w:tcPr>
            <w:tcW w:w="986" w:type="dxa"/>
            <w:gridSpan w:val="2"/>
            <w:noWrap/>
          </w:tcPr>
          <w:p w14:paraId="73988E35"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125</w:t>
            </w:r>
          </w:p>
        </w:tc>
        <w:tc>
          <w:tcPr>
            <w:tcW w:w="1053" w:type="dxa"/>
            <w:noWrap/>
          </w:tcPr>
          <w:p w14:paraId="3E94770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w:t>
            </w:r>
          </w:p>
        </w:tc>
        <w:tc>
          <w:tcPr>
            <w:tcW w:w="1118" w:type="dxa"/>
            <w:gridSpan w:val="2"/>
            <w:noWrap/>
          </w:tcPr>
          <w:p w14:paraId="60A7E17F"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6</w:t>
            </w:r>
          </w:p>
        </w:tc>
        <w:tc>
          <w:tcPr>
            <w:tcW w:w="1034" w:type="dxa"/>
            <w:noWrap/>
          </w:tcPr>
          <w:p w14:paraId="2382B2AF"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5.1</w:t>
            </w:r>
          </w:p>
        </w:tc>
        <w:tc>
          <w:tcPr>
            <w:tcW w:w="964" w:type="dxa"/>
            <w:gridSpan w:val="2"/>
            <w:noWrap/>
          </w:tcPr>
          <w:p w14:paraId="680DAC7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4.8</w:t>
            </w:r>
          </w:p>
        </w:tc>
      </w:tr>
      <w:tr w:rsidR="003B315D" w:rsidRPr="00BE33FC" w14:paraId="4562FE25" w14:textId="77777777" w:rsidTr="00B961C4">
        <w:trPr>
          <w:trHeight w:val="255"/>
        </w:trPr>
        <w:tc>
          <w:tcPr>
            <w:tcW w:w="2506" w:type="dxa"/>
            <w:noWrap/>
          </w:tcPr>
          <w:p w14:paraId="37620BD0"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 xml:space="preserve">Teagasc </w:t>
            </w:r>
          </w:p>
        </w:tc>
        <w:tc>
          <w:tcPr>
            <w:tcW w:w="1053" w:type="dxa"/>
            <w:noWrap/>
          </w:tcPr>
          <w:p w14:paraId="476BF0E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1,265</w:t>
            </w:r>
          </w:p>
        </w:tc>
        <w:tc>
          <w:tcPr>
            <w:tcW w:w="986" w:type="dxa"/>
            <w:gridSpan w:val="2"/>
            <w:noWrap/>
          </w:tcPr>
          <w:p w14:paraId="130656B8"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1,301</w:t>
            </w:r>
          </w:p>
        </w:tc>
        <w:tc>
          <w:tcPr>
            <w:tcW w:w="1053" w:type="dxa"/>
            <w:noWrap/>
          </w:tcPr>
          <w:p w14:paraId="7539812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57</w:t>
            </w:r>
          </w:p>
        </w:tc>
        <w:tc>
          <w:tcPr>
            <w:tcW w:w="1118" w:type="dxa"/>
            <w:gridSpan w:val="2"/>
            <w:noWrap/>
          </w:tcPr>
          <w:p w14:paraId="3A1D54E5"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59</w:t>
            </w:r>
          </w:p>
        </w:tc>
        <w:tc>
          <w:tcPr>
            <w:tcW w:w="1034" w:type="dxa"/>
            <w:noWrap/>
          </w:tcPr>
          <w:p w14:paraId="124E9BD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4.5</w:t>
            </w:r>
          </w:p>
        </w:tc>
        <w:tc>
          <w:tcPr>
            <w:tcW w:w="964" w:type="dxa"/>
            <w:gridSpan w:val="2"/>
            <w:noWrap/>
          </w:tcPr>
          <w:p w14:paraId="6CBDB8AF"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4.5</w:t>
            </w:r>
          </w:p>
        </w:tc>
      </w:tr>
      <w:tr w:rsidR="003B315D" w:rsidRPr="00BE33FC" w14:paraId="3E669EC0" w14:textId="77777777" w:rsidTr="00B961C4">
        <w:trPr>
          <w:trHeight w:val="255"/>
        </w:trPr>
        <w:tc>
          <w:tcPr>
            <w:tcW w:w="2506" w:type="dxa"/>
            <w:noWrap/>
          </w:tcPr>
          <w:p w14:paraId="01BCB2ED"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Veterinary Council of Ireland</w:t>
            </w:r>
          </w:p>
        </w:tc>
        <w:tc>
          <w:tcPr>
            <w:tcW w:w="1053" w:type="dxa"/>
            <w:noWrap/>
          </w:tcPr>
          <w:p w14:paraId="3F28EDA3"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6</w:t>
            </w:r>
          </w:p>
        </w:tc>
        <w:tc>
          <w:tcPr>
            <w:tcW w:w="986" w:type="dxa"/>
            <w:gridSpan w:val="2"/>
            <w:noWrap/>
          </w:tcPr>
          <w:p w14:paraId="20316142"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8</w:t>
            </w:r>
          </w:p>
        </w:tc>
        <w:tc>
          <w:tcPr>
            <w:tcW w:w="1053" w:type="dxa"/>
            <w:noWrap/>
          </w:tcPr>
          <w:p w14:paraId="216CDFB2"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w:t>
            </w:r>
          </w:p>
        </w:tc>
        <w:tc>
          <w:tcPr>
            <w:tcW w:w="1118" w:type="dxa"/>
            <w:gridSpan w:val="2"/>
            <w:noWrap/>
          </w:tcPr>
          <w:p w14:paraId="68CE646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w:t>
            </w:r>
          </w:p>
        </w:tc>
        <w:tc>
          <w:tcPr>
            <w:tcW w:w="1034" w:type="dxa"/>
            <w:noWrap/>
          </w:tcPr>
          <w:p w14:paraId="50EF0B8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0.0</w:t>
            </w:r>
          </w:p>
        </w:tc>
        <w:tc>
          <w:tcPr>
            <w:tcW w:w="964" w:type="dxa"/>
            <w:gridSpan w:val="2"/>
            <w:noWrap/>
          </w:tcPr>
          <w:p w14:paraId="7D9B0047"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0.0</w:t>
            </w:r>
          </w:p>
        </w:tc>
      </w:tr>
      <w:tr w:rsidR="003B315D" w:rsidRPr="00BE33FC" w14:paraId="402C0D19" w14:textId="77777777" w:rsidTr="00B961C4">
        <w:tc>
          <w:tcPr>
            <w:tcW w:w="2506" w:type="dxa"/>
          </w:tcPr>
          <w:p w14:paraId="01E50871" w14:textId="77777777" w:rsidR="003B315D" w:rsidRPr="00BE33FC" w:rsidRDefault="003B315D" w:rsidP="006D697C">
            <w:pPr>
              <w:ind w:firstLineChars="11" w:firstLine="24"/>
              <w:rPr>
                <w:rFonts w:ascii="Gill Sans MT" w:hAnsi="Gill Sans MT"/>
                <w:b/>
                <w:sz w:val="22"/>
                <w:szCs w:val="22"/>
              </w:rPr>
            </w:pPr>
            <w:r w:rsidRPr="00BE33FC">
              <w:rPr>
                <w:rFonts w:ascii="Gill Sans MT" w:hAnsi="Gill Sans MT"/>
                <w:b/>
                <w:sz w:val="22"/>
                <w:szCs w:val="22"/>
              </w:rPr>
              <w:t>Grand Total</w:t>
            </w:r>
          </w:p>
        </w:tc>
        <w:tc>
          <w:tcPr>
            <w:tcW w:w="1053" w:type="dxa"/>
            <w:tcBorders>
              <w:top w:val="single" w:sz="4" w:space="0" w:color="auto"/>
              <w:left w:val="single" w:sz="4" w:space="0" w:color="auto"/>
              <w:bottom w:val="single" w:sz="4" w:space="0" w:color="auto"/>
              <w:right w:val="single" w:sz="4" w:space="0" w:color="auto"/>
            </w:tcBorders>
          </w:tcPr>
          <w:p w14:paraId="4A817E9D" w14:textId="77777777" w:rsidR="003B315D" w:rsidRPr="00BE33FC" w:rsidRDefault="003B315D" w:rsidP="006D697C">
            <w:pPr>
              <w:jc w:val="right"/>
              <w:rPr>
                <w:rFonts w:ascii="Gill Sans MT" w:hAnsi="Gill Sans MT" w:cs="Arial"/>
                <w:b/>
                <w:bCs/>
                <w:color w:val="000000"/>
                <w:sz w:val="22"/>
                <w:szCs w:val="22"/>
                <w:lang w:eastAsia="en-IE"/>
              </w:rPr>
            </w:pPr>
            <w:r w:rsidRPr="00BE33FC">
              <w:rPr>
                <w:rFonts w:ascii="Gill Sans MT" w:hAnsi="Gill Sans MT"/>
                <w:b/>
                <w:sz w:val="22"/>
                <w:szCs w:val="22"/>
              </w:rPr>
              <w:t>3,013</w:t>
            </w:r>
          </w:p>
        </w:tc>
        <w:tc>
          <w:tcPr>
            <w:tcW w:w="986" w:type="dxa"/>
            <w:gridSpan w:val="2"/>
            <w:tcBorders>
              <w:top w:val="single" w:sz="4" w:space="0" w:color="auto"/>
              <w:left w:val="single" w:sz="4" w:space="0" w:color="auto"/>
              <w:bottom w:val="single" w:sz="4" w:space="0" w:color="auto"/>
              <w:right w:val="single" w:sz="4" w:space="0" w:color="auto"/>
            </w:tcBorders>
          </w:tcPr>
          <w:p w14:paraId="64E32347"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b/>
                <w:sz w:val="22"/>
                <w:szCs w:val="22"/>
              </w:rPr>
              <w:t>3,077</w:t>
            </w:r>
          </w:p>
        </w:tc>
        <w:tc>
          <w:tcPr>
            <w:tcW w:w="1053" w:type="dxa"/>
            <w:tcBorders>
              <w:top w:val="single" w:sz="4" w:space="0" w:color="auto"/>
              <w:left w:val="single" w:sz="4" w:space="0" w:color="auto"/>
              <w:bottom w:val="single" w:sz="4" w:space="0" w:color="auto"/>
              <w:right w:val="single" w:sz="4" w:space="0" w:color="auto"/>
            </w:tcBorders>
          </w:tcPr>
          <w:p w14:paraId="78CD4E41"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b/>
                <w:sz w:val="22"/>
                <w:szCs w:val="22"/>
              </w:rPr>
              <w:t>130</w:t>
            </w:r>
          </w:p>
        </w:tc>
        <w:tc>
          <w:tcPr>
            <w:tcW w:w="1118" w:type="dxa"/>
            <w:gridSpan w:val="2"/>
            <w:tcBorders>
              <w:top w:val="single" w:sz="4" w:space="0" w:color="auto"/>
              <w:left w:val="single" w:sz="4" w:space="0" w:color="auto"/>
              <w:bottom w:val="single" w:sz="4" w:space="0" w:color="auto"/>
              <w:right w:val="single" w:sz="4" w:space="0" w:color="auto"/>
            </w:tcBorders>
          </w:tcPr>
          <w:p w14:paraId="7740104A"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b/>
                <w:sz w:val="22"/>
                <w:szCs w:val="22"/>
              </w:rPr>
              <w:t>120</w:t>
            </w:r>
          </w:p>
        </w:tc>
        <w:tc>
          <w:tcPr>
            <w:tcW w:w="1034" w:type="dxa"/>
            <w:tcBorders>
              <w:top w:val="single" w:sz="4" w:space="0" w:color="auto"/>
              <w:left w:val="nil"/>
              <w:bottom w:val="single" w:sz="4" w:space="0" w:color="auto"/>
              <w:right w:val="single" w:sz="4" w:space="0" w:color="auto"/>
            </w:tcBorders>
            <w:shd w:val="clear" w:color="000000" w:fill="FFFFFF"/>
          </w:tcPr>
          <w:p w14:paraId="6FBDF0AC"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b/>
                <w:sz w:val="22"/>
                <w:szCs w:val="22"/>
              </w:rPr>
              <w:t>4.3</w:t>
            </w:r>
          </w:p>
        </w:tc>
        <w:tc>
          <w:tcPr>
            <w:tcW w:w="964" w:type="dxa"/>
            <w:gridSpan w:val="2"/>
            <w:tcBorders>
              <w:top w:val="single" w:sz="4" w:space="0" w:color="auto"/>
              <w:left w:val="nil"/>
              <w:bottom w:val="single" w:sz="4" w:space="0" w:color="auto"/>
              <w:right w:val="single" w:sz="4" w:space="0" w:color="auto"/>
            </w:tcBorders>
            <w:shd w:val="clear" w:color="000000" w:fill="FFFFFF"/>
          </w:tcPr>
          <w:p w14:paraId="64C6F82F"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b/>
                <w:sz w:val="22"/>
                <w:szCs w:val="22"/>
              </w:rPr>
              <w:t>3.9</w:t>
            </w:r>
          </w:p>
        </w:tc>
      </w:tr>
    </w:tbl>
    <w:p w14:paraId="74FF52BE" w14:textId="77777777" w:rsidR="003B315D" w:rsidRPr="00CC4F07" w:rsidRDefault="003B315D" w:rsidP="003B315D">
      <w:pPr>
        <w:spacing w:after="0"/>
      </w:pPr>
      <w:r w:rsidRPr="00CC4F07">
        <w:br w:type="page"/>
      </w:r>
    </w:p>
    <w:p w14:paraId="02163AFD" w14:textId="77777777" w:rsidR="003B315D" w:rsidRPr="00CC4F07" w:rsidRDefault="003B315D" w:rsidP="003B315D">
      <w:pPr>
        <w:pStyle w:val="TableTitle"/>
        <w:jc w:val="left"/>
      </w:pPr>
      <w:r w:rsidRPr="00CC4F07">
        <w:lastRenderedPageBreak/>
        <w:t>Department of Business, Enterprise &amp; Innovation</w:t>
      </w:r>
    </w:p>
    <w:tbl>
      <w:tblPr>
        <w:tblStyle w:val="TableGrid"/>
        <w:tblW w:w="0" w:type="auto"/>
        <w:tblLook w:val="04A0" w:firstRow="1" w:lastRow="0" w:firstColumn="1" w:lastColumn="0" w:noHBand="0" w:noVBand="1"/>
        <w:tblCaption w:val="Appendix B Public bodies"/>
        <w:tblDescription w:val="Department of Business, Enterprise and Innovation (comparison made to Department of Jobs, Enterprise and Innovation 2016"/>
      </w:tblPr>
      <w:tblGrid>
        <w:gridCol w:w="2424"/>
        <w:gridCol w:w="1258"/>
        <w:gridCol w:w="345"/>
        <w:gridCol w:w="621"/>
        <w:gridCol w:w="1023"/>
        <w:gridCol w:w="808"/>
        <w:gridCol w:w="285"/>
        <w:gridCol w:w="1005"/>
        <w:gridCol w:w="700"/>
        <w:gridCol w:w="245"/>
      </w:tblGrid>
      <w:tr w:rsidR="003B315D" w:rsidRPr="00BE33FC" w14:paraId="11B5277E" w14:textId="77777777" w:rsidTr="00B961C4">
        <w:tc>
          <w:tcPr>
            <w:tcW w:w="2424" w:type="dxa"/>
          </w:tcPr>
          <w:p w14:paraId="29E1A80B"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603" w:type="dxa"/>
            <w:gridSpan w:val="2"/>
            <w:tcBorders>
              <w:right w:val="nil"/>
            </w:tcBorders>
          </w:tcPr>
          <w:p w14:paraId="50F88750"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Total number of employees</w:t>
            </w:r>
          </w:p>
        </w:tc>
        <w:tc>
          <w:tcPr>
            <w:tcW w:w="621" w:type="dxa"/>
            <w:tcBorders>
              <w:left w:val="nil"/>
            </w:tcBorders>
          </w:tcPr>
          <w:p w14:paraId="696BE652" w14:textId="77777777" w:rsidR="003B315D" w:rsidRPr="00BE33FC" w:rsidRDefault="003B315D" w:rsidP="006D697C">
            <w:pPr>
              <w:rPr>
                <w:rFonts w:ascii="Gill Sans MT" w:hAnsi="Gill Sans MT"/>
                <w:b/>
                <w:sz w:val="22"/>
                <w:szCs w:val="22"/>
              </w:rPr>
            </w:pPr>
          </w:p>
        </w:tc>
        <w:tc>
          <w:tcPr>
            <w:tcW w:w="1831" w:type="dxa"/>
            <w:gridSpan w:val="2"/>
            <w:tcBorders>
              <w:right w:val="nil"/>
            </w:tcBorders>
          </w:tcPr>
          <w:p w14:paraId="6B6FC4F5"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5" w:type="dxa"/>
            <w:tcBorders>
              <w:left w:val="nil"/>
            </w:tcBorders>
          </w:tcPr>
          <w:p w14:paraId="39E3DDCB" w14:textId="77777777" w:rsidR="003B315D" w:rsidRPr="00BE33FC" w:rsidRDefault="003B315D" w:rsidP="006D697C">
            <w:pPr>
              <w:rPr>
                <w:rFonts w:ascii="Gill Sans MT" w:hAnsi="Gill Sans MT"/>
                <w:b/>
                <w:sz w:val="22"/>
                <w:szCs w:val="22"/>
              </w:rPr>
            </w:pPr>
          </w:p>
        </w:tc>
        <w:tc>
          <w:tcPr>
            <w:tcW w:w="1705" w:type="dxa"/>
            <w:gridSpan w:val="2"/>
            <w:tcBorders>
              <w:right w:val="nil"/>
            </w:tcBorders>
          </w:tcPr>
          <w:p w14:paraId="75C09912"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5" w:type="dxa"/>
            <w:tcBorders>
              <w:left w:val="nil"/>
            </w:tcBorders>
          </w:tcPr>
          <w:p w14:paraId="78BD500E" w14:textId="77777777" w:rsidR="003B315D" w:rsidRPr="00BE33FC" w:rsidRDefault="003B315D" w:rsidP="006D697C">
            <w:pPr>
              <w:rPr>
                <w:rFonts w:ascii="Gill Sans MT" w:hAnsi="Gill Sans MT"/>
                <w:b/>
                <w:sz w:val="22"/>
                <w:szCs w:val="22"/>
              </w:rPr>
            </w:pPr>
          </w:p>
        </w:tc>
      </w:tr>
      <w:tr w:rsidR="003B315D" w:rsidRPr="00BE33FC" w14:paraId="4FB0D38D" w14:textId="77777777" w:rsidTr="00B961C4">
        <w:tc>
          <w:tcPr>
            <w:tcW w:w="2424" w:type="dxa"/>
          </w:tcPr>
          <w:p w14:paraId="6DB8D0BB" w14:textId="77777777" w:rsidR="003B315D" w:rsidRPr="00BE33FC" w:rsidRDefault="003B315D" w:rsidP="006D697C">
            <w:pPr>
              <w:rPr>
                <w:rFonts w:ascii="Gill Sans MT" w:hAnsi="Gill Sans MT"/>
                <w:b/>
                <w:sz w:val="22"/>
                <w:szCs w:val="22"/>
              </w:rPr>
            </w:pPr>
          </w:p>
        </w:tc>
        <w:tc>
          <w:tcPr>
            <w:tcW w:w="1258" w:type="dxa"/>
          </w:tcPr>
          <w:p w14:paraId="662C8C7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6" w:type="dxa"/>
            <w:gridSpan w:val="2"/>
          </w:tcPr>
          <w:p w14:paraId="5615BF3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23" w:type="dxa"/>
          </w:tcPr>
          <w:p w14:paraId="1B55A93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093" w:type="dxa"/>
            <w:gridSpan w:val="2"/>
          </w:tcPr>
          <w:p w14:paraId="4048EBE9"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05" w:type="dxa"/>
          </w:tcPr>
          <w:p w14:paraId="488F101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45" w:type="dxa"/>
            <w:gridSpan w:val="2"/>
          </w:tcPr>
          <w:p w14:paraId="33689F3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49257C8A" w14:textId="77777777" w:rsidTr="00B961C4">
        <w:trPr>
          <w:trHeight w:val="255"/>
        </w:trPr>
        <w:tc>
          <w:tcPr>
            <w:tcW w:w="2424" w:type="dxa"/>
            <w:noWrap/>
            <w:hideMark/>
          </w:tcPr>
          <w:p w14:paraId="4DB0A881" w14:textId="77777777" w:rsidR="003B315D" w:rsidRPr="00BE33FC" w:rsidRDefault="003B315D" w:rsidP="006D697C">
            <w:pPr>
              <w:spacing w:after="0"/>
              <w:ind w:firstLineChars="11" w:firstLine="24"/>
              <w:rPr>
                <w:rFonts w:ascii="Gill Sans MT" w:hAnsi="Gill Sans MT" w:cs="Arial"/>
                <w:sz w:val="22"/>
                <w:szCs w:val="22"/>
                <w:lang w:eastAsia="en-IE"/>
              </w:rPr>
            </w:pPr>
            <w:r w:rsidRPr="00BE33FC">
              <w:rPr>
                <w:rFonts w:ascii="Gill Sans MT" w:hAnsi="Gill Sans MT" w:cs="Arial"/>
                <w:sz w:val="22"/>
                <w:szCs w:val="22"/>
                <w:lang w:eastAsia="en-IE"/>
              </w:rPr>
              <w:t>Competition and Consumer Protection Commission</w:t>
            </w:r>
          </w:p>
        </w:tc>
        <w:tc>
          <w:tcPr>
            <w:tcW w:w="1258" w:type="dxa"/>
            <w:noWrap/>
            <w:hideMark/>
          </w:tcPr>
          <w:p w14:paraId="0D3D465E"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91</w:t>
            </w:r>
          </w:p>
        </w:tc>
        <w:tc>
          <w:tcPr>
            <w:tcW w:w="966" w:type="dxa"/>
            <w:gridSpan w:val="2"/>
            <w:noWrap/>
            <w:hideMark/>
          </w:tcPr>
          <w:p w14:paraId="02C12E0A"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98</w:t>
            </w:r>
          </w:p>
        </w:tc>
        <w:tc>
          <w:tcPr>
            <w:tcW w:w="1023" w:type="dxa"/>
            <w:noWrap/>
            <w:hideMark/>
          </w:tcPr>
          <w:p w14:paraId="480FD75A"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w:t>
            </w:r>
          </w:p>
        </w:tc>
        <w:tc>
          <w:tcPr>
            <w:tcW w:w="1093" w:type="dxa"/>
            <w:gridSpan w:val="2"/>
            <w:noWrap/>
            <w:hideMark/>
          </w:tcPr>
          <w:p w14:paraId="22C56780"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8</w:t>
            </w:r>
          </w:p>
        </w:tc>
        <w:tc>
          <w:tcPr>
            <w:tcW w:w="1005" w:type="dxa"/>
            <w:noWrap/>
            <w:hideMark/>
          </w:tcPr>
          <w:p w14:paraId="0A204EC7"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6.6</w:t>
            </w:r>
          </w:p>
        </w:tc>
        <w:tc>
          <w:tcPr>
            <w:tcW w:w="945" w:type="dxa"/>
            <w:gridSpan w:val="2"/>
            <w:noWrap/>
            <w:hideMark/>
          </w:tcPr>
          <w:p w14:paraId="147AE164"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8.2</w:t>
            </w:r>
          </w:p>
        </w:tc>
      </w:tr>
      <w:tr w:rsidR="003B315D" w:rsidRPr="00BE33FC" w14:paraId="44348386" w14:textId="77777777" w:rsidTr="00B961C4">
        <w:trPr>
          <w:trHeight w:val="255"/>
        </w:trPr>
        <w:tc>
          <w:tcPr>
            <w:tcW w:w="2424" w:type="dxa"/>
            <w:noWrap/>
            <w:hideMark/>
          </w:tcPr>
          <w:p w14:paraId="3E27915A" w14:textId="77777777" w:rsidR="003B315D" w:rsidRPr="00BE33FC" w:rsidRDefault="003B315D" w:rsidP="006D697C">
            <w:pPr>
              <w:spacing w:after="0"/>
              <w:ind w:firstLineChars="11" w:firstLine="24"/>
              <w:rPr>
                <w:rFonts w:ascii="Gill Sans MT" w:hAnsi="Gill Sans MT" w:cs="Arial"/>
                <w:sz w:val="22"/>
                <w:szCs w:val="22"/>
                <w:lang w:eastAsia="en-IE"/>
              </w:rPr>
            </w:pPr>
            <w:r w:rsidRPr="00BE33FC">
              <w:rPr>
                <w:rFonts w:ascii="Gill Sans MT" w:hAnsi="Gill Sans MT" w:cs="Arial"/>
                <w:sz w:val="22"/>
                <w:szCs w:val="22"/>
                <w:lang w:eastAsia="en-IE"/>
              </w:rPr>
              <w:t>Enterprise Ireland</w:t>
            </w:r>
          </w:p>
        </w:tc>
        <w:tc>
          <w:tcPr>
            <w:tcW w:w="1258" w:type="dxa"/>
            <w:noWrap/>
            <w:hideMark/>
          </w:tcPr>
          <w:p w14:paraId="0EFFEDA9"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632</w:t>
            </w:r>
          </w:p>
        </w:tc>
        <w:tc>
          <w:tcPr>
            <w:tcW w:w="966" w:type="dxa"/>
            <w:gridSpan w:val="2"/>
            <w:noWrap/>
            <w:hideMark/>
          </w:tcPr>
          <w:p w14:paraId="0B4D1635"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647</w:t>
            </w:r>
          </w:p>
        </w:tc>
        <w:tc>
          <w:tcPr>
            <w:tcW w:w="1023" w:type="dxa"/>
            <w:noWrap/>
            <w:hideMark/>
          </w:tcPr>
          <w:p w14:paraId="2759B05E"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26</w:t>
            </w:r>
          </w:p>
        </w:tc>
        <w:tc>
          <w:tcPr>
            <w:tcW w:w="1093" w:type="dxa"/>
            <w:gridSpan w:val="2"/>
            <w:noWrap/>
            <w:hideMark/>
          </w:tcPr>
          <w:p w14:paraId="36CFDA12"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28</w:t>
            </w:r>
          </w:p>
        </w:tc>
        <w:tc>
          <w:tcPr>
            <w:tcW w:w="1005" w:type="dxa"/>
            <w:noWrap/>
            <w:hideMark/>
          </w:tcPr>
          <w:p w14:paraId="5EEDA8CC"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4.1</w:t>
            </w:r>
          </w:p>
        </w:tc>
        <w:tc>
          <w:tcPr>
            <w:tcW w:w="945" w:type="dxa"/>
            <w:gridSpan w:val="2"/>
            <w:noWrap/>
            <w:hideMark/>
          </w:tcPr>
          <w:p w14:paraId="5E718628"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4.3</w:t>
            </w:r>
          </w:p>
        </w:tc>
      </w:tr>
      <w:tr w:rsidR="003B315D" w:rsidRPr="00BE33FC" w14:paraId="41FCA20E" w14:textId="77777777" w:rsidTr="00B961C4">
        <w:trPr>
          <w:trHeight w:val="255"/>
        </w:trPr>
        <w:tc>
          <w:tcPr>
            <w:tcW w:w="2424" w:type="dxa"/>
            <w:noWrap/>
            <w:hideMark/>
          </w:tcPr>
          <w:p w14:paraId="2DA68119" w14:textId="77777777" w:rsidR="003B315D" w:rsidRPr="00BE33FC" w:rsidRDefault="003B315D" w:rsidP="006D697C">
            <w:pPr>
              <w:spacing w:after="0"/>
              <w:ind w:firstLineChars="11" w:firstLine="24"/>
              <w:rPr>
                <w:rFonts w:ascii="Gill Sans MT" w:hAnsi="Gill Sans MT" w:cs="Arial"/>
                <w:sz w:val="22"/>
                <w:szCs w:val="22"/>
                <w:lang w:eastAsia="en-IE"/>
              </w:rPr>
            </w:pPr>
            <w:r w:rsidRPr="00BE33FC">
              <w:rPr>
                <w:rFonts w:ascii="Gill Sans MT" w:hAnsi="Gill Sans MT" w:cs="Arial"/>
                <w:sz w:val="22"/>
                <w:szCs w:val="22"/>
                <w:lang w:eastAsia="en-IE"/>
              </w:rPr>
              <w:t>Health &amp; Safety Authority</w:t>
            </w:r>
          </w:p>
        </w:tc>
        <w:tc>
          <w:tcPr>
            <w:tcW w:w="1258" w:type="dxa"/>
            <w:noWrap/>
            <w:hideMark/>
          </w:tcPr>
          <w:p w14:paraId="67B3789E"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170</w:t>
            </w:r>
          </w:p>
        </w:tc>
        <w:tc>
          <w:tcPr>
            <w:tcW w:w="966" w:type="dxa"/>
            <w:gridSpan w:val="2"/>
            <w:noWrap/>
            <w:hideMark/>
          </w:tcPr>
          <w:p w14:paraId="6B272BC0"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179</w:t>
            </w:r>
          </w:p>
        </w:tc>
        <w:tc>
          <w:tcPr>
            <w:tcW w:w="1023" w:type="dxa"/>
            <w:noWrap/>
            <w:hideMark/>
          </w:tcPr>
          <w:p w14:paraId="58C6433C"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w:t>
            </w:r>
          </w:p>
        </w:tc>
        <w:tc>
          <w:tcPr>
            <w:tcW w:w="1093" w:type="dxa"/>
            <w:gridSpan w:val="2"/>
            <w:noWrap/>
            <w:hideMark/>
          </w:tcPr>
          <w:p w14:paraId="490E3095"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w:t>
            </w:r>
          </w:p>
        </w:tc>
        <w:tc>
          <w:tcPr>
            <w:tcW w:w="1005" w:type="dxa"/>
            <w:noWrap/>
            <w:hideMark/>
          </w:tcPr>
          <w:p w14:paraId="406AB186"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3.5</w:t>
            </w:r>
          </w:p>
        </w:tc>
        <w:tc>
          <w:tcPr>
            <w:tcW w:w="945" w:type="dxa"/>
            <w:gridSpan w:val="2"/>
            <w:noWrap/>
            <w:hideMark/>
          </w:tcPr>
          <w:p w14:paraId="58294303"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2.2</w:t>
            </w:r>
          </w:p>
        </w:tc>
      </w:tr>
      <w:tr w:rsidR="003B315D" w:rsidRPr="00BE33FC" w14:paraId="0D82DC91" w14:textId="77777777" w:rsidTr="00B961C4">
        <w:trPr>
          <w:trHeight w:val="255"/>
        </w:trPr>
        <w:tc>
          <w:tcPr>
            <w:tcW w:w="2424" w:type="dxa"/>
            <w:noWrap/>
            <w:hideMark/>
          </w:tcPr>
          <w:p w14:paraId="13E1D65E" w14:textId="77777777" w:rsidR="003B315D" w:rsidRPr="00BE33FC" w:rsidRDefault="003B315D" w:rsidP="006D697C">
            <w:pPr>
              <w:spacing w:after="0"/>
              <w:ind w:firstLineChars="11" w:firstLine="24"/>
              <w:rPr>
                <w:rFonts w:ascii="Gill Sans MT" w:hAnsi="Gill Sans MT" w:cs="Arial"/>
                <w:sz w:val="22"/>
                <w:szCs w:val="22"/>
                <w:lang w:eastAsia="en-IE"/>
              </w:rPr>
            </w:pPr>
            <w:r w:rsidRPr="00BE33FC">
              <w:rPr>
                <w:rFonts w:ascii="Gill Sans MT" w:hAnsi="Gill Sans MT" w:cs="Arial"/>
                <w:sz w:val="22"/>
                <w:szCs w:val="22"/>
                <w:lang w:eastAsia="en-IE"/>
              </w:rPr>
              <w:t>IDA Ireland</w:t>
            </w:r>
          </w:p>
        </w:tc>
        <w:tc>
          <w:tcPr>
            <w:tcW w:w="1258" w:type="dxa"/>
            <w:noWrap/>
            <w:hideMark/>
          </w:tcPr>
          <w:p w14:paraId="59E9A179"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335</w:t>
            </w:r>
          </w:p>
        </w:tc>
        <w:tc>
          <w:tcPr>
            <w:tcW w:w="966" w:type="dxa"/>
            <w:gridSpan w:val="2"/>
            <w:noWrap/>
            <w:hideMark/>
          </w:tcPr>
          <w:p w14:paraId="72E48A2D"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335</w:t>
            </w:r>
          </w:p>
        </w:tc>
        <w:tc>
          <w:tcPr>
            <w:tcW w:w="1023" w:type="dxa"/>
            <w:noWrap/>
            <w:hideMark/>
          </w:tcPr>
          <w:p w14:paraId="4495DDC7"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13</w:t>
            </w:r>
          </w:p>
        </w:tc>
        <w:tc>
          <w:tcPr>
            <w:tcW w:w="1093" w:type="dxa"/>
            <w:gridSpan w:val="2"/>
            <w:noWrap/>
            <w:hideMark/>
          </w:tcPr>
          <w:p w14:paraId="4469F7D4"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18</w:t>
            </w:r>
          </w:p>
        </w:tc>
        <w:tc>
          <w:tcPr>
            <w:tcW w:w="1005" w:type="dxa"/>
            <w:noWrap/>
            <w:hideMark/>
          </w:tcPr>
          <w:p w14:paraId="3055665E"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3.9</w:t>
            </w:r>
          </w:p>
        </w:tc>
        <w:tc>
          <w:tcPr>
            <w:tcW w:w="945" w:type="dxa"/>
            <w:gridSpan w:val="2"/>
            <w:noWrap/>
            <w:hideMark/>
          </w:tcPr>
          <w:p w14:paraId="574502A2"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5.4</w:t>
            </w:r>
          </w:p>
        </w:tc>
      </w:tr>
      <w:tr w:rsidR="003B315D" w:rsidRPr="00BE33FC" w14:paraId="44E753D0" w14:textId="77777777" w:rsidTr="00B961C4">
        <w:trPr>
          <w:trHeight w:val="255"/>
        </w:trPr>
        <w:tc>
          <w:tcPr>
            <w:tcW w:w="2424" w:type="dxa"/>
            <w:noWrap/>
            <w:hideMark/>
          </w:tcPr>
          <w:p w14:paraId="705466BD" w14:textId="77777777" w:rsidR="003B315D" w:rsidRPr="00BE33FC" w:rsidRDefault="003B315D" w:rsidP="006D697C">
            <w:pPr>
              <w:spacing w:after="0"/>
              <w:ind w:firstLineChars="11" w:firstLine="24"/>
              <w:rPr>
                <w:rFonts w:ascii="Gill Sans MT" w:hAnsi="Gill Sans MT" w:cs="Arial"/>
                <w:sz w:val="22"/>
                <w:szCs w:val="22"/>
                <w:lang w:eastAsia="en-IE"/>
              </w:rPr>
            </w:pPr>
            <w:proofErr w:type="spellStart"/>
            <w:r w:rsidRPr="00BE33FC">
              <w:rPr>
                <w:rFonts w:ascii="Gill Sans MT" w:hAnsi="Gill Sans MT" w:cs="Arial"/>
                <w:sz w:val="22"/>
                <w:szCs w:val="22"/>
                <w:lang w:eastAsia="en-IE"/>
              </w:rPr>
              <w:t>InterTrade</w:t>
            </w:r>
            <w:proofErr w:type="spellEnd"/>
            <w:r w:rsidRPr="00BE33FC">
              <w:rPr>
                <w:rFonts w:ascii="Gill Sans MT" w:hAnsi="Gill Sans MT" w:cs="Arial"/>
                <w:sz w:val="22"/>
                <w:szCs w:val="22"/>
                <w:lang w:eastAsia="en-IE"/>
              </w:rPr>
              <w:t xml:space="preserve"> Ireland</w:t>
            </w:r>
          </w:p>
        </w:tc>
        <w:tc>
          <w:tcPr>
            <w:tcW w:w="1258" w:type="dxa"/>
            <w:noWrap/>
            <w:hideMark/>
          </w:tcPr>
          <w:p w14:paraId="70F6461C"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44</w:t>
            </w:r>
          </w:p>
        </w:tc>
        <w:tc>
          <w:tcPr>
            <w:tcW w:w="966" w:type="dxa"/>
            <w:gridSpan w:val="2"/>
            <w:noWrap/>
            <w:hideMark/>
          </w:tcPr>
          <w:p w14:paraId="32EC9E47"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47</w:t>
            </w:r>
          </w:p>
        </w:tc>
        <w:tc>
          <w:tcPr>
            <w:tcW w:w="1023" w:type="dxa"/>
            <w:noWrap/>
            <w:hideMark/>
          </w:tcPr>
          <w:p w14:paraId="3A80D83E"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w:t>
            </w:r>
          </w:p>
        </w:tc>
        <w:tc>
          <w:tcPr>
            <w:tcW w:w="1093" w:type="dxa"/>
            <w:gridSpan w:val="2"/>
            <w:noWrap/>
            <w:hideMark/>
          </w:tcPr>
          <w:p w14:paraId="7BF4A32D"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w:t>
            </w:r>
          </w:p>
        </w:tc>
        <w:tc>
          <w:tcPr>
            <w:tcW w:w="1005" w:type="dxa"/>
            <w:noWrap/>
            <w:hideMark/>
          </w:tcPr>
          <w:p w14:paraId="732501B0"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4.5</w:t>
            </w:r>
          </w:p>
        </w:tc>
        <w:tc>
          <w:tcPr>
            <w:tcW w:w="945" w:type="dxa"/>
            <w:gridSpan w:val="2"/>
            <w:noWrap/>
            <w:hideMark/>
          </w:tcPr>
          <w:p w14:paraId="6DBE9F04"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4.3</w:t>
            </w:r>
          </w:p>
        </w:tc>
      </w:tr>
      <w:tr w:rsidR="003B315D" w:rsidRPr="00BE33FC" w14:paraId="185F8AF0" w14:textId="77777777" w:rsidTr="00B961C4">
        <w:trPr>
          <w:trHeight w:val="255"/>
        </w:trPr>
        <w:tc>
          <w:tcPr>
            <w:tcW w:w="2424" w:type="dxa"/>
            <w:noWrap/>
            <w:hideMark/>
          </w:tcPr>
          <w:p w14:paraId="79873A09" w14:textId="77777777" w:rsidR="003B315D" w:rsidRPr="00BE33FC" w:rsidRDefault="003B315D" w:rsidP="006D697C">
            <w:pPr>
              <w:spacing w:after="0"/>
              <w:ind w:firstLineChars="11" w:firstLine="24"/>
              <w:rPr>
                <w:rFonts w:ascii="Gill Sans MT" w:hAnsi="Gill Sans MT" w:cs="Arial"/>
                <w:sz w:val="22"/>
                <w:szCs w:val="22"/>
                <w:lang w:eastAsia="en-IE"/>
              </w:rPr>
            </w:pPr>
            <w:r w:rsidRPr="00BE33FC">
              <w:rPr>
                <w:rFonts w:ascii="Gill Sans MT" w:hAnsi="Gill Sans MT" w:cs="Arial"/>
                <w:sz w:val="22"/>
                <w:szCs w:val="22"/>
                <w:lang w:eastAsia="en-IE"/>
              </w:rPr>
              <w:t>National Standards Authority of Ireland (NSAI)</w:t>
            </w:r>
          </w:p>
        </w:tc>
        <w:tc>
          <w:tcPr>
            <w:tcW w:w="1258" w:type="dxa"/>
            <w:noWrap/>
            <w:hideMark/>
          </w:tcPr>
          <w:p w14:paraId="53CA658D"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137</w:t>
            </w:r>
          </w:p>
        </w:tc>
        <w:tc>
          <w:tcPr>
            <w:tcW w:w="966" w:type="dxa"/>
            <w:gridSpan w:val="2"/>
            <w:noWrap/>
            <w:hideMark/>
          </w:tcPr>
          <w:p w14:paraId="16A6BCD9"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146</w:t>
            </w:r>
          </w:p>
        </w:tc>
        <w:tc>
          <w:tcPr>
            <w:tcW w:w="1023" w:type="dxa"/>
            <w:noWrap/>
            <w:hideMark/>
          </w:tcPr>
          <w:p w14:paraId="15A79685"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w:t>
            </w:r>
          </w:p>
        </w:tc>
        <w:tc>
          <w:tcPr>
            <w:tcW w:w="1093" w:type="dxa"/>
            <w:gridSpan w:val="2"/>
            <w:noWrap/>
            <w:hideMark/>
          </w:tcPr>
          <w:p w14:paraId="59461CF2"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w:t>
            </w:r>
          </w:p>
        </w:tc>
        <w:tc>
          <w:tcPr>
            <w:tcW w:w="1005" w:type="dxa"/>
            <w:noWrap/>
            <w:hideMark/>
          </w:tcPr>
          <w:p w14:paraId="71D14554"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4.4</w:t>
            </w:r>
          </w:p>
        </w:tc>
        <w:tc>
          <w:tcPr>
            <w:tcW w:w="945" w:type="dxa"/>
            <w:gridSpan w:val="2"/>
            <w:noWrap/>
            <w:hideMark/>
          </w:tcPr>
          <w:p w14:paraId="045DAA6B"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4.1</w:t>
            </w:r>
          </w:p>
        </w:tc>
      </w:tr>
      <w:tr w:rsidR="003B315D" w:rsidRPr="00BE33FC" w14:paraId="059C2070" w14:textId="77777777" w:rsidTr="00B961C4">
        <w:trPr>
          <w:trHeight w:val="255"/>
        </w:trPr>
        <w:tc>
          <w:tcPr>
            <w:tcW w:w="2424" w:type="dxa"/>
            <w:noWrap/>
            <w:hideMark/>
          </w:tcPr>
          <w:p w14:paraId="2461D847" w14:textId="77777777" w:rsidR="003B315D" w:rsidRPr="00BE33FC" w:rsidRDefault="003B315D" w:rsidP="006D697C">
            <w:pPr>
              <w:spacing w:after="0"/>
              <w:ind w:firstLineChars="11" w:firstLine="24"/>
              <w:rPr>
                <w:rFonts w:ascii="Gill Sans MT" w:hAnsi="Gill Sans MT" w:cs="Arial"/>
                <w:sz w:val="22"/>
                <w:szCs w:val="22"/>
                <w:lang w:eastAsia="en-IE"/>
              </w:rPr>
            </w:pPr>
            <w:r w:rsidRPr="00BE33FC">
              <w:rPr>
                <w:rFonts w:ascii="Gill Sans MT" w:hAnsi="Gill Sans MT" w:cs="Arial"/>
                <w:sz w:val="22"/>
                <w:szCs w:val="22"/>
                <w:lang w:eastAsia="en-IE"/>
              </w:rPr>
              <w:t>Personal Injuries Assessment Board</w:t>
            </w:r>
          </w:p>
        </w:tc>
        <w:tc>
          <w:tcPr>
            <w:tcW w:w="1258" w:type="dxa"/>
            <w:noWrap/>
            <w:hideMark/>
          </w:tcPr>
          <w:p w14:paraId="58B2F362"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83</w:t>
            </w:r>
          </w:p>
        </w:tc>
        <w:tc>
          <w:tcPr>
            <w:tcW w:w="966" w:type="dxa"/>
            <w:gridSpan w:val="2"/>
            <w:noWrap/>
            <w:hideMark/>
          </w:tcPr>
          <w:p w14:paraId="642FDD67"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78</w:t>
            </w:r>
          </w:p>
        </w:tc>
        <w:tc>
          <w:tcPr>
            <w:tcW w:w="1023" w:type="dxa"/>
            <w:noWrap/>
            <w:hideMark/>
          </w:tcPr>
          <w:p w14:paraId="1B4D9A5A"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w:t>
            </w:r>
          </w:p>
        </w:tc>
        <w:tc>
          <w:tcPr>
            <w:tcW w:w="1093" w:type="dxa"/>
            <w:gridSpan w:val="2"/>
            <w:noWrap/>
            <w:hideMark/>
          </w:tcPr>
          <w:p w14:paraId="0B2731AF"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w:t>
            </w:r>
          </w:p>
        </w:tc>
        <w:tc>
          <w:tcPr>
            <w:tcW w:w="1005" w:type="dxa"/>
            <w:noWrap/>
            <w:hideMark/>
          </w:tcPr>
          <w:p w14:paraId="79A9C8E2"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1.2</w:t>
            </w:r>
          </w:p>
        </w:tc>
        <w:tc>
          <w:tcPr>
            <w:tcW w:w="945" w:type="dxa"/>
            <w:gridSpan w:val="2"/>
            <w:noWrap/>
            <w:hideMark/>
          </w:tcPr>
          <w:p w14:paraId="018C7CCB"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2.6</w:t>
            </w:r>
          </w:p>
        </w:tc>
      </w:tr>
      <w:tr w:rsidR="003B315D" w:rsidRPr="00BE33FC" w14:paraId="3F29A8FE" w14:textId="77777777" w:rsidTr="00B961C4">
        <w:trPr>
          <w:trHeight w:val="255"/>
        </w:trPr>
        <w:tc>
          <w:tcPr>
            <w:tcW w:w="2424" w:type="dxa"/>
            <w:noWrap/>
            <w:hideMark/>
          </w:tcPr>
          <w:p w14:paraId="51950E01" w14:textId="77777777" w:rsidR="003B315D" w:rsidRPr="00BE33FC" w:rsidRDefault="003B315D" w:rsidP="006D697C">
            <w:pPr>
              <w:spacing w:after="0"/>
              <w:ind w:firstLineChars="11" w:firstLine="24"/>
              <w:rPr>
                <w:rFonts w:ascii="Gill Sans MT" w:hAnsi="Gill Sans MT" w:cs="Arial"/>
                <w:sz w:val="22"/>
                <w:szCs w:val="22"/>
                <w:lang w:eastAsia="en-IE"/>
              </w:rPr>
            </w:pPr>
            <w:r w:rsidRPr="00BE33FC">
              <w:rPr>
                <w:rFonts w:ascii="Gill Sans MT" w:hAnsi="Gill Sans MT" w:cs="Arial"/>
                <w:sz w:val="22"/>
                <w:szCs w:val="22"/>
                <w:lang w:eastAsia="en-IE"/>
              </w:rPr>
              <w:t>Science Foundation Ireland</w:t>
            </w:r>
          </w:p>
        </w:tc>
        <w:tc>
          <w:tcPr>
            <w:tcW w:w="1258" w:type="dxa"/>
            <w:noWrap/>
            <w:hideMark/>
          </w:tcPr>
          <w:p w14:paraId="5E470CDE"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58</w:t>
            </w:r>
          </w:p>
        </w:tc>
        <w:tc>
          <w:tcPr>
            <w:tcW w:w="966" w:type="dxa"/>
            <w:gridSpan w:val="2"/>
            <w:noWrap/>
            <w:hideMark/>
          </w:tcPr>
          <w:p w14:paraId="66C58CB1"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59</w:t>
            </w:r>
          </w:p>
        </w:tc>
        <w:tc>
          <w:tcPr>
            <w:tcW w:w="1023" w:type="dxa"/>
            <w:noWrap/>
            <w:hideMark/>
          </w:tcPr>
          <w:p w14:paraId="43B35FA8"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w:t>
            </w:r>
          </w:p>
        </w:tc>
        <w:tc>
          <w:tcPr>
            <w:tcW w:w="1093" w:type="dxa"/>
            <w:gridSpan w:val="2"/>
            <w:noWrap/>
            <w:hideMark/>
          </w:tcPr>
          <w:p w14:paraId="53698573"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w:t>
            </w:r>
          </w:p>
        </w:tc>
        <w:tc>
          <w:tcPr>
            <w:tcW w:w="1005" w:type="dxa"/>
            <w:noWrap/>
            <w:hideMark/>
          </w:tcPr>
          <w:p w14:paraId="12316951"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3.4</w:t>
            </w:r>
          </w:p>
        </w:tc>
        <w:tc>
          <w:tcPr>
            <w:tcW w:w="945" w:type="dxa"/>
            <w:gridSpan w:val="2"/>
            <w:noWrap/>
            <w:hideMark/>
          </w:tcPr>
          <w:p w14:paraId="0CA2086B"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3.4</w:t>
            </w:r>
          </w:p>
        </w:tc>
      </w:tr>
      <w:tr w:rsidR="003B315D" w:rsidRPr="00BE33FC" w14:paraId="1A56DFDD" w14:textId="77777777" w:rsidTr="00B961C4">
        <w:trPr>
          <w:trHeight w:val="300"/>
        </w:trPr>
        <w:tc>
          <w:tcPr>
            <w:tcW w:w="2424" w:type="dxa"/>
            <w:noWrap/>
          </w:tcPr>
          <w:p w14:paraId="3C44F3FC" w14:textId="77777777" w:rsidR="003B315D" w:rsidRPr="00BE33FC" w:rsidRDefault="003B315D" w:rsidP="006D697C">
            <w:pPr>
              <w:rPr>
                <w:rFonts w:ascii="Gill Sans MT" w:hAnsi="Gill Sans MT"/>
                <w:b/>
                <w:color w:val="000000"/>
                <w:sz w:val="22"/>
                <w:szCs w:val="22"/>
                <w:lang w:eastAsia="en-IE"/>
              </w:rPr>
            </w:pPr>
            <w:r w:rsidRPr="00BE33FC">
              <w:rPr>
                <w:rFonts w:ascii="Gill Sans MT" w:hAnsi="Gill Sans MT"/>
                <w:b/>
                <w:color w:val="000000"/>
                <w:sz w:val="22"/>
                <w:szCs w:val="22"/>
                <w:lang w:eastAsia="en-IE"/>
              </w:rPr>
              <w:t>Grand Total</w:t>
            </w:r>
          </w:p>
        </w:tc>
        <w:tc>
          <w:tcPr>
            <w:tcW w:w="1258" w:type="dxa"/>
            <w:tcBorders>
              <w:top w:val="single" w:sz="4" w:space="0" w:color="auto"/>
              <w:left w:val="single" w:sz="4" w:space="0" w:color="auto"/>
              <w:bottom w:val="single" w:sz="4" w:space="0" w:color="auto"/>
              <w:right w:val="single" w:sz="4" w:space="0" w:color="auto"/>
            </w:tcBorders>
            <w:noWrap/>
            <w:vAlign w:val="bottom"/>
          </w:tcPr>
          <w:p w14:paraId="3C50F0F9" w14:textId="77777777" w:rsidR="003B315D" w:rsidRPr="00BE33FC" w:rsidRDefault="003B315D" w:rsidP="006D697C">
            <w:pPr>
              <w:jc w:val="right"/>
              <w:rPr>
                <w:rFonts w:ascii="Gill Sans MT" w:hAnsi="Gill Sans MT"/>
                <w:b/>
                <w:color w:val="000000"/>
                <w:sz w:val="22"/>
                <w:szCs w:val="22"/>
                <w:lang w:eastAsia="en-IE"/>
              </w:rPr>
            </w:pPr>
            <w:r w:rsidRPr="00BE33FC">
              <w:rPr>
                <w:rFonts w:ascii="Gill Sans MT" w:hAnsi="Gill Sans MT" w:cs="Arial"/>
                <w:b/>
                <w:bCs/>
                <w:color w:val="000000"/>
                <w:sz w:val="22"/>
                <w:szCs w:val="22"/>
              </w:rPr>
              <w:t>1,550</w:t>
            </w:r>
          </w:p>
        </w:tc>
        <w:tc>
          <w:tcPr>
            <w:tcW w:w="966" w:type="dxa"/>
            <w:gridSpan w:val="2"/>
            <w:tcBorders>
              <w:top w:val="single" w:sz="4" w:space="0" w:color="auto"/>
              <w:left w:val="single" w:sz="4" w:space="0" w:color="auto"/>
              <w:bottom w:val="single" w:sz="4" w:space="0" w:color="auto"/>
              <w:right w:val="single" w:sz="4" w:space="0" w:color="auto"/>
            </w:tcBorders>
            <w:noWrap/>
            <w:vAlign w:val="bottom"/>
          </w:tcPr>
          <w:p w14:paraId="083965EA" w14:textId="77777777" w:rsidR="003B315D" w:rsidRPr="00BE33FC" w:rsidRDefault="003B315D" w:rsidP="006D697C">
            <w:pPr>
              <w:jc w:val="right"/>
              <w:rPr>
                <w:rFonts w:ascii="Gill Sans MT" w:hAnsi="Gill Sans MT"/>
                <w:b/>
                <w:color w:val="000000"/>
                <w:sz w:val="22"/>
                <w:szCs w:val="22"/>
                <w:lang w:eastAsia="en-IE"/>
              </w:rPr>
            </w:pPr>
            <w:r w:rsidRPr="00BE33FC">
              <w:rPr>
                <w:rFonts w:ascii="Gill Sans MT" w:hAnsi="Gill Sans MT" w:cs="Arial"/>
                <w:b/>
                <w:bCs/>
                <w:color w:val="000000"/>
                <w:sz w:val="22"/>
                <w:szCs w:val="22"/>
              </w:rPr>
              <w:t>1,589</w:t>
            </w:r>
          </w:p>
        </w:tc>
        <w:tc>
          <w:tcPr>
            <w:tcW w:w="1023" w:type="dxa"/>
            <w:tcBorders>
              <w:top w:val="single" w:sz="4" w:space="0" w:color="auto"/>
              <w:left w:val="single" w:sz="4" w:space="0" w:color="auto"/>
              <w:bottom w:val="single" w:sz="4" w:space="0" w:color="auto"/>
              <w:right w:val="single" w:sz="4" w:space="0" w:color="auto"/>
            </w:tcBorders>
            <w:noWrap/>
            <w:vAlign w:val="bottom"/>
          </w:tcPr>
          <w:p w14:paraId="1D07733D" w14:textId="77777777" w:rsidR="003B315D" w:rsidRPr="00BE33FC" w:rsidRDefault="003B315D" w:rsidP="006D697C">
            <w:pPr>
              <w:jc w:val="right"/>
              <w:rPr>
                <w:rFonts w:ascii="Gill Sans MT" w:hAnsi="Gill Sans MT"/>
                <w:b/>
                <w:color w:val="000000"/>
                <w:sz w:val="22"/>
                <w:szCs w:val="22"/>
                <w:lang w:eastAsia="en-IE"/>
              </w:rPr>
            </w:pPr>
            <w:r w:rsidRPr="00BE33FC">
              <w:rPr>
                <w:rFonts w:ascii="Gill Sans MT" w:hAnsi="Gill Sans MT" w:cs="Arial"/>
                <w:b/>
                <w:bCs/>
                <w:color w:val="000000"/>
                <w:sz w:val="22"/>
                <w:szCs w:val="22"/>
              </w:rPr>
              <w:t>62</w:t>
            </w:r>
          </w:p>
        </w:tc>
        <w:tc>
          <w:tcPr>
            <w:tcW w:w="1093" w:type="dxa"/>
            <w:gridSpan w:val="2"/>
            <w:tcBorders>
              <w:top w:val="single" w:sz="4" w:space="0" w:color="auto"/>
              <w:left w:val="single" w:sz="4" w:space="0" w:color="auto"/>
              <w:bottom w:val="single" w:sz="4" w:space="0" w:color="auto"/>
              <w:right w:val="single" w:sz="4" w:space="0" w:color="auto"/>
            </w:tcBorders>
            <w:noWrap/>
            <w:vAlign w:val="bottom"/>
          </w:tcPr>
          <w:p w14:paraId="41DCAB99" w14:textId="77777777" w:rsidR="003B315D" w:rsidRPr="00BE33FC" w:rsidRDefault="003B315D" w:rsidP="006D697C">
            <w:pPr>
              <w:jc w:val="right"/>
              <w:rPr>
                <w:rFonts w:ascii="Gill Sans MT" w:hAnsi="Gill Sans MT"/>
                <w:b/>
                <w:color w:val="000000"/>
                <w:sz w:val="22"/>
                <w:szCs w:val="22"/>
                <w:lang w:eastAsia="en-IE"/>
              </w:rPr>
            </w:pPr>
            <w:r w:rsidRPr="00BE33FC">
              <w:rPr>
                <w:rFonts w:ascii="Gill Sans MT" w:hAnsi="Gill Sans MT" w:cs="Arial"/>
                <w:b/>
                <w:bCs/>
                <w:color w:val="000000"/>
                <w:sz w:val="22"/>
                <w:szCs w:val="22"/>
              </w:rPr>
              <w:t>70</w:t>
            </w:r>
          </w:p>
        </w:tc>
        <w:tc>
          <w:tcPr>
            <w:tcW w:w="1005" w:type="dxa"/>
            <w:tcBorders>
              <w:top w:val="single" w:sz="4" w:space="0" w:color="auto"/>
              <w:left w:val="nil"/>
              <w:bottom w:val="single" w:sz="4" w:space="0" w:color="auto"/>
              <w:right w:val="single" w:sz="4" w:space="0" w:color="auto"/>
            </w:tcBorders>
            <w:noWrap/>
            <w:vAlign w:val="bottom"/>
          </w:tcPr>
          <w:p w14:paraId="49AFEE83" w14:textId="77777777" w:rsidR="003B315D" w:rsidRPr="00BE33FC" w:rsidRDefault="003B315D" w:rsidP="006D697C">
            <w:pPr>
              <w:jc w:val="right"/>
              <w:rPr>
                <w:rFonts w:ascii="Gill Sans MT" w:hAnsi="Gill Sans MT"/>
                <w:b/>
                <w:color w:val="000000"/>
                <w:sz w:val="22"/>
                <w:szCs w:val="22"/>
                <w:lang w:eastAsia="en-IE"/>
              </w:rPr>
            </w:pPr>
            <w:r w:rsidRPr="00BE33FC">
              <w:rPr>
                <w:rFonts w:ascii="Gill Sans MT" w:hAnsi="Gill Sans MT" w:cs="Arial"/>
                <w:b/>
                <w:bCs/>
                <w:sz w:val="22"/>
                <w:szCs w:val="22"/>
              </w:rPr>
              <w:t>4.0</w:t>
            </w:r>
          </w:p>
        </w:tc>
        <w:tc>
          <w:tcPr>
            <w:tcW w:w="945" w:type="dxa"/>
            <w:gridSpan w:val="2"/>
            <w:tcBorders>
              <w:top w:val="single" w:sz="4" w:space="0" w:color="auto"/>
              <w:left w:val="nil"/>
              <w:bottom w:val="single" w:sz="4" w:space="0" w:color="auto"/>
              <w:right w:val="single" w:sz="4" w:space="0" w:color="auto"/>
            </w:tcBorders>
            <w:noWrap/>
            <w:vAlign w:val="bottom"/>
          </w:tcPr>
          <w:p w14:paraId="7D5E00F0" w14:textId="77777777" w:rsidR="003B315D" w:rsidRPr="00BE33FC" w:rsidRDefault="003B315D" w:rsidP="006D697C">
            <w:pPr>
              <w:jc w:val="right"/>
              <w:rPr>
                <w:rFonts w:ascii="Gill Sans MT" w:hAnsi="Gill Sans MT"/>
                <w:b/>
                <w:color w:val="000000"/>
                <w:sz w:val="22"/>
                <w:szCs w:val="22"/>
                <w:lang w:eastAsia="en-IE"/>
              </w:rPr>
            </w:pPr>
            <w:r w:rsidRPr="00BE33FC">
              <w:rPr>
                <w:rFonts w:ascii="Gill Sans MT" w:hAnsi="Gill Sans MT" w:cs="Arial"/>
                <w:b/>
                <w:bCs/>
                <w:sz w:val="22"/>
                <w:szCs w:val="22"/>
              </w:rPr>
              <w:t>4.4</w:t>
            </w:r>
          </w:p>
        </w:tc>
      </w:tr>
    </w:tbl>
    <w:p w14:paraId="7E029C97" w14:textId="5794DDFD" w:rsidR="003B315D" w:rsidRPr="00CC4F07" w:rsidRDefault="003B315D" w:rsidP="00BE33FC">
      <w:pPr>
        <w:spacing w:before="240"/>
        <w:rPr>
          <w:b/>
        </w:rPr>
      </w:pPr>
      <w:r w:rsidRPr="00CC4F07">
        <w:rPr>
          <w:b/>
        </w:rPr>
        <w:t>Department of Children &amp; Youth Affairs</w:t>
      </w:r>
    </w:p>
    <w:tbl>
      <w:tblPr>
        <w:tblStyle w:val="TableGrid"/>
        <w:tblW w:w="0" w:type="auto"/>
        <w:tblLook w:val="04A0" w:firstRow="1" w:lastRow="0" w:firstColumn="1" w:lastColumn="0" w:noHBand="0" w:noVBand="1"/>
        <w:tblCaption w:val="Appendix B Public bodies"/>
        <w:tblDescription w:val="Department of Children and Youth Affairs"/>
      </w:tblPr>
      <w:tblGrid>
        <w:gridCol w:w="2506"/>
        <w:gridCol w:w="1053"/>
        <w:gridCol w:w="350"/>
        <w:gridCol w:w="636"/>
        <w:gridCol w:w="1053"/>
        <w:gridCol w:w="830"/>
        <w:gridCol w:w="288"/>
        <w:gridCol w:w="1034"/>
        <w:gridCol w:w="718"/>
        <w:gridCol w:w="246"/>
      </w:tblGrid>
      <w:tr w:rsidR="003B315D" w:rsidRPr="00BE33FC" w14:paraId="2DBC9E2A" w14:textId="77777777" w:rsidTr="00B961C4">
        <w:tc>
          <w:tcPr>
            <w:tcW w:w="2506" w:type="dxa"/>
          </w:tcPr>
          <w:p w14:paraId="453E3AC6"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403" w:type="dxa"/>
            <w:gridSpan w:val="2"/>
            <w:tcBorders>
              <w:right w:val="nil"/>
            </w:tcBorders>
          </w:tcPr>
          <w:p w14:paraId="7F61A9BF"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xml:space="preserve">Total number of </w:t>
            </w:r>
            <w:proofErr w:type="gramStart"/>
            <w:r w:rsidRPr="00BE33FC">
              <w:rPr>
                <w:rFonts w:ascii="Gill Sans MT" w:hAnsi="Gill Sans MT"/>
                <w:b/>
                <w:sz w:val="22"/>
                <w:szCs w:val="22"/>
              </w:rPr>
              <w:t>employee</w:t>
            </w:r>
            <w:proofErr w:type="gramEnd"/>
          </w:p>
        </w:tc>
        <w:tc>
          <w:tcPr>
            <w:tcW w:w="636" w:type="dxa"/>
            <w:tcBorders>
              <w:left w:val="nil"/>
            </w:tcBorders>
          </w:tcPr>
          <w:p w14:paraId="60BA1333"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5D7F6D75"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8" w:type="dxa"/>
            <w:tcBorders>
              <w:left w:val="nil"/>
            </w:tcBorders>
          </w:tcPr>
          <w:p w14:paraId="7C970ADA"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498835DF"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6" w:type="dxa"/>
            <w:tcBorders>
              <w:left w:val="nil"/>
            </w:tcBorders>
          </w:tcPr>
          <w:p w14:paraId="09877C6A" w14:textId="77777777" w:rsidR="003B315D" w:rsidRPr="00BE33FC" w:rsidRDefault="003B315D" w:rsidP="006D697C">
            <w:pPr>
              <w:rPr>
                <w:rFonts w:ascii="Gill Sans MT" w:hAnsi="Gill Sans MT"/>
                <w:b/>
                <w:sz w:val="22"/>
                <w:szCs w:val="22"/>
              </w:rPr>
            </w:pPr>
          </w:p>
        </w:tc>
      </w:tr>
      <w:tr w:rsidR="003B315D" w:rsidRPr="00BE33FC" w14:paraId="54737C38" w14:textId="77777777" w:rsidTr="00B961C4">
        <w:tc>
          <w:tcPr>
            <w:tcW w:w="2506" w:type="dxa"/>
          </w:tcPr>
          <w:p w14:paraId="380C78D1" w14:textId="77777777" w:rsidR="003B315D" w:rsidRPr="00BE33FC" w:rsidRDefault="003B315D" w:rsidP="006D697C">
            <w:pPr>
              <w:rPr>
                <w:rFonts w:ascii="Gill Sans MT" w:hAnsi="Gill Sans MT"/>
                <w:b/>
                <w:sz w:val="22"/>
                <w:szCs w:val="22"/>
              </w:rPr>
            </w:pPr>
          </w:p>
        </w:tc>
        <w:tc>
          <w:tcPr>
            <w:tcW w:w="1053" w:type="dxa"/>
          </w:tcPr>
          <w:p w14:paraId="5183AF4F"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43E94B2E"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67F6099C"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64DBA71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59A551F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3646C80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1A91079E" w14:textId="77777777" w:rsidTr="0071585A">
        <w:trPr>
          <w:trHeight w:val="255"/>
        </w:trPr>
        <w:tc>
          <w:tcPr>
            <w:tcW w:w="2506" w:type="dxa"/>
            <w:tcBorders>
              <w:top w:val="single" w:sz="4" w:space="0" w:color="auto"/>
              <w:left w:val="single" w:sz="4" w:space="0" w:color="auto"/>
              <w:bottom w:val="single" w:sz="4" w:space="0" w:color="auto"/>
              <w:right w:val="single" w:sz="4" w:space="0" w:color="auto"/>
            </w:tcBorders>
            <w:noWrap/>
            <w:vAlign w:val="bottom"/>
          </w:tcPr>
          <w:p w14:paraId="6D715079" w14:textId="77777777" w:rsidR="003B315D" w:rsidRPr="00BE33FC" w:rsidRDefault="003B315D" w:rsidP="006D697C">
            <w:pPr>
              <w:rPr>
                <w:rFonts w:ascii="Gill Sans MT" w:hAnsi="Gill Sans MT" w:cs="Arial"/>
                <w:sz w:val="22"/>
                <w:szCs w:val="22"/>
                <w:lang w:eastAsia="en-IE"/>
              </w:rPr>
            </w:pPr>
            <w:r w:rsidRPr="00BE33FC">
              <w:rPr>
                <w:rFonts w:ascii="Gill Sans MT" w:hAnsi="Gill Sans MT" w:cs="Arial"/>
                <w:sz w:val="22"/>
                <w:szCs w:val="22"/>
              </w:rPr>
              <w:t>Adoption Authority of Ireland</w:t>
            </w:r>
          </w:p>
        </w:tc>
        <w:tc>
          <w:tcPr>
            <w:tcW w:w="1053" w:type="dxa"/>
            <w:tcBorders>
              <w:top w:val="single" w:sz="4" w:space="0" w:color="auto"/>
              <w:left w:val="nil"/>
              <w:bottom w:val="single" w:sz="4" w:space="0" w:color="auto"/>
              <w:right w:val="single" w:sz="4" w:space="0" w:color="auto"/>
            </w:tcBorders>
            <w:noWrap/>
          </w:tcPr>
          <w:p w14:paraId="2F2933E2"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22</w:t>
            </w:r>
          </w:p>
        </w:tc>
        <w:tc>
          <w:tcPr>
            <w:tcW w:w="986" w:type="dxa"/>
            <w:gridSpan w:val="2"/>
            <w:tcBorders>
              <w:top w:val="single" w:sz="4" w:space="0" w:color="auto"/>
              <w:left w:val="nil"/>
              <w:bottom w:val="single" w:sz="4" w:space="0" w:color="auto"/>
              <w:right w:val="single" w:sz="4" w:space="0" w:color="auto"/>
            </w:tcBorders>
            <w:noWrap/>
          </w:tcPr>
          <w:p w14:paraId="5AB83DBE"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28</w:t>
            </w:r>
          </w:p>
        </w:tc>
        <w:tc>
          <w:tcPr>
            <w:tcW w:w="1053" w:type="dxa"/>
            <w:tcBorders>
              <w:top w:val="single" w:sz="4" w:space="0" w:color="auto"/>
              <w:left w:val="nil"/>
              <w:bottom w:val="single" w:sz="4" w:space="0" w:color="auto"/>
              <w:right w:val="single" w:sz="4" w:space="0" w:color="auto"/>
            </w:tcBorders>
            <w:noWrap/>
          </w:tcPr>
          <w:p w14:paraId="6925774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w:t>
            </w:r>
          </w:p>
        </w:tc>
        <w:tc>
          <w:tcPr>
            <w:tcW w:w="1118" w:type="dxa"/>
            <w:gridSpan w:val="2"/>
            <w:tcBorders>
              <w:top w:val="single" w:sz="4" w:space="0" w:color="auto"/>
              <w:left w:val="nil"/>
              <w:bottom w:val="single" w:sz="4" w:space="0" w:color="auto"/>
              <w:right w:val="single" w:sz="4" w:space="0" w:color="auto"/>
            </w:tcBorders>
            <w:noWrap/>
          </w:tcPr>
          <w:p w14:paraId="5D5E46D8"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w:t>
            </w:r>
          </w:p>
        </w:tc>
        <w:tc>
          <w:tcPr>
            <w:tcW w:w="1034" w:type="dxa"/>
            <w:tcBorders>
              <w:top w:val="single" w:sz="4" w:space="0" w:color="auto"/>
              <w:left w:val="nil"/>
              <w:bottom w:val="single" w:sz="4" w:space="0" w:color="auto"/>
              <w:right w:val="single" w:sz="4" w:space="0" w:color="auto"/>
            </w:tcBorders>
            <w:noWrap/>
          </w:tcPr>
          <w:p w14:paraId="04D0BB11"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9.1</w:t>
            </w:r>
          </w:p>
        </w:tc>
        <w:tc>
          <w:tcPr>
            <w:tcW w:w="964" w:type="dxa"/>
            <w:gridSpan w:val="2"/>
            <w:tcBorders>
              <w:top w:val="single" w:sz="4" w:space="0" w:color="auto"/>
              <w:left w:val="nil"/>
              <w:bottom w:val="single" w:sz="4" w:space="0" w:color="auto"/>
              <w:right w:val="single" w:sz="4" w:space="0" w:color="auto"/>
            </w:tcBorders>
            <w:noWrap/>
          </w:tcPr>
          <w:p w14:paraId="56A5328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7.1</w:t>
            </w:r>
          </w:p>
        </w:tc>
      </w:tr>
      <w:tr w:rsidR="003B315D" w:rsidRPr="00BE33FC" w14:paraId="0D246D59" w14:textId="77777777" w:rsidTr="0071585A">
        <w:trPr>
          <w:trHeight w:val="255"/>
        </w:trPr>
        <w:tc>
          <w:tcPr>
            <w:tcW w:w="2506" w:type="dxa"/>
            <w:tcBorders>
              <w:top w:val="nil"/>
              <w:left w:val="single" w:sz="4" w:space="0" w:color="auto"/>
              <w:bottom w:val="single" w:sz="4" w:space="0" w:color="auto"/>
              <w:right w:val="single" w:sz="4" w:space="0" w:color="auto"/>
            </w:tcBorders>
            <w:noWrap/>
            <w:vAlign w:val="bottom"/>
          </w:tcPr>
          <w:p w14:paraId="48DDFB4F" w14:textId="77777777" w:rsidR="003B315D" w:rsidRPr="00BE33FC" w:rsidRDefault="003B315D" w:rsidP="006D697C">
            <w:pPr>
              <w:rPr>
                <w:rFonts w:ascii="Gill Sans MT" w:hAnsi="Gill Sans MT" w:cs="Arial"/>
                <w:sz w:val="22"/>
                <w:szCs w:val="22"/>
                <w:lang w:eastAsia="en-IE"/>
              </w:rPr>
            </w:pPr>
            <w:r w:rsidRPr="00BE33FC">
              <w:rPr>
                <w:rFonts w:ascii="Gill Sans MT" w:hAnsi="Gill Sans MT" w:cs="Arial"/>
                <w:sz w:val="22"/>
                <w:szCs w:val="22"/>
              </w:rPr>
              <w:t>Child and Family Agency (TUSLA)</w:t>
            </w:r>
          </w:p>
        </w:tc>
        <w:tc>
          <w:tcPr>
            <w:tcW w:w="1053" w:type="dxa"/>
            <w:tcBorders>
              <w:top w:val="nil"/>
              <w:left w:val="nil"/>
              <w:bottom w:val="single" w:sz="4" w:space="0" w:color="auto"/>
              <w:right w:val="single" w:sz="4" w:space="0" w:color="auto"/>
            </w:tcBorders>
            <w:noWrap/>
          </w:tcPr>
          <w:p w14:paraId="06FEE76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4,318</w:t>
            </w:r>
          </w:p>
        </w:tc>
        <w:tc>
          <w:tcPr>
            <w:tcW w:w="986" w:type="dxa"/>
            <w:gridSpan w:val="2"/>
            <w:tcBorders>
              <w:top w:val="nil"/>
              <w:left w:val="nil"/>
              <w:bottom w:val="single" w:sz="4" w:space="0" w:color="auto"/>
              <w:right w:val="single" w:sz="4" w:space="0" w:color="auto"/>
            </w:tcBorders>
            <w:noWrap/>
          </w:tcPr>
          <w:p w14:paraId="7C00553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4,527</w:t>
            </w:r>
          </w:p>
        </w:tc>
        <w:tc>
          <w:tcPr>
            <w:tcW w:w="1053" w:type="dxa"/>
            <w:tcBorders>
              <w:top w:val="nil"/>
              <w:left w:val="nil"/>
              <w:bottom w:val="single" w:sz="4" w:space="0" w:color="auto"/>
              <w:right w:val="single" w:sz="4" w:space="0" w:color="auto"/>
            </w:tcBorders>
            <w:noWrap/>
          </w:tcPr>
          <w:p w14:paraId="33D260BF"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138</w:t>
            </w:r>
          </w:p>
        </w:tc>
        <w:tc>
          <w:tcPr>
            <w:tcW w:w="1118" w:type="dxa"/>
            <w:gridSpan w:val="2"/>
            <w:tcBorders>
              <w:top w:val="nil"/>
              <w:left w:val="nil"/>
              <w:bottom w:val="single" w:sz="4" w:space="0" w:color="auto"/>
              <w:right w:val="single" w:sz="4" w:space="0" w:color="auto"/>
            </w:tcBorders>
            <w:noWrap/>
          </w:tcPr>
          <w:p w14:paraId="28D64EB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151</w:t>
            </w:r>
          </w:p>
        </w:tc>
        <w:tc>
          <w:tcPr>
            <w:tcW w:w="1034" w:type="dxa"/>
            <w:tcBorders>
              <w:top w:val="nil"/>
              <w:left w:val="nil"/>
              <w:bottom w:val="single" w:sz="4" w:space="0" w:color="auto"/>
              <w:right w:val="single" w:sz="4" w:space="0" w:color="auto"/>
            </w:tcBorders>
            <w:noWrap/>
          </w:tcPr>
          <w:p w14:paraId="409769D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3.2</w:t>
            </w:r>
          </w:p>
        </w:tc>
        <w:tc>
          <w:tcPr>
            <w:tcW w:w="964" w:type="dxa"/>
            <w:gridSpan w:val="2"/>
            <w:tcBorders>
              <w:top w:val="nil"/>
              <w:left w:val="nil"/>
              <w:bottom w:val="single" w:sz="4" w:space="0" w:color="auto"/>
              <w:right w:val="single" w:sz="4" w:space="0" w:color="auto"/>
            </w:tcBorders>
            <w:noWrap/>
          </w:tcPr>
          <w:p w14:paraId="0BC484B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3.3</w:t>
            </w:r>
          </w:p>
        </w:tc>
      </w:tr>
      <w:tr w:rsidR="003B315D" w:rsidRPr="00BE33FC" w14:paraId="46A9EE64" w14:textId="77777777" w:rsidTr="0071585A">
        <w:trPr>
          <w:trHeight w:val="255"/>
        </w:trPr>
        <w:tc>
          <w:tcPr>
            <w:tcW w:w="2506" w:type="dxa"/>
            <w:tcBorders>
              <w:top w:val="nil"/>
              <w:left w:val="single" w:sz="4" w:space="0" w:color="auto"/>
              <w:bottom w:val="single" w:sz="4" w:space="0" w:color="auto"/>
              <w:right w:val="single" w:sz="4" w:space="0" w:color="auto"/>
            </w:tcBorders>
            <w:noWrap/>
            <w:vAlign w:val="bottom"/>
          </w:tcPr>
          <w:p w14:paraId="4983B564" w14:textId="77777777" w:rsidR="003B315D" w:rsidRPr="00BE33FC" w:rsidRDefault="003B315D" w:rsidP="006D697C">
            <w:pPr>
              <w:rPr>
                <w:rFonts w:ascii="Gill Sans MT" w:hAnsi="Gill Sans MT" w:cs="Arial"/>
                <w:sz w:val="22"/>
                <w:szCs w:val="22"/>
                <w:lang w:eastAsia="en-IE"/>
              </w:rPr>
            </w:pPr>
            <w:proofErr w:type="spellStart"/>
            <w:r w:rsidRPr="00BE33FC">
              <w:rPr>
                <w:rFonts w:ascii="Gill Sans MT" w:hAnsi="Gill Sans MT" w:cs="Arial"/>
                <w:sz w:val="22"/>
                <w:szCs w:val="22"/>
              </w:rPr>
              <w:t>Oberstown</w:t>
            </w:r>
            <w:proofErr w:type="spellEnd"/>
            <w:r w:rsidRPr="00BE33FC">
              <w:rPr>
                <w:rFonts w:ascii="Gill Sans MT" w:hAnsi="Gill Sans MT" w:cs="Arial"/>
                <w:sz w:val="22"/>
                <w:szCs w:val="22"/>
              </w:rPr>
              <w:t xml:space="preserve"> Children Detention Campus</w:t>
            </w:r>
          </w:p>
        </w:tc>
        <w:tc>
          <w:tcPr>
            <w:tcW w:w="1053" w:type="dxa"/>
            <w:tcBorders>
              <w:top w:val="nil"/>
              <w:left w:val="nil"/>
              <w:bottom w:val="single" w:sz="4" w:space="0" w:color="auto"/>
              <w:right w:val="single" w:sz="4" w:space="0" w:color="auto"/>
            </w:tcBorders>
            <w:noWrap/>
          </w:tcPr>
          <w:p w14:paraId="5CD290C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267</w:t>
            </w:r>
          </w:p>
        </w:tc>
        <w:tc>
          <w:tcPr>
            <w:tcW w:w="986" w:type="dxa"/>
            <w:gridSpan w:val="2"/>
            <w:tcBorders>
              <w:top w:val="nil"/>
              <w:left w:val="nil"/>
              <w:bottom w:val="single" w:sz="4" w:space="0" w:color="auto"/>
              <w:right w:val="single" w:sz="4" w:space="0" w:color="auto"/>
            </w:tcBorders>
            <w:noWrap/>
          </w:tcPr>
          <w:p w14:paraId="1509C94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284</w:t>
            </w:r>
          </w:p>
        </w:tc>
        <w:tc>
          <w:tcPr>
            <w:tcW w:w="1053" w:type="dxa"/>
            <w:tcBorders>
              <w:top w:val="nil"/>
              <w:left w:val="nil"/>
              <w:bottom w:val="single" w:sz="4" w:space="0" w:color="auto"/>
              <w:right w:val="single" w:sz="4" w:space="0" w:color="auto"/>
            </w:tcBorders>
            <w:noWrap/>
          </w:tcPr>
          <w:p w14:paraId="337BD3EE"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16</w:t>
            </w:r>
          </w:p>
        </w:tc>
        <w:tc>
          <w:tcPr>
            <w:tcW w:w="1118" w:type="dxa"/>
            <w:gridSpan w:val="2"/>
            <w:tcBorders>
              <w:top w:val="nil"/>
              <w:left w:val="nil"/>
              <w:bottom w:val="single" w:sz="4" w:space="0" w:color="auto"/>
              <w:right w:val="single" w:sz="4" w:space="0" w:color="auto"/>
            </w:tcBorders>
            <w:noWrap/>
          </w:tcPr>
          <w:p w14:paraId="307E2635"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16</w:t>
            </w:r>
          </w:p>
        </w:tc>
        <w:tc>
          <w:tcPr>
            <w:tcW w:w="1034" w:type="dxa"/>
            <w:tcBorders>
              <w:top w:val="nil"/>
              <w:left w:val="nil"/>
              <w:bottom w:val="single" w:sz="4" w:space="0" w:color="auto"/>
              <w:right w:val="single" w:sz="4" w:space="0" w:color="auto"/>
            </w:tcBorders>
            <w:noWrap/>
          </w:tcPr>
          <w:p w14:paraId="728C8370"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6.0</w:t>
            </w:r>
          </w:p>
        </w:tc>
        <w:tc>
          <w:tcPr>
            <w:tcW w:w="964" w:type="dxa"/>
            <w:gridSpan w:val="2"/>
            <w:tcBorders>
              <w:top w:val="nil"/>
              <w:left w:val="nil"/>
              <w:bottom w:val="single" w:sz="4" w:space="0" w:color="auto"/>
              <w:right w:val="single" w:sz="4" w:space="0" w:color="auto"/>
            </w:tcBorders>
            <w:noWrap/>
          </w:tcPr>
          <w:p w14:paraId="139B44C5"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5.6</w:t>
            </w:r>
          </w:p>
        </w:tc>
      </w:tr>
      <w:tr w:rsidR="003B315D" w:rsidRPr="00BE33FC" w14:paraId="05D0342F" w14:textId="77777777" w:rsidTr="00B961C4">
        <w:tc>
          <w:tcPr>
            <w:tcW w:w="2506" w:type="dxa"/>
          </w:tcPr>
          <w:p w14:paraId="002B4E58" w14:textId="77777777" w:rsidR="003B315D" w:rsidRPr="00BE33FC" w:rsidRDefault="003B315D" w:rsidP="006D697C">
            <w:pPr>
              <w:ind w:firstLineChars="11" w:firstLine="24"/>
              <w:rPr>
                <w:rFonts w:ascii="Gill Sans MT" w:hAnsi="Gill Sans MT"/>
                <w:b/>
                <w:sz w:val="22"/>
                <w:szCs w:val="22"/>
              </w:rPr>
            </w:pPr>
            <w:r w:rsidRPr="00BE33FC">
              <w:rPr>
                <w:rFonts w:ascii="Gill Sans MT" w:hAnsi="Gill Sans MT"/>
                <w:b/>
                <w:sz w:val="22"/>
                <w:szCs w:val="22"/>
              </w:rPr>
              <w:t>Grand Total</w:t>
            </w:r>
          </w:p>
        </w:tc>
        <w:tc>
          <w:tcPr>
            <w:tcW w:w="1053" w:type="dxa"/>
            <w:tcBorders>
              <w:top w:val="single" w:sz="4" w:space="0" w:color="auto"/>
              <w:left w:val="single" w:sz="4" w:space="0" w:color="auto"/>
              <w:bottom w:val="single" w:sz="4" w:space="0" w:color="auto"/>
              <w:right w:val="single" w:sz="4" w:space="0" w:color="auto"/>
            </w:tcBorders>
            <w:vAlign w:val="bottom"/>
          </w:tcPr>
          <w:p w14:paraId="18693B8C" w14:textId="77777777" w:rsidR="003B315D" w:rsidRPr="00BE33FC" w:rsidRDefault="003B315D" w:rsidP="006D697C">
            <w:pPr>
              <w:jc w:val="right"/>
              <w:rPr>
                <w:rFonts w:ascii="Gill Sans MT" w:hAnsi="Gill Sans MT" w:cs="Arial"/>
                <w:b/>
                <w:bCs/>
                <w:color w:val="000000"/>
                <w:sz w:val="22"/>
                <w:szCs w:val="22"/>
                <w:lang w:eastAsia="en-IE"/>
              </w:rPr>
            </w:pPr>
            <w:r w:rsidRPr="00BE33FC">
              <w:rPr>
                <w:rFonts w:ascii="Gill Sans MT" w:hAnsi="Gill Sans MT" w:cs="Arial"/>
                <w:b/>
                <w:bCs/>
                <w:color w:val="000000"/>
                <w:sz w:val="22"/>
                <w:szCs w:val="22"/>
              </w:rPr>
              <w:t>4,607</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181E1878"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cs="Arial"/>
                <w:b/>
                <w:bCs/>
                <w:color w:val="000000"/>
                <w:sz w:val="22"/>
                <w:szCs w:val="22"/>
              </w:rPr>
              <w:t>4,839</w:t>
            </w:r>
          </w:p>
        </w:tc>
        <w:tc>
          <w:tcPr>
            <w:tcW w:w="1053" w:type="dxa"/>
            <w:tcBorders>
              <w:top w:val="single" w:sz="4" w:space="0" w:color="auto"/>
              <w:left w:val="single" w:sz="4" w:space="0" w:color="auto"/>
              <w:bottom w:val="single" w:sz="4" w:space="0" w:color="auto"/>
              <w:right w:val="single" w:sz="4" w:space="0" w:color="auto"/>
            </w:tcBorders>
            <w:vAlign w:val="bottom"/>
          </w:tcPr>
          <w:p w14:paraId="559D74B0"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cs="Arial"/>
                <w:b/>
                <w:bCs/>
                <w:color w:val="000000"/>
                <w:sz w:val="22"/>
                <w:szCs w:val="22"/>
              </w:rPr>
              <w:t>156</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14925FB5"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cs="Arial"/>
                <w:b/>
                <w:bCs/>
                <w:color w:val="000000"/>
                <w:sz w:val="22"/>
                <w:szCs w:val="22"/>
              </w:rPr>
              <w:t>169</w:t>
            </w:r>
          </w:p>
        </w:tc>
        <w:tc>
          <w:tcPr>
            <w:tcW w:w="1034" w:type="dxa"/>
            <w:tcBorders>
              <w:top w:val="single" w:sz="4" w:space="0" w:color="auto"/>
              <w:left w:val="nil"/>
              <w:bottom w:val="single" w:sz="4" w:space="0" w:color="auto"/>
              <w:right w:val="single" w:sz="4" w:space="0" w:color="auto"/>
            </w:tcBorders>
            <w:vAlign w:val="bottom"/>
          </w:tcPr>
          <w:p w14:paraId="4E6E71A7"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cs="Arial"/>
                <w:b/>
                <w:bCs/>
                <w:sz w:val="22"/>
                <w:szCs w:val="22"/>
              </w:rPr>
              <w:t>3.4</w:t>
            </w:r>
          </w:p>
        </w:tc>
        <w:tc>
          <w:tcPr>
            <w:tcW w:w="964" w:type="dxa"/>
            <w:gridSpan w:val="2"/>
            <w:tcBorders>
              <w:top w:val="single" w:sz="4" w:space="0" w:color="auto"/>
              <w:left w:val="nil"/>
              <w:bottom w:val="single" w:sz="4" w:space="0" w:color="auto"/>
              <w:right w:val="single" w:sz="4" w:space="0" w:color="auto"/>
            </w:tcBorders>
            <w:vAlign w:val="bottom"/>
          </w:tcPr>
          <w:p w14:paraId="7E0AF7C5"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cs="Arial"/>
                <w:b/>
                <w:bCs/>
                <w:sz w:val="22"/>
                <w:szCs w:val="22"/>
              </w:rPr>
              <w:t>3.5</w:t>
            </w:r>
          </w:p>
        </w:tc>
      </w:tr>
    </w:tbl>
    <w:p w14:paraId="1F6EAD0B" w14:textId="77777777" w:rsidR="003B315D" w:rsidRPr="00CC4F07" w:rsidRDefault="003B315D" w:rsidP="003B315D">
      <w:pPr>
        <w:spacing w:before="360"/>
        <w:rPr>
          <w:b/>
        </w:rPr>
      </w:pPr>
      <w:r w:rsidRPr="00CC4F07">
        <w:rPr>
          <w:b/>
        </w:rPr>
        <w:lastRenderedPageBreak/>
        <w:t>Department of Communications, Climate Action &amp; Environment</w:t>
      </w:r>
    </w:p>
    <w:tbl>
      <w:tblPr>
        <w:tblStyle w:val="TableGrid"/>
        <w:tblW w:w="0" w:type="auto"/>
        <w:tblLook w:val="04A0" w:firstRow="1" w:lastRow="0" w:firstColumn="1" w:lastColumn="0" w:noHBand="0" w:noVBand="1"/>
        <w:tblCaption w:val="Appendix B Public bodies"/>
        <w:tblDescription w:val="Department of Communications, Climate Action and Environment"/>
      </w:tblPr>
      <w:tblGrid>
        <w:gridCol w:w="2506"/>
        <w:gridCol w:w="1053"/>
        <w:gridCol w:w="350"/>
        <w:gridCol w:w="636"/>
        <w:gridCol w:w="1053"/>
        <w:gridCol w:w="830"/>
        <w:gridCol w:w="288"/>
        <w:gridCol w:w="1034"/>
        <w:gridCol w:w="718"/>
        <w:gridCol w:w="246"/>
      </w:tblGrid>
      <w:tr w:rsidR="003B315D" w:rsidRPr="00BE33FC" w14:paraId="3CFEE5B4" w14:textId="77777777" w:rsidTr="00B961C4">
        <w:tc>
          <w:tcPr>
            <w:tcW w:w="2506" w:type="dxa"/>
          </w:tcPr>
          <w:p w14:paraId="73F13AC9"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403" w:type="dxa"/>
            <w:gridSpan w:val="2"/>
            <w:tcBorders>
              <w:right w:val="nil"/>
            </w:tcBorders>
          </w:tcPr>
          <w:p w14:paraId="08692F47"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Total number of employees</w:t>
            </w:r>
          </w:p>
        </w:tc>
        <w:tc>
          <w:tcPr>
            <w:tcW w:w="636" w:type="dxa"/>
            <w:tcBorders>
              <w:left w:val="nil"/>
            </w:tcBorders>
          </w:tcPr>
          <w:p w14:paraId="46476CD1"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3D266657"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8" w:type="dxa"/>
            <w:tcBorders>
              <w:left w:val="nil"/>
            </w:tcBorders>
          </w:tcPr>
          <w:p w14:paraId="0530FE56"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4399DDD8"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6" w:type="dxa"/>
            <w:tcBorders>
              <w:left w:val="nil"/>
            </w:tcBorders>
          </w:tcPr>
          <w:p w14:paraId="00E06E94" w14:textId="77777777" w:rsidR="003B315D" w:rsidRPr="00BE33FC" w:rsidRDefault="003B315D" w:rsidP="006D697C">
            <w:pPr>
              <w:rPr>
                <w:rFonts w:ascii="Gill Sans MT" w:hAnsi="Gill Sans MT"/>
                <w:b/>
                <w:sz w:val="22"/>
                <w:szCs w:val="22"/>
              </w:rPr>
            </w:pPr>
          </w:p>
        </w:tc>
      </w:tr>
      <w:tr w:rsidR="003B315D" w:rsidRPr="00BE33FC" w14:paraId="1736D93C" w14:textId="77777777" w:rsidTr="00B961C4">
        <w:tc>
          <w:tcPr>
            <w:tcW w:w="2506" w:type="dxa"/>
          </w:tcPr>
          <w:p w14:paraId="19BEFE3D" w14:textId="77777777" w:rsidR="003B315D" w:rsidRPr="00BE33FC" w:rsidRDefault="003B315D" w:rsidP="006D697C">
            <w:pPr>
              <w:rPr>
                <w:rFonts w:ascii="Gill Sans MT" w:hAnsi="Gill Sans MT"/>
                <w:b/>
                <w:sz w:val="22"/>
                <w:szCs w:val="22"/>
              </w:rPr>
            </w:pPr>
          </w:p>
        </w:tc>
        <w:tc>
          <w:tcPr>
            <w:tcW w:w="1053" w:type="dxa"/>
          </w:tcPr>
          <w:p w14:paraId="4F2C32E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6DAA232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3313A1CE"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13332173"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2B96E27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5679BC3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2E1D58B2" w14:textId="77777777" w:rsidTr="00B961C4">
        <w:trPr>
          <w:trHeight w:val="300"/>
        </w:trPr>
        <w:tc>
          <w:tcPr>
            <w:tcW w:w="2506" w:type="dxa"/>
            <w:tcBorders>
              <w:top w:val="single" w:sz="4" w:space="0" w:color="auto"/>
              <w:left w:val="single" w:sz="4" w:space="0" w:color="auto"/>
              <w:bottom w:val="single" w:sz="4" w:space="0" w:color="auto"/>
              <w:right w:val="single" w:sz="4" w:space="0" w:color="auto"/>
            </w:tcBorders>
            <w:noWrap/>
            <w:vAlign w:val="bottom"/>
          </w:tcPr>
          <w:p w14:paraId="2E38964F" w14:textId="77777777" w:rsidR="003B315D" w:rsidRPr="00BE33FC" w:rsidRDefault="003B315D" w:rsidP="006D697C">
            <w:pPr>
              <w:ind w:firstLineChars="10" w:firstLine="22"/>
              <w:rPr>
                <w:rFonts w:ascii="Gill Sans MT" w:hAnsi="Gill Sans MT"/>
                <w:color w:val="000000"/>
                <w:sz w:val="22"/>
                <w:szCs w:val="22"/>
                <w:lang w:eastAsia="en-IE"/>
              </w:rPr>
            </w:pPr>
            <w:proofErr w:type="gramStart"/>
            <w:r w:rsidRPr="00BE33FC">
              <w:rPr>
                <w:rFonts w:ascii="Gill Sans MT" w:hAnsi="Gill Sans MT" w:cs="Arial"/>
                <w:sz w:val="22"/>
                <w:szCs w:val="22"/>
              </w:rPr>
              <w:t>An</w:t>
            </w:r>
            <w:proofErr w:type="gramEnd"/>
            <w:r w:rsidRPr="00BE33FC">
              <w:rPr>
                <w:rFonts w:ascii="Gill Sans MT" w:hAnsi="Gill Sans MT" w:cs="Arial"/>
                <w:sz w:val="22"/>
                <w:szCs w:val="22"/>
              </w:rPr>
              <w:t xml:space="preserve"> Post</w:t>
            </w:r>
          </w:p>
        </w:tc>
        <w:tc>
          <w:tcPr>
            <w:tcW w:w="1053" w:type="dxa"/>
            <w:tcBorders>
              <w:top w:val="single" w:sz="4" w:space="0" w:color="auto"/>
              <w:left w:val="nil"/>
              <w:bottom w:val="single" w:sz="4" w:space="0" w:color="auto"/>
              <w:right w:val="single" w:sz="4" w:space="0" w:color="auto"/>
            </w:tcBorders>
            <w:noWrap/>
            <w:vAlign w:val="bottom"/>
          </w:tcPr>
          <w:p w14:paraId="4BEB216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8,483</w:t>
            </w:r>
          </w:p>
        </w:tc>
        <w:tc>
          <w:tcPr>
            <w:tcW w:w="986" w:type="dxa"/>
            <w:gridSpan w:val="2"/>
            <w:tcBorders>
              <w:top w:val="single" w:sz="4" w:space="0" w:color="auto"/>
              <w:left w:val="nil"/>
              <w:bottom w:val="single" w:sz="4" w:space="0" w:color="auto"/>
              <w:right w:val="single" w:sz="4" w:space="0" w:color="auto"/>
            </w:tcBorders>
            <w:noWrap/>
            <w:vAlign w:val="bottom"/>
          </w:tcPr>
          <w:p w14:paraId="166E2C7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8,363</w:t>
            </w:r>
          </w:p>
        </w:tc>
        <w:tc>
          <w:tcPr>
            <w:tcW w:w="1053" w:type="dxa"/>
            <w:tcBorders>
              <w:top w:val="single" w:sz="4" w:space="0" w:color="auto"/>
              <w:left w:val="nil"/>
              <w:bottom w:val="single" w:sz="4" w:space="0" w:color="auto"/>
              <w:right w:val="single" w:sz="4" w:space="0" w:color="auto"/>
            </w:tcBorders>
            <w:noWrap/>
            <w:vAlign w:val="bottom"/>
          </w:tcPr>
          <w:p w14:paraId="1BAB965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466</w:t>
            </w:r>
          </w:p>
        </w:tc>
        <w:tc>
          <w:tcPr>
            <w:tcW w:w="1118" w:type="dxa"/>
            <w:gridSpan w:val="2"/>
            <w:tcBorders>
              <w:top w:val="single" w:sz="4" w:space="0" w:color="auto"/>
              <w:left w:val="nil"/>
              <w:bottom w:val="single" w:sz="4" w:space="0" w:color="auto"/>
              <w:right w:val="single" w:sz="4" w:space="0" w:color="auto"/>
            </w:tcBorders>
            <w:noWrap/>
            <w:vAlign w:val="bottom"/>
          </w:tcPr>
          <w:p w14:paraId="20B420D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466</w:t>
            </w:r>
          </w:p>
        </w:tc>
        <w:tc>
          <w:tcPr>
            <w:tcW w:w="1034" w:type="dxa"/>
            <w:tcBorders>
              <w:top w:val="single" w:sz="4" w:space="0" w:color="auto"/>
              <w:left w:val="nil"/>
              <w:bottom w:val="single" w:sz="4" w:space="0" w:color="auto"/>
              <w:right w:val="single" w:sz="4" w:space="0" w:color="auto"/>
            </w:tcBorders>
            <w:noWrap/>
            <w:vAlign w:val="bottom"/>
          </w:tcPr>
          <w:p w14:paraId="395B99C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964" w:type="dxa"/>
            <w:gridSpan w:val="2"/>
            <w:tcBorders>
              <w:top w:val="single" w:sz="4" w:space="0" w:color="auto"/>
              <w:left w:val="nil"/>
              <w:bottom w:val="single" w:sz="4" w:space="0" w:color="auto"/>
              <w:right w:val="single" w:sz="4" w:space="0" w:color="auto"/>
            </w:tcBorders>
            <w:noWrap/>
            <w:vAlign w:val="bottom"/>
          </w:tcPr>
          <w:p w14:paraId="0A27A62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5.6</w:t>
            </w:r>
          </w:p>
        </w:tc>
      </w:tr>
      <w:tr w:rsidR="003B315D" w:rsidRPr="00BE33FC" w14:paraId="39BCFF91"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36E05F2F"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Bord </w:t>
            </w:r>
            <w:proofErr w:type="spellStart"/>
            <w:r w:rsidRPr="00BE33FC">
              <w:rPr>
                <w:rFonts w:ascii="Gill Sans MT" w:hAnsi="Gill Sans MT" w:cs="Arial"/>
                <w:sz w:val="22"/>
                <w:szCs w:val="22"/>
              </w:rPr>
              <w:t>na</w:t>
            </w:r>
            <w:proofErr w:type="spellEnd"/>
            <w:r w:rsidRPr="00BE33FC">
              <w:rPr>
                <w:rFonts w:ascii="Gill Sans MT" w:hAnsi="Gill Sans MT" w:cs="Arial"/>
                <w:sz w:val="22"/>
                <w:szCs w:val="22"/>
              </w:rPr>
              <w:t xml:space="preserve"> Móna</w:t>
            </w:r>
          </w:p>
        </w:tc>
        <w:tc>
          <w:tcPr>
            <w:tcW w:w="1053" w:type="dxa"/>
            <w:tcBorders>
              <w:top w:val="nil"/>
              <w:left w:val="nil"/>
              <w:bottom w:val="single" w:sz="4" w:space="0" w:color="auto"/>
              <w:right w:val="single" w:sz="4" w:space="0" w:color="auto"/>
            </w:tcBorders>
            <w:noWrap/>
            <w:vAlign w:val="bottom"/>
          </w:tcPr>
          <w:p w14:paraId="58B0629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1,818</w:t>
            </w:r>
          </w:p>
        </w:tc>
        <w:tc>
          <w:tcPr>
            <w:tcW w:w="986" w:type="dxa"/>
            <w:gridSpan w:val="2"/>
            <w:tcBorders>
              <w:top w:val="nil"/>
              <w:left w:val="nil"/>
              <w:bottom w:val="single" w:sz="4" w:space="0" w:color="auto"/>
              <w:right w:val="single" w:sz="4" w:space="0" w:color="auto"/>
            </w:tcBorders>
            <w:noWrap/>
            <w:vAlign w:val="bottom"/>
          </w:tcPr>
          <w:p w14:paraId="01C336D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1,631</w:t>
            </w:r>
          </w:p>
        </w:tc>
        <w:tc>
          <w:tcPr>
            <w:tcW w:w="1053" w:type="dxa"/>
            <w:tcBorders>
              <w:top w:val="nil"/>
              <w:left w:val="nil"/>
              <w:bottom w:val="single" w:sz="4" w:space="0" w:color="auto"/>
              <w:right w:val="single" w:sz="4" w:space="0" w:color="auto"/>
            </w:tcBorders>
            <w:noWrap/>
            <w:vAlign w:val="bottom"/>
          </w:tcPr>
          <w:p w14:paraId="391C875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1118" w:type="dxa"/>
            <w:gridSpan w:val="2"/>
            <w:tcBorders>
              <w:top w:val="nil"/>
              <w:left w:val="nil"/>
              <w:bottom w:val="single" w:sz="4" w:space="0" w:color="auto"/>
              <w:right w:val="single" w:sz="4" w:space="0" w:color="auto"/>
            </w:tcBorders>
            <w:noWrap/>
            <w:vAlign w:val="bottom"/>
          </w:tcPr>
          <w:p w14:paraId="1681D4C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1034" w:type="dxa"/>
            <w:tcBorders>
              <w:top w:val="nil"/>
              <w:left w:val="nil"/>
              <w:bottom w:val="single" w:sz="4" w:space="0" w:color="auto"/>
              <w:right w:val="single" w:sz="4" w:space="0" w:color="auto"/>
            </w:tcBorders>
            <w:noWrap/>
            <w:vAlign w:val="bottom"/>
          </w:tcPr>
          <w:p w14:paraId="0DCCA68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3.0</w:t>
            </w:r>
          </w:p>
        </w:tc>
        <w:tc>
          <w:tcPr>
            <w:tcW w:w="964" w:type="dxa"/>
            <w:gridSpan w:val="2"/>
            <w:tcBorders>
              <w:top w:val="nil"/>
              <w:left w:val="nil"/>
              <w:bottom w:val="single" w:sz="4" w:space="0" w:color="auto"/>
              <w:right w:val="single" w:sz="4" w:space="0" w:color="auto"/>
            </w:tcBorders>
            <w:noWrap/>
            <w:vAlign w:val="bottom"/>
          </w:tcPr>
          <w:p w14:paraId="7F1DEA9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r>
      <w:tr w:rsidR="003B315D" w:rsidRPr="00BE33FC" w14:paraId="645AFAEB"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22A52263"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Broadcasting Authority of Ireland</w:t>
            </w:r>
          </w:p>
        </w:tc>
        <w:tc>
          <w:tcPr>
            <w:tcW w:w="1053" w:type="dxa"/>
            <w:tcBorders>
              <w:top w:val="nil"/>
              <w:left w:val="nil"/>
              <w:bottom w:val="single" w:sz="4" w:space="0" w:color="auto"/>
              <w:right w:val="single" w:sz="4" w:space="0" w:color="auto"/>
            </w:tcBorders>
            <w:noWrap/>
          </w:tcPr>
          <w:p w14:paraId="3424F91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986" w:type="dxa"/>
            <w:gridSpan w:val="2"/>
            <w:tcBorders>
              <w:top w:val="nil"/>
              <w:left w:val="nil"/>
              <w:bottom w:val="single" w:sz="4" w:space="0" w:color="auto"/>
              <w:right w:val="single" w:sz="4" w:space="0" w:color="auto"/>
            </w:tcBorders>
            <w:noWrap/>
          </w:tcPr>
          <w:p w14:paraId="0974F25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1053" w:type="dxa"/>
            <w:tcBorders>
              <w:top w:val="nil"/>
              <w:left w:val="nil"/>
              <w:bottom w:val="single" w:sz="4" w:space="0" w:color="auto"/>
              <w:right w:val="single" w:sz="4" w:space="0" w:color="auto"/>
            </w:tcBorders>
            <w:noWrap/>
          </w:tcPr>
          <w:p w14:paraId="668217F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118" w:type="dxa"/>
            <w:gridSpan w:val="2"/>
            <w:tcBorders>
              <w:top w:val="nil"/>
              <w:left w:val="nil"/>
              <w:bottom w:val="single" w:sz="4" w:space="0" w:color="auto"/>
              <w:right w:val="single" w:sz="4" w:space="0" w:color="auto"/>
            </w:tcBorders>
            <w:noWrap/>
          </w:tcPr>
          <w:p w14:paraId="27DF7F6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4" w:type="dxa"/>
            <w:tcBorders>
              <w:top w:val="nil"/>
              <w:left w:val="nil"/>
              <w:bottom w:val="single" w:sz="4" w:space="0" w:color="auto"/>
              <w:right w:val="single" w:sz="4" w:space="0" w:color="auto"/>
            </w:tcBorders>
            <w:noWrap/>
          </w:tcPr>
          <w:p w14:paraId="4427969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5.3</w:t>
            </w:r>
          </w:p>
        </w:tc>
        <w:tc>
          <w:tcPr>
            <w:tcW w:w="964" w:type="dxa"/>
            <w:gridSpan w:val="2"/>
            <w:tcBorders>
              <w:top w:val="nil"/>
              <w:left w:val="nil"/>
              <w:bottom w:val="single" w:sz="4" w:space="0" w:color="auto"/>
              <w:right w:val="single" w:sz="4" w:space="0" w:color="auto"/>
            </w:tcBorders>
            <w:noWrap/>
          </w:tcPr>
          <w:p w14:paraId="3DC9089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8.9</w:t>
            </w:r>
          </w:p>
        </w:tc>
      </w:tr>
      <w:tr w:rsidR="003B315D" w:rsidRPr="00BE33FC" w14:paraId="3614C874"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1158EB75"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Commission for Communications Regulation (</w:t>
            </w:r>
            <w:proofErr w:type="spellStart"/>
            <w:r w:rsidRPr="00BE33FC">
              <w:rPr>
                <w:rFonts w:ascii="Gill Sans MT" w:hAnsi="Gill Sans MT" w:cs="Arial"/>
                <w:sz w:val="22"/>
                <w:szCs w:val="22"/>
              </w:rPr>
              <w:t>ComReg</w:t>
            </w:r>
            <w:proofErr w:type="spellEnd"/>
            <w:r w:rsidRPr="00BE33FC">
              <w:rPr>
                <w:rFonts w:ascii="Gill Sans MT" w:hAnsi="Gill Sans MT" w:cs="Arial"/>
                <w:sz w:val="22"/>
                <w:szCs w:val="22"/>
              </w:rPr>
              <w:t>)</w:t>
            </w:r>
          </w:p>
        </w:tc>
        <w:tc>
          <w:tcPr>
            <w:tcW w:w="1053" w:type="dxa"/>
            <w:tcBorders>
              <w:top w:val="nil"/>
              <w:left w:val="nil"/>
              <w:bottom w:val="single" w:sz="4" w:space="0" w:color="auto"/>
              <w:right w:val="single" w:sz="4" w:space="0" w:color="auto"/>
            </w:tcBorders>
            <w:noWrap/>
          </w:tcPr>
          <w:p w14:paraId="1B4D92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120</w:t>
            </w:r>
          </w:p>
        </w:tc>
        <w:tc>
          <w:tcPr>
            <w:tcW w:w="986" w:type="dxa"/>
            <w:gridSpan w:val="2"/>
            <w:tcBorders>
              <w:top w:val="nil"/>
              <w:left w:val="nil"/>
              <w:bottom w:val="single" w:sz="4" w:space="0" w:color="auto"/>
              <w:right w:val="single" w:sz="4" w:space="0" w:color="auto"/>
            </w:tcBorders>
            <w:noWrap/>
          </w:tcPr>
          <w:p w14:paraId="09E9504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124</w:t>
            </w:r>
          </w:p>
        </w:tc>
        <w:tc>
          <w:tcPr>
            <w:tcW w:w="1053" w:type="dxa"/>
            <w:tcBorders>
              <w:top w:val="nil"/>
              <w:left w:val="nil"/>
              <w:bottom w:val="single" w:sz="4" w:space="0" w:color="auto"/>
              <w:right w:val="single" w:sz="4" w:space="0" w:color="auto"/>
            </w:tcBorders>
            <w:noWrap/>
          </w:tcPr>
          <w:p w14:paraId="56B851F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8" w:type="dxa"/>
            <w:gridSpan w:val="2"/>
            <w:tcBorders>
              <w:top w:val="nil"/>
              <w:left w:val="nil"/>
              <w:bottom w:val="single" w:sz="4" w:space="0" w:color="auto"/>
              <w:right w:val="single" w:sz="4" w:space="0" w:color="auto"/>
            </w:tcBorders>
            <w:noWrap/>
          </w:tcPr>
          <w:p w14:paraId="782D125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4" w:type="dxa"/>
            <w:tcBorders>
              <w:top w:val="nil"/>
              <w:left w:val="nil"/>
              <w:bottom w:val="single" w:sz="4" w:space="0" w:color="auto"/>
              <w:right w:val="single" w:sz="4" w:space="0" w:color="auto"/>
            </w:tcBorders>
            <w:noWrap/>
          </w:tcPr>
          <w:p w14:paraId="7426B5B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64" w:type="dxa"/>
            <w:gridSpan w:val="2"/>
            <w:tcBorders>
              <w:top w:val="nil"/>
              <w:left w:val="nil"/>
              <w:bottom w:val="single" w:sz="4" w:space="0" w:color="auto"/>
              <w:right w:val="single" w:sz="4" w:space="0" w:color="auto"/>
            </w:tcBorders>
            <w:noWrap/>
          </w:tcPr>
          <w:p w14:paraId="0C15A98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w:t>
            </w:r>
          </w:p>
        </w:tc>
      </w:tr>
      <w:tr w:rsidR="003B315D" w:rsidRPr="00BE33FC" w14:paraId="4F344E14"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565AD704"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Commission for Regulation of Utilities (CRU)</w:t>
            </w:r>
          </w:p>
        </w:tc>
        <w:tc>
          <w:tcPr>
            <w:tcW w:w="1053" w:type="dxa"/>
            <w:tcBorders>
              <w:top w:val="nil"/>
              <w:left w:val="nil"/>
              <w:bottom w:val="single" w:sz="4" w:space="0" w:color="auto"/>
              <w:right w:val="single" w:sz="4" w:space="0" w:color="auto"/>
            </w:tcBorders>
            <w:noWrap/>
          </w:tcPr>
          <w:p w14:paraId="75F79C3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90</w:t>
            </w:r>
          </w:p>
        </w:tc>
        <w:tc>
          <w:tcPr>
            <w:tcW w:w="986" w:type="dxa"/>
            <w:gridSpan w:val="2"/>
            <w:tcBorders>
              <w:top w:val="nil"/>
              <w:left w:val="nil"/>
              <w:bottom w:val="single" w:sz="4" w:space="0" w:color="auto"/>
              <w:right w:val="single" w:sz="4" w:space="0" w:color="auto"/>
            </w:tcBorders>
            <w:noWrap/>
          </w:tcPr>
          <w:p w14:paraId="37314CD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101</w:t>
            </w:r>
          </w:p>
        </w:tc>
        <w:tc>
          <w:tcPr>
            <w:tcW w:w="1053" w:type="dxa"/>
            <w:tcBorders>
              <w:top w:val="nil"/>
              <w:left w:val="nil"/>
              <w:bottom w:val="single" w:sz="4" w:space="0" w:color="auto"/>
              <w:right w:val="single" w:sz="4" w:space="0" w:color="auto"/>
            </w:tcBorders>
            <w:noWrap/>
          </w:tcPr>
          <w:p w14:paraId="795E946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118" w:type="dxa"/>
            <w:gridSpan w:val="2"/>
            <w:tcBorders>
              <w:top w:val="nil"/>
              <w:left w:val="nil"/>
              <w:bottom w:val="single" w:sz="4" w:space="0" w:color="auto"/>
              <w:right w:val="single" w:sz="4" w:space="0" w:color="auto"/>
            </w:tcBorders>
            <w:noWrap/>
          </w:tcPr>
          <w:p w14:paraId="3C70E0C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34" w:type="dxa"/>
            <w:tcBorders>
              <w:top w:val="nil"/>
              <w:left w:val="nil"/>
              <w:bottom w:val="single" w:sz="4" w:space="0" w:color="auto"/>
              <w:right w:val="single" w:sz="4" w:space="0" w:color="auto"/>
            </w:tcBorders>
            <w:noWrap/>
          </w:tcPr>
          <w:p w14:paraId="516C21B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6.7</w:t>
            </w:r>
          </w:p>
        </w:tc>
        <w:tc>
          <w:tcPr>
            <w:tcW w:w="964" w:type="dxa"/>
            <w:gridSpan w:val="2"/>
            <w:tcBorders>
              <w:top w:val="nil"/>
              <w:left w:val="nil"/>
              <w:bottom w:val="single" w:sz="4" w:space="0" w:color="auto"/>
              <w:right w:val="single" w:sz="4" w:space="0" w:color="auto"/>
            </w:tcBorders>
            <w:noWrap/>
          </w:tcPr>
          <w:p w14:paraId="3C5620C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5.9</w:t>
            </w:r>
          </w:p>
        </w:tc>
      </w:tr>
      <w:tr w:rsidR="003B315D" w:rsidRPr="00BE33FC" w14:paraId="70B8FCC0"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24A442AA" w14:textId="77777777" w:rsidR="003B315D" w:rsidRPr="00BE33FC" w:rsidRDefault="003B315D" w:rsidP="006D697C">
            <w:pPr>
              <w:ind w:firstLineChars="10" w:firstLine="22"/>
              <w:rPr>
                <w:rFonts w:ascii="Gill Sans MT" w:hAnsi="Gill Sans MT"/>
                <w:color w:val="000000"/>
                <w:sz w:val="22"/>
                <w:szCs w:val="22"/>
                <w:lang w:eastAsia="en-IE"/>
              </w:rPr>
            </w:pPr>
            <w:proofErr w:type="spellStart"/>
            <w:r w:rsidRPr="00BE33FC">
              <w:rPr>
                <w:rFonts w:ascii="Gill Sans MT" w:hAnsi="Gill Sans MT" w:cs="Arial"/>
                <w:sz w:val="22"/>
                <w:szCs w:val="22"/>
              </w:rPr>
              <w:t>EirGrid</w:t>
            </w:r>
            <w:proofErr w:type="spellEnd"/>
            <w:r w:rsidRPr="00BE33FC">
              <w:rPr>
                <w:rFonts w:ascii="Gill Sans MT" w:hAnsi="Gill Sans MT" w:cs="Arial"/>
                <w:sz w:val="22"/>
                <w:szCs w:val="22"/>
              </w:rPr>
              <w:t xml:space="preserve"> Plc</w:t>
            </w:r>
          </w:p>
        </w:tc>
        <w:tc>
          <w:tcPr>
            <w:tcW w:w="1053" w:type="dxa"/>
            <w:tcBorders>
              <w:top w:val="nil"/>
              <w:left w:val="nil"/>
              <w:bottom w:val="single" w:sz="4" w:space="0" w:color="auto"/>
              <w:right w:val="single" w:sz="4" w:space="0" w:color="auto"/>
            </w:tcBorders>
            <w:noWrap/>
            <w:vAlign w:val="bottom"/>
          </w:tcPr>
          <w:p w14:paraId="4C9E2EB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371</w:t>
            </w:r>
          </w:p>
        </w:tc>
        <w:tc>
          <w:tcPr>
            <w:tcW w:w="986" w:type="dxa"/>
            <w:gridSpan w:val="2"/>
            <w:tcBorders>
              <w:top w:val="nil"/>
              <w:left w:val="nil"/>
              <w:bottom w:val="single" w:sz="4" w:space="0" w:color="auto"/>
              <w:right w:val="single" w:sz="4" w:space="0" w:color="auto"/>
            </w:tcBorders>
            <w:noWrap/>
            <w:vAlign w:val="bottom"/>
          </w:tcPr>
          <w:p w14:paraId="6B736D8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379</w:t>
            </w:r>
          </w:p>
        </w:tc>
        <w:tc>
          <w:tcPr>
            <w:tcW w:w="1053" w:type="dxa"/>
            <w:tcBorders>
              <w:top w:val="nil"/>
              <w:left w:val="nil"/>
              <w:bottom w:val="single" w:sz="4" w:space="0" w:color="auto"/>
              <w:right w:val="single" w:sz="4" w:space="0" w:color="auto"/>
            </w:tcBorders>
            <w:noWrap/>
            <w:vAlign w:val="bottom"/>
          </w:tcPr>
          <w:p w14:paraId="463E040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24</w:t>
            </w:r>
          </w:p>
        </w:tc>
        <w:tc>
          <w:tcPr>
            <w:tcW w:w="1118" w:type="dxa"/>
            <w:gridSpan w:val="2"/>
            <w:tcBorders>
              <w:top w:val="nil"/>
              <w:left w:val="nil"/>
              <w:bottom w:val="single" w:sz="4" w:space="0" w:color="auto"/>
              <w:right w:val="single" w:sz="4" w:space="0" w:color="auto"/>
            </w:tcBorders>
            <w:noWrap/>
            <w:vAlign w:val="bottom"/>
          </w:tcPr>
          <w:p w14:paraId="542E341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1034" w:type="dxa"/>
            <w:tcBorders>
              <w:top w:val="nil"/>
              <w:left w:val="nil"/>
              <w:bottom w:val="single" w:sz="4" w:space="0" w:color="auto"/>
              <w:right w:val="single" w:sz="4" w:space="0" w:color="auto"/>
            </w:tcBorders>
            <w:noWrap/>
            <w:vAlign w:val="bottom"/>
          </w:tcPr>
          <w:p w14:paraId="0B927B7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w:t>
            </w:r>
          </w:p>
        </w:tc>
        <w:tc>
          <w:tcPr>
            <w:tcW w:w="964" w:type="dxa"/>
            <w:gridSpan w:val="2"/>
            <w:tcBorders>
              <w:top w:val="nil"/>
              <w:left w:val="nil"/>
              <w:bottom w:val="single" w:sz="4" w:space="0" w:color="auto"/>
              <w:right w:val="single" w:sz="4" w:space="0" w:color="auto"/>
            </w:tcBorders>
            <w:noWrap/>
            <w:vAlign w:val="bottom"/>
          </w:tcPr>
          <w:p w14:paraId="0D96E41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11.6</w:t>
            </w:r>
          </w:p>
        </w:tc>
      </w:tr>
      <w:tr w:rsidR="003B315D" w:rsidRPr="00BE33FC" w14:paraId="3FC66D98"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03C54D03"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Electricity Supply Board (ESB)</w:t>
            </w:r>
          </w:p>
        </w:tc>
        <w:tc>
          <w:tcPr>
            <w:tcW w:w="1053" w:type="dxa"/>
            <w:tcBorders>
              <w:top w:val="nil"/>
              <w:left w:val="nil"/>
              <w:bottom w:val="single" w:sz="4" w:space="0" w:color="auto"/>
              <w:right w:val="single" w:sz="4" w:space="0" w:color="auto"/>
            </w:tcBorders>
            <w:noWrap/>
          </w:tcPr>
          <w:p w14:paraId="432817E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6,189</w:t>
            </w:r>
          </w:p>
        </w:tc>
        <w:tc>
          <w:tcPr>
            <w:tcW w:w="986" w:type="dxa"/>
            <w:gridSpan w:val="2"/>
            <w:tcBorders>
              <w:top w:val="nil"/>
              <w:left w:val="nil"/>
              <w:bottom w:val="single" w:sz="4" w:space="0" w:color="auto"/>
              <w:right w:val="single" w:sz="4" w:space="0" w:color="auto"/>
            </w:tcBorders>
            <w:noWrap/>
          </w:tcPr>
          <w:p w14:paraId="742A9C8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6,126</w:t>
            </w:r>
          </w:p>
        </w:tc>
        <w:tc>
          <w:tcPr>
            <w:tcW w:w="1053" w:type="dxa"/>
            <w:tcBorders>
              <w:top w:val="nil"/>
              <w:left w:val="nil"/>
              <w:bottom w:val="single" w:sz="4" w:space="0" w:color="auto"/>
              <w:right w:val="single" w:sz="4" w:space="0" w:color="auto"/>
            </w:tcBorders>
            <w:noWrap/>
          </w:tcPr>
          <w:p w14:paraId="21C431E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202</w:t>
            </w:r>
          </w:p>
        </w:tc>
        <w:tc>
          <w:tcPr>
            <w:tcW w:w="1118" w:type="dxa"/>
            <w:gridSpan w:val="2"/>
            <w:tcBorders>
              <w:top w:val="nil"/>
              <w:left w:val="nil"/>
              <w:bottom w:val="single" w:sz="4" w:space="0" w:color="auto"/>
              <w:right w:val="single" w:sz="4" w:space="0" w:color="auto"/>
            </w:tcBorders>
            <w:noWrap/>
          </w:tcPr>
          <w:p w14:paraId="7EBA2CD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187</w:t>
            </w:r>
          </w:p>
        </w:tc>
        <w:tc>
          <w:tcPr>
            <w:tcW w:w="1034" w:type="dxa"/>
            <w:tcBorders>
              <w:top w:val="nil"/>
              <w:left w:val="nil"/>
              <w:bottom w:val="single" w:sz="4" w:space="0" w:color="auto"/>
              <w:right w:val="single" w:sz="4" w:space="0" w:color="auto"/>
            </w:tcBorders>
            <w:noWrap/>
          </w:tcPr>
          <w:p w14:paraId="47567B4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64" w:type="dxa"/>
            <w:gridSpan w:val="2"/>
            <w:tcBorders>
              <w:top w:val="nil"/>
              <w:left w:val="nil"/>
              <w:bottom w:val="single" w:sz="4" w:space="0" w:color="auto"/>
              <w:right w:val="single" w:sz="4" w:space="0" w:color="auto"/>
            </w:tcBorders>
            <w:noWrap/>
          </w:tcPr>
          <w:p w14:paraId="5BC56BD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2374E907"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3A67484B"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Environmental Protection Agency</w:t>
            </w:r>
          </w:p>
        </w:tc>
        <w:tc>
          <w:tcPr>
            <w:tcW w:w="1053" w:type="dxa"/>
            <w:tcBorders>
              <w:top w:val="nil"/>
              <w:left w:val="nil"/>
              <w:bottom w:val="single" w:sz="4" w:space="0" w:color="auto"/>
              <w:right w:val="single" w:sz="4" w:space="0" w:color="auto"/>
            </w:tcBorders>
            <w:noWrap/>
          </w:tcPr>
          <w:p w14:paraId="274D4A8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392</w:t>
            </w:r>
          </w:p>
        </w:tc>
        <w:tc>
          <w:tcPr>
            <w:tcW w:w="986" w:type="dxa"/>
            <w:gridSpan w:val="2"/>
            <w:tcBorders>
              <w:top w:val="nil"/>
              <w:left w:val="nil"/>
              <w:bottom w:val="single" w:sz="4" w:space="0" w:color="auto"/>
              <w:right w:val="single" w:sz="4" w:space="0" w:color="auto"/>
            </w:tcBorders>
            <w:noWrap/>
          </w:tcPr>
          <w:p w14:paraId="5B31CCE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413</w:t>
            </w:r>
          </w:p>
        </w:tc>
        <w:tc>
          <w:tcPr>
            <w:tcW w:w="1053" w:type="dxa"/>
            <w:tcBorders>
              <w:top w:val="nil"/>
              <w:left w:val="nil"/>
              <w:bottom w:val="single" w:sz="4" w:space="0" w:color="auto"/>
              <w:right w:val="single" w:sz="4" w:space="0" w:color="auto"/>
            </w:tcBorders>
            <w:noWrap/>
          </w:tcPr>
          <w:p w14:paraId="208D9C6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118" w:type="dxa"/>
            <w:gridSpan w:val="2"/>
            <w:tcBorders>
              <w:top w:val="nil"/>
              <w:left w:val="nil"/>
              <w:bottom w:val="single" w:sz="4" w:space="0" w:color="auto"/>
              <w:right w:val="single" w:sz="4" w:space="0" w:color="auto"/>
            </w:tcBorders>
            <w:noWrap/>
          </w:tcPr>
          <w:p w14:paraId="73B6960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034" w:type="dxa"/>
            <w:tcBorders>
              <w:top w:val="nil"/>
              <w:left w:val="nil"/>
              <w:bottom w:val="single" w:sz="4" w:space="0" w:color="auto"/>
              <w:right w:val="single" w:sz="4" w:space="0" w:color="auto"/>
            </w:tcBorders>
            <w:noWrap/>
          </w:tcPr>
          <w:p w14:paraId="3EA7611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64" w:type="dxa"/>
            <w:gridSpan w:val="2"/>
            <w:tcBorders>
              <w:top w:val="nil"/>
              <w:left w:val="nil"/>
              <w:bottom w:val="single" w:sz="4" w:space="0" w:color="auto"/>
              <w:right w:val="single" w:sz="4" w:space="0" w:color="auto"/>
            </w:tcBorders>
            <w:noWrap/>
          </w:tcPr>
          <w:p w14:paraId="364581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r>
      <w:tr w:rsidR="003B315D" w:rsidRPr="00BE33FC" w14:paraId="0B14E20D"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571C7D72"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Inland Fisheries Ireland </w:t>
            </w:r>
          </w:p>
        </w:tc>
        <w:tc>
          <w:tcPr>
            <w:tcW w:w="1053" w:type="dxa"/>
            <w:tcBorders>
              <w:top w:val="nil"/>
              <w:left w:val="nil"/>
              <w:bottom w:val="single" w:sz="4" w:space="0" w:color="auto"/>
              <w:right w:val="single" w:sz="4" w:space="0" w:color="auto"/>
            </w:tcBorders>
            <w:noWrap/>
            <w:vAlign w:val="bottom"/>
          </w:tcPr>
          <w:p w14:paraId="7B05585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310</w:t>
            </w:r>
          </w:p>
        </w:tc>
        <w:tc>
          <w:tcPr>
            <w:tcW w:w="986" w:type="dxa"/>
            <w:gridSpan w:val="2"/>
            <w:tcBorders>
              <w:top w:val="nil"/>
              <w:left w:val="nil"/>
              <w:bottom w:val="single" w:sz="4" w:space="0" w:color="auto"/>
              <w:right w:val="single" w:sz="4" w:space="0" w:color="auto"/>
            </w:tcBorders>
            <w:noWrap/>
            <w:vAlign w:val="bottom"/>
          </w:tcPr>
          <w:p w14:paraId="171A672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309</w:t>
            </w:r>
          </w:p>
        </w:tc>
        <w:tc>
          <w:tcPr>
            <w:tcW w:w="1053" w:type="dxa"/>
            <w:tcBorders>
              <w:top w:val="nil"/>
              <w:left w:val="nil"/>
              <w:bottom w:val="single" w:sz="4" w:space="0" w:color="auto"/>
              <w:right w:val="single" w:sz="4" w:space="0" w:color="auto"/>
            </w:tcBorders>
            <w:noWrap/>
            <w:vAlign w:val="bottom"/>
          </w:tcPr>
          <w:p w14:paraId="6AF43ED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118" w:type="dxa"/>
            <w:gridSpan w:val="2"/>
            <w:tcBorders>
              <w:top w:val="nil"/>
              <w:left w:val="nil"/>
              <w:bottom w:val="single" w:sz="4" w:space="0" w:color="auto"/>
              <w:right w:val="single" w:sz="4" w:space="0" w:color="auto"/>
            </w:tcBorders>
            <w:noWrap/>
            <w:vAlign w:val="bottom"/>
          </w:tcPr>
          <w:p w14:paraId="371CECF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034" w:type="dxa"/>
            <w:tcBorders>
              <w:top w:val="nil"/>
              <w:left w:val="nil"/>
              <w:bottom w:val="single" w:sz="4" w:space="0" w:color="auto"/>
              <w:right w:val="single" w:sz="4" w:space="0" w:color="auto"/>
            </w:tcBorders>
            <w:noWrap/>
            <w:vAlign w:val="bottom"/>
          </w:tcPr>
          <w:p w14:paraId="6BBAC42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w:t>
            </w:r>
          </w:p>
        </w:tc>
        <w:tc>
          <w:tcPr>
            <w:tcW w:w="964" w:type="dxa"/>
            <w:gridSpan w:val="2"/>
            <w:tcBorders>
              <w:top w:val="nil"/>
              <w:left w:val="nil"/>
              <w:bottom w:val="single" w:sz="4" w:space="0" w:color="auto"/>
              <w:right w:val="single" w:sz="4" w:space="0" w:color="auto"/>
            </w:tcBorders>
            <w:noWrap/>
            <w:vAlign w:val="bottom"/>
          </w:tcPr>
          <w:p w14:paraId="7704B807" w14:textId="2FF9C845" w:rsidR="003B315D" w:rsidRPr="00BE33FC" w:rsidRDefault="003B315D" w:rsidP="007D7821">
            <w:pPr>
              <w:jc w:val="right"/>
              <w:rPr>
                <w:rFonts w:ascii="Gill Sans MT" w:hAnsi="Gill Sans MT"/>
                <w:color w:val="000000"/>
                <w:sz w:val="22"/>
                <w:szCs w:val="22"/>
                <w:lang w:eastAsia="en-IE"/>
              </w:rPr>
            </w:pPr>
            <w:r w:rsidRPr="00BE33FC">
              <w:rPr>
                <w:rFonts w:ascii="Gill Sans MT" w:hAnsi="Gill Sans MT" w:cs="Arial"/>
                <w:sz w:val="22"/>
                <w:szCs w:val="22"/>
              </w:rPr>
              <w:t>6.</w:t>
            </w:r>
            <w:r w:rsidR="006A3D52">
              <w:rPr>
                <w:rFonts w:ascii="Gill Sans MT" w:hAnsi="Gill Sans MT" w:cs="Arial"/>
                <w:sz w:val="22"/>
                <w:szCs w:val="22"/>
              </w:rPr>
              <w:t>1</w:t>
            </w:r>
          </w:p>
        </w:tc>
      </w:tr>
      <w:tr w:rsidR="003B315D" w:rsidRPr="00BE33FC" w14:paraId="0C9624C0"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3B30C9CA" w14:textId="77777777" w:rsidR="003B315D" w:rsidRPr="00BE33FC" w:rsidRDefault="003B315D" w:rsidP="006D697C">
            <w:pPr>
              <w:ind w:firstLineChars="10" w:firstLine="22"/>
              <w:rPr>
                <w:rFonts w:ascii="Gill Sans MT" w:hAnsi="Gill Sans MT"/>
                <w:color w:val="000000"/>
                <w:sz w:val="22"/>
                <w:szCs w:val="22"/>
                <w:lang w:eastAsia="en-IE"/>
              </w:rPr>
            </w:pPr>
            <w:proofErr w:type="spellStart"/>
            <w:r w:rsidRPr="00BE33FC">
              <w:rPr>
                <w:rFonts w:ascii="Gill Sans MT" w:hAnsi="Gill Sans MT" w:cs="Arial"/>
                <w:sz w:val="22"/>
                <w:szCs w:val="22"/>
              </w:rPr>
              <w:t>Raidió</w:t>
            </w:r>
            <w:proofErr w:type="spellEnd"/>
            <w:r w:rsidRPr="00BE33FC">
              <w:rPr>
                <w:rFonts w:ascii="Gill Sans MT" w:hAnsi="Gill Sans MT" w:cs="Arial"/>
                <w:sz w:val="22"/>
                <w:szCs w:val="22"/>
              </w:rPr>
              <w:t xml:space="preserve"> </w:t>
            </w:r>
            <w:proofErr w:type="spellStart"/>
            <w:r w:rsidRPr="00BE33FC">
              <w:rPr>
                <w:rFonts w:ascii="Gill Sans MT" w:hAnsi="Gill Sans MT" w:cs="Arial"/>
                <w:sz w:val="22"/>
                <w:szCs w:val="22"/>
              </w:rPr>
              <w:t>Teilifís</w:t>
            </w:r>
            <w:proofErr w:type="spellEnd"/>
            <w:r w:rsidRPr="00BE33FC">
              <w:rPr>
                <w:rFonts w:ascii="Gill Sans MT" w:hAnsi="Gill Sans MT" w:cs="Arial"/>
                <w:sz w:val="22"/>
                <w:szCs w:val="22"/>
              </w:rPr>
              <w:t xml:space="preserve"> Éireann (RTÉ)</w:t>
            </w:r>
          </w:p>
        </w:tc>
        <w:tc>
          <w:tcPr>
            <w:tcW w:w="1053" w:type="dxa"/>
            <w:tcBorders>
              <w:top w:val="nil"/>
              <w:left w:val="nil"/>
              <w:bottom w:val="single" w:sz="4" w:space="0" w:color="auto"/>
              <w:right w:val="single" w:sz="4" w:space="0" w:color="auto"/>
            </w:tcBorders>
            <w:noWrap/>
          </w:tcPr>
          <w:p w14:paraId="59BA25A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1,924</w:t>
            </w:r>
          </w:p>
        </w:tc>
        <w:tc>
          <w:tcPr>
            <w:tcW w:w="986" w:type="dxa"/>
            <w:gridSpan w:val="2"/>
            <w:tcBorders>
              <w:top w:val="nil"/>
              <w:left w:val="nil"/>
              <w:bottom w:val="single" w:sz="4" w:space="0" w:color="auto"/>
              <w:right w:val="single" w:sz="4" w:space="0" w:color="auto"/>
            </w:tcBorders>
            <w:noWrap/>
          </w:tcPr>
          <w:p w14:paraId="55430DE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1,822</w:t>
            </w:r>
          </w:p>
        </w:tc>
        <w:tc>
          <w:tcPr>
            <w:tcW w:w="1053" w:type="dxa"/>
            <w:tcBorders>
              <w:top w:val="nil"/>
              <w:left w:val="nil"/>
              <w:bottom w:val="single" w:sz="4" w:space="0" w:color="auto"/>
              <w:right w:val="single" w:sz="4" w:space="0" w:color="auto"/>
            </w:tcBorders>
            <w:noWrap/>
          </w:tcPr>
          <w:p w14:paraId="0879EE8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64</w:t>
            </w:r>
          </w:p>
        </w:tc>
        <w:tc>
          <w:tcPr>
            <w:tcW w:w="1118" w:type="dxa"/>
            <w:gridSpan w:val="2"/>
            <w:tcBorders>
              <w:top w:val="nil"/>
              <w:left w:val="nil"/>
              <w:bottom w:val="single" w:sz="4" w:space="0" w:color="auto"/>
              <w:right w:val="single" w:sz="4" w:space="0" w:color="auto"/>
            </w:tcBorders>
            <w:noWrap/>
          </w:tcPr>
          <w:p w14:paraId="48C16C9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78</w:t>
            </w:r>
          </w:p>
        </w:tc>
        <w:tc>
          <w:tcPr>
            <w:tcW w:w="1034" w:type="dxa"/>
            <w:tcBorders>
              <w:top w:val="nil"/>
              <w:left w:val="nil"/>
              <w:bottom w:val="single" w:sz="4" w:space="0" w:color="auto"/>
              <w:right w:val="single" w:sz="4" w:space="0" w:color="auto"/>
            </w:tcBorders>
            <w:noWrap/>
          </w:tcPr>
          <w:p w14:paraId="3F6ECC3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64" w:type="dxa"/>
            <w:gridSpan w:val="2"/>
            <w:tcBorders>
              <w:top w:val="nil"/>
              <w:left w:val="nil"/>
              <w:bottom w:val="single" w:sz="4" w:space="0" w:color="auto"/>
              <w:right w:val="single" w:sz="4" w:space="0" w:color="auto"/>
            </w:tcBorders>
            <w:noWrap/>
          </w:tcPr>
          <w:p w14:paraId="189E510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w:t>
            </w:r>
          </w:p>
        </w:tc>
      </w:tr>
      <w:tr w:rsidR="003B315D" w:rsidRPr="00BE33FC" w14:paraId="11C1D171"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770C929E"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Sustainable Energy Authority of Ireland </w:t>
            </w:r>
          </w:p>
        </w:tc>
        <w:tc>
          <w:tcPr>
            <w:tcW w:w="1053" w:type="dxa"/>
            <w:tcBorders>
              <w:top w:val="nil"/>
              <w:left w:val="nil"/>
              <w:bottom w:val="single" w:sz="4" w:space="0" w:color="auto"/>
              <w:right w:val="single" w:sz="4" w:space="0" w:color="auto"/>
            </w:tcBorders>
            <w:noWrap/>
          </w:tcPr>
          <w:p w14:paraId="3861B26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78</w:t>
            </w:r>
          </w:p>
        </w:tc>
        <w:tc>
          <w:tcPr>
            <w:tcW w:w="986" w:type="dxa"/>
            <w:gridSpan w:val="2"/>
            <w:tcBorders>
              <w:top w:val="nil"/>
              <w:left w:val="nil"/>
              <w:bottom w:val="single" w:sz="4" w:space="0" w:color="auto"/>
              <w:right w:val="single" w:sz="4" w:space="0" w:color="auto"/>
            </w:tcBorders>
            <w:noWrap/>
          </w:tcPr>
          <w:p w14:paraId="170709B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90</w:t>
            </w:r>
          </w:p>
        </w:tc>
        <w:tc>
          <w:tcPr>
            <w:tcW w:w="1053" w:type="dxa"/>
            <w:tcBorders>
              <w:top w:val="nil"/>
              <w:left w:val="nil"/>
              <w:bottom w:val="single" w:sz="4" w:space="0" w:color="auto"/>
              <w:right w:val="single" w:sz="4" w:space="0" w:color="auto"/>
            </w:tcBorders>
            <w:noWrap/>
          </w:tcPr>
          <w:p w14:paraId="040B9C1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8" w:type="dxa"/>
            <w:gridSpan w:val="2"/>
            <w:tcBorders>
              <w:top w:val="nil"/>
              <w:left w:val="nil"/>
              <w:bottom w:val="single" w:sz="4" w:space="0" w:color="auto"/>
              <w:right w:val="single" w:sz="4" w:space="0" w:color="auto"/>
            </w:tcBorders>
            <w:noWrap/>
          </w:tcPr>
          <w:p w14:paraId="4C6F576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34" w:type="dxa"/>
            <w:tcBorders>
              <w:top w:val="nil"/>
              <w:left w:val="nil"/>
              <w:bottom w:val="single" w:sz="4" w:space="0" w:color="auto"/>
              <w:right w:val="single" w:sz="4" w:space="0" w:color="auto"/>
            </w:tcBorders>
            <w:noWrap/>
          </w:tcPr>
          <w:p w14:paraId="6678BD5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964" w:type="dxa"/>
            <w:gridSpan w:val="2"/>
            <w:tcBorders>
              <w:top w:val="nil"/>
              <w:left w:val="nil"/>
              <w:bottom w:val="single" w:sz="4" w:space="0" w:color="auto"/>
              <w:right w:val="single" w:sz="4" w:space="0" w:color="auto"/>
            </w:tcBorders>
            <w:noWrap/>
          </w:tcPr>
          <w:p w14:paraId="4105ACC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5.6</w:t>
            </w:r>
          </w:p>
        </w:tc>
      </w:tr>
      <w:tr w:rsidR="003B315D" w:rsidRPr="00BE33FC" w14:paraId="60FA1DB8"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538CA7A7"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TG4</w:t>
            </w:r>
          </w:p>
        </w:tc>
        <w:tc>
          <w:tcPr>
            <w:tcW w:w="1053" w:type="dxa"/>
            <w:tcBorders>
              <w:top w:val="nil"/>
              <w:left w:val="nil"/>
              <w:bottom w:val="single" w:sz="4" w:space="0" w:color="auto"/>
              <w:right w:val="single" w:sz="4" w:space="0" w:color="auto"/>
            </w:tcBorders>
            <w:noWrap/>
            <w:vAlign w:val="bottom"/>
          </w:tcPr>
          <w:p w14:paraId="5608961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83</w:t>
            </w:r>
          </w:p>
        </w:tc>
        <w:tc>
          <w:tcPr>
            <w:tcW w:w="986" w:type="dxa"/>
            <w:gridSpan w:val="2"/>
            <w:tcBorders>
              <w:top w:val="nil"/>
              <w:left w:val="nil"/>
              <w:bottom w:val="single" w:sz="4" w:space="0" w:color="auto"/>
              <w:right w:val="single" w:sz="4" w:space="0" w:color="auto"/>
            </w:tcBorders>
            <w:noWrap/>
            <w:vAlign w:val="bottom"/>
          </w:tcPr>
          <w:p w14:paraId="227219A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81</w:t>
            </w:r>
          </w:p>
        </w:tc>
        <w:tc>
          <w:tcPr>
            <w:tcW w:w="1053" w:type="dxa"/>
            <w:tcBorders>
              <w:top w:val="nil"/>
              <w:left w:val="nil"/>
              <w:bottom w:val="single" w:sz="4" w:space="0" w:color="auto"/>
              <w:right w:val="single" w:sz="4" w:space="0" w:color="auto"/>
            </w:tcBorders>
            <w:noWrap/>
            <w:vAlign w:val="bottom"/>
          </w:tcPr>
          <w:p w14:paraId="0E4F628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8" w:type="dxa"/>
            <w:gridSpan w:val="2"/>
            <w:tcBorders>
              <w:top w:val="nil"/>
              <w:left w:val="nil"/>
              <w:bottom w:val="single" w:sz="4" w:space="0" w:color="auto"/>
              <w:right w:val="single" w:sz="4" w:space="0" w:color="auto"/>
            </w:tcBorders>
            <w:noWrap/>
            <w:vAlign w:val="bottom"/>
          </w:tcPr>
          <w:p w14:paraId="1683B1B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34" w:type="dxa"/>
            <w:tcBorders>
              <w:top w:val="nil"/>
              <w:left w:val="nil"/>
              <w:bottom w:val="single" w:sz="4" w:space="0" w:color="auto"/>
              <w:right w:val="single" w:sz="4" w:space="0" w:color="auto"/>
            </w:tcBorders>
            <w:noWrap/>
            <w:vAlign w:val="bottom"/>
          </w:tcPr>
          <w:p w14:paraId="554620D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64" w:type="dxa"/>
            <w:gridSpan w:val="2"/>
            <w:tcBorders>
              <w:top w:val="nil"/>
              <w:left w:val="nil"/>
              <w:bottom w:val="single" w:sz="4" w:space="0" w:color="auto"/>
              <w:right w:val="single" w:sz="4" w:space="0" w:color="auto"/>
            </w:tcBorders>
            <w:noWrap/>
            <w:vAlign w:val="bottom"/>
          </w:tcPr>
          <w:p w14:paraId="7E676E2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671BD222"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7652FB60"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The Digital Hub</w:t>
            </w:r>
          </w:p>
        </w:tc>
        <w:tc>
          <w:tcPr>
            <w:tcW w:w="1053" w:type="dxa"/>
            <w:tcBorders>
              <w:top w:val="nil"/>
              <w:left w:val="nil"/>
              <w:bottom w:val="single" w:sz="4" w:space="0" w:color="auto"/>
              <w:right w:val="single" w:sz="4" w:space="0" w:color="auto"/>
            </w:tcBorders>
            <w:noWrap/>
            <w:vAlign w:val="bottom"/>
          </w:tcPr>
          <w:p w14:paraId="6882826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986" w:type="dxa"/>
            <w:gridSpan w:val="2"/>
            <w:tcBorders>
              <w:top w:val="nil"/>
              <w:left w:val="nil"/>
              <w:bottom w:val="single" w:sz="4" w:space="0" w:color="auto"/>
              <w:right w:val="single" w:sz="4" w:space="0" w:color="auto"/>
            </w:tcBorders>
            <w:noWrap/>
            <w:vAlign w:val="bottom"/>
          </w:tcPr>
          <w:p w14:paraId="71D2161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053" w:type="dxa"/>
            <w:tcBorders>
              <w:top w:val="nil"/>
              <w:left w:val="nil"/>
              <w:bottom w:val="single" w:sz="4" w:space="0" w:color="auto"/>
              <w:right w:val="single" w:sz="4" w:space="0" w:color="auto"/>
            </w:tcBorders>
            <w:noWrap/>
            <w:vAlign w:val="bottom"/>
          </w:tcPr>
          <w:p w14:paraId="23A74F2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vAlign w:val="bottom"/>
          </w:tcPr>
          <w:p w14:paraId="64950F8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vAlign w:val="bottom"/>
          </w:tcPr>
          <w:p w14:paraId="4582290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64" w:type="dxa"/>
            <w:gridSpan w:val="2"/>
            <w:tcBorders>
              <w:top w:val="nil"/>
              <w:left w:val="nil"/>
              <w:bottom w:val="single" w:sz="4" w:space="0" w:color="auto"/>
              <w:right w:val="single" w:sz="4" w:space="0" w:color="auto"/>
            </w:tcBorders>
            <w:noWrap/>
            <w:vAlign w:val="bottom"/>
          </w:tcPr>
          <w:p w14:paraId="2D6DC49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6F6068BD" w14:textId="77777777" w:rsidTr="00B961C4">
        <w:tc>
          <w:tcPr>
            <w:tcW w:w="2506" w:type="dxa"/>
          </w:tcPr>
          <w:p w14:paraId="3159572A" w14:textId="77777777" w:rsidR="003B315D" w:rsidRPr="00BE33FC" w:rsidRDefault="003B315D" w:rsidP="006D697C">
            <w:pPr>
              <w:ind w:firstLineChars="11" w:firstLine="24"/>
              <w:rPr>
                <w:rFonts w:ascii="Gill Sans MT" w:hAnsi="Gill Sans MT"/>
                <w:b/>
                <w:sz w:val="22"/>
                <w:szCs w:val="22"/>
              </w:rPr>
            </w:pPr>
            <w:r w:rsidRPr="00BE33FC">
              <w:rPr>
                <w:rFonts w:ascii="Gill Sans MT" w:hAnsi="Gill Sans MT"/>
                <w:b/>
                <w:sz w:val="22"/>
                <w:szCs w:val="22"/>
              </w:rPr>
              <w:t>Grand Total</w:t>
            </w:r>
          </w:p>
        </w:tc>
        <w:tc>
          <w:tcPr>
            <w:tcW w:w="1053" w:type="dxa"/>
            <w:tcBorders>
              <w:top w:val="single" w:sz="4" w:space="0" w:color="auto"/>
              <w:left w:val="single" w:sz="4" w:space="0" w:color="auto"/>
              <w:bottom w:val="single" w:sz="4" w:space="0" w:color="auto"/>
              <w:right w:val="single" w:sz="4" w:space="0" w:color="auto"/>
            </w:tcBorders>
            <w:vAlign w:val="bottom"/>
          </w:tcPr>
          <w:p w14:paraId="4B71C6EA"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19,906</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66E8E4FC"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19,494</w:t>
            </w:r>
          </w:p>
        </w:tc>
        <w:tc>
          <w:tcPr>
            <w:tcW w:w="1053" w:type="dxa"/>
            <w:tcBorders>
              <w:top w:val="single" w:sz="4" w:space="0" w:color="auto"/>
              <w:left w:val="single" w:sz="4" w:space="0" w:color="auto"/>
              <w:bottom w:val="single" w:sz="4" w:space="0" w:color="auto"/>
              <w:right w:val="single" w:sz="4" w:space="0" w:color="auto"/>
            </w:tcBorders>
            <w:vAlign w:val="bottom"/>
          </w:tcPr>
          <w:p w14:paraId="0FA5798E"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863</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5A35068A"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888</w:t>
            </w:r>
          </w:p>
        </w:tc>
        <w:tc>
          <w:tcPr>
            <w:tcW w:w="1034" w:type="dxa"/>
            <w:tcBorders>
              <w:top w:val="single" w:sz="4" w:space="0" w:color="auto"/>
              <w:left w:val="nil"/>
              <w:bottom w:val="single" w:sz="4" w:space="0" w:color="auto"/>
              <w:right w:val="single" w:sz="4" w:space="0" w:color="auto"/>
            </w:tcBorders>
            <w:vAlign w:val="bottom"/>
          </w:tcPr>
          <w:p w14:paraId="3F48C0B0" w14:textId="77777777" w:rsidR="003B315D" w:rsidRPr="00BE33FC" w:rsidRDefault="003B315D" w:rsidP="006D697C">
            <w:pPr>
              <w:jc w:val="right"/>
              <w:rPr>
                <w:rFonts w:ascii="Gill Sans MT" w:hAnsi="Gill Sans MT" w:cs="Arial"/>
                <w:b/>
                <w:bCs/>
                <w:sz w:val="22"/>
                <w:szCs w:val="22"/>
              </w:rPr>
            </w:pPr>
            <w:r w:rsidRPr="00BE33FC">
              <w:rPr>
                <w:rFonts w:ascii="Gill Sans MT" w:hAnsi="Gill Sans MT" w:cs="Arial"/>
                <w:b/>
                <w:bCs/>
                <w:sz w:val="22"/>
                <w:szCs w:val="22"/>
              </w:rPr>
              <w:t>4.3</w:t>
            </w:r>
          </w:p>
        </w:tc>
        <w:tc>
          <w:tcPr>
            <w:tcW w:w="964" w:type="dxa"/>
            <w:gridSpan w:val="2"/>
            <w:tcBorders>
              <w:top w:val="single" w:sz="4" w:space="0" w:color="auto"/>
              <w:left w:val="nil"/>
              <w:bottom w:val="single" w:sz="4" w:space="0" w:color="auto"/>
              <w:right w:val="single" w:sz="4" w:space="0" w:color="auto"/>
            </w:tcBorders>
            <w:vAlign w:val="bottom"/>
          </w:tcPr>
          <w:p w14:paraId="6514F0A2" w14:textId="77777777" w:rsidR="003B315D" w:rsidRPr="00BE33FC" w:rsidRDefault="003B315D" w:rsidP="006D697C">
            <w:pPr>
              <w:jc w:val="right"/>
              <w:rPr>
                <w:rFonts w:ascii="Gill Sans MT" w:hAnsi="Gill Sans MT" w:cs="Arial"/>
                <w:b/>
                <w:bCs/>
                <w:sz w:val="22"/>
                <w:szCs w:val="22"/>
              </w:rPr>
            </w:pPr>
            <w:r w:rsidRPr="00BE33FC">
              <w:rPr>
                <w:rFonts w:ascii="Gill Sans MT" w:hAnsi="Gill Sans MT" w:cs="Arial"/>
                <w:b/>
                <w:bCs/>
                <w:sz w:val="22"/>
                <w:szCs w:val="22"/>
              </w:rPr>
              <w:t>4.6</w:t>
            </w:r>
          </w:p>
        </w:tc>
      </w:tr>
    </w:tbl>
    <w:p w14:paraId="609F1E75" w14:textId="77777777" w:rsidR="003B315D" w:rsidRPr="00CC4F07" w:rsidRDefault="003B315D" w:rsidP="003B315D">
      <w:pPr>
        <w:rPr>
          <w:b/>
        </w:rPr>
      </w:pPr>
    </w:p>
    <w:p w14:paraId="53605BD3" w14:textId="0EF0C0DC" w:rsidR="003B315D" w:rsidRPr="00CC4F07" w:rsidRDefault="003B315D" w:rsidP="003B315D">
      <w:pPr>
        <w:rPr>
          <w:b/>
        </w:rPr>
      </w:pPr>
      <w:r w:rsidRPr="00CC4F07">
        <w:rPr>
          <w:b/>
        </w:rPr>
        <w:lastRenderedPageBreak/>
        <w:t>Department of Culture, Heritage &amp; t</w:t>
      </w:r>
      <w:r w:rsidR="00043876" w:rsidRPr="00CC4F07">
        <w:rPr>
          <w:b/>
        </w:rPr>
        <w:t xml:space="preserve">he Gaeltacht </w:t>
      </w:r>
    </w:p>
    <w:tbl>
      <w:tblPr>
        <w:tblStyle w:val="TableGrid"/>
        <w:tblW w:w="0" w:type="auto"/>
        <w:tblLook w:val="04A0" w:firstRow="1" w:lastRow="0" w:firstColumn="1" w:lastColumn="0" w:noHBand="0" w:noVBand="1"/>
        <w:tblCaption w:val="Appendix B Public bodies"/>
        <w:tblDescription w:val="Department of Culture, Heritage and the Gaeltacht (comparison made to Department of Arts, Heritage and the Gaeltacht 2016)"/>
      </w:tblPr>
      <w:tblGrid>
        <w:gridCol w:w="2506"/>
        <w:gridCol w:w="1053"/>
        <w:gridCol w:w="350"/>
        <w:gridCol w:w="636"/>
        <w:gridCol w:w="1053"/>
        <w:gridCol w:w="830"/>
        <w:gridCol w:w="288"/>
        <w:gridCol w:w="1034"/>
        <w:gridCol w:w="718"/>
        <w:gridCol w:w="246"/>
      </w:tblGrid>
      <w:tr w:rsidR="003B315D" w:rsidRPr="00BE33FC" w14:paraId="2793E735" w14:textId="77777777" w:rsidTr="00B961C4">
        <w:trPr>
          <w:tblHeader/>
        </w:trPr>
        <w:tc>
          <w:tcPr>
            <w:tcW w:w="2506" w:type="dxa"/>
          </w:tcPr>
          <w:p w14:paraId="32AF8804"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403" w:type="dxa"/>
            <w:gridSpan w:val="2"/>
            <w:tcBorders>
              <w:right w:val="nil"/>
            </w:tcBorders>
          </w:tcPr>
          <w:p w14:paraId="1301DD8B"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xml:space="preserve">Total number of </w:t>
            </w:r>
            <w:proofErr w:type="gramStart"/>
            <w:r w:rsidRPr="00BE33FC">
              <w:rPr>
                <w:rFonts w:ascii="Gill Sans MT" w:hAnsi="Gill Sans MT"/>
                <w:b/>
                <w:sz w:val="22"/>
                <w:szCs w:val="22"/>
              </w:rPr>
              <w:t>employee</w:t>
            </w:r>
            <w:proofErr w:type="gramEnd"/>
          </w:p>
        </w:tc>
        <w:tc>
          <w:tcPr>
            <w:tcW w:w="636" w:type="dxa"/>
            <w:tcBorders>
              <w:left w:val="nil"/>
            </w:tcBorders>
          </w:tcPr>
          <w:p w14:paraId="499CDA0A"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2165827C"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8" w:type="dxa"/>
            <w:tcBorders>
              <w:left w:val="nil"/>
            </w:tcBorders>
          </w:tcPr>
          <w:p w14:paraId="4E4B8226"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41CCC100"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6" w:type="dxa"/>
            <w:tcBorders>
              <w:left w:val="nil"/>
            </w:tcBorders>
          </w:tcPr>
          <w:p w14:paraId="6714E4A1" w14:textId="77777777" w:rsidR="003B315D" w:rsidRPr="00BE33FC" w:rsidRDefault="003B315D" w:rsidP="006D697C">
            <w:pPr>
              <w:rPr>
                <w:rFonts w:ascii="Gill Sans MT" w:hAnsi="Gill Sans MT"/>
                <w:b/>
                <w:sz w:val="22"/>
                <w:szCs w:val="22"/>
              </w:rPr>
            </w:pPr>
          </w:p>
        </w:tc>
      </w:tr>
      <w:tr w:rsidR="003B315D" w:rsidRPr="00BE33FC" w14:paraId="50306EC7" w14:textId="77777777" w:rsidTr="00B961C4">
        <w:tc>
          <w:tcPr>
            <w:tcW w:w="2506" w:type="dxa"/>
          </w:tcPr>
          <w:p w14:paraId="70199340" w14:textId="77777777" w:rsidR="003B315D" w:rsidRPr="00BE33FC" w:rsidRDefault="003B315D" w:rsidP="006D697C">
            <w:pPr>
              <w:rPr>
                <w:rFonts w:ascii="Gill Sans MT" w:hAnsi="Gill Sans MT"/>
                <w:b/>
                <w:sz w:val="22"/>
                <w:szCs w:val="22"/>
              </w:rPr>
            </w:pPr>
          </w:p>
        </w:tc>
        <w:tc>
          <w:tcPr>
            <w:tcW w:w="1053" w:type="dxa"/>
          </w:tcPr>
          <w:p w14:paraId="2032E48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5B75E6A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551DBBA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70B4D799"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64BFF1EE"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32B12049"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783E9E80" w14:textId="77777777" w:rsidTr="00B961C4">
        <w:trPr>
          <w:trHeight w:val="300"/>
        </w:trPr>
        <w:tc>
          <w:tcPr>
            <w:tcW w:w="2506" w:type="dxa"/>
            <w:tcBorders>
              <w:top w:val="single" w:sz="4" w:space="0" w:color="auto"/>
              <w:left w:val="single" w:sz="4" w:space="0" w:color="auto"/>
              <w:bottom w:val="single" w:sz="4" w:space="0" w:color="auto"/>
              <w:right w:val="single" w:sz="4" w:space="0" w:color="auto"/>
            </w:tcBorders>
            <w:noWrap/>
            <w:vAlign w:val="bottom"/>
          </w:tcPr>
          <w:p w14:paraId="6D16B576"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Arts Council</w:t>
            </w:r>
          </w:p>
        </w:tc>
        <w:tc>
          <w:tcPr>
            <w:tcW w:w="1053" w:type="dxa"/>
            <w:tcBorders>
              <w:top w:val="single" w:sz="4" w:space="0" w:color="auto"/>
              <w:left w:val="nil"/>
              <w:bottom w:val="single" w:sz="4" w:space="0" w:color="auto"/>
              <w:right w:val="single" w:sz="4" w:space="0" w:color="auto"/>
            </w:tcBorders>
            <w:noWrap/>
            <w:vAlign w:val="bottom"/>
          </w:tcPr>
          <w:p w14:paraId="1B3C62A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w:t>
            </w:r>
          </w:p>
        </w:tc>
        <w:tc>
          <w:tcPr>
            <w:tcW w:w="986" w:type="dxa"/>
            <w:gridSpan w:val="2"/>
            <w:tcBorders>
              <w:top w:val="single" w:sz="4" w:space="0" w:color="auto"/>
              <w:left w:val="nil"/>
              <w:bottom w:val="single" w:sz="4" w:space="0" w:color="auto"/>
              <w:right w:val="single" w:sz="4" w:space="0" w:color="auto"/>
            </w:tcBorders>
            <w:noWrap/>
            <w:vAlign w:val="bottom"/>
          </w:tcPr>
          <w:p w14:paraId="76A1AB5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54</w:t>
            </w:r>
          </w:p>
        </w:tc>
        <w:tc>
          <w:tcPr>
            <w:tcW w:w="1053" w:type="dxa"/>
            <w:tcBorders>
              <w:top w:val="single" w:sz="4" w:space="0" w:color="auto"/>
              <w:left w:val="nil"/>
              <w:bottom w:val="single" w:sz="4" w:space="0" w:color="auto"/>
              <w:right w:val="single" w:sz="4" w:space="0" w:color="auto"/>
            </w:tcBorders>
            <w:noWrap/>
            <w:vAlign w:val="bottom"/>
          </w:tcPr>
          <w:p w14:paraId="3337CA9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118" w:type="dxa"/>
            <w:gridSpan w:val="2"/>
            <w:tcBorders>
              <w:top w:val="single" w:sz="4" w:space="0" w:color="auto"/>
              <w:left w:val="nil"/>
              <w:bottom w:val="single" w:sz="4" w:space="0" w:color="auto"/>
              <w:right w:val="single" w:sz="4" w:space="0" w:color="auto"/>
            </w:tcBorders>
            <w:noWrap/>
            <w:vAlign w:val="bottom"/>
          </w:tcPr>
          <w:p w14:paraId="7E6367C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4" w:type="dxa"/>
            <w:tcBorders>
              <w:top w:val="single" w:sz="4" w:space="0" w:color="auto"/>
              <w:left w:val="nil"/>
              <w:bottom w:val="single" w:sz="4" w:space="0" w:color="auto"/>
              <w:right w:val="single" w:sz="4" w:space="0" w:color="auto"/>
            </w:tcBorders>
            <w:noWrap/>
            <w:vAlign w:val="bottom"/>
          </w:tcPr>
          <w:p w14:paraId="46923416"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4.2</w:t>
            </w:r>
          </w:p>
        </w:tc>
        <w:tc>
          <w:tcPr>
            <w:tcW w:w="964" w:type="dxa"/>
            <w:gridSpan w:val="2"/>
            <w:tcBorders>
              <w:top w:val="single" w:sz="4" w:space="0" w:color="auto"/>
              <w:left w:val="nil"/>
              <w:bottom w:val="single" w:sz="4" w:space="0" w:color="auto"/>
              <w:right w:val="single" w:sz="4" w:space="0" w:color="auto"/>
            </w:tcBorders>
            <w:noWrap/>
            <w:vAlign w:val="bottom"/>
          </w:tcPr>
          <w:p w14:paraId="71E4F958"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3.7</w:t>
            </w:r>
          </w:p>
        </w:tc>
      </w:tr>
      <w:tr w:rsidR="003B315D" w:rsidRPr="00BE33FC" w14:paraId="45741773"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15538652"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Chester Beatty Library</w:t>
            </w:r>
          </w:p>
        </w:tc>
        <w:tc>
          <w:tcPr>
            <w:tcW w:w="1053" w:type="dxa"/>
            <w:tcBorders>
              <w:top w:val="nil"/>
              <w:left w:val="nil"/>
              <w:bottom w:val="single" w:sz="4" w:space="0" w:color="auto"/>
              <w:right w:val="single" w:sz="4" w:space="0" w:color="auto"/>
            </w:tcBorders>
            <w:noWrap/>
            <w:vAlign w:val="bottom"/>
          </w:tcPr>
          <w:p w14:paraId="4054A7F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86" w:type="dxa"/>
            <w:gridSpan w:val="2"/>
            <w:tcBorders>
              <w:top w:val="nil"/>
              <w:left w:val="nil"/>
              <w:bottom w:val="single" w:sz="4" w:space="0" w:color="auto"/>
              <w:right w:val="single" w:sz="4" w:space="0" w:color="auto"/>
            </w:tcBorders>
            <w:noWrap/>
            <w:vAlign w:val="bottom"/>
          </w:tcPr>
          <w:p w14:paraId="0ABCA71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1053" w:type="dxa"/>
            <w:tcBorders>
              <w:top w:val="nil"/>
              <w:left w:val="nil"/>
              <w:bottom w:val="single" w:sz="4" w:space="0" w:color="auto"/>
              <w:right w:val="single" w:sz="4" w:space="0" w:color="auto"/>
            </w:tcBorders>
            <w:noWrap/>
            <w:vAlign w:val="bottom"/>
          </w:tcPr>
          <w:p w14:paraId="0262061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vAlign w:val="bottom"/>
          </w:tcPr>
          <w:p w14:paraId="058FEB0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vAlign w:val="bottom"/>
          </w:tcPr>
          <w:p w14:paraId="7D3778F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64" w:type="dxa"/>
            <w:gridSpan w:val="2"/>
            <w:tcBorders>
              <w:top w:val="nil"/>
              <w:left w:val="nil"/>
              <w:bottom w:val="single" w:sz="4" w:space="0" w:color="auto"/>
              <w:right w:val="single" w:sz="4" w:space="0" w:color="auto"/>
            </w:tcBorders>
            <w:noWrap/>
            <w:vAlign w:val="bottom"/>
          </w:tcPr>
          <w:p w14:paraId="54290A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62EC194A"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11B4787D"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Crawford Art Gallery</w:t>
            </w:r>
          </w:p>
        </w:tc>
        <w:tc>
          <w:tcPr>
            <w:tcW w:w="1053" w:type="dxa"/>
            <w:tcBorders>
              <w:top w:val="nil"/>
              <w:left w:val="nil"/>
              <w:bottom w:val="single" w:sz="4" w:space="0" w:color="auto"/>
              <w:right w:val="single" w:sz="4" w:space="0" w:color="auto"/>
            </w:tcBorders>
            <w:noWrap/>
            <w:vAlign w:val="bottom"/>
          </w:tcPr>
          <w:p w14:paraId="537F017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986" w:type="dxa"/>
            <w:gridSpan w:val="2"/>
            <w:tcBorders>
              <w:top w:val="nil"/>
              <w:left w:val="nil"/>
              <w:bottom w:val="single" w:sz="4" w:space="0" w:color="auto"/>
              <w:right w:val="single" w:sz="4" w:space="0" w:color="auto"/>
            </w:tcBorders>
            <w:noWrap/>
            <w:vAlign w:val="bottom"/>
          </w:tcPr>
          <w:p w14:paraId="4A690D7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1053" w:type="dxa"/>
            <w:tcBorders>
              <w:top w:val="nil"/>
              <w:left w:val="nil"/>
              <w:bottom w:val="single" w:sz="4" w:space="0" w:color="auto"/>
              <w:right w:val="single" w:sz="4" w:space="0" w:color="auto"/>
            </w:tcBorders>
            <w:noWrap/>
            <w:vAlign w:val="bottom"/>
          </w:tcPr>
          <w:p w14:paraId="3B35C3F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118" w:type="dxa"/>
            <w:gridSpan w:val="2"/>
            <w:tcBorders>
              <w:top w:val="nil"/>
              <w:left w:val="nil"/>
              <w:bottom w:val="single" w:sz="4" w:space="0" w:color="auto"/>
              <w:right w:val="single" w:sz="4" w:space="0" w:color="auto"/>
            </w:tcBorders>
            <w:noWrap/>
            <w:vAlign w:val="bottom"/>
          </w:tcPr>
          <w:p w14:paraId="18AC27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4" w:type="dxa"/>
            <w:tcBorders>
              <w:top w:val="nil"/>
              <w:left w:val="nil"/>
              <w:bottom w:val="single" w:sz="4" w:space="0" w:color="auto"/>
              <w:right w:val="single" w:sz="4" w:space="0" w:color="auto"/>
            </w:tcBorders>
            <w:noWrap/>
            <w:vAlign w:val="bottom"/>
          </w:tcPr>
          <w:p w14:paraId="1F71B075" w14:textId="77777777" w:rsidR="003B315D" w:rsidRPr="00BE33FC" w:rsidRDefault="003B315D" w:rsidP="006D697C">
            <w:pPr>
              <w:jc w:val="right"/>
              <w:rPr>
                <w:rFonts w:ascii="Gill Sans MT" w:hAnsi="Gill Sans MT" w:cs="Arial"/>
                <w:color w:val="000000"/>
                <w:sz w:val="22"/>
                <w:szCs w:val="22"/>
                <w:lang w:eastAsia="en-IE"/>
              </w:rPr>
            </w:pPr>
            <w:r w:rsidRPr="00BE33FC">
              <w:rPr>
                <w:rFonts w:ascii="Gill Sans MT" w:hAnsi="Gill Sans MT" w:cs="Arial"/>
                <w:sz w:val="22"/>
                <w:szCs w:val="22"/>
              </w:rPr>
              <w:t>11.1</w:t>
            </w:r>
          </w:p>
        </w:tc>
        <w:tc>
          <w:tcPr>
            <w:tcW w:w="964" w:type="dxa"/>
            <w:gridSpan w:val="2"/>
            <w:tcBorders>
              <w:top w:val="nil"/>
              <w:left w:val="nil"/>
              <w:bottom w:val="single" w:sz="4" w:space="0" w:color="auto"/>
              <w:right w:val="single" w:sz="4" w:space="0" w:color="auto"/>
            </w:tcBorders>
            <w:noWrap/>
            <w:vAlign w:val="bottom"/>
          </w:tcPr>
          <w:p w14:paraId="678B37E4" w14:textId="77777777" w:rsidR="003B315D" w:rsidRPr="00BE33FC" w:rsidRDefault="003B315D" w:rsidP="006D697C">
            <w:pPr>
              <w:jc w:val="right"/>
              <w:rPr>
                <w:rFonts w:ascii="Gill Sans MT" w:hAnsi="Gill Sans MT" w:cs="Arial"/>
                <w:color w:val="000000"/>
                <w:sz w:val="22"/>
                <w:szCs w:val="22"/>
                <w:lang w:eastAsia="en-IE"/>
              </w:rPr>
            </w:pPr>
            <w:r w:rsidRPr="00BE33FC">
              <w:rPr>
                <w:rFonts w:ascii="Gill Sans MT" w:hAnsi="Gill Sans MT" w:cs="Arial"/>
                <w:sz w:val="22"/>
                <w:szCs w:val="22"/>
              </w:rPr>
              <w:t>11.1</w:t>
            </w:r>
          </w:p>
        </w:tc>
      </w:tr>
      <w:tr w:rsidR="003B315D" w:rsidRPr="00BE33FC" w14:paraId="67BCD5D3"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16932891" w14:textId="77777777" w:rsidR="003B315D" w:rsidRPr="00BE33FC" w:rsidRDefault="003B315D" w:rsidP="006D697C">
            <w:pPr>
              <w:ind w:firstLineChars="10" w:firstLine="22"/>
              <w:rPr>
                <w:rFonts w:ascii="Gill Sans MT" w:hAnsi="Gill Sans MT"/>
                <w:color w:val="000000"/>
                <w:sz w:val="22"/>
                <w:szCs w:val="22"/>
                <w:lang w:eastAsia="en-IE"/>
              </w:rPr>
            </w:pPr>
            <w:proofErr w:type="spellStart"/>
            <w:r w:rsidRPr="00BE33FC">
              <w:rPr>
                <w:rFonts w:ascii="Gill Sans MT" w:hAnsi="Gill Sans MT" w:cs="Arial"/>
                <w:sz w:val="22"/>
                <w:szCs w:val="22"/>
              </w:rPr>
              <w:t>Forás</w:t>
            </w:r>
            <w:proofErr w:type="spellEnd"/>
            <w:r w:rsidRPr="00BE33FC">
              <w:rPr>
                <w:rFonts w:ascii="Gill Sans MT" w:hAnsi="Gill Sans MT" w:cs="Arial"/>
                <w:sz w:val="22"/>
                <w:szCs w:val="22"/>
              </w:rPr>
              <w:t xml:space="preserve"> Na </w:t>
            </w:r>
            <w:proofErr w:type="spellStart"/>
            <w:r w:rsidRPr="00BE33FC">
              <w:rPr>
                <w:rFonts w:ascii="Gill Sans MT" w:hAnsi="Gill Sans MT" w:cs="Arial"/>
                <w:sz w:val="22"/>
                <w:szCs w:val="22"/>
              </w:rPr>
              <w:t>Gaeilge</w:t>
            </w:r>
            <w:proofErr w:type="spellEnd"/>
          </w:p>
        </w:tc>
        <w:tc>
          <w:tcPr>
            <w:tcW w:w="1053" w:type="dxa"/>
            <w:tcBorders>
              <w:top w:val="nil"/>
              <w:left w:val="nil"/>
              <w:bottom w:val="single" w:sz="4" w:space="0" w:color="auto"/>
              <w:right w:val="single" w:sz="4" w:space="0" w:color="auto"/>
            </w:tcBorders>
            <w:noWrap/>
            <w:vAlign w:val="bottom"/>
          </w:tcPr>
          <w:p w14:paraId="2687FFB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50</w:t>
            </w:r>
          </w:p>
        </w:tc>
        <w:tc>
          <w:tcPr>
            <w:tcW w:w="986" w:type="dxa"/>
            <w:gridSpan w:val="2"/>
            <w:tcBorders>
              <w:top w:val="nil"/>
              <w:left w:val="nil"/>
              <w:bottom w:val="single" w:sz="4" w:space="0" w:color="auto"/>
              <w:right w:val="single" w:sz="4" w:space="0" w:color="auto"/>
            </w:tcBorders>
            <w:noWrap/>
            <w:vAlign w:val="bottom"/>
          </w:tcPr>
          <w:p w14:paraId="4A6AF74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w:t>
            </w:r>
          </w:p>
        </w:tc>
        <w:tc>
          <w:tcPr>
            <w:tcW w:w="1053" w:type="dxa"/>
            <w:tcBorders>
              <w:top w:val="nil"/>
              <w:left w:val="nil"/>
              <w:bottom w:val="single" w:sz="4" w:space="0" w:color="auto"/>
              <w:right w:val="single" w:sz="4" w:space="0" w:color="auto"/>
            </w:tcBorders>
            <w:noWrap/>
            <w:vAlign w:val="bottom"/>
          </w:tcPr>
          <w:p w14:paraId="049D8E8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8" w:type="dxa"/>
            <w:gridSpan w:val="2"/>
            <w:tcBorders>
              <w:top w:val="nil"/>
              <w:left w:val="nil"/>
              <w:bottom w:val="single" w:sz="4" w:space="0" w:color="auto"/>
              <w:right w:val="single" w:sz="4" w:space="0" w:color="auto"/>
            </w:tcBorders>
            <w:noWrap/>
            <w:vAlign w:val="bottom"/>
          </w:tcPr>
          <w:p w14:paraId="2B709C5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4" w:type="dxa"/>
            <w:tcBorders>
              <w:top w:val="nil"/>
              <w:left w:val="nil"/>
              <w:bottom w:val="single" w:sz="4" w:space="0" w:color="auto"/>
              <w:right w:val="single" w:sz="4" w:space="0" w:color="auto"/>
            </w:tcBorders>
            <w:noWrap/>
            <w:vAlign w:val="bottom"/>
          </w:tcPr>
          <w:p w14:paraId="1A29A4C6"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8.0</w:t>
            </w:r>
          </w:p>
        </w:tc>
        <w:tc>
          <w:tcPr>
            <w:tcW w:w="964" w:type="dxa"/>
            <w:gridSpan w:val="2"/>
            <w:tcBorders>
              <w:top w:val="nil"/>
              <w:left w:val="nil"/>
              <w:bottom w:val="single" w:sz="4" w:space="0" w:color="auto"/>
              <w:right w:val="single" w:sz="4" w:space="0" w:color="auto"/>
            </w:tcBorders>
            <w:noWrap/>
            <w:vAlign w:val="bottom"/>
          </w:tcPr>
          <w:p w14:paraId="4AA2EF22"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4.2</w:t>
            </w:r>
          </w:p>
        </w:tc>
      </w:tr>
      <w:tr w:rsidR="003B315D" w:rsidRPr="00BE33FC" w14:paraId="0FBC675D"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5263DDC3"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Heritage Council</w:t>
            </w:r>
          </w:p>
        </w:tc>
        <w:tc>
          <w:tcPr>
            <w:tcW w:w="1053" w:type="dxa"/>
            <w:tcBorders>
              <w:top w:val="nil"/>
              <w:left w:val="nil"/>
              <w:bottom w:val="single" w:sz="4" w:space="0" w:color="auto"/>
              <w:right w:val="single" w:sz="4" w:space="0" w:color="auto"/>
            </w:tcBorders>
            <w:noWrap/>
            <w:vAlign w:val="bottom"/>
          </w:tcPr>
          <w:p w14:paraId="5C3F611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986" w:type="dxa"/>
            <w:gridSpan w:val="2"/>
            <w:tcBorders>
              <w:top w:val="nil"/>
              <w:left w:val="nil"/>
              <w:bottom w:val="single" w:sz="4" w:space="0" w:color="auto"/>
              <w:right w:val="single" w:sz="4" w:space="0" w:color="auto"/>
            </w:tcBorders>
            <w:noWrap/>
            <w:vAlign w:val="bottom"/>
          </w:tcPr>
          <w:p w14:paraId="067BEA9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w:t>
            </w:r>
          </w:p>
        </w:tc>
        <w:tc>
          <w:tcPr>
            <w:tcW w:w="1053" w:type="dxa"/>
            <w:tcBorders>
              <w:top w:val="nil"/>
              <w:left w:val="nil"/>
              <w:bottom w:val="single" w:sz="4" w:space="0" w:color="auto"/>
              <w:right w:val="single" w:sz="4" w:space="0" w:color="auto"/>
            </w:tcBorders>
            <w:noWrap/>
            <w:vAlign w:val="bottom"/>
          </w:tcPr>
          <w:p w14:paraId="5AE2C69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vAlign w:val="bottom"/>
          </w:tcPr>
          <w:p w14:paraId="48EA849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vAlign w:val="bottom"/>
          </w:tcPr>
          <w:p w14:paraId="67EDBC51"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0.0</w:t>
            </w:r>
          </w:p>
        </w:tc>
        <w:tc>
          <w:tcPr>
            <w:tcW w:w="964" w:type="dxa"/>
            <w:gridSpan w:val="2"/>
            <w:tcBorders>
              <w:top w:val="nil"/>
              <w:left w:val="nil"/>
              <w:bottom w:val="single" w:sz="4" w:space="0" w:color="auto"/>
              <w:right w:val="single" w:sz="4" w:space="0" w:color="auto"/>
            </w:tcBorders>
            <w:noWrap/>
            <w:vAlign w:val="bottom"/>
          </w:tcPr>
          <w:p w14:paraId="265E6E5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0.0</w:t>
            </w:r>
          </w:p>
        </w:tc>
      </w:tr>
      <w:tr w:rsidR="003B315D" w:rsidRPr="00BE33FC" w14:paraId="7894DA34"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49D60724"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Irish Museum of Modern Art (IMMA)</w:t>
            </w:r>
          </w:p>
        </w:tc>
        <w:tc>
          <w:tcPr>
            <w:tcW w:w="1053" w:type="dxa"/>
            <w:tcBorders>
              <w:top w:val="nil"/>
              <w:left w:val="nil"/>
              <w:bottom w:val="single" w:sz="4" w:space="0" w:color="auto"/>
              <w:right w:val="single" w:sz="4" w:space="0" w:color="auto"/>
            </w:tcBorders>
            <w:noWrap/>
          </w:tcPr>
          <w:p w14:paraId="32DCDE4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105</w:t>
            </w:r>
          </w:p>
        </w:tc>
        <w:tc>
          <w:tcPr>
            <w:tcW w:w="986" w:type="dxa"/>
            <w:gridSpan w:val="2"/>
            <w:tcBorders>
              <w:top w:val="nil"/>
              <w:left w:val="nil"/>
              <w:bottom w:val="single" w:sz="4" w:space="0" w:color="auto"/>
              <w:right w:val="single" w:sz="4" w:space="0" w:color="auto"/>
            </w:tcBorders>
            <w:noWrap/>
          </w:tcPr>
          <w:p w14:paraId="5E48EAD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107</w:t>
            </w:r>
          </w:p>
        </w:tc>
        <w:tc>
          <w:tcPr>
            <w:tcW w:w="1053" w:type="dxa"/>
            <w:tcBorders>
              <w:top w:val="nil"/>
              <w:left w:val="nil"/>
              <w:bottom w:val="single" w:sz="4" w:space="0" w:color="auto"/>
              <w:right w:val="single" w:sz="4" w:space="0" w:color="auto"/>
            </w:tcBorders>
            <w:noWrap/>
          </w:tcPr>
          <w:p w14:paraId="2E6717A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118" w:type="dxa"/>
            <w:gridSpan w:val="2"/>
            <w:tcBorders>
              <w:top w:val="nil"/>
              <w:left w:val="nil"/>
              <w:bottom w:val="single" w:sz="4" w:space="0" w:color="auto"/>
              <w:right w:val="single" w:sz="4" w:space="0" w:color="auto"/>
            </w:tcBorders>
            <w:noWrap/>
          </w:tcPr>
          <w:p w14:paraId="4402FC5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4" w:type="dxa"/>
            <w:tcBorders>
              <w:top w:val="nil"/>
              <w:left w:val="nil"/>
              <w:bottom w:val="single" w:sz="4" w:space="0" w:color="auto"/>
              <w:right w:val="single" w:sz="4" w:space="0" w:color="auto"/>
            </w:tcBorders>
            <w:noWrap/>
          </w:tcPr>
          <w:p w14:paraId="419788EC" w14:textId="77777777" w:rsidR="003B315D" w:rsidRPr="00BE33FC" w:rsidRDefault="003B315D" w:rsidP="006D697C">
            <w:pPr>
              <w:jc w:val="right"/>
              <w:rPr>
                <w:rFonts w:ascii="Gill Sans MT" w:hAnsi="Gill Sans MT" w:cs="Arial"/>
                <w:color w:val="000000"/>
                <w:sz w:val="22"/>
                <w:szCs w:val="22"/>
                <w:lang w:eastAsia="en-IE"/>
              </w:rPr>
            </w:pPr>
            <w:r w:rsidRPr="00BE33FC">
              <w:rPr>
                <w:rFonts w:ascii="Gill Sans MT" w:hAnsi="Gill Sans MT" w:cs="Arial"/>
                <w:sz w:val="22"/>
                <w:szCs w:val="22"/>
              </w:rPr>
              <w:t>4.8</w:t>
            </w:r>
          </w:p>
        </w:tc>
        <w:tc>
          <w:tcPr>
            <w:tcW w:w="964" w:type="dxa"/>
            <w:gridSpan w:val="2"/>
            <w:tcBorders>
              <w:top w:val="nil"/>
              <w:left w:val="nil"/>
              <w:bottom w:val="single" w:sz="4" w:space="0" w:color="auto"/>
              <w:right w:val="single" w:sz="4" w:space="0" w:color="auto"/>
            </w:tcBorders>
            <w:noWrap/>
          </w:tcPr>
          <w:p w14:paraId="6D6C8E1D" w14:textId="77777777" w:rsidR="003B315D" w:rsidRPr="00BE33FC" w:rsidRDefault="003B315D" w:rsidP="006D697C">
            <w:pPr>
              <w:jc w:val="right"/>
              <w:rPr>
                <w:rFonts w:ascii="Gill Sans MT" w:hAnsi="Gill Sans MT" w:cs="Arial"/>
                <w:color w:val="000000"/>
                <w:sz w:val="22"/>
                <w:szCs w:val="22"/>
                <w:lang w:eastAsia="en-IE"/>
              </w:rPr>
            </w:pPr>
            <w:r w:rsidRPr="00BE33FC">
              <w:rPr>
                <w:rFonts w:ascii="Gill Sans MT" w:hAnsi="Gill Sans MT" w:cs="Arial"/>
                <w:sz w:val="22"/>
                <w:szCs w:val="22"/>
              </w:rPr>
              <w:t>3.7</w:t>
            </w:r>
          </w:p>
        </w:tc>
      </w:tr>
      <w:tr w:rsidR="003B315D" w:rsidRPr="00BE33FC" w14:paraId="78B09137"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0183FDD9"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National Concert Hall</w:t>
            </w:r>
          </w:p>
        </w:tc>
        <w:tc>
          <w:tcPr>
            <w:tcW w:w="1053" w:type="dxa"/>
            <w:tcBorders>
              <w:top w:val="nil"/>
              <w:left w:val="nil"/>
              <w:bottom w:val="single" w:sz="4" w:space="0" w:color="auto"/>
              <w:right w:val="single" w:sz="4" w:space="0" w:color="auto"/>
            </w:tcBorders>
            <w:noWrap/>
            <w:vAlign w:val="bottom"/>
          </w:tcPr>
          <w:p w14:paraId="3FAE122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86</w:t>
            </w:r>
          </w:p>
        </w:tc>
        <w:tc>
          <w:tcPr>
            <w:tcW w:w="986" w:type="dxa"/>
            <w:gridSpan w:val="2"/>
            <w:tcBorders>
              <w:top w:val="nil"/>
              <w:left w:val="nil"/>
              <w:bottom w:val="single" w:sz="4" w:space="0" w:color="auto"/>
              <w:right w:val="single" w:sz="4" w:space="0" w:color="auto"/>
            </w:tcBorders>
            <w:noWrap/>
            <w:vAlign w:val="bottom"/>
          </w:tcPr>
          <w:p w14:paraId="13FBFF8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86</w:t>
            </w:r>
          </w:p>
        </w:tc>
        <w:tc>
          <w:tcPr>
            <w:tcW w:w="1053" w:type="dxa"/>
            <w:tcBorders>
              <w:top w:val="nil"/>
              <w:left w:val="nil"/>
              <w:bottom w:val="single" w:sz="4" w:space="0" w:color="auto"/>
              <w:right w:val="single" w:sz="4" w:space="0" w:color="auto"/>
            </w:tcBorders>
            <w:noWrap/>
            <w:vAlign w:val="bottom"/>
          </w:tcPr>
          <w:p w14:paraId="4585847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8" w:type="dxa"/>
            <w:gridSpan w:val="2"/>
            <w:tcBorders>
              <w:top w:val="nil"/>
              <w:left w:val="nil"/>
              <w:bottom w:val="single" w:sz="4" w:space="0" w:color="auto"/>
              <w:right w:val="single" w:sz="4" w:space="0" w:color="auto"/>
            </w:tcBorders>
            <w:noWrap/>
            <w:vAlign w:val="bottom"/>
          </w:tcPr>
          <w:p w14:paraId="2E371D6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4" w:type="dxa"/>
            <w:tcBorders>
              <w:top w:val="nil"/>
              <w:left w:val="nil"/>
              <w:bottom w:val="single" w:sz="4" w:space="0" w:color="auto"/>
              <w:right w:val="single" w:sz="4" w:space="0" w:color="auto"/>
            </w:tcBorders>
            <w:noWrap/>
            <w:vAlign w:val="bottom"/>
          </w:tcPr>
          <w:p w14:paraId="136FA1EE"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4.7</w:t>
            </w:r>
          </w:p>
        </w:tc>
        <w:tc>
          <w:tcPr>
            <w:tcW w:w="964" w:type="dxa"/>
            <w:gridSpan w:val="2"/>
            <w:tcBorders>
              <w:top w:val="nil"/>
              <w:left w:val="nil"/>
              <w:bottom w:val="single" w:sz="4" w:space="0" w:color="auto"/>
              <w:right w:val="single" w:sz="4" w:space="0" w:color="auto"/>
            </w:tcBorders>
            <w:noWrap/>
            <w:vAlign w:val="bottom"/>
          </w:tcPr>
          <w:p w14:paraId="3CA3F310"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4.7</w:t>
            </w:r>
          </w:p>
        </w:tc>
      </w:tr>
      <w:tr w:rsidR="003B315D" w:rsidRPr="00BE33FC" w14:paraId="35FAAD1A"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28BFD41B"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National Gallery of Ireland</w:t>
            </w:r>
          </w:p>
        </w:tc>
        <w:tc>
          <w:tcPr>
            <w:tcW w:w="1053" w:type="dxa"/>
            <w:tcBorders>
              <w:top w:val="nil"/>
              <w:left w:val="nil"/>
              <w:bottom w:val="single" w:sz="4" w:space="0" w:color="auto"/>
              <w:right w:val="single" w:sz="4" w:space="0" w:color="auto"/>
            </w:tcBorders>
            <w:noWrap/>
          </w:tcPr>
          <w:p w14:paraId="6238E3A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174</w:t>
            </w:r>
          </w:p>
        </w:tc>
        <w:tc>
          <w:tcPr>
            <w:tcW w:w="986" w:type="dxa"/>
            <w:gridSpan w:val="2"/>
            <w:tcBorders>
              <w:top w:val="nil"/>
              <w:left w:val="nil"/>
              <w:bottom w:val="single" w:sz="4" w:space="0" w:color="auto"/>
              <w:right w:val="single" w:sz="4" w:space="0" w:color="auto"/>
            </w:tcBorders>
            <w:noWrap/>
          </w:tcPr>
          <w:p w14:paraId="3B82615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179</w:t>
            </w:r>
          </w:p>
        </w:tc>
        <w:tc>
          <w:tcPr>
            <w:tcW w:w="1053" w:type="dxa"/>
            <w:tcBorders>
              <w:top w:val="nil"/>
              <w:left w:val="nil"/>
              <w:bottom w:val="single" w:sz="4" w:space="0" w:color="auto"/>
              <w:right w:val="single" w:sz="4" w:space="0" w:color="auto"/>
            </w:tcBorders>
            <w:noWrap/>
          </w:tcPr>
          <w:p w14:paraId="13DC76F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118" w:type="dxa"/>
            <w:gridSpan w:val="2"/>
            <w:tcBorders>
              <w:top w:val="nil"/>
              <w:left w:val="nil"/>
              <w:bottom w:val="single" w:sz="4" w:space="0" w:color="auto"/>
              <w:right w:val="single" w:sz="4" w:space="0" w:color="auto"/>
            </w:tcBorders>
            <w:noWrap/>
          </w:tcPr>
          <w:p w14:paraId="0BCC6BA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34" w:type="dxa"/>
            <w:tcBorders>
              <w:top w:val="nil"/>
              <w:left w:val="nil"/>
              <w:bottom w:val="single" w:sz="4" w:space="0" w:color="auto"/>
              <w:right w:val="single" w:sz="4" w:space="0" w:color="auto"/>
            </w:tcBorders>
            <w:noWrap/>
          </w:tcPr>
          <w:p w14:paraId="3C498BB4"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2.9</w:t>
            </w:r>
          </w:p>
        </w:tc>
        <w:tc>
          <w:tcPr>
            <w:tcW w:w="964" w:type="dxa"/>
            <w:gridSpan w:val="2"/>
            <w:tcBorders>
              <w:top w:val="nil"/>
              <w:left w:val="nil"/>
              <w:bottom w:val="single" w:sz="4" w:space="0" w:color="auto"/>
              <w:right w:val="single" w:sz="4" w:space="0" w:color="auto"/>
            </w:tcBorders>
            <w:noWrap/>
          </w:tcPr>
          <w:p w14:paraId="6C81432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2.8</w:t>
            </w:r>
          </w:p>
        </w:tc>
      </w:tr>
      <w:tr w:rsidR="003B315D" w:rsidRPr="00BE33FC" w14:paraId="73FF5C17"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6CCF883F"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National Library of Ireland</w:t>
            </w:r>
          </w:p>
        </w:tc>
        <w:tc>
          <w:tcPr>
            <w:tcW w:w="1053" w:type="dxa"/>
            <w:tcBorders>
              <w:top w:val="nil"/>
              <w:left w:val="nil"/>
              <w:bottom w:val="single" w:sz="4" w:space="0" w:color="auto"/>
              <w:right w:val="single" w:sz="4" w:space="0" w:color="auto"/>
            </w:tcBorders>
            <w:noWrap/>
          </w:tcPr>
          <w:p w14:paraId="70AAD5D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88</w:t>
            </w:r>
          </w:p>
        </w:tc>
        <w:tc>
          <w:tcPr>
            <w:tcW w:w="986" w:type="dxa"/>
            <w:gridSpan w:val="2"/>
            <w:tcBorders>
              <w:top w:val="nil"/>
              <w:left w:val="nil"/>
              <w:bottom w:val="single" w:sz="4" w:space="0" w:color="auto"/>
              <w:right w:val="single" w:sz="4" w:space="0" w:color="auto"/>
            </w:tcBorders>
            <w:noWrap/>
          </w:tcPr>
          <w:p w14:paraId="64DB7E9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90</w:t>
            </w:r>
          </w:p>
        </w:tc>
        <w:tc>
          <w:tcPr>
            <w:tcW w:w="1053" w:type="dxa"/>
            <w:tcBorders>
              <w:top w:val="nil"/>
              <w:left w:val="nil"/>
              <w:bottom w:val="single" w:sz="4" w:space="0" w:color="auto"/>
              <w:right w:val="single" w:sz="4" w:space="0" w:color="auto"/>
            </w:tcBorders>
            <w:noWrap/>
          </w:tcPr>
          <w:p w14:paraId="539431B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118" w:type="dxa"/>
            <w:gridSpan w:val="2"/>
            <w:tcBorders>
              <w:top w:val="nil"/>
              <w:left w:val="nil"/>
              <w:bottom w:val="single" w:sz="4" w:space="0" w:color="auto"/>
              <w:right w:val="single" w:sz="4" w:space="0" w:color="auto"/>
            </w:tcBorders>
            <w:noWrap/>
          </w:tcPr>
          <w:p w14:paraId="7743D83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034" w:type="dxa"/>
            <w:tcBorders>
              <w:top w:val="nil"/>
              <w:left w:val="nil"/>
              <w:bottom w:val="single" w:sz="4" w:space="0" w:color="auto"/>
              <w:right w:val="single" w:sz="4" w:space="0" w:color="auto"/>
            </w:tcBorders>
            <w:noWrap/>
          </w:tcPr>
          <w:p w14:paraId="00CA088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11.4</w:t>
            </w:r>
          </w:p>
        </w:tc>
        <w:tc>
          <w:tcPr>
            <w:tcW w:w="964" w:type="dxa"/>
            <w:gridSpan w:val="2"/>
            <w:tcBorders>
              <w:top w:val="nil"/>
              <w:left w:val="nil"/>
              <w:bottom w:val="single" w:sz="4" w:space="0" w:color="auto"/>
              <w:right w:val="single" w:sz="4" w:space="0" w:color="auto"/>
            </w:tcBorders>
            <w:noWrap/>
          </w:tcPr>
          <w:p w14:paraId="61B4E69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11.1</w:t>
            </w:r>
          </w:p>
        </w:tc>
      </w:tr>
      <w:tr w:rsidR="003B315D" w:rsidRPr="00BE33FC" w14:paraId="6CE8DABC"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267CC1DD"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National Museum of Ireland</w:t>
            </w:r>
          </w:p>
        </w:tc>
        <w:tc>
          <w:tcPr>
            <w:tcW w:w="1053" w:type="dxa"/>
            <w:tcBorders>
              <w:top w:val="nil"/>
              <w:left w:val="nil"/>
              <w:bottom w:val="single" w:sz="4" w:space="0" w:color="auto"/>
              <w:right w:val="single" w:sz="4" w:space="0" w:color="auto"/>
            </w:tcBorders>
            <w:noWrap/>
          </w:tcPr>
          <w:p w14:paraId="1B25F72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182</w:t>
            </w:r>
          </w:p>
        </w:tc>
        <w:tc>
          <w:tcPr>
            <w:tcW w:w="986" w:type="dxa"/>
            <w:gridSpan w:val="2"/>
            <w:tcBorders>
              <w:top w:val="nil"/>
              <w:left w:val="nil"/>
              <w:bottom w:val="single" w:sz="4" w:space="0" w:color="auto"/>
              <w:right w:val="single" w:sz="4" w:space="0" w:color="auto"/>
            </w:tcBorders>
            <w:noWrap/>
          </w:tcPr>
          <w:p w14:paraId="1A87720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165</w:t>
            </w:r>
          </w:p>
        </w:tc>
        <w:tc>
          <w:tcPr>
            <w:tcW w:w="1053" w:type="dxa"/>
            <w:tcBorders>
              <w:top w:val="nil"/>
              <w:left w:val="nil"/>
              <w:bottom w:val="single" w:sz="4" w:space="0" w:color="auto"/>
              <w:right w:val="single" w:sz="4" w:space="0" w:color="auto"/>
            </w:tcBorders>
            <w:noWrap/>
          </w:tcPr>
          <w:p w14:paraId="592E4EB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1118" w:type="dxa"/>
            <w:gridSpan w:val="2"/>
            <w:tcBorders>
              <w:top w:val="nil"/>
              <w:left w:val="nil"/>
              <w:bottom w:val="single" w:sz="4" w:space="0" w:color="auto"/>
              <w:right w:val="single" w:sz="4" w:space="0" w:color="auto"/>
            </w:tcBorders>
            <w:noWrap/>
          </w:tcPr>
          <w:p w14:paraId="608F541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1034" w:type="dxa"/>
            <w:tcBorders>
              <w:top w:val="nil"/>
              <w:left w:val="nil"/>
              <w:bottom w:val="single" w:sz="4" w:space="0" w:color="auto"/>
              <w:right w:val="single" w:sz="4" w:space="0" w:color="auto"/>
            </w:tcBorders>
            <w:noWrap/>
          </w:tcPr>
          <w:p w14:paraId="759AEA3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4.9</w:t>
            </w:r>
          </w:p>
        </w:tc>
        <w:tc>
          <w:tcPr>
            <w:tcW w:w="964" w:type="dxa"/>
            <w:gridSpan w:val="2"/>
            <w:tcBorders>
              <w:top w:val="nil"/>
              <w:left w:val="nil"/>
              <w:bottom w:val="single" w:sz="4" w:space="0" w:color="auto"/>
              <w:right w:val="single" w:sz="4" w:space="0" w:color="auto"/>
            </w:tcBorders>
            <w:noWrap/>
          </w:tcPr>
          <w:p w14:paraId="5318790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r>
      <w:tr w:rsidR="003B315D" w:rsidRPr="00BE33FC" w14:paraId="7E316C91"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3C1C5788"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Screen Ireland</w:t>
            </w:r>
          </w:p>
        </w:tc>
        <w:tc>
          <w:tcPr>
            <w:tcW w:w="1053" w:type="dxa"/>
            <w:tcBorders>
              <w:top w:val="nil"/>
              <w:left w:val="nil"/>
              <w:bottom w:val="single" w:sz="4" w:space="0" w:color="auto"/>
              <w:right w:val="single" w:sz="4" w:space="0" w:color="auto"/>
            </w:tcBorders>
            <w:noWrap/>
            <w:vAlign w:val="bottom"/>
          </w:tcPr>
          <w:p w14:paraId="2656D25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986" w:type="dxa"/>
            <w:gridSpan w:val="2"/>
            <w:tcBorders>
              <w:top w:val="nil"/>
              <w:left w:val="nil"/>
              <w:bottom w:val="single" w:sz="4" w:space="0" w:color="auto"/>
              <w:right w:val="single" w:sz="4" w:space="0" w:color="auto"/>
            </w:tcBorders>
            <w:noWrap/>
            <w:vAlign w:val="bottom"/>
          </w:tcPr>
          <w:p w14:paraId="6BD0874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27</w:t>
            </w:r>
          </w:p>
        </w:tc>
        <w:tc>
          <w:tcPr>
            <w:tcW w:w="1053" w:type="dxa"/>
            <w:tcBorders>
              <w:top w:val="nil"/>
              <w:left w:val="nil"/>
              <w:bottom w:val="single" w:sz="4" w:space="0" w:color="auto"/>
              <w:right w:val="single" w:sz="4" w:space="0" w:color="auto"/>
            </w:tcBorders>
            <w:noWrap/>
            <w:vAlign w:val="bottom"/>
          </w:tcPr>
          <w:p w14:paraId="39E2C50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vAlign w:val="bottom"/>
          </w:tcPr>
          <w:p w14:paraId="4BAD585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vAlign w:val="bottom"/>
          </w:tcPr>
          <w:p w14:paraId="5423B1D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64" w:type="dxa"/>
            <w:gridSpan w:val="2"/>
            <w:tcBorders>
              <w:top w:val="nil"/>
              <w:left w:val="nil"/>
              <w:bottom w:val="single" w:sz="4" w:space="0" w:color="auto"/>
              <w:right w:val="single" w:sz="4" w:space="0" w:color="auto"/>
            </w:tcBorders>
            <w:noWrap/>
            <w:vAlign w:val="bottom"/>
          </w:tcPr>
          <w:p w14:paraId="7869641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6C46A35E"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491EE917" w14:textId="77777777" w:rsidR="003B315D" w:rsidRPr="00BE33FC" w:rsidRDefault="003B315D" w:rsidP="006D697C">
            <w:pPr>
              <w:ind w:firstLineChars="10" w:firstLine="22"/>
              <w:rPr>
                <w:rFonts w:ascii="Gill Sans MT" w:hAnsi="Gill Sans MT"/>
                <w:color w:val="000000"/>
                <w:sz w:val="22"/>
                <w:szCs w:val="22"/>
                <w:lang w:eastAsia="en-IE"/>
              </w:rPr>
            </w:pPr>
            <w:proofErr w:type="spellStart"/>
            <w:r w:rsidRPr="00BE33FC">
              <w:rPr>
                <w:rFonts w:ascii="Gill Sans MT" w:hAnsi="Gill Sans MT" w:cs="Arial"/>
                <w:sz w:val="22"/>
                <w:szCs w:val="22"/>
              </w:rPr>
              <w:t>Údarás</w:t>
            </w:r>
            <w:proofErr w:type="spellEnd"/>
            <w:r w:rsidRPr="00BE33FC">
              <w:rPr>
                <w:rFonts w:ascii="Gill Sans MT" w:hAnsi="Gill Sans MT" w:cs="Arial"/>
                <w:sz w:val="22"/>
                <w:szCs w:val="22"/>
              </w:rPr>
              <w:t xml:space="preserve"> </w:t>
            </w:r>
            <w:proofErr w:type="spellStart"/>
            <w:r w:rsidRPr="00BE33FC">
              <w:rPr>
                <w:rFonts w:ascii="Gill Sans MT" w:hAnsi="Gill Sans MT" w:cs="Arial"/>
                <w:sz w:val="22"/>
                <w:szCs w:val="22"/>
              </w:rPr>
              <w:t>na</w:t>
            </w:r>
            <w:proofErr w:type="spellEnd"/>
            <w:r w:rsidRPr="00BE33FC">
              <w:rPr>
                <w:rFonts w:ascii="Gill Sans MT" w:hAnsi="Gill Sans MT" w:cs="Arial"/>
                <w:sz w:val="22"/>
                <w:szCs w:val="22"/>
              </w:rPr>
              <w:t xml:space="preserve"> </w:t>
            </w:r>
            <w:proofErr w:type="spellStart"/>
            <w:r w:rsidRPr="00BE33FC">
              <w:rPr>
                <w:rFonts w:ascii="Gill Sans MT" w:hAnsi="Gill Sans MT" w:cs="Arial"/>
                <w:sz w:val="22"/>
                <w:szCs w:val="22"/>
              </w:rPr>
              <w:t>Gaeltachta</w:t>
            </w:r>
            <w:proofErr w:type="spellEnd"/>
          </w:p>
        </w:tc>
        <w:tc>
          <w:tcPr>
            <w:tcW w:w="1053" w:type="dxa"/>
            <w:tcBorders>
              <w:top w:val="nil"/>
              <w:left w:val="nil"/>
              <w:bottom w:val="single" w:sz="4" w:space="0" w:color="auto"/>
              <w:right w:val="single" w:sz="4" w:space="0" w:color="auto"/>
            </w:tcBorders>
            <w:noWrap/>
            <w:vAlign w:val="bottom"/>
          </w:tcPr>
          <w:p w14:paraId="41E0FF4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88</w:t>
            </w:r>
          </w:p>
        </w:tc>
        <w:tc>
          <w:tcPr>
            <w:tcW w:w="986" w:type="dxa"/>
            <w:gridSpan w:val="2"/>
            <w:tcBorders>
              <w:top w:val="nil"/>
              <w:left w:val="nil"/>
              <w:bottom w:val="single" w:sz="4" w:space="0" w:color="auto"/>
              <w:right w:val="single" w:sz="4" w:space="0" w:color="auto"/>
            </w:tcBorders>
            <w:noWrap/>
            <w:vAlign w:val="bottom"/>
          </w:tcPr>
          <w:p w14:paraId="6FAE448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88</w:t>
            </w:r>
          </w:p>
        </w:tc>
        <w:tc>
          <w:tcPr>
            <w:tcW w:w="1053" w:type="dxa"/>
            <w:tcBorders>
              <w:top w:val="nil"/>
              <w:left w:val="nil"/>
              <w:bottom w:val="single" w:sz="4" w:space="0" w:color="auto"/>
              <w:right w:val="single" w:sz="4" w:space="0" w:color="auto"/>
            </w:tcBorders>
            <w:noWrap/>
            <w:vAlign w:val="bottom"/>
          </w:tcPr>
          <w:p w14:paraId="0B879A9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118" w:type="dxa"/>
            <w:gridSpan w:val="2"/>
            <w:tcBorders>
              <w:top w:val="nil"/>
              <w:left w:val="nil"/>
              <w:bottom w:val="single" w:sz="4" w:space="0" w:color="auto"/>
              <w:right w:val="single" w:sz="4" w:space="0" w:color="auto"/>
            </w:tcBorders>
            <w:noWrap/>
            <w:vAlign w:val="bottom"/>
          </w:tcPr>
          <w:p w14:paraId="6C41E7C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34" w:type="dxa"/>
            <w:tcBorders>
              <w:top w:val="nil"/>
              <w:left w:val="nil"/>
              <w:bottom w:val="single" w:sz="4" w:space="0" w:color="auto"/>
              <w:right w:val="single" w:sz="4" w:space="0" w:color="auto"/>
            </w:tcBorders>
            <w:noWrap/>
            <w:vAlign w:val="bottom"/>
          </w:tcPr>
          <w:p w14:paraId="37655FC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6.8</w:t>
            </w:r>
          </w:p>
        </w:tc>
        <w:tc>
          <w:tcPr>
            <w:tcW w:w="964" w:type="dxa"/>
            <w:gridSpan w:val="2"/>
            <w:tcBorders>
              <w:top w:val="nil"/>
              <w:left w:val="nil"/>
              <w:bottom w:val="single" w:sz="4" w:space="0" w:color="auto"/>
              <w:right w:val="single" w:sz="4" w:space="0" w:color="auto"/>
            </w:tcBorders>
            <w:noWrap/>
            <w:vAlign w:val="bottom"/>
          </w:tcPr>
          <w:p w14:paraId="4717849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6.8</w:t>
            </w:r>
          </w:p>
        </w:tc>
      </w:tr>
      <w:tr w:rsidR="003B315D" w:rsidRPr="00BE33FC" w14:paraId="2834A14E"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6CF6396B" w14:textId="77777777" w:rsidR="003B315D" w:rsidRPr="00BE33FC" w:rsidRDefault="003B315D" w:rsidP="006D697C">
            <w:pPr>
              <w:spacing w:line="240" w:lineRule="auto"/>
              <w:ind w:firstLineChars="10" w:firstLine="22"/>
              <w:rPr>
                <w:rFonts w:ascii="Gill Sans MT" w:hAnsi="Gill Sans MT"/>
                <w:color w:val="000000"/>
                <w:sz w:val="22"/>
                <w:szCs w:val="22"/>
                <w:lang w:eastAsia="en-IE"/>
              </w:rPr>
            </w:pPr>
            <w:r w:rsidRPr="00BE33FC">
              <w:rPr>
                <w:rFonts w:ascii="Gill Sans MT" w:hAnsi="Gill Sans MT" w:cs="Arial"/>
                <w:sz w:val="22"/>
                <w:szCs w:val="22"/>
              </w:rPr>
              <w:t>Ulster-Scots Agency</w:t>
            </w:r>
          </w:p>
        </w:tc>
        <w:tc>
          <w:tcPr>
            <w:tcW w:w="1053" w:type="dxa"/>
            <w:tcBorders>
              <w:top w:val="nil"/>
              <w:left w:val="nil"/>
              <w:bottom w:val="single" w:sz="4" w:space="0" w:color="auto"/>
              <w:right w:val="single" w:sz="4" w:space="0" w:color="auto"/>
            </w:tcBorders>
            <w:noWrap/>
            <w:vAlign w:val="bottom"/>
          </w:tcPr>
          <w:p w14:paraId="3D05A9D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986" w:type="dxa"/>
            <w:gridSpan w:val="2"/>
            <w:tcBorders>
              <w:top w:val="nil"/>
              <w:left w:val="nil"/>
              <w:bottom w:val="single" w:sz="4" w:space="0" w:color="auto"/>
              <w:right w:val="single" w:sz="4" w:space="0" w:color="auto"/>
            </w:tcBorders>
            <w:noWrap/>
            <w:vAlign w:val="bottom"/>
          </w:tcPr>
          <w:p w14:paraId="1D519392"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53" w:type="dxa"/>
            <w:tcBorders>
              <w:top w:val="nil"/>
              <w:left w:val="nil"/>
              <w:bottom w:val="single" w:sz="4" w:space="0" w:color="auto"/>
              <w:right w:val="single" w:sz="4" w:space="0" w:color="auto"/>
            </w:tcBorders>
            <w:noWrap/>
            <w:vAlign w:val="bottom"/>
          </w:tcPr>
          <w:p w14:paraId="5D97022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8" w:type="dxa"/>
            <w:gridSpan w:val="2"/>
            <w:tcBorders>
              <w:top w:val="nil"/>
              <w:left w:val="nil"/>
              <w:bottom w:val="single" w:sz="4" w:space="0" w:color="auto"/>
              <w:right w:val="single" w:sz="4" w:space="0" w:color="auto"/>
            </w:tcBorders>
            <w:noWrap/>
            <w:vAlign w:val="bottom"/>
          </w:tcPr>
          <w:p w14:paraId="053B9D1E"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4" w:type="dxa"/>
            <w:tcBorders>
              <w:top w:val="nil"/>
              <w:left w:val="nil"/>
              <w:bottom w:val="single" w:sz="4" w:space="0" w:color="auto"/>
              <w:right w:val="single" w:sz="4" w:space="0" w:color="auto"/>
            </w:tcBorders>
            <w:noWrap/>
            <w:vAlign w:val="bottom"/>
          </w:tcPr>
          <w:p w14:paraId="5B074BC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7.1</w:t>
            </w:r>
          </w:p>
        </w:tc>
        <w:tc>
          <w:tcPr>
            <w:tcW w:w="964" w:type="dxa"/>
            <w:gridSpan w:val="2"/>
            <w:tcBorders>
              <w:top w:val="nil"/>
              <w:left w:val="nil"/>
              <w:bottom w:val="single" w:sz="4" w:space="0" w:color="auto"/>
              <w:right w:val="single" w:sz="4" w:space="0" w:color="auto"/>
            </w:tcBorders>
            <w:noWrap/>
            <w:vAlign w:val="bottom"/>
          </w:tcPr>
          <w:p w14:paraId="41F3273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7.1</w:t>
            </w:r>
          </w:p>
        </w:tc>
      </w:tr>
      <w:tr w:rsidR="003B315D" w:rsidRPr="00BE33FC" w14:paraId="79E3E98E"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061D00E3"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Waterways Ireland</w:t>
            </w:r>
          </w:p>
        </w:tc>
        <w:tc>
          <w:tcPr>
            <w:tcW w:w="1053" w:type="dxa"/>
            <w:tcBorders>
              <w:top w:val="nil"/>
              <w:left w:val="nil"/>
              <w:bottom w:val="single" w:sz="4" w:space="0" w:color="auto"/>
              <w:right w:val="single" w:sz="4" w:space="0" w:color="auto"/>
            </w:tcBorders>
            <w:noWrap/>
            <w:vAlign w:val="bottom"/>
          </w:tcPr>
          <w:p w14:paraId="21B7A5E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234</w:t>
            </w:r>
          </w:p>
        </w:tc>
        <w:tc>
          <w:tcPr>
            <w:tcW w:w="986" w:type="dxa"/>
            <w:gridSpan w:val="2"/>
            <w:tcBorders>
              <w:top w:val="nil"/>
              <w:left w:val="nil"/>
              <w:bottom w:val="single" w:sz="4" w:space="0" w:color="auto"/>
              <w:right w:val="single" w:sz="4" w:space="0" w:color="auto"/>
            </w:tcBorders>
            <w:noWrap/>
            <w:vAlign w:val="bottom"/>
          </w:tcPr>
          <w:p w14:paraId="1D63A96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234</w:t>
            </w:r>
          </w:p>
        </w:tc>
        <w:tc>
          <w:tcPr>
            <w:tcW w:w="1053" w:type="dxa"/>
            <w:tcBorders>
              <w:top w:val="nil"/>
              <w:left w:val="nil"/>
              <w:bottom w:val="single" w:sz="4" w:space="0" w:color="auto"/>
              <w:right w:val="single" w:sz="4" w:space="0" w:color="auto"/>
            </w:tcBorders>
            <w:noWrap/>
            <w:vAlign w:val="bottom"/>
          </w:tcPr>
          <w:p w14:paraId="1366367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118" w:type="dxa"/>
            <w:gridSpan w:val="2"/>
            <w:tcBorders>
              <w:top w:val="nil"/>
              <w:left w:val="nil"/>
              <w:bottom w:val="single" w:sz="4" w:space="0" w:color="auto"/>
              <w:right w:val="single" w:sz="4" w:space="0" w:color="auto"/>
            </w:tcBorders>
            <w:noWrap/>
            <w:vAlign w:val="bottom"/>
          </w:tcPr>
          <w:p w14:paraId="53439A7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34" w:type="dxa"/>
            <w:tcBorders>
              <w:top w:val="nil"/>
              <w:left w:val="nil"/>
              <w:bottom w:val="single" w:sz="4" w:space="0" w:color="auto"/>
              <w:right w:val="single" w:sz="4" w:space="0" w:color="auto"/>
            </w:tcBorders>
            <w:noWrap/>
            <w:vAlign w:val="bottom"/>
          </w:tcPr>
          <w:p w14:paraId="6388B18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3.0</w:t>
            </w:r>
          </w:p>
        </w:tc>
        <w:tc>
          <w:tcPr>
            <w:tcW w:w="964" w:type="dxa"/>
            <w:gridSpan w:val="2"/>
            <w:tcBorders>
              <w:top w:val="nil"/>
              <w:left w:val="nil"/>
              <w:bottom w:val="single" w:sz="4" w:space="0" w:color="auto"/>
              <w:right w:val="single" w:sz="4" w:space="0" w:color="auto"/>
            </w:tcBorders>
            <w:noWrap/>
            <w:vAlign w:val="bottom"/>
          </w:tcPr>
          <w:p w14:paraId="0E0F3EA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r>
      <w:tr w:rsidR="003B315D" w:rsidRPr="00BE33FC" w14:paraId="46CCF8F1" w14:textId="77777777" w:rsidTr="00B961C4">
        <w:tc>
          <w:tcPr>
            <w:tcW w:w="2506" w:type="dxa"/>
            <w:tcBorders>
              <w:top w:val="single" w:sz="4" w:space="0" w:color="auto"/>
              <w:left w:val="single" w:sz="4" w:space="0" w:color="auto"/>
              <w:bottom w:val="single" w:sz="4" w:space="0" w:color="auto"/>
              <w:right w:val="single" w:sz="4" w:space="0" w:color="auto"/>
            </w:tcBorders>
          </w:tcPr>
          <w:p w14:paraId="3783D8B5" w14:textId="77777777" w:rsidR="003B315D" w:rsidRPr="00BE33FC" w:rsidRDefault="003B315D" w:rsidP="006D697C">
            <w:pPr>
              <w:ind w:firstLineChars="10" w:firstLine="22"/>
              <w:rPr>
                <w:rFonts w:ascii="Gill Sans MT" w:hAnsi="Gill Sans MT"/>
                <w:b/>
                <w:sz w:val="22"/>
                <w:szCs w:val="22"/>
              </w:rPr>
            </w:pPr>
            <w:r w:rsidRPr="00BE33FC">
              <w:rPr>
                <w:rFonts w:ascii="Gill Sans MT" w:hAnsi="Gill Sans MT"/>
                <w:b/>
                <w:sz w:val="22"/>
                <w:szCs w:val="22"/>
              </w:rPr>
              <w:t>Grand Total</w:t>
            </w:r>
          </w:p>
        </w:tc>
        <w:tc>
          <w:tcPr>
            <w:tcW w:w="1053" w:type="dxa"/>
            <w:tcBorders>
              <w:top w:val="single" w:sz="4" w:space="0" w:color="auto"/>
              <w:left w:val="single" w:sz="4" w:space="0" w:color="auto"/>
              <w:bottom w:val="single" w:sz="4" w:space="0" w:color="auto"/>
              <w:right w:val="single" w:sz="4" w:space="0" w:color="auto"/>
            </w:tcBorders>
            <w:vAlign w:val="bottom"/>
          </w:tcPr>
          <w:p w14:paraId="581D75CA"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1,153</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7D3C9EA5"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1,160</w:t>
            </w:r>
          </w:p>
        </w:tc>
        <w:tc>
          <w:tcPr>
            <w:tcW w:w="1053" w:type="dxa"/>
            <w:tcBorders>
              <w:top w:val="single" w:sz="4" w:space="0" w:color="auto"/>
              <w:left w:val="single" w:sz="4" w:space="0" w:color="auto"/>
              <w:bottom w:val="single" w:sz="4" w:space="0" w:color="auto"/>
              <w:right w:val="single" w:sz="4" w:space="0" w:color="auto"/>
            </w:tcBorders>
            <w:vAlign w:val="bottom"/>
          </w:tcPr>
          <w:p w14:paraId="199F1F19"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55</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0878BF01"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53</w:t>
            </w:r>
          </w:p>
        </w:tc>
        <w:tc>
          <w:tcPr>
            <w:tcW w:w="1034" w:type="dxa"/>
            <w:tcBorders>
              <w:top w:val="single" w:sz="4" w:space="0" w:color="auto"/>
              <w:left w:val="nil"/>
              <w:bottom w:val="single" w:sz="4" w:space="0" w:color="auto"/>
              <w:right w:val="single" w:sz="4" w:space="0" w:color="auto"/>
            </w:tcBorders>
            <w:vAlign w:val="bottom"/>
          </w:tcPr>
          <w:p w14:paraId="1B443054"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4.8</w:t>
            </w:r>
          </w:p>
        </w:tc>
        <w:tc>
          <w:tcPr>
            <w:tcW w:w="964" w:type="dxa"/>
            <w:gridSpan w:val="2"/>
            <w:tcBorders>
              <w:top w:val="single" w:sz="4" w:space="0" w:color="auto"/>
              <w:left w:val="nil"/>
              <w:bottom w:val="single" w:sz="4" w:space="0" w:color="auto"/>
              <w:right w:val="single" w:sz="4" w:space="0" w:color="auto"/>
            </w:tcBorders>
            <w:vAlign w:val="bottom"/>
          </w:tcPr>
          <w:p w14:paraId="21FECB60"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4.6</w:t>
            </w:r>
          </w:p>
        </w:tc>
      </w:tr>
    </w:tbl>
    <w:p w14:paraId="407711F0" w14:textId="3074C8B2" w:rsidR="003B315D" w:rsidRPr="00CC4F07" w:rsidRDefault="003B315D" w:rsidP="003B315D">
      <w:pPr>
        <w:rPr>
          <w:rFonts w:ascii="Gill Sans MT" w:hAnsi="Gill Sans MT"/>
          <w:sz w:val="22"/>
          <w:szCs w:val="22"/>
        </w:rPr>
      </w:pPr>
    </w:p>
    <w:p w14:paraId="0B441A6D" w14:textId="77777777" w:rsidR="003B315D" w:rsidRPr="00CC4F07" w:rsidRDefault="003B315D">
      <w:pPr>
        <w:spacing w:after="0"/>
        <w:rPr>
          <w:rFonts w:ascii="Gill Sans MT" w:hAnsi="Gill Sans MT"/>
          <w:sz w:val="22"/>
          <w:szCs w:val="22"/>
        </w:rPr>
      </w:pPr>
      <w:r w:rsidRPr="00CC4F07">
        <w:rPr>
          <w:rFonts w:ascii="Gill Sans MT" w:hAnsi="Gill Sans MT"/>
          <w:sz w:val="22"/>
          <w:szCs w:val="22"/>
        </w:rPr>
        <w:br w:type="page"/>
      </w:r>
    </w:p>
    <w:p w14:paraId="32F7FC9B" w14:textId="10B87772" w:rsidR="003B315D" w:rsidRPr="00CC4F07" w:rsidRDefault="003B315D" w:rsidP="003B315D">
      <w:pPr>
        <w:rPr>
          <w:b/>
        </w:rPr>
      </w:pPr>
      <w:r w:rsidRPr="00CC4F07">
        <w:rPr>
          <w:b/>
        </w:rPr>
        <w:lastRenderedPageBreak/>
        <w:t>Department of Education &amp; Skills</w:t>
      </w:r>
    </w:p>
    <w:tbl>
      <w:tblPr>
        <w:tblStyle w:val="TableGrid"/>
        <w:tblW w:w="0" w:type="auto"/>
        <w:tblLook w:val="04A0" w:firstRow="1" w:lastRow="0" w:firstColumn="1" w:lastColumn="0" w:noHBand="0" w:noVBand="1"/>
        <w:tblCaption w:val="Appendix B Public bodies"/>
        <w:tblDescription w:val="Department of Education and Skills"/>
      </w:tblPr>
      <w:tblGrid>
        <w:gridCol w:w="2506"/>
        <w:gridCol w:w="1053"/>
        <w:gridCol w:w="350"/>
        <w:gridCol w:w="636"/>
        <w:gridCol w:w="1053"/>
        <w:gridCol w:w="830"/>
        <w:gridCol w:w="288"/>
        <w:gridCol w:w="1034"/>
        <w:gridCol w:w="718"/>
        <w:gridCol w:w="246"/>
      </w:tblGrid>
      <w:tr w:rsidR="003B315D" w:rsidRPr="00BE33FC" w14:paraId="08DB91A3" w14:textId="77777777" w:rsidTr="00B961C4">
        <w:trPr>
          <w:tblHeader/>
        </w:trPr>
        <w:tc>
          <w:tcPr>
            <w:tcW w:w="2506" w:type="dxa"/>
          </w:tcPr>
          <w:p w14:paraId="6EA286AB"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403" w:type="dxa"/>
            <w:gridSpan w:val="2"/>
            <w:tcBorders>
              <w:right w:val="nil"/>
            </w:tcBorders>
          </w:tcPr>
          <w:p w14:paraId="6C154F72"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xml:space="preserve">Total number of </w:t>
            </w:r>
            <w:proofErr w:type="gramStart"/>
            <w:r w:rsidRPr="00BE33FC">
              <w:rPr>
                <w:rFonts w:ascii="Gill Sans MT" w:hAnsi="Gill Sans MT"/>
                <w:b/>
                <w:sz w:val="22"/>
                <w:szCs w:val="22"/>
              </w:rPr>
              <w:t>employee</w:t>
            </w:r>
            <w:proofErr w:type="gramEnd"/>
          </w:p>
        </w:tc>
        <w:tc>
          <w:tcPr>
            <w:tcW w:w="636" w:type="dxa"/>
            <w:tcBorders>
              <w:left w:val="nil"/>
            </w:tcBorders>
          </w:tcPr>
          <w:p w14:paraId="0895B60A"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72754737"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8" w:type="dxa"/>
            <w:tcBorders>
              <w:left w:val="nil"/>
            </w:tcBorders>
          </w:tcPr>
          <w:p w14:paraId="183A01EB"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04684E72"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6" w:type="dxa"/>
            <w:tcBorders>
              <w:left w:val="nil"/>
            </w:tcBorders>
          </w:tcPr>
          <w:p w14:paraId="30961620" w14:textId="77777777" w:rsidR="003B315D" w:rsidRPr="00BE33FC" w:rsidRDefault="003B315D" w:rsidP="006D697C">
            <w:pPr>
              <w:rPr>
                <w:rFonts w:ascii="Gill Sans MT" w:hAnsi="Gill Sans MT"/>
                <w:b/>
                <w:sz w:val="22"/>
                <w:szCs w:val="22"/>
              </w:rPr>
            </w:pPr>
          </w:p>
        </w:tc>
      </w:tr>
      <w:tr w:rsidR="003B315D" w:rsidRPr="00BE33FC" w14:paraId="691A5661" w14:textId="77777777" w:rsidTr="00B961C4">
        <w:tc>
          <w:tcPr>
            <w:tcW w:w="2506" w:type="dxa"/>
          </w:tcPr>
          <w:p w14:paraId="6A6EBCAE" w14:textId="77777777" w:rsidR="003B315D" w:rsidRPr="00BE33FC" w:rsidRDefault="003B315D" w:rsidP="006D697C">
            <w:pPr>
              <w:rPr>
                <w:rFonts w:ascii="Gill Sans MT" w:hAnsi="Gill Sans MT"/>
                <w:b/>
                <w:sz w:val="22"/>
                <w:szCs w:val="22"/>
              </w:rPr>
            </w:pPr>
          </w:p>
        </w:tc>
        <w:tc>
          <w:tcPr>
            <w:tcW w:w="1053" w:type="dxa"/>
          </w:tcPr>
          <w:p w14:paraId="35494E55"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584ED4A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63416A0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5F8D7A7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519F0A1B"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5D538B7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03E0BCDA" w14:textId="77777777" w:rsidTr="0071585A">
        <w:trPr>
          <w:trHeight w:val="300"/>
        </w:trPr>
        <w:tc>
          <w:tcPr>
            <w:tcW w:w="2506" w:type="dxa"/>
            <w:tcBorders>
              <w:top w:val="single" w:sz="4" w:space="0" w:color="auto"/>
              <w:left w:val="single" w:sz="4" w:space="0" w:color="auto"/>
              <w:bottom w:val="single" w:sz="4" w:space="0" w:color="auto"/>
              <w:right w:val="single" w:sz="4" w:space="0" w:color="auto"/>
            </w:tcBorders>
            <w:noWrap/>
            <w:vAlign w:val="bottom"/>
            <w:hideMark/>
          </w:tcPr>
          <w:p w14:paraId="3270B4A2"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Dún Laoghaire Institute of Art, Design &amp; Technology</w:t>
            </w:r>
          </w:p>
        </w:tc>
        <w:tc>
          <w:tcPr>
            <w:tcW w:w="1053" w:type="dxa"/>
            <w:tcBorders>
              <w:top w:val="single" w:sz="4" w:space="0" w:color="auto"/>
              <w:left w:val="nil"/>
              <w:bottom w:val="single" w:sz="4" w:space="0" w:color="auto"/>
              <w:right w:val="single" w:sz="4" w:space="0" w:color="auto"/>
            </w:tcBorders>
            <w:noWrap/>
            <w:hideMark/>
          </w:tcPr>
          <w:p w14:paraId="28CE8C2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291</w:t>
            </w:r>
          </w:p>
        </w:tc>
        <w:tc>
          <w:tcPr>
            <w:tcW w:w="986" w:type="dxa"/>
            <w:gridSpan w:val="2"/>
            <w:tcBorders>
              <w:top w:val="single" w:sz="4" w:space="0" w:color="auto"/>
              <w:left w:val="nil"/>
              <w:bottom w:val="single" w:sz="4" w:space="0" w:color="auto"/>
              <w:right w:val="single" w:sz="4" w:space="0" w:color="auto"/>
            </w:tcBorders>
            <w:noWrap/>
            <w:hideMark/>
          </w:tcPr>
          <w:p w14:paraId="16E4BF0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291</w:t>
            </w:r>
          </w:p>
        </w:tc>
        <w:tc>
          <w:tcPr>
            <w:tcW w:w="1053" w:type="dxa"/>
            <w:tcBorders>
              <w:top w:val="single" w:sz="4" w:space="0" w:color="auto"/>
              <w:left w:val="nil"/>
              <w:bottom w:val="single" w:sz="4" w:space="0" w:color="auto"/>
              <w:right w:val="single" w:sz="4" w:space="0" w:color="auto"/>
            </w:tcBorders>
            <w:noWrap/>
            <w:hideMark/>
          </w:tcPr>
          <w:p w14:paraId="6081C5E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118" w:type="dxa"/>
            <w:gridSpan w:val="2"/>
            <w:tcBorders>
              <w:top w:val="single" w:sz="4" w:space="0" w:color="auto"/>
              <w:left w:val="nil"/>
              <w:bottom w:val="single" w:sz="4" w:space="0" w:color="auto"/>
              <w:right w:val="single" w:sz="4" w:space="0" w:color="auto"/>
            </w:tcBorders>
            <w:noWrap/>
            <w:hideMark/>
          </w:tcPr>
          <w:p w14:paraId="6D926F5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1034" w:type="dxa"/>
            <w:tcBorders>
              <w:top w:val="single" w:sz="4" w:space="0" w:color="auto"/>
              <w:left w:val="nil"/>
              <w:bottom w:val="single" w:sz="4" w:space="0" w:color="auto"/>
              <w:right w:val="single" w:sz="4" w:space="0" w:color="auto"/>
            </w:tcBorders>
            <w:noWrap/>
            <w:hideMark/>
          </w:tcPr>
          <w:p w14:paraId="25C5FB1A"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3.4</w:t>
            </w:r>
          </w:p>
        </w:tc>
        <w:tc>
          <w:tcPr>
            <w:tcW w:w="964" w:type="dxa"/>
            <w:gridSpan w:val="2"/>
            <w:tcBorders>
              <w:top w:val="single" w:sz="4" w:space="0" w:color="auto"/>
              <w:left w:val="nil"/>
              <w:bottom w:val="single" w:sz="4" w:space="0" w:color="auto"/>
              <w:right w:val="single" w:sz="4" w:space="0" w:color="auto"/>
            </w:tcBorders>
            <w:noWrap/>
            <w:hideMark/>
          </w:tcPr>
          <w:p w14:paraId="373EEB96"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4.5</w:t>
            </w:r>
          </w:p>
        </w:tc>
      </w:tr>
      <w:tr w:rsidR="003B315D" w:rsidRPr="00BE33FC" w14:paraId="35EF1C94"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5FB9A520"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Athlone</w:t>
            </w:r>
          </w:p>
        </w:tc>
        <w:tc>
          <w:tcPr>
            <w:tcW w:w="1053" w:type="dxa"/>
            <w:tcBorders>
              <w:top w:val="nil"/>
              <w:left w:val="nil"/>
              <w:bottom w:val="single" w:sz="4" w:space="0" w:color="auto"/>
              <w:right w:val="single" w:sz="4" w:space="0" w:color="auto"/>
            </w:tcBorders>
            <w:noWrap/>
            <w:vAlign w:val="bottom"/>
            <w:hideMark/>
          </w:tcPr>
          <w:p w14:paraId="7000A3B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654</w:t>
            </w:r>
          </w:p>
        </w:tc>
        <w:tc>
          <w:tcPr>
            <w:tcW w:w="986" w:type="dxa"/>
            <w:gridSpan w:val="2"/>
            <w:tcBorders>
              <w:top w:val="nil"/>
              <w:left w:val="nil"/>
              <w:bottom w:val="single" w:sz="4" w:space="0" w:color="auto"/>
              <w:right w:val="single" w:sz="4" w:space="0" w:color="auto"/>
            </w:tcBorders>
            <w:noWrap/>
            <w:vAlign w:val="bottom"/>
            <w:hideMark/>
          </w:tcPr>
          <w:p w14:paraId="6395EE0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631</w:t>
            </w:r>
          </w:p>
        </w:tc>
        <w:tc>
          <w:tcPr>
            <w:tcW w:w="1053" w:type="dxa"/>
            <w:tcBorders>
              <w:top w:val="nil"/>
              <w:left w:val="nil"/>
              <w:bottom w:val="single" w:sz="4" w:space="0" w:color="auto"/>
              <w:right w:val="single" w:sz="4" w:space="0" w:color="auto"/>
            </w:tcBorders>
            <w:noWrap/>
            <w:vAlign w:val="bottom"/>
            <w:hideMark/>
          </w:tcPr>
          <w:p w14:paraId="09D8C20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118" w:type="dxa"/>
            <w:gridSpan w:val="2"/>
            <w:tcBorders>
              <w:top w:val="nil"/>
              <w:left w:val="nil"/>
              <w:bottom w:val="single" w:sz="4" w:space="0" w:color="auto"/>
              <w:right w:val="single" w:sz="4" w:space="0" w:color="auto"/>
            </w:tcBorders>
            <w:noWrap/>
            <w:vAlign w:val="bottom"/>
            <w:hideMark/>
          </w:tcPr>
          <w:p w14:paraId="5B9877A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26</w:t>
            </w:r>
          </w:p>
        </w:tc>
        <w:tc>
          <w:tcPr>
            <w:tcW w:w="1034" w:type="dxa"/>
            <w:tcBorders>
              <w:top w:val="nil"/>
              <w:left w:val="nil"/>
              <w:bottom w:val="single" w:sz="4" w:space="0" w:color="auto"/>
              <w:right w:val="single" w:sz="4" w:space="0" w:color="auto"/>
            </w:tcBorders>
            <w:noWrap/>
            <w:vAlign w:val="bottom"/>
            <w:hideMark/>
          </w:tcPr>
          <w:p w14:paraId="033459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964" w:type="dxa"/>
            <w:gridSpan w:val="2"/>
            <w:tcBorders>
              <w:top w:val="nil"/>
              <w:left w:val="nil"/>
              <w:bottom w:val="single" w:sz="4" w:space="0" w:color="auto"/>
              <w:right w:val="single" w:sz="4" w:space="0" w:color="auto"/>
            </w:tcBorders>
            <w:noWrap/>
            <w:vAlign w:val="bottom"/>
            <w:hideMark/>
          </w:tcPr>
          <w:p w14:paraId="0A4937D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r>
      <w:tr w:rsidR="003B315D" w:rsidRPr="00BE33FC" w14:paraId="6661BE0E"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31282775"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Blanchardstown</w:t>
            </w:r>
          </w:p>
        </w:tc>
        <w:tc>
          <w:tcPr>
            <w:tcW w:w="1053" w:type="dxa"/>
            <w:tcBorders>
              <w:top w:val="nil"/>
              <w:left w:val="nil"/>
              <w:bottom w:val="single" w:sz="4" w:space="0" w:color="auto"/>
              <w:right w:val="single" w:sz="4" w:space="0" w:color="auto"/>
            </w:tcBorders>
            <w:noWrap/>
            <w:vAlign w:val="bottom"/>
            <w:hideMark/>
          </w:tcPr>
          <w:p w14:paraId="6C7E8BE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289</w:t>
            </w:r>
          </w:p>
        </w:tc>
        <w:tc>
          <w:tcPr>
            <w:tcW w:w="986" w:type="dxa"/>
            <w:gridSpan w:val="2"/>
            <w:tcBorders>
              <w:top w:val="nil"/>
              <w:left w:val="nil"/>
              <w:bottom w:val="single" w:sz="4" w:space="0" w:color="auto"/>
              <w:right w:val="single" w:sz="4" w:space="0" w:color="auto"/>
            </w:tcBorders>
            <w:noWrap/>
            <w:vAlign w:val="bottom"/>
            <w:hideMark/>
          </w:tcPr>
          <w:p w14:paraId="4DCA9D1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299</w:t>
            </w:r>
          </w:p>
        </w:tc>
        <w:tc>
          <w:tcPr>
            <w:tcW w:w="1053" w:type="dxa"/>
            <w:tcBorders>
              <w:top w:val="nil"/>
              <w:left w:val="nil"/>
              <w:bottom w:val="single" w:sz="4" w:space="0" w:color="auto"/>
              <w:right w:val="single" w:sz="4" w:space="0" w:color="auto"/>
            </w:tcBorders>
            <w:noWrap/>
            <w:vAlign w:val="bottom"/>
            <w:hideMark/>
          </w:tcPr>
          <w:p w14:paraId="70F9A31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25</w:t>
            </w:r>
          </w:p>
        </w:tc>
        <w:tc>
          <w:tcPr>
            <w:tcW w:w="1118" w:type="dxa"/>
            <w:gridSpan w:val="2"/>
            <w:tcBorders>
              <w:top w:val="nil"/>
              <w:left w:val="nil"/>
              <w:bottom w:val="single" w:sz="4" w:space="0" w:color="auto"/>
              <w:right w:val="single" w:sz="4" w:space="0" w:color="auto"/>
            </w:tcBorders>
            <w:noWrap/>
            <w:vAlign w:val="bottom"/>
            <w:hideMark/>
          </w:tcPr>
          <w:p w14:paraId="33F3AA5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34" w:type="dxa"/>
            <w:tcBorders>
              <w:top w:val="nil"/>
              <w:left w:val="nil"/>
              <w:bottom w:val="single" w:sz="4" w:space="0" w:color="auto"/>
              <w:right w:val="single" w:sz="4" w:space="0" w:color="auto"/>
            </w:tcBorders>
            <w:noWrap/>
            <w:vAlign w:val="bottom"/>
            <w:hideMark/>
          </w:tcPr>
          <w:p w14:paraId="25DA899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8.7</w:t>
            </w:r>
          </w:p>
        </w:tc>
        <w:tc>
          <w:tcPr>
            <w:tcW w:w="964" w:type="dxa"/>
            <w:gridSpan w:val="2"/>
            <w:tcBorders>
              <w:top w:val="nil"/>
              <w:left w:val="nil"/>
              <w:bottom w:val="single" w:sz="4" w:space="0" w:color="auto"/>
              <w:right w:val="single" w:sz="4" w:space="0" w:color="auto"/>
            </w:tcBorders>
            <w:noWrap/>
            <w:vAlign w:val="bottom"/>
            <w:hideMark/>
          </w:tcPr>
          <w:p w14:paraId="4BDC883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6.7</w:t>
            </w:r>
          </w:p>
        </w:tc>
      </w:tr>
      <w:tr w:rsidR="003B315D" w:rsidRPr="00BE33FC" w14:paraId="1B3D88D5"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4EC4FB66"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Carlow</w:t>
            </w:r>
          </w:p>
        </w:tc>
        <w:tc>
          <w:tcPr>
            <w:tcW w:w="1053" w:type="dxa"/>
            <w:tcBorders>
              <w:top w:val="nil"/>
              <w:left w:val="nil"/>
              <w:bottom w:val="single" w:sz="4" w:space="0" w:color="auto"/>
              <w:right w:val="single" w:sz="4" w:space="0" w:color="auto"/>
            </w:tcBorders>
            <w:noWrap/>
            <w:vAlign w:val="bottom"/>
            <w:hideMark/>
          </w:tcPr>
          <w:p w14:paraId="75ED498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851</w:t>
            </w:r>
          </w:p>
        </w:tc>
        <w:tc>
          <w:tcPr>
            <w:tcW w:w="986" w:type="dxa"/>
            <w:gridSpan w:val="2"/>
            <w:tcBorders>
              <w:top w:val="nil"/>
              <w:left w:val="nil"/>
              <w:bottom w:val="single" w:sz="4" w:space="0" w:color="auto"/>
              <w:right w:val="single" w:sz="4" w:space="0" w:color="auto"/>
            </w:tcBorders>
            <w:noWrap/>
            <w:vAlign w:val="bottom"/>
            <w:hideMark/>
          </w:tcPr>
          <w:p w14:paraId="2B299E5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840</w:t>
            </w:r>
          </w:p>
        </w:tc>
        <w:tc>
          <w:tcPr>
            <w:tcW w:w="1053" w:type="dxa"/>
            <w:tcBorders>
              <w:top w:val="nil"/>
              <w:left w:val="nil"/>
              <w:bottom w:val="single" w:sz="4" w:space="0" w:color="auto"/>
              <w:right w:val="single" w:sz="4" w:space="0" w:color="auto"/>
            </w:tcBorders>
            <w:noWrap/>
            <w:vAlign w:val="bottom"/>
            <w:hideMark/>
          </w:tcPr>
          <w:p w14:paraId="76AC97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118" w:type="dxa"/>
            <w:gridSpan w:val="2"/>
            <w:tcBorders>
              <w:top w:val="nil"/>
              <w:left w:val="nil"/>
              <w:bottom w:val="single" w:sz="4" w:space="0" w:color="auto"/>
              <w:right w:val="single" w:sz="4" w:space="0" w:color="auto"/>
            </w:tcBorders>
            <w:noWrap/>
            <w:vAlign w:val="bottom"/>
            <w:hideMark/>
          </w:tcPr>
          <w:p w14:paraId="562C661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034" w:type="dxa"/>
            <w:tcBorders>
              <w:top w:val="nil"/>
              <w:left w:val="nil"/>
              <w:bottom w:val="single" w:sz="4" w:space="0" w:color="auto"/>
              <w:right w:val="single" w:sz="4" w:space="0" w:color="auto"/>
            </w:tcBorders>
            <w:noWrap/>
            <w:vAlign w:val="bottom"/>
            <w:hideMark/>
          </w:tcPr>
          <w:p w14:paraId="0055E84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64" w:type="dxa"/>
            <w:gridSpan w:val="2"/>
            <w:tcBorders>
              <w:top w:val="nil"/>
              <w:left w:val="nil"/>
              <w:bottom w:val="single" w:sz="4" w:space="0" w:color="auto"/>
              <w:right w:val="single" w:sz="4" w:space="0" w:color="auto"/>
            </w:tcBorders>
            <w:noWrap/>
            <w:vAlign w:val="bottom"/>
            <w:hideMark/>
          </w:tcPr>
          <w:p w14:paraId="7ABC0CA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r>
      <w:tr w:rsidR="003B315D" w:rsidRPr="00BE33FC" w14:paraId="3B0F5126"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22B71D7C"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Cork</w:t>
            </w:r>
          </w:p>
        </w:tc>
        <w:tc>
          <w:tcPr>
            <w:tcW w:w="1053" w:type="dxa"/>
            <w:tcBorders>
              <w:top w:val="nil"/>
              <w:left w:val="nil"/>
              <w:bottom w:val="single" w:sz="4" w:space="0" w:color="auto"/>
              <w:right w:val="single" w:sz="4" w:space="0" w:color="auto"/>
            </w:tcBorders>
            <w:noWrap/>
            <w:vAlign w:val="bottom"/>
            <w:hideMark/>
          </w:tcPr>
          <w:p w14:paraId="65F2EA2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1,416</w:t>
            </w:r>
          </w:p>
        </w:tc>
        <w:tc>
          <w:tcPr>
            <w:tcW w:w="986" w:type="dxa"/>
            <w:gridSpan w:val="2"/>
            <w:tcBorders>
              <w:top w:val="nil"/>
              <w:left w:val="nil"/>
              <w:bottom w:val="single" w:sz="4" w:space="0" w:color="auto"/>
              <w:right w:val="single" w:sz="4" w:space="0" w:color="auto"/>
            </w:tcBorders>
            <w:noWrap/>
            <w:vAlign w:val="bottom"/>
            <w:hideMark/>
          </w:tcPr>
          <w:p w14:paraId="330E88C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1,519</w:t>
            </w:r>
          </w:p>
        </w:tc>
        <w:tc>
          <w:tcPr>
            <w:tcW w:w="1053" w:type="dxa"/>
            <w:tcBorders>
              <w:top w:val="nil"/>
              <w:left w:val="nil"/>
              <w:bottom w:val="single" w:sz="4" w:space="0" w:color="auto"/>
              <w:right w:val="single" w:sz="4" w:space="0" w:color="auto"/>
            </w:tcBorders>
            <w:noWrap/>
            <w:vAlign w:val="bottom"/>
            <w:hideMark/>
          </w:tcPr>
          <w:p w14:paraId="4FA3131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60</w:t>
            </w:r>
          </w:p>
        </w:tc>
        <w:tc>
          <w:tcPr>
            <w:tcW w:w="1118" w:type="dxa"/>
            <w:gridSpan w:val="2"/>
            <w:tcBorders>
              <w:top w:val="nil"/>
              <w:left w:val="nil"/>
              <w:bottom w:val="single" w:sz="4" w:space="0" w:color="auto"/>
              <w:right w:val="single" w:sz="4" w:space="0" w:color="auto"/>
            </w:tcBorders>
            <w:noWrap/>
            <w:vAlign w:val="bottom"/>
            <w:hideMark/>
          </w:tcPr>
          <w:p w14:paraId="3E2115E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61</w:t>
            </w:r>
          </w:p>
        </w:tc>
        <w:tc>
          <w:tcPr>
            <w:tcW w:w="1034" w:type="dxa"/>
            <w:tcBorders>
              <w:top w:val="nil"/>
              <w:left w:val="nil"/>
              <w:bottom w:val="single" w:sz="4" w:space="0" w:color="auto"/>
              <w:right w:val="single" w:sz="4" w:space="0" w:color="auto"/>
            </w:tcBorders>
            <w:noWrap/>
            <w:vAlign w:val="bottom"/>
            <w:hideMark/>
          </w:tcPr>
          <w:p w14:paraId="16530F8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4.2</w:t>
            </w:r>
          </w:p>
        </w:tc>
        <w:tc>
          <w:tcPr>
            <w:tcW w:w="964" w:type="dxa"/>
            <w:gridSpan w:val="2"/>
            <w:tcBorders>
              <w:top w:val="nil"/>
              <w:left w:val="nil"/>
              <w:bottom w:val="single" w:sz="4" w:space="0" w:color="auto"/>
              <w:right w:val="single" w:sz="4" w:space="0" w:color="auto"/>
            </w:tcBorders>
            <w:noWrap/>
            <w:vAlign w:val="bottom"/>
            <w:hideMark/>
          </w:tcPr>
          <w:p w14:paraId="0B86524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4.0</w:t>
            </w:r>
          </w:p>
        </w:tc>
      </w:tr>
      <w:tr w:rsidR="003B315D" w:rsidRPr="00BE33FC" w14:paraId="127F81A2"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55A8F319"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Dublin</w:t>
            </w:r>
          </w:p>
        </w:tc>
        <w:tc>
          <w:tcPr>
            <w:tcW w:w="1053" w:type="dxa"/>
            <w:tcBorders>
              <w:top w:val="nil"/>
              <w:left w:val="nil"/>
              <w:bottom w:val="single" w:sz="4" w:space="0" w:color="auto"/>
              <w:right w:val="single" w:sz="4" w:space="0" w:color="auto"/>
            </w:tcBorders>
            <w:noWrap/>
            <w:vAlign w:val="bottom"/>
            <w:hideMark/>
          </w:tcPr>
          <w:p w14:paraId="4D82ED2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2,432</w:t>
            </w:r>
          </w:p>
        </w:tc>
        <w:tc>
          <w:tcPr>
            <w:tcW w:w="986" w:type="dxa"/>
            <w:gridSpan w:val="2"/>
            <w:tcBorders>
              <w:top w:val="nil"/>
              <w:left w:val="nil"/>
              <w:bottom w:val="single" w:sz="4" w:space="0" w:color="auto"/>
              <w:right w:val="single" w:sz="4" w:space="0" w:color="auto"/>
            </w:tcBorders>
            <w:noWrap/>
            <w:vAlign w:val="bottom"/>
            <w:hideMark/>
          </w:tcPr>
          <w:p w14:paraId="32D1FB8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2,409</w:t>
            </w:r>
          </w:p>
        </w:tc>
        <w:tc>
          <w:tcPr>
            <w:tcW w:w="1053" w:type="dxa"/>
            <w:tcBorders>
              <w:top w:val="nil"/>
              <w:left w:val="nil"/>
              <w:bottom w:val="single" w:sz="4" w:space="0" w:color="auto"/>
              <w:right w:val="single" w:sz="4" w:space="0" w:color="auto"/>
            </w:tcBorders>
            <w:noWrap/>
            <w:vAlign w:val="bottom"/>
            <w:hideMark/>
          </w:tcPr>
          <w:p w14:paraId="3CAACFD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93</w:t>
            </w:r>
          </w:p>
        </w:tc>
        <w:tc>
          <w:tcPr>
            <w:tcW w:w="1118" w:type="dxa"/>
            <w:gridSpan w:val="2"/>
            <w:tcBorders>
              <w:top w:val="nil"/>
              <w:left w:val="nil"/>
              <w:bottom w:val="single" w:sz="4" w:space="0" w:color="auto"/>
              <w:right w:val="single" w:sz="4" w:space="0" w:color="auto"/>
            </w:tcBorders>
            <w:noWrap/>
            <w:vAlign w:val="bottom"/>
            <w:hideMark/>
          </w:tcPr>
          <w:p w14:paraId="7FF36F1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96</w:t>
            </w:r>
          </w:p>
        </w:tc>
        <w:tc>
          <w:tcPr>
            <w:tcW w:w="1034" w:type="dxa"/>
            <w:tcBorders>
              <w:top w:val="nil"/>
              <w:left w:val="nil"/>
              <w:bottom w:val="single" w:sz="4" w:space="0" w:color="auto"/>
              <w:right w:val="single" w:sz="4" w:space="0" w:color="auto"/>
            </w:tcBorders>
            <w:noWrap/>
            <w:vAlign w:val="bottom"/>
            <w:hideMark/>
          </w:tcPr>
          <w:p w14:paraId="38F9FAA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964" w:type="dxa"/>
            <w:gridSpan w:val="2"/>
            <w:tcBorders>
              <w:top w:val="nil"/>
              <w:left w:val="nil"/>
              <w:bottom w:val="single" w:sz="4" w:space="0" w:color="auto"/>
              <w:right w:val="single" w:sz="4" w:space="0" w:color="auto"/>
            </w:tcBorders>
            <w:noWrap/>
            <w:vAlign w:val="bottom"/>
            <w:hideMark/>
          </w:tcPr>
          <w:p w14:paraId="6912D4E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4.0</w:t>
            </w:r>
          </w:p>
        </w:tc>
      </w:tr>
      <w:tr w:rsidR="003B315D" w:rsidRPr="00BE33FC" w14:paraId="68B990EB"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409CEF28"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Dundalk</w:t>
            </w:r>
          </w:p>
        </w:tc>
        <w:tc>
          <w:tcPr>
            <w:tcW w:w="1053" w:type="dxa"/>
            <w:tcBorders>
              <w:top w:val="nil"/>
              <w:left w:val="nil"/>
              <w:bottom w:val="single" w:sz="4" w:space="0" w:color="auto"/>
              <w:right w:val="single" w:sz="4" w:space="0" w:color="auto"/>
            </w:tcBorders>
            <w:noWrap/>
            <w:vAlign w:val="bottom"/>
            <w:hideMark/>
          </w:tcPr>
          <w:p w14:paraId="5F8F9A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685</w:t>
            </w:r>
          </w:p>
        </w:tc>
        <w:tc>
          <w:tcPr>
            <w:tcW w:w="986" w:type="dxa"/>
            <w:gridSpan w:val="2"/>
            <w:tcBorders>
              <w:top w:val="nil"/>
              <w:left w:val="nil"/>
              <w:bottom w:val="single" w:sz="4" w:space="0" w:color="auto"/>
              <w:right w:val="single" w:sz="4" w:space="0" w:color="auto"/>
            </w:tcBorders>
            <w:noWrap/>
            <w:vAlign w:val="bottom"/>
            <w:hideMark/>
          </w:tcPr>
          <w:p w14:paraId="23162B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653</w:t>
            </w:r>
          </w:p>
        </w:tc>
        <w:tc>
          <w:tcPr>
            <w:tcW w:w="1053" w:type="dxa"/>
            <w:tcBorders>
              <w:top w:val="nil"/>
              <w:left w:val="nil"/>
              <w:bottom w:val="single" w:sz="4" w:space="0" w:color="auto"/>
              <w:right w:val="single" w:sz="4" w:space="0" w:color="auto"/>
            </w:tcBorders>
            <w:noWrap/>
            <w:vAlign w:val="bottom"/>
            <w:hideMark/>
          </w:tcPr>
          <w:p w14:paraId="247EB0B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1118" w:type="dxa"/>
            <w:gridSpan w:val="2"/>
            <w:tcBorders>
              <w:top w:val="nil"/>
              <w:left w:val="nil"/>
              <w:bottom w:val="single" w:sz="4" w:space="0" w:color="auto"/>
              <w:right w:val="single" w:sz="4" w:space="0" w:color="auto"/>
            </w:tcBorders>
            <w:noWrap/>
            <w:vAlign w:val="bottom"/>
            <w:hideMark/>
          </w:tcPr>
          <w:p w14:paraId="2B4E6D9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1034" w:type="dxa"/>
            <w:tcBorders>
              <w:top w:val="nil"/>
              <w:left w:val="nil"/>
              <w:bottom w:val="single" w:sz="4" w:space="0" w:color="auto"/>
              <w:right w:val="single" w:sz="4" w:space="0" w:color="auto"/>
            </w:tcBorders>
            <w:noWrap/>
            <w:vAlign w:val="bottom"/>
            <w:hideMark/>
          </w:tcPr>
          <w:p w14:paraId="7AD01A0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5.0</w:t>
            </w:r>
          </w:p>
        </w:tc>
        <w:tc>
          <w:tcPr>
            <w:tcW w:w="964" w:type="dxa"/>
            <w:gridSpan w:val="2"/>
            <w:tcBorders>
              <w:top w:val="nil"/>
              <w:left w:val="nil"/>
              <w:bottom w:val="single" w:sz="4" w:space="0" w:color="auto"/>
              <w:right w:val="single" w:sz="4" w:space="0" w:color="auto"/>
            </w:tcBorders>
            <w:noWrap/>
            <w:vAlign w:val="bottom"/>
            <w:hideMark/>
          </w:tcPr>
          <w:p w14:paraId="1C83009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5.4</w:t>
            </w:r>
          </w:p>
        </w:tc>
      </w:tr>
      <w:tr w:rsidR="003B315D" w:rsidRPr="00BE33FC" w14:paraId="6C8C5516"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31F963D5"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Galway-Mayo</w:t>
            </w:r>
          </w:p>
        </w:tc>
        <w:tc>
          <w:tcPr>
            <w:tcW w:w="1053" w:type="dxa"/>
            <w:tcBorders>
              <w:top w:val="nil"/>
              <w:left w:val="nil"/>
              <w:bottom w:val="single" w:sz="4" w:space="0" w:color="auto"/>
              <w:right w:val="single" w:sz="4" w:space="0" w:color="auto"/>
            </w:tcBorders>
            <w:noWrap/>
            <w:vAlign w:val="bottom"/>
            <w:hideMark/>
          </w:tcPr>
          <w:p w14:paraId="4777C1C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698</w:t>
            </w:r>
          </w:p>
        </w:tc>
        <w:tc>
          <w:tcPr>
            <w:tcW w:w="986" w:type="dxa"/>
            <w:gridSpan w:val="2"/>
            <w:tcBorders>
              <w:top w:val="nil"/>
              <w:left w:val="nil"/>
              <w:bottom w:val="single" w:sz="4" w:space="0" w:color="auto"/>
              <w:right w:val="single" w:sz="4" w:space="0" w:color="auto"/>
            </w:tcBorders>
            <w:noWrap/>
            <w:vAlign w:val="bottom"/>
            <w:hideMark/>
          </w:tcPr>
          <w:p w14:paraId="5851387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710</w:t>
            </w:r>
          </w:p>
        </w:tc>
        <w:tc>
          <w:tcPr>
            <w:tcW w:w="1053" w:type="dxa"/>
            <w:tcBorders>
              <w:top w:val="nil"/>
              <w:left w:val="nil"/>
              <w:bottom w:val="single" w:sz="4" w:space="0" w:color="auto"/>
              <w:right w:val="single" w:sz="4" w:space="0" w:color="auto"/>
            </w:tcBorders>
            <w:noWrap/>
            <w:vAlign w:val="bottom"/>
            <w:hideMark/>
          </w:tcPr>
          <w:p w14:paraId="3EEF48C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118" w:type="dxa"/>
            <w:gridSpan w:val="2"/>
            <w:tcBorders>
              <w:top w:val="nil"/>
              <w:left w:val="nil"/>
              <w:bottom w:val="single" w:sz="4" w:space="0" w:color="auto"/>
              <w:right w:val="single" w:sz="4" w:space="0" w:color="auto"/>
            </w:tcBorders>
            <w:noWrap/>
            <w:vAlign w:val="bottom"/>
            <w:hideMark/>
          </w:tcPr>
          <w:p w14:paraId="7CC6D7B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34" w:type="dxa"/>
            <w:tcBorders>
              <w:top w:val="nil"/>
              <w:left w:val="nil"/>
              <w:bottom w:val="single" w:sz="4" w:space="0" w:color="auto"/>
              <w:right w:val="single" w:sz="4" w:space="0" w:color="auto"/>
            </w:tcBorders>
            <w:noWrap/>
            <w:vAlign w:val="bottom"/>
            <w:hideMark/>
          </w:tcPr>
          <w:p w14:paraId="734DC1B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w:t>
            </w:r>
          </w:p>
        </w:tc>
        <w:tc>
          <w:tcPr>
            <w:tcW w:w="964" w:type="dxa"/>
            <w:gridSpan w:val="2"/>
            <w:tcBorders>
              <w:top w:val="nil"/>
              <w:left w:val="nil"/>
              <w:bottom w:val="single" w:sz="4" w:space="0" w:color="auto"/>
              <w:right w:val="single" w:sz="4" w:space="0" w:color="auto"/>
            </w:tcBorders>
            <w:noWrap/>
            <w:vAlign w:val="bottom"/>
            <w:hideMark/>
          </w:tcPr>
          <w:p w14:paraId="090DAC0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07D82EAA"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5EA92C12"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Letterkenny</w:t>
            </w:r>
          </w:p>
        </w:tc>
        <w:tc>
          <w:tcPr>
            <w:tcW w:w="1053" w:type="dxa"/>
            <w:tcBorders>
              <w:top w:val="nil"/>
              <w:left w:val="nil"/>
              <w:bottom w:val="single" w:sz="4" w:space="0" w:color="auto"/>
              <w:right w:val="single" w:sz="4" w:space="0" w:color="auto"/>
            </w:tcBorders>
            <w:noWrap/>
            <w:vAlign w:val="bottom"/>
            <w:hideMark/>
          </w:tcPr>
          <w:p w14:paraId="1B0C8AC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361</w:t>
            </w:r>
          </w:p>
        </w:tc>
        <w:tc>
          <w:tcPr>
            <w:tcW w:w="986" w:type="dxa"/>
            <w:gridSpan w:val="2"/>
            <w:tcBorders>
              <w:top w:val="nil"/>
              <w:left w:val="nil"/>
              <w:bottom w:val="single" w:sz="4" w:space="0" w:color="auto"/>
              <w:right w:val="single" w:sz="4" w:space="0" w:color="auto"/>
            </w:tcBorders>
            <w:noWrap/>
            <w:vAlign w:val="bottom"/>
            <w:hideMark/>
          </w:tcPr>
          <w:p w14:paraId="4B34BEC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361</w:t>
            </w:r>
          </w:p>
        </w:tc>
        <w:tc>
          <w:tcPr>
            <w:tcW w:w="1053" w:type="dxa"/>
            <w:tcBorders>
              <w:top w:val="nil"/>
              <w:left w:val="nil"/>
              <w:bottom w:val="single" w:sz="4" w:space="0" w:color="auto"/>
              <w:right w:val="single" w:sz="4" w:space="0" w:color="auto"/>
            </w:tcBorders>
            <w:noWrap/>
            <w:vAlign w:val="bottom"/>
            <w:hideMark/>
          </w:tcPr>
          <w:p w14:paraId="41877A8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118" w:type="dxa"/>
            <w:gridSpan w:val="2"/>
            <w:tcBorders>
              <w:top w:val="nil"/>
              <w:left w:val="nil"/>
              <w:bottom w:val="single" w:sz="4" w:space="0" w:color="auto"/>
              <w:right w:val="single" w:sz="4" w:space="0" w:color="auto"/>
            </w:tcBorders>
            <w:noWrap/>
            <w:vAlign w:val="bottom"/>
            <w:hideMark/>
          </w:tcPr>
          <w:p w14:paraId="0574B3F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34" w:type="dxa"/>
            <w:tcBorders>
              <w:top w:val="nil"/>
              <w:left w:val="nil"/>
              <w:bottom w:val="single" w:sz="4" w:space="0" w:color="auto"/>
              <w:right w:val="single" w:sz="4" w:space="0" w:color="auto"/>
            </w:tcBorders>
            <w:noWrap/>
            <w:vAlign w:val="bottom"/>
            <w:hideMark/>
          </w:tcPr>
          <w:p w14:paraId="692998B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964" w:type="dxa"/>
            <w:gridSpan w:val="2"/>
            <w:tcBorders>
              <w:top w:val="nil"/>
              <w:left w:val="nil"/>
              <w:bottom w:val="single" w:sz="4" w:space="0" w:color="auto"/>
              <w:right w:val="single" w:sz="4" w:space="0" w:color="auto"/>
            </w:tcBorders>
            <w:noWrap/>
            <w:vAlign w:val="bottom"/>
            <w:hideMark/>
          </w:tcPr>
          <w:p w14:paraId="7BD3CFC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r>
      <w:tr w:rsidR="003B315D" w:rsidRPr="00BE33FC" w14:paraId="53E7C0D0"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0B82E9FB"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IT Limerick </w:t>
            </w:r>
          </w:p>
        </w:tc>
        <w:tc>
          <w:tcPr>
            <w:tcW w:w="1053" w:type="dxa"/>
            <w:tcBorders>
              <w:top w:val="nil"/>
              <w:left w:val="nil"/>
              <w:bottom w:val="single" w:sz="4" w:space="0" w:color="auto"/>
              <w:right w:val="single" w:sz="4" w:space="0" w:color="auto"/>
            </w:tcBorders>
            <w:noWrap/>
            <w:vAlign w:val="bottom"/>
            <w:hideMark/>
          </w:tcPr>
          <w:p w14:paraId="3856FAD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618</w:t>
            </w:r>
          </w:p>
        </w:tc>
        <w:tc>
          <w:tcPr>
            <w:tcW w:w="986" w:type="dxa"/>
            <w:gridSpan w:val="2"/>
            <w:tcBorders>
              <w:top w:val="nil"/>
              <w:left w:val="nil"/>
              <w:bottom w:val="single" w:sz="4" w:space="0" w:color="auto"/>
              <w:right w:val="single" w:sz="4" w:space="0" w:color="auto"/>
            </w:tcBorders>
            <w:noWrap/>
            <w:vAlign w:val="bottom"/>
            <w:hideMark/>
          </w:tcPr>
          <w:p w14:paraId="7BE17D2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636</w:t>
            </w:r>
          </w:p>
        </w:tc>
        <w:tc>
          <w:tcPr>
            <w:tcW w:w="1053" w:type="dxa"/>
            <w:tcBorders>
              <w:top w:val="nil"/>
              <w:left w:val="nil"/>
              <w:bottom w:val="single" w:sz="4" w:space="0" w:color="auto"/>
              <w:right w:val="single" w:sz="4" w:space="0" w:color="auto"/>
            </w:tcBorders>
            <w:noWrap/>
            <w:vAlign w:val="bottom"/>
            <w:hideMark/>
          </w:tcPr>
          <w:p w14:paraId="148ABE0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26</w:t>
            </w:r>
          </w:p>
        </w:tc>
        <w:tc>
          <w:tcPr>
            <w:tcW w:w="1118" w:type="dxa"/>
            <w:gridSpan w:val="2"/>
            <w:tcBorders>
              <w:top w:val="nil"/>
              <w:left w:val="nil"/>
              <w:bottom w:val="single" w:sz="4" w:space="0" w:color="auto"/>
              <w:right w:val="single" w:sz="4" w:space="0" w:color="auto"/>
            </w:tcBorders>
            <w:noWrap/>
            <w:vAlign w:val="bottom"/>
            <w:hideMark/>
          </w:tcPr>
          <w:p w14:paraId="29A8AE0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1034" w:type="dxa"/>
            <w:tcBorders>
              <w:top w:val="nil"/>
              <w:left w:val="nil"/>
              <w:bottom w:val="single" w:sz="4" w:space="0" w:color="auto"/>
              <w:right w:val="single" w:sz="4" w:space="0" w:color="auto"/>
            </w:tcBorders>
            <w:noWrap/>
            <w:vAlign w:val="bottom"/>
            <w:hideMark/>
          </w:tcPr>
          <w:p w14:paraId="4729A8DF"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4.2</w:t>
            </w:r>
          </w:p>
        </w:tc>
        <w:tc>
          <w:tcPr>
            <w:tcW w:w="964" w:type="dxa"/>
            <w:gridSpan w:val="2"/>
            <w:tcBorders>
              <w:top w:val="nil"/>
              <w:left w:val="nil"/>
              <w:bottom w:val="single" w:sz="4" w:space="0" w:color="auto"/>
              <w:right w:val="single" w:sz="4" w:space="0" w:color="auto"/>
            </w:tcBorders>
            <w:noWrap/>
            <w:vAlign w:val="bottom"/>
            <w:hideMark/>
          </w:tcPr>
          <w:p w14:paraId="24405AC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4.9</w:t>
            </w:r>
          </w:p>
        </w:tc>
      </w:tr>
      <w:tr w:rsidR="003B315D" w:rsidRPr="00BE33FC" w14:paraId="2882615D"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7CDCC5B3"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Sligo</w:t>
            </w:r>
          </w:p>
        </w:tc>
        <w:tc>
          <w:tcPr>
            <w:tcW w:w="1053" w:type="dxa"/>
            <w:tcBorders>
              <w:top w:val="nil"/>
              <w:left w:val="nil"/>
              <w:bottom w:val="single" w:sz="4" w:space="0" w:color="auto"/>
              <w:right w:val="single" w:sz="4" w:space="0" w:color="auto"/>
            </w:tcBorders>
            <w:noWrap/>
            <w:vAlign w:val="bottom"/>
            <w:hideMark/>
          </w:tcPr>
          <w:p w14:paraId="3C99519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580</w:t>
            </w:r>
          </w:p>
        </w:tc>
        <w:tc>
          <w:tcPr>
            <w:tcW w:w="986" w:type="dxa"/>
            <w:gridSpan w:val="2"/>
            <w:tcBorders>
              <w:top w:val="nil"/>
              <w:left w:val="nil"/>
              <w:bottom w:val="single" w:sz="4" w:space="0" w:color="auto"/>
              <w:right w:val="single" w:sz="4" w:space="0" w:color="auto"/>
            </w:tcBorders>
            <w:noWrap/>
            <w:vAlign w:val="bottom"/>
            <w:hideMark/>
          </w:tcPr>
          <w:p w14:paraId="60DB3D7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613</w:t>
            </w:r>
          </w:p>
        </w:tc>
        <w:tc>
          <w:tcPr>
            <w:tcW w:w="1053" w:type="dxa"/>
            <w:tcBorders>
              <w:top w:val="nil"/>
              <w:left w:val="nil"/>
              <w:bottom w:val="single" w:sz="4" w:space="0" w:color="auto"/>
              <w:right w:val="single" w:sz="4" w:space="0" w:color="auto"/>
            </w:tcBorders>
            <w:noWrap/>
            <w:vAlign w:val="bottom"/>
            <w:hideMark/>
          </w:tcPr>
          <w:p w14:paraId="55D18F2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118" w:type="dxa"/>
            <w:gridSpan w:val="2"/>
            <w:tcBorders>
              <w:top w:val="nil"/>
              <w:left w:val="nil"/>
              <w:bottom w:val="single" w:sz="4" w:space="0" w:color="auto"/>
              <w:right w:val="single" w:sz="4" w:space="0" w:color="auto"/>
            </w:tcBorders>
            <w:noWrap/>
            <w:vAlign w:val="bottom"/>
            <w:hideMark/>
          </w:tcPr>
          <w:p w14:paraId="636E1A0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34" w:type="dxa"/>
            <w:tcBorders>
              <w:top w:val="nil"/>
              <w:left w:val="nil"/>
              <w:bottom w:val="single" w:sz="4" w:space="0" w:color="auto"/>
              <w:right w:val="single" w:sz="4" w:space="0" w:color="auto"/>
            </w:tcBorders>
            <w:noWrap/>
            <w:vAlign w:val="bottom"/>
            <w:hideMark/>
          </w:tcPr>
          <w:p w14:paraId="11EA056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64" w:type="dxa"/>
            <w:gridSpan w:val="2"/>
            <w:tcBorders>
              <w:top w:val="nil"/>
              <w:left w:val="nil"/>
              <w:bottom w:val="single" w:sz="4" w:space="0" w:color="auto"/>
              <w:right w:val="single" w:sz="4" w:space="0" w:color="auto"/>
            </w:tcBorders>
            <w:noWrap/>
            <w:vAlign w:val="bottom"/>
            <w:hideMark/>
          </w:tcPr>
          <w:p w14:paraId="59DDAEA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r>
      <w:tr w:rsidR="003B315D" w:rsidRPr="00BE33FC" w14:paraId="4E8F5C36"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2CDDE9B4"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Tallaght</w:t>
            </w:r>
          </w:p>
        </w:tc>
        <w:tc>
          <w:tcPr>
            <w:tcW w:w="1053" w:type="dxa"/>
            <w:tcBorders>
              <w:top w:val="nil"/>
              <w:left w:val="nil"/>
              <w:bottom w:val="single" w:sz="4" w:space="0" w:color="auto"/>
              <w:right w:val="single" w:sz="4" w:space="0" w:color="auto"/>
            </w:tcBorders>
            <w:noWrap/>
            <w:vAlign w:val="bottom"/>
            <w:hideMark/>
          </w:tcPr>
          <w:p w14:paraId="585B6BB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451</w:t>
            </w:r>
          </w:p>
        </w:tc>
        <w:tc>
          <w:tcPr>
            <w:tcW w:w="986" w:type="dxa"/>
            <w:gridSpan w:val="2"/>
            <w:tcBorders>
              <w:top w:val="nil"/>
              <w:left w:val="nil"/>
              <w:bottom w:val="single" w:sz="4" w:space="0" w:color="auto"/>
              <w:right w:val="single" w:sz="4" w:space="0" w:color="auto"/>
            </w:tcBorders>
            <w:noWrap/>
            <w:vAlign w:val="bottom"/>
            <w:hideMark/>
          </w:tcPr>
          <w:p w14:paraId="464036B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469</w:t>
            </w:r>
          </w:p>
        </w:tc>
        <w:tc>
          <w:tcPr>
            <w:tcW w:w="1053" w:type="dxa"/>
            <w:tcBorders>
              <w:top w:val="nil"/>
              <w:left w:val="nil"/>
              <w:bottom w:val="single" w:sz="4" w:space="0" w:color="auto"/>
              <w:right w:val="single" w:sz="4" w:space="0" w:color="auto"/>
            </w:tcBorders>
            <w:noWrap/>
            <w:vAlign w:val="bottom"/>
            <w:hideMark/>
          </w:tcPr>
          <w:p w14:paraId="287F6E7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118" w:type="dxa"/>
            <w:gridSpan w:val="2"/>
            <w:tcBorders>
              <w:top w:val="nil"/>
              <w:left w:val="nil"/>
              <w:bottom w:val="single" w:sz="4" w:space="0" w:color="auto"/>
              <w:right w:val="single" w:sz="4" w:space="0" w:color="auto"/>
            </w:tcBorders>
            <w:noWrap/>
            <w:vAlign w:val="bottom"/>
            <w:hideMark/>
          </w:tcPr>
          <w:p w14:paraId="3BBD5AE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w:t>
            </w:r>
          </w:p>
        </w:tc>
        <w:tc>
          <w:tcPr>
            <w:tcW w:w="1034" w:type="dxa"/>
            <w:tcBorders>
              <w:top w:val="nil"/>
              <w:left w:val="nil"/>
              <w:bottom w:val="single" w:sz="4" w:space="0" w:color="auto"/>
              <w:right w:val="single" w:sz="4" w:space="0" w:color="auto"/>
            </w:tcBorders>
            <w:noWrap/>
            <w:vAlign w:val="bottom"/>
            <w:hideMark/>
          </w:tcPr>
          <w:p w14:paraId="6A54B53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964" w:type="dxa"/>
            <w:gridSpan w:val="2"/>
            <w:tcBorders>
              <w:top w:val="nil"/>
              <w:left w:val="nil"/>
              <w:bottom w:val="single" w:sz="4" w:space="0" w:color="auto"/>
              <w:right w:val="single" w:sz="4" w:space="0" w:color="auto"/>
            </w:tcBorders>
            <w:noWrap/>
            <w:vAlign w:val="bottom"/>
            <w:hideMark/>
          </w:tcPr>
          <w:p w14:paraId="4EB9F240"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3.2</w:t>
            </w:r>
          </w:p>
        </w:tc>
      </w:tr>
      <w:tr w:rsidR="003B315D" w:rsidRPr="00BE33FC" w14:paraId="1AC556C0"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6CD17116"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Tralee</w:t>
            </w:r>
          </w:p>
        </w:tc>
        <w:tc>
          <w:tcPr>
            <w:tcW w:w="1053" w:type="dxa"/>
            <w:tcBorders>
              <w:top w:val="nil"/>
              <w:left w:val="nil"/>
              <w:bottom w:val="single" w:sz="4" w:space="0" w:color="auto"/>
              <w:right w:val="single" w:sz="4" w:space="0" w:color="auto"/>
            </w:tcBorders>
            <w:noWrap/>
            <w:vAlign w:val="bottom"/>
            <w:hideMark/>
          </w:tcPr>
          <w:p w14:paraId="39EC414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383</w:t>
            </w:r>
          </w:p>
        </w:tc>
        <w:tc>
          <w:tcPr>
            <w:tcW w:w="986" w:type="dxa"/>
            <w:gridSpan w:val="2"/>
            <w:tcBorders>
              <w:top w:val="nil"/>
              <w:left w:val="nil"/>
              <w:bottom w:val="single" w:sz="4" w:space="0" w:color="auto"/>
              <w:right w:val="single" w:sz="4" w:space="0" w:color="auto"/>
            </w:tcBorders>
            <w:noWrap/>
            <w:vAlign w:val="bottom"/>
            <w:hideMark/>
          </w:tcPr>
          <w:p w14:paraId="3791AE1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402</w:t>
            </w:r>
          </w:p>
        </w:tc>
        <w:tc>
          <w:tcPr>
            <w:tcW w:w="1053" w:type="dxa"/>
            <w:tcBorders>
              <w:top w:val="nil"/>
              <w:left w:val="nil"/>
              <w:bottom w:val="single" w:sz="4" w:space="0" w:color="auto"/>
              <w:right w:val="single" w:sz="4" w:space="0" w:color="auto"/>
            </w:tcBorders>
            <w:noWrap/>
            <w:vAlign w:val="bottom"/>
            <w:hideMark/>
          </w:tcPr>
          <w:p w14:paraId="6AD08C0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1118" w:type="dxa"/>
            <w:gridSpan w:val="2"/>
            <w:tcBorders>
              <w:top w:val="nil"/>
              <w:left w:val="nil"/>
              <w:bottom w:val="single" w:sz="4" w:space="0" w:color="auto"/>
              <w:right w:val="single" w:sz="4" w:space="0" w:color="auto"/>
            </w:tcBorders>
            <w:noWrap/>
            <w:vAlign w:val="bottom"/>
            <w:hideMark/>
          </w:tcPr>
          <w:p w14:paraId="5D9818E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34" w:type="dxa"/>
            <w:tcBorders>
              <w:top w:val="nil"/>
              <w:left w:val="nil"/>
              <w:bottom w:val="single" w:sz="4" w:space="0" w:color="auto"/>
              <w:right w:val="single" w:sz="4" w:space="0" w:color="auto"/>
            </w:tcBorders>
            <w:noWrap/>
            <w:vAlign w:val="bottom"/>
            <w:hideMark/>
          </w:tcPr>
          <w:p w14:paraId="2EFFDFE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64" w:type="dxa"/>
            <w:gridSpan w:val="2"/>
            <w:tcBorders>
              <w:top w:val="nil"/>
              <w:left w:val="nil"/>
              <w:bottom w:val="single" w:sz="4" w:space="0" w:color="auto"/>
              <w:right w:val="single" w:sz="4" w:space="0" w:color="auto"/>
            </w:tcBorders>
            <w:noWrap/>
            <w:vAlign w:val="bottom"/>
            <w:hideMark/>
          </w:tcPr>
          <w:p w14:paraId="293CC10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r>
      <w:tr w:rsidR="003B315D" w:rsidRPr="00BE33FC" w14:paraId="12EF951D"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1F9DC23E"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Waterford</w:t>
            </w:r>
          </w:p>
        </w:tc>
        <w:tc>
          <w:tcPr>
            <w:tcW w:w="1053" w:type="dxa"/>
            <w:tcBorders>
              <w:top w:val="nil"/>
              <w:left w:val="nil"/>
              <w:bottom w:val="single" w:sz="4" w:space="0" w:color="auto"/>
              <w:right w:val="single" w:sz="4" w:space="0" w:color="auto"/>
            </w:tcBorders>
            <w:noWrap/>
            <w:vAlign w:val="bottom"/>
            <w:hideMark/>
          </w:tcPr>
          <w:p w14:paraId="02318AB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983</w:t>
            </w:r>
          </w:p>
        </w:tc>
        <w:tc>
          <w:tcPr>
            <w:tcW w:w="986" w:type="dxa"/>
            <w:gridSpan w:val="2"/>
            <w:tcBorders>
              <w:top w:val="nil"/>
              <w:left w:val="nil"/>
              <w:bottom w:val="single" w:sz="4" w:space="0" w:color="auto"/>
              <w:right w:val="single" w:sz="4" w:space="0" w:color="auto"/>
            </w:tcBorders>
            <w:noWrap/>
            <w:vAlign w:val="bottom"/>
            <w:hideMark/>
          </w:tcPr>
          <w:p w14:paraId="41A4095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1,007</w:t>
            </w:r>
          </w:p>
        </w:tc>
        <w:tc>
          <w:tcPr>
            <w:tcW w:w="1053" w:type="dxa"/>
            <w:tcBorders>
              <w:top w:val="nil"/>
              <w:left w:val="nil"/>
              <w:bottom w:val="single" w:sz="4" w:space="0" w:color="auto"/>
              <w:right w:val="single" w:sz="4" w:space="0" w:color="auto"/>
            </w:tcBorders>
            <w:noWrap/>
            <w:vAlign w:val="bottom"/>
            <w:hideMark/>
          </w:tcPr>
          <w:p w14:paraId="4D072D8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27</w:t>
            </w:r>
          </w:p>
        </w:tc>
        <w:tc>
          <w:tcPr>
            <w:tcW w:w="1118" w:type="dxa"/>
            <w:gridSpan w:val="2"/>
            <w:tcBorders>
              <w:top w:val="nil"/>
              <w:left w:val="nil"/>
              <w:bottom w:val="single" w:sz="4" w:space="0" w:color="auto"/>
              <w:right w:val="single" w:sz="4" w:space="0" w:color="auto"/>
            </w:tcBorders>
            <w:noWrap/>
            <w:vAlign w:val="bottom"/>
            <w:hideMark/>
          </w:tcPr>
          <w:p w14:paraId="276AFD4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w:t>
            </w:r>
          </w:p>
        </w:tc>
        <w:tc>
          <w:tcPr>
            <w:tcW w:w="1034" w:type="dxa"/>
            <w:tcBorders>
              <w:top w:val="nil"/>
              <w:left w:val="nil"/>
              <w:bottom w:val="single" w:sz="4" w:space="0" w:color="auto"/>
              <w:right w:val="single" w:sz="4" w:space="0" w:color="auto"/>
            </w:tcBorders>
            <w:noWrap/>
            <w:vAlign w:val="bottom"/>
            <w:hideMark/>
          </w:tcPr>
          <w:p w14:paraId="4E84113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2.7</w:t>
            </w:r>
          </w:p>
        </w:tc>
        <w:tc>
          <w:tcPr>
            <w:tcW w:w="964" w:type="dxa"/>
            <w:gridSpan w:val="2"/>
            <w:tcBorders>
              <w:top w:val="nil"/>
              <w:left w:val="nil"/>
              <w:bottom w:val="single" w:sz="4" w:space="0" w:color="auto"/>
              <w:right w:val="single" w:sz="4" w:space="0" w:color="auto"/>
            </w:tcBorders>
            <w:noWrap/>
            <w:vAlign w:val="bottom"/>
            <w:hideMark/>
          </w:tcPr>
          <w:p w14:paraId="3B96600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w:t>
            </w:r>
          </w:p>
        </w:tc>
      </w:tr>
      <w:tr w:rsidR="003B315D" w:rsidRPr="00BE33FC" w14:paraId="34DAD444"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0C382A78" w14:textId="77777777" w:rsidR="003B315D" w:rsidRPr="00BE33FC" w:rsidRDefault="003B315D" w:rsidP="006D697C">
            <w:pPr>
              <w:ind w:firstLineChars="10" w:firstLine="22"/>
              <w:rPr>
                <w:rFonts w:ascii="Gill Sans MT" w:hAnsi="Gill Sans MT"/>
                <w:color w:val="000000"/>
                <w:sz w:val="22"/>
                <w:szCs w:val="22"/>
                <w:lang w:eastAsia="en-IE"/>
              </w:rPr>
            </w:pPr>
            <w:proofErr w:type="spellStart"/>
            <w:r w:rsidRPr="00BE33FC">
              <w:rPr>
                <w:rFonts w:ascii="Gill Sans MT" w:hAnsi="Gill Sans MT" w:cs="Arial"/>
                <w:sz w:val="22"/>
                <w:szCs w:val="22"/>
              </w:rPr>
              <w:t>Leargas</w:t>
            </w:r>
            <w:proofErr w:type="spellEnd"/>
            <w:r w:rsidRPr="00BE33FC">
              <w:rPr>
                <w:rFonts w:ascii="Gill Sans MT" w:hAnsi="Gill Sans MT" w:cs="Arial"/>
                <w:sz w:val="22"/>
                <w:szCs w:val="22"/>
              </w:rPr>
              <w:t xml:space="preserve"> </w:t>
            </w:r>
          </w:p>
        </w:tc>
        <w:tc>
          <w:tcPr>
            <w:tcW w:w="1053" w:type="dxa"/>
            <w:tcBorders>
              <w:top w:val="nil"/>
              <w:left w:val="nil"/>
              <w:bottom w:val="single" w:sz="4" w:space="0" w:color="auto"/>
              <w:right w:val="single" w:sz="4" w:space="0" w:color="auto"/>
            </w:tcBorders>
            <w:noWrap/>
            <w:vAlign w:val="bottom"/>
            <w:hideMark/>
          </w:tcPr>
          <w:p w14:paraId="61C1E22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w:t>
            </w:r>
          </w:p>
        </w:tc>
        <w:tc>
          <w:tcPr>
            <w:tcW w:w="986" w:type="dxa"/>
            <w:gridSpan w:val="2"/>
            <w:tcBorders>
              <w:top w:val="nil"/>
              <w:left w:val="nil"/>
              <w:bottom w:val="single" w:sz="4" w:space="0" w:color="auto"/>
              <w:right w:val="single" w:sz="4" w:space="0" w:color="auto"/>
            </w:tcBorders>
            <w:noWrap/>
            <w:vAlign w:val="bottom"/>
            <w:hideMark/>
          </w:tcPr>
          <w:p w14:paraId="660E0AF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1053" w:type="dxa"/>
            <w:tcBorders>
              <w:top w:val="nil"/>
              <w:left w:val="nil"/>
              <w:bottom w:val="single" w:sz="4" w:space="0" w:color="auto"/>
              <w:right w:val="single" w:sz="4" w:space="0" w:color="auto"/>
            </w:tcBorders>
            <w:noWrap/>
            <w:vAlign w:val="bottom"/>
            <w:hideMark/>
          </w:tcPr>
          <w:p w14:paraId="43C6CDC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118" w:type="dxa"/>
            <w:gridSpan w:val="2"/>
            <w:tcBorders>
              <w:top w:val="nil"/>
              <w:left w:val="nil"/>
              <w:bottom w:val="single" w:sz="4" w:space="0" w:color="auto"/>
              <w:right w:val="single" w:sz="4" w:space="0" w:color="auto"/>
            </w:tcBorders>
            <w:noWrap/>
            <w:vAlign w:val="bottom"/>
            <w:hideMark/>
          </w:tcPr>
          <w:p w14:paraId="3CD0A89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4" w:type="dxa"/>
            <w:tcBorders>
              <w:top w:val="nil"/>
              <w:left w:val="nil"/>
              <w:bottom w:val="single" w:sz="4" w:space="0" w:color="auto"/>
              <w:right w:val="single" w:sz="4" w:space="0" w:color="auto"/>
            </w:tcBorders>
            <w:noWrap/>
            <w:vAlign w:val="bottom"/>
            <w:hideMark/>
          </w:tcPr>
          <w:p w14:paraId="2BE0F1F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10.9</w:t>
            </w:r>
          </w:p>
        </w:tc>
        <w:tc>
          <w:tcPr>
            <w:tcW w:w="964" w:type="dxa"/>
            <w:gridSpan w:val="2"/>
            <w:tcBorders>
              <w:top w:val="nil"/>
              <w:left w:val="nil"/>
              <w:bottom w:val="single" w:sz="4" w:space="0" w:color="auto"/>
              <w:right w:val="single" w:sz="4" w:space="0" w:color="auto"/>
            </w:tcBorders>
            <w:noWrap/>
            <w:vAlign w:val="bottom"/>
            <w:hideMark/>
          </w:tcPr>
          <w:p w14:paraId="6FAF584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7.3</w:t>
            </w:r>
          </w:p>
        </w:tc>
      </w:tr>
      <w:tr w:rsidR="003B315D" w:rsidRPr="00BE33FC" w14:paraId="4A7283D0"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hideMark/>
          </w:tcPr>
          <w:p w14:paraId="4A0E1656"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National College of Art and Design (NCAD)</w:t>
            </w:r>
          </w:p>
        </w:tc>
        <w:tc>
          <w:tcPr>
            <w:tcW w:w="1053" w:type="dxa"/>
            <w:tcBorders>
              <w:top w:val="nil"/>
              <w:left w:val="nil"/>
              <w:bottom w:val="single" w:sz="4" w:space="0" w:color="auto"/>
              <w:right w:val="single" w:sz="4" w:space="0" w:color="auto"/>
            </w:tcBorders>
            <w:noWrap/>
            <w:hideMark/>
          </w:tcPr>
          <w:p w14:paraId="197BAEB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133</w:t>
            </w:r>
          </w:p>
        </w:tc>
        <w:tc>
          <w:tcPr>
            <w:tcW w:w="986" w:type="dxa"/>
            <w:gridSpan w:val="2"/>
            <w:tcBorders>
              <w:top w:val="nil"/>
              <w:left w:val="nil"/>
              <w:bottom w:val="single" w:sz="4" w:space="0" w:color="auto"/>
              <w:right w:val="single" w:sz="4" w:space="0" w:color="auto"/>
            </w:tcBorders>
            <w:noWrap/>
            <w:hideMark/>
          </w:tcPr>
          <w:p w14:paraId="38EA9BA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133</w:t>
            </w:r>
          </w:p>
        </w:tc>
        <w:tc>
          <w:tcPr>
            <w:tcW w:w="1053" w:type="dxa"/>
            <w:tcBorders>
              <w:top w:val="nil"/>
              <w:left w:val="nil"/>
              <w:bottom w:val="single" w:sz="4" w:space="0" w:color="auto"/>
              <w:right w:val="single" w:sz="4" w:space="0" w:color="auto"/>
            </w:tcBorders>
            <w:noWrap/>
            <w:hideMark/>
          </w:tcPr>
          <w:p w14:paraId="1B61B16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8" w:type="dxa"/>
            <w:gridSpan w:val="2"/>
            <w:tcBorders>
              <w:top w:val="nil"/>
              <w:left w:val="nil"/>
              <w:bottom w:val="single" w:sz="4" w:space="0" w:color="auto"/>
              <w:right w:val="single" w:sz="4" w:space="0" w:color="auto"/>
            </w:tcBorders>
            <w:noWrap/>
            <w:hideMark/>
          </w:tcPr>
          <w:p w14:paraId="0DDF998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4" w:type="dxa"/>
            <w:tcBorders>
              <w:top w:val="nil"/>
              <w:left w:val="nil"/>
              <w:bottom w:val="single" w:sz="4" w:space="0" w:color="auto"/>
              <w:right w:val="single" w:sz="4" w:space="0" w:color="auto"/>
            </w:tcBorders>
            <w:noWrap/>
            <w:hideMark/>
          </w:tcPr>
          <w:p w14:paraId="5612ADF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3.0</w:t>
            </w:r>
          </w:p>
        </w:tc>
        <w:tc>
          <w:tcPr>
            <w:tcW w:w="964" w:type="dxa"/>
            <w:gridSpan w:val="2"/>
            <w:tcBorders>
              <w:top w:val="nil"/>
              <w:left w:val="nil"/>
              <w:bottom w:val="single" w:sz="4" w:space="0" w:color="auto"/>
              <w:right w:val="single" w:sz="4" w:space="0" w:color="auto"/>
            </w:tcBorders>
            <w:noWrap/>
            <w:hideMark/>
          </w:tcPr>
          <w:p w14:paraId="25A873E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0.8</w:t>
            </w:r>
          </w:p>
        </w:tc>
      </w:tr>
      <w:tr w:rsidR="003B315D" w:rsidRPr="00BE33FC" w14:paraId="7ABE5921"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hideMark/>
          </w:tcPr>
          <w:p w14:paraId="26378CD1"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Quality and Qualifications Ireland</w:t>
            </w:r>
          </w:p>
        </w:tc>
        <w:tc>
          <w:tcPr>
            <w:tcW w:w="1053" w:type="dxa"/>
            <w:tcBorders>
              <w:top w:val="nil"/>
              <w:left w:val="nil"/>
              <w:bottom w:val="single" w:sz="4" w:space="0" w:color="auto"/>
              <w:right w:val="single" w:sz="4" w:space="0" w:color="auto"/>
            </w:tcBorders>
            <w:noWrap/>
            <w:hideMark/>
          </w:tcPr>
          <w:p w14:paraId="3C2207F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74</w:t>
            </w:r>
          </w:p>
        </w:tc>
        <w:tc>
          <w:tcPr>
            <w:tcW w:w="986" w:type="dxa"/>
            <w:gridSpan w:val="2"/>
            <w:tcBorders>
              <w:top w:val="nil"/>
              <w:left w:val="nil"/>
              <w:bottom w:val="single" w:sz="4" w:space="0" w:color="auto"/>
              <w:right w:val="single" w:sz="4" w:space="0" w:color="auto"/>
            </w:tcBorders>
            <w:noWrap/>
            <w:hideMark/>
          </w:tcPr>
          <w:p w14:paraId="00995B7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74</w:t>
            </w:r>
          </w:p>
        </w:tc>
        <w:tc>
          <w:tcPr>
            <w:tcW w:w="1053" w:type="dxa"/>
            <w:tcBorders>
              <w:top w:val="nil"/>
              <w:left w:val="nil"/>
              <w:bottom w:val="single" w:sz="4" w:space="0" w:color="auto"/>
              <w:right w:val="single" w:sz="4" w:space="0" w:color="auto"/>
            </w:tcBorders>
            <w:noWrap/>
            <w:hideMark/>
          </w:tcPr>
          <w:p w14:paraId="165797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8" w:type="dxa"/>
            <w:gridSpan w:val="2"/>
            <w:tcBorders>
              <w:top w:val="nil"/>
              <w:left w:val="nil"/>
              <w:bottom w:val="single" w:sz="4" w:space="0" w:color="auto"/>
              <w:right w:val="single" w:sz="4" w:space="0" w:color="auto"/>
            </w:tcBorders>
            <w:noWrap/>
            <w:hideMark/>
          </w:tcPr>
          <w:p w14:paraId="3959730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34" w:type="dxa"/>
            <w:tcBorders>
              <w:top w:val="nil"/>
              <w:left w:val="nil"/>
              <w:bottom w:val="single" w:sz="4" w:space="0" w:color="auto"/>
              <w:right w:val="single" w:sz="4" w:space="0" w:color="auto"/>
            </w:tcBorders>
            <w:noWrap/>
            <w:hideMark/>
          </w:tcPr>
          <w:p w14:paraId="379F1353" w14:textId="77777777" w:rsidR="003B315D" w:rsidRPr="00BE33FC" w:rsidRDefault="003B315D" w:rsidP="006D697C">
            <w:pPr>
              <w:jc w:val="right"/>
              <w:rPr>
                <w:rFonts w:ascii="Gill Sans MT" w:hAnsi="Gill Sans MT" w:cs="Arial"/>
                <w:bCs/>
                <w:color w:val="000000"/>
                <w:sz w:val="22"/>
                <w:szCs w:val="22"/>
                <w:lang w:eastAsia="en-IE"/>
              </w:rPr>
            </w:pPr>
            <w:r w:rsidRPr="00BE33FC">
              <w:rPr>
                <w:rFonts w:ascii="Gill Sans MT" w:hAnsi="Gill Sans MT" w:cs="Arial"/>
                <w:sz w:val="22"/>
                <w:szCs w:val="22"/>
              </w:rPr>
              <w:t>4.1</w:t>
            </w:r>
          </w:p>
        </w:tc>
        <w:tc>
          <w:tcPr>
            <w:tcW w:w="964" w:type="dxa"/>
            <w:gridSpan w:val="2"/>
            <w:tcBorders>
              <w:top w:val="nil"/>
              <w:left w:val="nil"/>
              <w:bottom w:val="single" w:sz="4" w:space="0" w:color="auto"/>
              <w:right w:val="single" w:sz="4" w:space="0" w:color="auto"/>
            </w:tcBorders>
            <w:noWrap/>
            <w:hideMark/>
          </w:tcPr>
          <w:p w14:paraId="6CB51A49" w14:textId="77777777" w:rsidR="003B315D" w:rsidRPr="00BE33FC" w:rsidRDefault="003B315D" w:rsidP="006D697C">
            <w:pPr>
              <w:jc w:val="right"/>
              <w:rPr>
                <w:rFonts w:ascii="Gill Sans MT" w:hAnsi="Gill Sans MT" w:cs="Arial"/>
                <w:bCs/>
                <w:color w:val="000000"/>
                <w:sz w:val="22"/>
                <w:szCs w:val="22"/>
                <w:lang w:eastAsia="en-IE"/>
              </w:rPr>
            </w:pPr>
            <w:r w:rsidRPr="00BE33FC">
              <w:rPr>
                <w:rFonts w:ascii="Gill Sans MT" w:hAnsi="Gill Sans MT" w:cs="Arial"/>
                <w:sz w:val="22"/>
                <w:szCs w:val="22"/>
              </w:rPr>
              <w:t>4.1</w:t>
            </w:r>
          </w:p>
        </w:tc>
      </w:tr>
      <w:tr w:rsidR="003B315D" w:rsidRPr="00BE33FC" w14:paraId="5C7BBCA2"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hideMark/>
          </w:tcPr>
          <w:p w14:paraId="736E3581"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lastRenderedPageBreak/>
              <w:t>SOLAS - Further Education &amp; Training Authority</w:t>
            </w:r>
          </w:p>
        </w:tc>
        <w:tc>
          <w:tcPr>
            <w:tcW w:w="1053" w:type="dxa"/>
            <w:tcBorders>
              <w:top w:val="nil"/>
              <w:left w:val="nil"/>
              <w:bottom w:val="single" w:sz="4" w:space="0" w:color="auto"/>
              <w:right w:val="single" w:sz="4" w:space="0" w:color="auto"/>
            </w:tcBorders>
            <w:noWrap/>
            <w:hideMark/>
          </w:tcPr>
          <w:p w14:paraId="660793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187</w:t>
            </w:r>
          </w:p>
        </w:tc>
        <w:tc>
          <w:tcPr>
            <w:tcW w:w="986" w:type="dxa"/>
            <w:gridSpan w:val="2"/>
            <w:tcBorders>
              <w:top w:val="nil"/>
              <w:left w:val="nil"/>
              <w:bottom w:val="single" w:sz="4" w:space="0" w:color="auto"/>
              <w:right w:val="single" w:sz="4" w:space="0" w:color="auto"/>
            </w:tcBorders>
            <w:noWrap/>
            <w:hideMark/>
          </w:tcPr>
          <w:p w14:paraId="4BA1E11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212</w:t>
            </w:r>
          </w:p>
        </w:tc>
        <w:tc>
          <w:tcPr>
            <w:tcW w:w="1053" w:type="dxa"/>
            <w:tcBorders>
              <w:top w:val="nil"/>
              <w:left w:val="nil"/>
              <w:bottom w:val="single" w:sz="4" w:space="0" w:color="auto"/>
              <w:right w:val="single" w:sz="4" w:space="0" w:color="auto"/>
            </w:tcBorders>
            <w:noWrap/>
            <w:hideMark/>
          </w:tcPr>
          <w:p w14:paraId="1C45417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1118" w:type="dxa"/>
            <w:gridSpan w:val="2"/>
            <w:tcBorders>
              <w:top w:val="nil"/>
              <w:left w:val="nil"/>
              <w:bottom w:val="single" w:sz="4" w:space="0" w:color="auto"/>
              <w:right w:val="single" w:sz="4" w:space="0" w:color="auto"/>
            </w:tcBorders>
            <w:noWrap/>
            <w:hideMark/>
          </w:tcPr>
          <w:p w14:paraId="27ED53B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1034" w:type="dxa"/>
            <w:tcBorders>
              <w:top w:val="nil"/>
              <w:left w:val="nil"/>
              <w:bottom w:val="single" w:sz="4" w:space="0" w:color="auto"/>
              <w:right w:val="single" w:sz="4" w:space="0" w:color="auto"/>
            </w:tcBorders>
            <w:noWrap/>
            <w:hideMark/>
          </w:tcPr>
          <w:p w14:paraId="56B1530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8.6</w:t>
            </w:r>
          </w:p>
        </w:tc>
        <w:tc>
          <w:tcPr>
            <w:tcW w:w="964" w:type="dxa"/>
            <w:gridSpan w:val="2"/>
            <w:tcBorders>
              <w:top w:val="nil"/>
              <w:left w:val="nil"/>
              <w:bottom w:val="single" w:sz="4" w:space="0" w:color="auto"/>
              <w:right w:val="single" w:sz="4" w:space="0" w:color="auto"/>
            </w:tcBorders>
            <w:noWrap/>
            <w:hideMark/>
          </w:tcPr>
          <w:p w14:paraId="6BCAC1D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8.5</w:t>
            </w:r>
          </w:p>
        </w:tc>
      </w:tr>
      <w:tr w:rsidR="003B315D" w:rsidRPr="00BE33FC" w14:paraId="33964829" w14:textId="77777777" w:rsidTr="00B961C4">
        <w:tc>
          <w:tcPr>
            <w:tcW w:w="2506" w:type="dxa"/>
          </w:tcPr>
          <w:p w14:paraId="1200772F" w14:textId="77777777" w:rsidR="003B315D" w:rsidRPr="00BE33FC" w:rsidRDefault="003B315D" w:rsidP="006D697C">
            <w:pPr>
              <w:ind w:firstLineChars="10" w:firstLine="22"/>
              <w:rPr>
                <w:rFonts w:ascii="Gill Sans MT" w:hAnsi="Gill Sans MT"/>
                <w:b/>
                <w:sz w:val="22"/>
                <w:szCs w:val="22"/>
              </w:rPr>
            </w:pPr>
            <w:r w:rsidRPr="00BE33FC">
              <w:rPr>
                <w:rFonts w:ascii="Gill Sans MT" w:hAnsi="Gill Sans MT"/>
                <w:b/>
                <w:sz w:val="22"/>
                <w:szCs w:val="22"/>
              </w:rPr>
              <w:t>Grand Total</w:t>
            </w:r>
          </w:p>
        </w:tc>
        <w:tc>
          <w:tcPr>
            <w:tcW w:w="1053" w:type="dxa"/>
            <w:tcBorders>
              <w:top w:val="single" w:sz="4" w:space="0" w:color="auto"/>
              <w:left w:val="single" w:sz="4" w:space="0" w:color="auto"/>
              <w:bottom w:val="single" w:sz="4" w:space="0" w:color="auto"/>
              <w:right w:val="single" w:sz="4" w:space="0" w:color="auto"/>
            </w:tcBorders>
            <w:vAlign w:val="bottom"/>
          </w:tcPr>
          <w:p w14:paraId="36E901DE"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11,132</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23F9798B"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11,314</w:t>
            </w:r>
          </w:p>
        </w:tc>
        <w:tc>
          <w:tcPr>
            <w:tcW w:w="1053" w:type="dxa"/>
            <w:tcBorders>
              <w:top w:val="single" w:sz="4" w:space="0" w:color="auto"/>
              <w:left w:val="single" w:sz="4" w:space="0" w:color="auto"/>
              <w:bottom w:val="single" w:sz="4" w:space="0" w:color="auto"/>
              <w:right w:val="single" w:sz="4" w:space="0" w:color="auto"/>
            </w:tcBorders>
            <w:vAlign w:val="bottom"/>
          </w:tcPr>
          <w:p w14:paraId="34B87F72"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444</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24FE09DD"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462</w:t>
            </w:r>
          </w:p>
        </w:tc>
        <w:tc>
          <w:tcPr>
            <w:tcW w:w="1034" w:type="dxa"/>
            <w:tcBorders>
              <w:top w:val="single" w:sz="4" w:space="0" w:color="auto"/>
              <w:left w:val="nil"/>
              <w:bottom w:val="single" w:sz="4" w:space="0" w:color="auto"/>
              <w:right w:val="single" w:sz="4" w:space="0" w:color="auto"/>
            </w:tcBorders>
            <w:vAlign w:val="bottom"/>
          </w:tcPr>
          <w:p w14:paraId="40CD27C5"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4.0</w:t>
            </w:r>
          </w:p>
        </w:tc>
        <w:tc>
          <w:tcPr>
            <w:tcW w:w="964" w:type="dxa"/>
            <w:gridSpan w:val="2"/>
            <w:tcBorders>
              <w:top w:val="single" w:sz="4" w:space="0" w:color="auto"/>
              <w:left w:val="nil"/>
              <w:bottom w:val="single" w:sz="4" w:space="0" w:color="auto"/>
              <w:right w:val="single" w:sz="4" w:space="0" w:color="auto"/>
            </w:tcBorders>
            <w:vAlign w:val="bottom"/>
          </w:tcPr>
          <w:p w14:paraId="197B8B28"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4.1</w:t>
            </w:r>
          </w:p>
        </w:tc>
      </w:tr>
    </w:tbl>
    <w:p w14:paraId="275B2370" w14:textId="77777777" w:rsidR="003B315D" w:rsidRPr="00CC4F07" w:rsidRDefault="003B315D" w:rsidP="003B315D"/>
    <w:p w14:paraId="26288F4C" w14:textId="3856C8D8" w:rsidR="003B315D" w:rsidRPr="00CC4F07" w:rsidRDefault="003B315D" w:rsidP="003B315D">
      <w:pPr>
        <w:rPr>
          <w:b/>
        </w:rPr>
      </w:pPr>
      <w:r w:rsidRPr="00CC4F07">
        <w:rPr>
          <w:b/>
        </w:rPr>
        <w:t xml:space="preserve">Department of Employment Affairs &amp; Social Protection </w:t>
      </w:r>
    </w:p>
    <w:tbl>
      <w:tblPr>
        <w:tblStyle w:val="TableGrid"/>
        <w:tblW w:w="0" w:type="auto"/>
        <w:tblLook w:val="04A0" w:firstRow="1" w:lastRow="0" w:firstColumn="1" w:lastColumn="0" w:noHBand="0" w:noVBand="1"/>
        <w:tblCaption w:val="Appendix B Public bodies"/>
        <w:tblDescription w:val="Department of Employment Affairs and Social Protection (comparison made to Department of Social Protection 2016)"/>
      </w:tblPr>
      <w:tblGrid>
        <w:gridCol w:w="2506"/>
        <w:gridCol w:w="1053"/>
        <w:gridCol w:w="350"/>
        <w:gridCol w:w="636"/>
        <w:gridCol w:w="1053"/>
        <w:gridCol w:w="830"/>
        <w:gridCol w:w="288"/>
        <w:gridCol w:w="1034"/>
        <w:gridCol w:w="718"/>
        <w:gridCol w:w="246"/>
      </w:tblGrid>
      <w:tr w:rsidR="003B315D" w:rsidRPr="00BE33FC" w14:paraId="78A702AC" w14:textId="77777777" w:rsidTr="00B961C4">
        <w:tc>
          <w:tcPr>
            <w:tcW w:w="2506" w:type="dxa"/>
          </w:tcPr>
          <w:p w14:paraId="7D0E146C"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403" w:type="dxa"/>
            <w:gridSpan w:val="2"/>
            <w:tcBorders>
              <w:right w:val="nil"/>
            </w:tcBorders>
          </w:tcPr>
          <w:p w14:paraId="20326DD2"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xml:space="preserve">Total number of </w:t>
            </w:r>
            <w:proofErr w:type="gramStart"/>
            <w:r w:rsidRPr="00BE33FC">
              <w:rPr>
                <w:rFonts w:ascii="Gill Sans MT" w:hAnsi="Gill Sans MT"/>
                <w:b/>
                <w:sz w:val="22"/>
                <w:szCs w:val="22"/>
              </w:rPr>
              <w:t>employee</w:t>
            </w:r>
            <w:proofErr w:type="gramEnd"/>
          </w:p>
        </w:tc>
        <w:tc>
          <w:tcPr>
            <w:tcW w:w="636" w:type="dxa"/>
            <w:tcBorders>
              <w:left w:val="nil"/>
            </w:tcBorders>
          </w:tcPr>
          <w:p w14:paraId="49ABCB0F"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5E99DA03"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8" w:type="dxa"/>
            <w:tcBorders>
              <w:left w:val="nil"/>
            </w:tcBorders>
          </w:tcPr>
          <w:p w14:paraId="4F4D7D94"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6AD78475"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6" w:type="dxa"/>
            <w:tcBorders>
              <w:left w:val="nil"/>
            </w:tcBorders>
          </w:tcPr>
          <w:p w14:paraId="690179B5" w14:textId="77777777" w:rsidR="003B315D" w:rsidRPr="00BE33FC" w:rsidRDefault="003B315D" w:rsidP="006D697C">
            <w:pPr>
              <w:rPr>
                <w:rFonts w:ascii="Gill Sans MT" w:hAnsi="Gill Sans MT"/>
                <w:b/>
                <w:sz w:val="22"/>
                <w:szCs w:val="22"/>
              </w:rPr>
            </w:pPr>
          </w:p>
        </w:tc>
      </w:tr>
      <w:tr w:rsidR="003B315D" w:rsidRPr="00BE33FC" w14:paraId="7A992424" w14:textId="77777777" w:rsidTr="00B961C4">
        <w:tc>
          <w:tcPr>
            <w:tcW w:w="2506" w:type="dxa"/>
          </w:tcPr>
          <w:p w14:paraId="3A1E6C3B" w14:textId="77777777" w:rsidR="003B315D" w:rsidRPr="00BE33FC" w:rsidRDefault="003B315D" w:rsidP="006D697C">
            <w:pPr>
              <w:rPr>
                <w:rFonts w:ascii="Gill Sans MT" w:hAnsi="Gill Sans MT"/>
                <w:b/>
                <w:sz w:val="22"/>
                <w:szCs w:val="22"/>
              </w:rPr>
            </w:pPr>
          </w:p>
        </w:tc>
        <w:tc>
          <w:tcPr>
            <w:tcW w:w="1053" w:type="dxa"/>
          </w:tcPr>
          <w:p w14:paraId="3C2AF511"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57085AA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768A8B76"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3C15230E"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11EEAD3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0C783515"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4F5E4050" w14:textId="77777777" w:rsidTr="0071585A">
        <w:trPr>
          <w:trHeight w:val="300"/>
        </w:trPr>
        <w:tc>
          <w:tcPr>
            <w:tcW w:w="2506" w:type="dxa"/>
            <w:tcBorders>
              <w:top w:val="single" w:sz="4" w:space="0" w:color="auto"/>
              <w:left w:val="single" w:sz="4" w:space="0" w:color="auto"/>
              <w:bottom w:val="single" w:sz="4" w:space="0" w:color="auto"/>
              <w:right w:val="single" w:sz="4" w:space="0" w:color="auto"/>
            </w:tcBorders>
            <w:noWrap/>
            <w:vAlign w:val="bottom"/>
            <w:hideMark/>
          </w:tcPr>
          <w:p w14:paraId="600C7E26"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Citizens Information Board </w:t>
            </w:r>
          </w:p>
        </w:tc>
        <w:tc>
          <w:tcPr>
            <w:tcW w:w="1053" w:type="dxa"/>
            <w:tcBorders>
              <w:top w:val="single" w:sz="4" w:space="0" w:color="auto"/>
              <w:left w:val="nil"/>
              <w:bottom w:val="single" w:sz="4" w:space="0" w:color="auto"/>
              <w:right w:val="single" w:sz="4" w:space="0" w:color="auto"/>
            </w:tcBorders>
            <w:noWrap/>
            <w:hideMark/>
          </w:tcPr>
          <w:p w14:paraId="5A50686C"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86</w:t>
            </w:r>
          </w:p>
        </w:tc>
        <w:tc>
          <w:tcPr>
            <w:tcW w:w="986" w:type="dxa"/>
            <w:gridSpan w:val="2"/>
            <w:tcBorders>
              <w:top w:val="single" w:sz="4" w:space="0" w:color="auto"/>
              <w:left w:val="nil"/>
              <w:bottom w:val="single" w:sz="4" w:space="0" w:color="auto"/>
              <w:right w:val="single" w:sz="4" w:space="0" w:color="auto"/>
            </w:tcBorders>
            <w:noWrap/>
            <w:hideMark/>
          </w:tcPr>
          <w:p w14:paraId="59C2D14C"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94</w:t>
            </w:r>
          </w:p>
        </w:tc>
        <w:tc>
          <w:tcPr>
            <w:tcW w:w="1053" w:type="dxa"/>
            <w:tcBorders>
              <w:top w:val="single" w:sz="4" w:space="0" w:color="auto"/>
              <w:left w:val="nil"/>
              <w:bottom w:val="single" w:sz="4" w:space="0" w:color="auto"/>
              <w:right w:val="single" w:sz="4" w:space="0" w:color="auto"/>
            </w:tcBorders>
            <w:noWrap/>
            <w:hideMark/>
          </w:tcPr>
          <w:p w14:paraId="21E4373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1118" w:type="dxa"/>
            <w:gridSpan w:val="2"/>
            <w:tcBorders>
              <w:top w:val="single" w:sz="4" w:space="0" w:color="auto"/>
              <w:left w:val="nil"/>
              <w:bottom w:val="single" w:sz="4" w:space="0" w:color="auto"/>
              <w:right w:val="single" w:sz="4" w:space="0" w:color="auto"/>
            </w:tcBorders>
            <w:noWrap/>
            <w:hideMark/>
          </w:tcPr>
          <w:p w14:paraId="4B25F97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1034" w:type="dxa"/>
            <w:tcBorders>
              <w:top w:val="single" w:sz="4" w:space="0" w:color="auto"/>
              <w:left w:val="nil"/>
              <w:bottom w:val="single" w:sz="4" w:space="0" w:color="auto"/>
              <w:right w:val="single" w:sz="4" w:space="0" w:color="auto"/>
            </w:tcBorders>
            <w:noWrap/>
            <w:hideMark/>
          </w:tcPr>
          <w:p w14:paraId="0AE0199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10.5</w:t>
            </w:r>
          </w:p>
        </w:tc>
        <w:tc>
          <w:tcPr>
            <w:tcW w:w="964" w:type="dxa"/>
            <w:gridSpan w:val="2"/>
            <w:tcBorders>
              <w:top w:val="single" w:sz="4" w:space="0" w:color="auto"/>
              <w:left w:val="nil"/>
              <w:bottom w:val="single" w:sz="4" w:space="0" w:color="auto"/>
              <w:right w:val="single" w:sz="4" w:space="0" w:color="auto"/>
            </w:tcBorders>
            <w:noWrap/>
            <w:hideMark/>
          </w:tcPr>
          <w:p w14:paraId="52422A5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9.6</w:t>
            </w:r>
          </w:p>
        </w:tc>
      </w:tr>
      <w:tr w:rsidR="003B315D" w:rsidRPr="00BE33FC" w14:paraId="35D0C244"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hideMark/>
          </w:tcPr>
          <w:p w14:paraId="6DD62390" w14:textId="77777777" w:rsidR="003B315D" w:rsidRPr="00BE33FC" w:rsidRDefault="003B315D" w:rsidP="006D697C">
            <w:pPr>
              <w:spacing w:line="240" w:lineRule="auto"/>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The Pensions Authority </w:t>
            </w:r>
          </w:p>
        </w:tc>
        <w:tc>
          <w:tcPr>
            <w:tcW w:w="1053" w:type="dxa"/>
            <w:tcBorders>
              <w:top w:val="nil"/>
              <w:left w:val="nil"/>
              <w:bottom w:val="single" w:sz="4" w:space="0" w:color="auto"/>
              <w:right w:val="single" w:sz="4" w:space="0" w:color="auto"/>
            </w:tcBorders>
            <w:noWrap/>
            <w:hideMark/>
          </w:tcPr>
          <w:p w14:paraId="4B1F37BC"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62</w:t>
            </w:r>
          </w:p>
        </w:tc>
        <w:tc>
          <w:tcPr>
            <w:tcW w:w="986" w:type="dxa"/>
            <w:gridSpan w:val="2"/>
            <w:tcBorders>
              <w:top w:val="nil"/>
              <w:left w:val="nil"/>
              <w:bottom w:val="single" w:sz="4" w:space="0" w:color="auto"/>
              <w:right w:val="single" w:sz="4" w:space="0" w:color="auto"/>
            </w:tcBorders>
            <w:noWrap/>
            <w:hideMark/>
          </w:tcPr>
          <w:p w14:paraId="07A9FAD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65</w:t>
            </w:r>
          </w:p>
        </w:tc>
        <w:tc>
          <w:tcPr>
            <w:tcW w:w="1053" w:type="dxa"/>
            <w:tcBorders>
              <w:top w:val="nil"/>
              <w:left w:val="nil"/>
              <w:bottom w:val="single" w:sz="4" w:space="0" w:color="auto"/>
              <w:right w:val="single" w:sz="4" w:space="0" w:color="auto"/>
            </w:tcBorders>
            <w:noWrap/>
            <w:hideMark/>
          </w:tcPr>
          <w:p w14:paraId="1F08F84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8" w:type="dxa"/>
            <w:gridSpan w:val="2"/>
            <w:tcBorders>
              <w:top w:val="nil"/>
              <w:left w:val="nil"/>
              <w:bottom w:val="single" w:sz="4" w:space="0" w:color="auto"/>
              <w:right w:val="single" w:sz="4" w:space="0" w:color="auto"/>
            </w:tcBorders>
            <w:noWrap/>
            <w:hideMark/>
          </w:tcPr>
          <w:p w14:paraId="3628898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34" w:type="dxa"/>
            <w:tcBorders>
              <w:top w:val="nil"/>
              <w:left w:val="nil"/>
              <w:bottom w:val="single" w:sz="4" w:space="0" w:color="auto"/>
              <w:right w:val="single" w:sz="4" w:space="0" w:color="auto"/>
            </w:tcBorders>
            <w:noWrap/>
            <w:hideMark/>
          </w:tcPr>
          <w:p w14:paraId="4C31484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4.8</w:t>
            </w:r>
          </w:p>
        </w:tc>
        <w:tc>
          <w:tcPr>
            <w:tcW w:w="964" w:type="dxa"/>
            <w:gridSpan w:val="2"/>
            <w:tcBorders>
              <w:top w:val="nil"/>
              <w:left w:val="nil"/>
              <w:bottom w:val="single" w:sz="4" w:space="0" w:color="auto"/>
              <w:right w:val="single" w:sz="4" w:space="0" w:color="auto"/>
            </w:tcBorders>
            <w:noWrap/>
            <w:hideMark/>
          </w:tcPr>
          <w:p w14:paraId="19ADA64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4.6</w:t>
            </w:r>
          </w:p>
        </w:tc>
      </w:tr>
      <w:tr w:rsidR="003B315D" w:rsidRPr="00BE33FC" w14:paraId="7CC227F2" w14:textId="77777777" w:rsidTr="00B961C4">
        <w:tc>
          <w:tcPr>
            <w:tcW w:w="2506" w:type="dxa"/>
          </w:tcPr>
          <w:p w14:paraId="24B987B1" w14:textId="77777777" w:rsidR="003B315D" w:rsidRPr="00BE33FC" w:rsidRDefault="003B315D" w:rsidP="006D697C">
            <w:pPr>
              <w:ind w:firstLineChars="10" w:firstLine="22"/>
              <w:rPr>
                <w:rFonts w:ascii="Gill Sans MT" w:hAnsi="Gill Sans MT"/>
                <w:b/>
                <w:sz w:val="22"/>
                <w:szCs w:val="22"/>
              </w:rPr>
            </w:pPr>
            <w:r w:rsidRPr="00BE33FC">
              <w:rPr>
                <w:rFonts w:ascii="Gill Sans MT" w:hAnsi="Gill Sans MT"/>
                <w:b/>
                <w:sz w:val="22"/>
                <w:szCs w:val="22"/>
              </w:rPr>
              <w:t>Grand Total</w:t>
            </w:r>
          </w:p>
        </w:tc>
        <w:tc>
          <w:tcPr>
            <w:tcW w:w="1053" w:type="dxa"/>
            <w:tcBorders>
              <w:top w:val="single" w:sz="4" w:space="0" w:color="auto"/>
              <w:left w:val="single" w:sz="4" w:space="0" w:color="auto"/>
              <w:bottom w:val="single" w:sz="4" w:space="0" w:color="auto"/>
              <w:right w:val="single" w:sz="4" w:space="0" w:color="auto"/>
            </w:tcBorders>
            <w:vAlign w:val="bottom"/>
          </w:tcPr>
          <w:p w14:paraId="7C9754BC"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148</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549A9C6B"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159</w:t>
            </w:r>
          </w:p>
        </w:tc>
        <w:tc>
          <w:tcPr>
            <w:tcW w:w="1053" w:type="dxa"/>
            <w:tcBorders>
              <w:top w:val="single" w:sz="4" w:space="0" w:color="auto"/>
              <w:left w:val="single" w:sz="4" w:space="0" w:color="auto"/>
              <w:bottom w:val="single" w:sz="4" w:space="0" w:color="auto"/>
              <w:right w:val="single" w:sz="4" w:space="0" w:color="auto"/>
            </w:tcBorders>
            <w:vAlign w:val="bottom"/>
          </w:tcPr>
          <w:p w14:paraId="4A6F92E8"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12</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3563A68C"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12</w:t>
            </w:r>
          </w:p>
        </w:tc>
        <w:tc>
          <w:tcPr>
            <w:tcW w:w="1034" w:type="dxa"/>
            <w:tcBorders>
              <w:top w:val="single" w:sz="4" w:space="0" w:color="auto"/>
              <w:left w:val="nil"/>
              <w:bottom w:val="single" w:sz="4" w:space="0" w:color="auto"/>
              <w:right w:val="single" w:sz="4" w:space="0" w:color="auto"/>
            </w:tcBorders>
            <w:vAlign w:val="bottom"/>
          </w:tcPr>
          <w:p w14:paraId="4AF921A6" w14:textId="77777777" w:rsidR="003B315D" w:rsidRPr="00BE33FC" w:rsidRDefault="003B315D" w:rsidP="006D697C">
            <w:pPr>
              <w:jc w:val="right"/>
              <w:rPr>
                <w:rFonts w:ascii="Gill Sans MT" w:hAnsi="Gill Sans MT" w:cs="Arial"/>
                <w:b/>
                <w:bCs/>
                <w:sz w:val="22"/>
                <w:szCs w:val="22"/>
              </w:rPr>
            </w:pPr>
            <w:r w:rsidRPr="00BE33FC">
              <w:rPr>
                <w:rFonts w:ascii="Gill Sans MT" w:hAnsi="Gill Sans MT" w:cs="Arial"/>
                <w:b/>
                <w:bCs/>
                <w:sz w:val="22"/>
                <w:szCs w:val="22"/>
              </w:rPr>
              <w:t>8.1</w:t>
            </w:r>
          </w:p>
        </w:tc>
        <w:tc>
          <w:tcPr>
            <w:tcW w:w="964" w:type="dxa"/>
            <w:gridSpan w:val="2"/>
            <w:tcBorders>
              <w:top w:val="single" w:sz="4" w:space="0" w:color="auto"/>
              <w:left w:val="nil"/>
              <w:bottom w:val="single" w:sz="4" w:space="0" w:color="auto"/>
              <w:right w:val="single" w:sz="4" w:space="0" w:color="auto"/>
            </w:tcBorders>
            <w:vAlign w:val="bottom"/>
          </w:tcPr>
          <w:p w14:paraId="528CC082" w14:textId="77777777" w:rsidR="003B315D" w:rsidRPr="00BE33FC" w:rsidRDefault="003B315D" w:rsidP="006D697C">
            <w:pPr>
              <w:jc w:val="right"/>
              <w:rPr>
                <w:rFonts w:ascii="Gill Sans MT" w:hAnsi="Gill Sans MT" w:cs="Arial"/>
                <w:b/>
                <w:bCs/>
                <w:sz w:val="22"/>
                <w:szCs w:val="22"/>
              </w:rPr>
            </w:pPr>
            <w:r w:rsidRPr="00BE33FC">
              <w:rPr>
                <w:rFonts w:ascii="Gill Sans MT" w:hAnsi="Gill Sans MT" w:cs="Arial"/>
                <w:b/>
                <w:bCs/>
                <w:sz w:val="22"/>
                <w:szCs w:val="22"/>
              </w:rPr>
              <w:t>7.5</w:t>
            </w:r>
          </w:p>
        </w:tc>
      </w:tr>
    </w:tbl>
    <w:p w14:paraId="3F835E42" w14:textId="77777777" w:rsidR="003B315D" w:rsidRPr="00CC4F07" w:rsidRDefault="003B315D" w:rsidP="003B315D"/>
    <w:p w14:paraId="2DC3E0D2" w14:textId="77777777" w:rsidR="003B315D" w:rsidRPr="00CC4F07" w:rsidRDefault="003B315D" w:rsidP="003B315D">
      <w:pPr>
        <w:rPr>
          <w:b/>
        </w:rPr>
      </w:pPr>
      <w:r w:rsidRPr="00CC4F07">
        <w:rPr>
          <w:b/>
        </w:rPr>
        <w:t>Department of Finance</w:t>
      </w:r>
    </w:p>
    <w:tbl>
      <w:tblPr>
        <w:tblStyle w:val="TableGrid"/>
        <w:tblW w:w="0" w:type="auto"/>
        <w:tblLook w:val="04A0" w:firstRow="1" w:lastRow="0" w:firstColumn="1" w:lastColumn="0" w:noHBand="0" w:noVBand="1"/>
        <w:tblCaption w:val="Appendix B Public bodies"/>
        <w:tblDescription w:val="Department of Finance"/>
      </w:tblPr>
      <w:tblGrid>
        <w:gridCol w:w="2506"/>
        <w:gridCol w:w="1053"/>
        <w:gridCol w:w="350"/>
        <w:gridCol w:w="636"/>
        <w:gridCol w:w="1053"/>
        <w:gridCol w:w="830"/>
        <w:gridCol w:w="288"/>
        <w:gridCol w:w="1034"/>
        <w:gridCol w:w="718"/>
        <w:gridCol w:w="246"/>
      </w:tblGrid>
      <w:tr w:rsidR="003B315D" w:rsidRPr="00BE33FC" w14:paraId="329A7AF4" w14:textId="77777777" w:rsidTr="00B961C4">
        <w:tc>
          <w:tcPr>
            <w:tcW w:w="2506" w:type="dxa"/>
          </w:tcPr>
          <w:p w14:paraId="4E949FC5"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403" w:type="dxa"/>
            <w:gridSpan w:val="2"/>
            <w:tcBorders>
              <w:right w:val="nil"/>
            </w:tcBorders>
          </w:tcPr>
          <w:p w14:paraId="36C22D59"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xml:space="preserve">Total number of </w:t>
            </w:r>
            <w:proofErr w:type="gramStart"/>
            <w:r w:rsidRPr="00BE33FC">
              <w:rPr>
                <w:rFonts w:ascii="Gill Sans MT" w:hAnsi="Gill Sans MT"/>
                <w:b/>
                <w:sz w:val="22"/>
                <w:szCs w:val="22"/>
              </w:rPr>
              <w:t>employee</w:t>
            </w:r>
            <w:proofErr w:type="gramEnd"/>
          </w:p>
        </w:tc>
        <w:tc>
          <w:tcPr>
            <w:tcW w:w="636" w:type="dxa"/>
            <w:tcBorders>
              <w:left w:val="nil"/>
            </w:tcBorders>
          </w:tcPr>
          <w:p w14:paraId="52526E92"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3F68BC91"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8" w:type="dxa"/>
            <w:tcBorders>
              <w:left w:val="nil"/>
            </w:tcBorders>
          </w:tcPr>
          <w:p w14:paraId="3016E53D"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79651179"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6" w:type="dxa"/>
            <w:tcBorders>
              <w:left w:val="nil"/>
            </w:tcBorders>
          </w:tcPr>
          <w:p w14:paraId="355C57A1" w14:textId="77777777" w:rsidR="003B315D" w:rsidRPr="00BE33FC" w:rsidRDefault="003B315D" w:rsidP="006D697C">
            <w:pPr>
              <w:rPr>
                <w:rFonts w:ascii="Gill Sans MT" w:hAnsi="Gill Sans MT"/>
                <w:b/>
                <w:sz w:val="22"/>
                <w:szCs w:val="22"/>
              </w:rPr>
            </w:pPr>
          </w:p>
        </w:tc>
      </w:tr>
      <w:tr w:rsidR="003B315D" w:rsidRPr="00BE33FC" w14:paraId="0E259812" w14:textId="77777777" w:rsidTr="00B961C4">
        <w:tc>
          <w:tcPr>
            <w:tcW w:w="2506" w:type="dxa"/>
          </w:tcPr>
          <w:p w14:paraId="6B6BB6B5" w14:textId="77777777" w:rsidR="003B315D" w:rsidRPr="00BE33FC" w:rsidRDefault="003B315D" w:rsidP="006D697C">
            <w:pPr>
              <w:rPr>
                <w:rFonts w:ascii="Gill Sans MT" w:hAnsi="Gill Sans MT"/>
                <w:b/>
                <w:sz w:val="22"/>
                <w:szCs w:val="22"/>
              </w:rPr>
            </w:pPr>
          </w:p>
        </w:tc>
        <w:tc>
          <w:tcPr>
            <w:tcW w:w="1053" w:type="dxa"/>
          </w:tcPr>
          <w:p w14:paraId="1E4D3651"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13297EF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39F7C243"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70E44E9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01A7F749"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23C66BE3"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73C6FA35" w14:textId="77777777" w:rsidTr="0071585A">
        <w:trPr>
          <w:trHeight w:val="300"/>
        </w:trPr>
        <w:tc>
          <w:tcPr>
            <w:tcW w:w="2506" w:type="dxa"/>
            <w:tcBorders>
              <w:top w:val="single" w:sz="4" w:space="0" w:color="auto"/>
              <w:left w:val="single" w:sz="4" w:space="0" w:color="auto"/>
              <w:bottom w:val="single" w:sz="4" w:space="0" w:color="auto"/>
              <w:right w:val="single" w:sz="4" w:space="0" w:color="auto"/>
            </w:tcBorders>
            <w:noWrap/>
            <w:vAlign w:val="bottom"/>
            <w:hideMark/>
          </w:tcPr>
          <w:p w14:paraId="534796C9"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National Treasury Management Agency</w:t>
            </w:r>
          </w:p>
        </w:tc>
        <w:tc>
          <w:tcPr>
            <w:tcW w:w="1053" w:type="dxa"/>
            <w:tcBorders>
              <w:top w:val="single" w:sz="4" w:space="0" w:color="auto"/>
              <w:left w:val="nil"/>
              <w:bottom w:val="single" w:sz="4" w:space="0" w:color="auto"/>
              <w:right w:val="single" w:sz="4" w:space="0" w:color="auto"/>
            </w:tcBorders>
            <w:noWrap/>
            <w:hideMark/>
          </w:tcPr>
          <w:p w14:paraId="7C706D9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790</w:t>
            </w:r>
          </w:p>
        </w:tc>
        <w:tc>
          <w:tcPr>
            <w:tcW w:w="986" w:type="dxa"/>
            <w:gridSpan w:val="2"/>
            <w:tcBorders>
              <w:top w:val="single" w:sz="4" w:space="0" w:color="auto"/>
              <w:left w:val="nil"/>
              <w:bottom w:val="single" w:sz="4" w:space="0" w:color="auto"/>
              <w:right w:val="single" w:sz="4" w:space="0" w:color="auto"/>
            </w:tcBorders>
            <w:noWrap/>
            <w:hideMark/>
          </w:tcPr>
          <w:p w14:paraId="0029A78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794</w:t>
            </w:r>
          </w:p>
        </w:tc>
        <w:tc>
          <w:tcPr>
            <w:tcW w:w="1053" w:type="dxa"/>
            <w:tcBorders>
              <w:top w:val="single" w:sz="4" w:space="0" w:color="auto"/>
              <w:left w:val="nil"/>
              <w:bottom w:val="single" w:sz="4" w:space="0" w:color="auto"/>
              <w:right w:val="single" w:sz="4" w:space="0" w:color="auto"/>
            </w:tcBorders>
            <w:noWrap/>
            <w:hideMark/>
          </w:tcPr>
          <w:p w14:paraId="590CC62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26</w:t>
            </w:r>
          </w:p>
        </w:tc>
        <w:tc>
          <w:tcPr>
            <w:tcW w:w="1118" w:type="dxa"/>
            <w:gridSpan w:val="2"/>
            <w:tcBorders>
              <w:top w:val="single" w:sz="4" w:space="0" w:color="auto"/>
              <w:left w:val="nil"/>
              <w:bottom w:val="single" w:sz="4" w:space="0" w:color="auto"/>
              <w:right w:val="single" w:sz="4" w:space="0" w:color="auto"/>
            </w:tcBorders>
            <w:noWrap/>
            <w:hideMark/>
          </w:tcPr>
          <w:p w14:paraId="5A1B87E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1034" w:type="dxa"/>
            <w:tcBorders>
              <w:top w:val="single" w:sz="4" w:space="0" w:color="auto"/>
              <w:left w:val="nil"/>
              <w:bottom w:val="single" w:sz="4" w:space="0" w:color="auto"/>
              <w:right w:val="single" w:sz="4" w:space="0" w:color="auto"/>
            </w:tcBorders>
            <w:noWrap/>
            <w:hideMark/>
          </w:tcPr>
          <w:p w14:paraId="6D39DC85"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3.3</w:t>
            </w:r>
          </w:p>
        </w:tc>
        <w:tc>
          <w:tcPr>
            <w:tcW w:w="964" w:type="dxa"/>
            <w:gridSpan w:val="2"/>
            <w:tcBorders>
              <w:top w:val="single" w:sz="4" w:space="0" w:color="auto"/>
              <w:left w:val="nil"/>
              <w:bottom w:val="single" w:sz="4" w:space="0" w:color="auto"/>
              <w:right w:val="single" w:sz="4" w:space="0" w:color="auto"/>
            </w:tcBorders>
            <w:noWrap/>
            <w:hideMark/>
          </w:tcPr>
          <w:p w14:paraId="5FCDC337"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4.3</w:t>
            </w:r>
          </w:p>
        </w:tc>
      </w:tr>
      <w:tr w:rsidR="003B315D" w:rsidRPr="00BE33FC" w14:paraId="79FC1812" w14:textId="77777777" w:rsidTr="00B961C4">
        <w:tc>
          <w:tcPr>
            <w:tcW w:w="2506" w:type="dxa"/>
          </w:tcPr>
          <w:p w14:paraId="3379AC4E" w14:textId="77777777" w:rsidR="003B315D" w:rsidRPr="00BE33FC" w:rsidRDefault="003B315D" w:rsidP="006D697C">
            <w:pPr>
              <w:ind w:firstLineChars="11" w:firstLine="24"/>
              <w:rPr>
                <w:rFonts w:ascii="Gill Sans MT" w:hAnsi="Gill Sans MT"/>
                <w:b/>
                <w:sz w:val="22"/>
                <w:szCs w:val="22"/>
              </w:rPr>
            </w:pPr>
            <w:r w:rsidRPr="00BE33FC">
              <w:rPr>
                <w:rFonts w:ascii="Gill Sans MT" w:hAnsi="Gill Sans MT"/>
                <w:b/>
                <w:sz w:val="22"/>
                <w:szCs w:val="22"/>
              </w:rPr>
              <w:t>Grand Total</w:t>
            </w:r>
          </w:p>
        </w:tc>
        <w:tc>
          <w:tcPr>
            <w:tcW w:w="1053" w:type="dxa"/>
            <w:tcBorders>
              <w:top w:val="single" w:sz="4" w:space="0" w:color="auto"/>
              <w:left w:val="single" w:sz="4" w:space="0" w:color="auto"/>
              <w:bottom w:val="single" w:sz="4" w:space="0" w:color="auto"/>
              <w:right w:val="single" w:sz="4" w:space="0" w:color="auto"/>
            </w:tcBorders>
            <w:vAlign w:val="bottom"/>
          </w:tcPr>
          <w:p w14:paraId="5DD3F949"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790</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280F5444"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794</w:t>
            </w:r>
          </w:p>
        </w:tc>
        <w:tc>
          <w:tcPr>
            <w:tcW w:w="1053" w:type="dxa"/>
            <w:tcBorders>
              <w:top w:val="single" w:sz="4" w:space="0" w:color="auto"/>
              <w:left w:val="single" w:sz="4" w:space="0" w:color="auto"/>
              <w:bottom w:val="single" w:sz="4" w:space="0" w:color="auto"/>
              <w:right w:val="single" w:sz="4" w:space="0" w:color="auto"/>
            </w:tcBorders>
            <w:vAlign w:val="bottom"/>
          </w:tcPr>
          <w:p w14:paraId="6F207A02"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26</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4BF59F9A"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34</w:t>
            </w:r>
          </w:p>
        </w:tc>
        <w:tc>
          <w:tcPr>
            <w:tcW w:w="1034" w:type="dxa"/>
            <w:tcBorders>
              <w:top w:val="single" w:sz="4" w:space="0" w:color="auto"/>
              <w:left w:val="nil"/>
              <w:bottom w:val="single" w:sz="4" w:space="0" w:color="auto"/>
              <w:right w:val="single" w:sz="4" w:space="0" w:color="auto"/>
            </w:tcBorders>
            <w:vAlign w:val="bottom"/>
          </w:tcPr>
          <w:p w14:paraId="28F8C0F8"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3.3</w:t>
            </w:r>
          </w:p>
        </w:tc>
        <w:tc>
          <w:tcPr>
            <w:tcW w:w="964" w:type="dxa"/>
            <w:gridSpan w:val="2"/>
            <w:tcBorders>
              <w:top w:val="single" w:sz="4" w:space="0" w:color="auto"/>
              <w:left w:val="nil"/>
              <w:bottom w:val="single" w:sz="4" w:space="0" w:color="auto"/>
              <w:right w:val="single" w:sz="4" w:space="0" w:color="auto"/>
            </w:tcBorders>
            <w:vAlign w:val="bottom"/>
          </w:tcPr>
          <w:p w14:paraId="6A0FC4C1"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4.3</w:t>
            </w:r>
          </w:p>
        </w:tc>
      </w:tr>
    </w:tbl>
    <w:p w14:paraId="57346353" w14:textId="2E75611B" w:rsidR="00BE33FC" w:rsidRDefault="00BE33FC" w:rsidP="003B315D"/>
    <w:p w14:paraId="681B02A7" w14:textId="77777777" w:rsidR="00BE33FC" w:rsidRDefault="00BE33FC">
      <w:pPr>
        <w:spacing w:after="0"/>
      </w:pPr>
      <w:r>
        <w:br w:type="page"/>
      </w:r>
    </w:p>
    <w:p w14:paraId="0A5B8583" w14:textId="3CEDCC9A" w:rsidR="003B315D" w:rsidRPr="00CC4F07" w:rsidRDefault="003B315D" w:rsidP="003B315D">
      <w:pPr>
        <w:rPr>
          <w:b/>
        </w:rPr>
      </w:pPr>
      <w:r w:rsidRPr="00CC4F07">
        <w:rPr>
          <w:b/>
        </w:rPr>
        <w:lastRenderedPageBreak/>
        <w:t>Department of Health</w:t>
      </w:r>
    </w:p>
    <w:tbl>
      <w:tblPr>
        <w:tblStyle w:val="TableGrid"/>
        <w:tblW w:w="0" w:type="auto"/>
        <w:tblLook w:val="04A0" w:firstRow="1" w:lastRow="0" w:firstColumn="1" w:lastColumn="0" w:noHBand="0" w:noVBand="1"/>
        <w:tblCaption w:val="Appendix B Public bodies"/>
        <w:tblDescription w:val="Department of Health"/>
      </w:tblPr>
      <w:tblGrid>
        <w:gridCol w:w="2499"/>
        <w:gridCol w:w="1050"/>
        <w:gridCol w:w="356"/>
        <w:gridCol w:w="768"/>
        <w:gridCol w:w="930"/>
        <w:gridCol w:w="828"/>
        <w:gridCol w:w="288"/>
        <w:gridCol w:w="1032"/>
        <w:gridCol w:w="717"/>
        <w:gridCol w:w="246"/>
      </w:tblGrid>
      <w:tr w:rsidR="003B315D" w:rsidRPr="00BE33FC" w14:paraId="646B1C41" w14:textId="77777777" w:rsidTr="00441696">
        <w:trPr>
          <w:tblHeader/>
        </w:trPr>
        <w:tc>
          <w:tcPr>
            <w:tcW w:w="2499" w:type="dxa"/>
          </w:tcPr>
          <w:p w14:paraId="741DB19A"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406" w:type="dxa"/>
            <w:gridSpan w:val="2"/>
            <w:tcBorders>
              <w:right w:val="nil"/>
            </w:tcBorders>
          </w:tcPr>
          <w:p w14:paraId="323357EF"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xml:space="preserve">Total number of </w:t>
            </w:r>
            <w:proofErr w:type="gramStart"/>
            <w:r w:rsidRPr="00BE33FC">
              <w:rPr>
                <w:rFonts w:ascii="Gill Sans MT" w:hAnsi="Gill Sans MT"/>
                <w:b/>
                <w:sz w:val="22"/>
                <w:szCs w:val="22"/>
              </w:rPr>
              <w:t>employee</w:t>
            </w:r>
            <w:proofErr w:type="gramEnd"/>
          </w:p>
        </w:tc>
        <w:tc>
          <w:tcPr>
            <w:tcW w:w="768" w:type="dxa"/>
            <w:tcBorders>
              <w:left w:val="nil"/>
            </w:tcBorders>
          </w:tcPr>
          <w:p w14:paraId="76C13061" w14:textId="77777777" w:rsidR="003B315D" w:rsidRPr="00BE33FC" w:rsidRDefault="003B315D" w:rsidP="006D697C">
            <w:pPr>
              <w:rPr>
                <w:rFonts w:ascii="Gill Sans MT" w:hAnsi="Gill Sans MT"/>
                <w:b/>
                <w:sz w:val="22"/>
                <w:szCs w:val="22"/>
              </w:rPr>
            </w:pPr>
          </w:p>
        </w:tc>
        <w:tc>
          <w:tcPr>
            <w:tcW w:w="1758" w:type="dxa"/>
            <w:gridSpan w:val="2"/>
            <w:tcBorders>
              <w:right w:val="nil"/>
            </w:tcBorders>
          </w:tcPr>
          <w:p w14:paraId="6C6A0128"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8" w:type="dxa"/>
            <w:tcBorders>
              <w:left w:val="nil"/>
            </w:tcBorders>
          </w:tcPr>
          <w:p w14:paraId="39BB488D" w14:textId="77777777" w:rsidR="003B315D" w:rsidRPr="00BE33FC" w:rsidRDefault="003B315D" w:rsidP="006D697C">
            <w:pPr>
              <w:rPr>
                <w:rFonts w:ascii="Gill Sans MT" w:hAnsi="Gill Sans MT"/>
                <w:b/>
                <w:sz w:val="22"/>
                <w:szCs w:val="22"/>
              </w:rPr>
            </w:pPr>
          </w:p>
        </w:tc>
        <w:tc>
          <w:tcPr>
            <w:tcW w:w="1749" w:type="dxa"/>
            <w:gridSpan w:val="2"/>
            <w:tcBorders>
              <w:right w:val="nil"/>
            </w:tcBorders>
          </w:tcPr>
          <w:p w14:paraId="60DB2E26"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6" w:type="dxa"/>
            <w:tcBorders>
              <w:left w:val="nil"/>
            </w:tcBorders>
          </w:tcPr>
          <w:p w14:paraId="53865B58" w14:textId="77777777" w:rsidR="003B315D" w:rsidRPr="00BE33FC" w:rsidRDefault="003B315D" w:rsidP="006D697C">
            <w:pPr>
              <w:rPr>
                <w:rFonts w:ascii="Gill Sans MT" w:hAnsi="Gill Sans MT"/>
                <w:b/>
                <w:sz w:val="22"/>
                <w:szCs w:val="22"/>
              </w:rPr>
            </w:pPr>
          </w:p>
        </w:tc>
      </w:tr>
      <w:tr w:rsidR="003B315D" w:rsidRPr="00BE33FC" w14:paraId="4C62944A" w14:textId="77777777" w:rsidTr="00441696">
        <w:trPr>
          <w:tblHeader/>
        </w:trPr>
        <w:tc>
          <w:tcPr>
            <w:tcW w:w="2499" w:type="dxa"/>
          </w:tcPr>
          <w:p w14:paraId="7C27C8EB" w14:textId="77777777" w:rsidR="003B315D" w:rsidRPr="00BE33FC" w:rsidRDefault="003B315D" w:rsidP="006D697C">
            <w:pPr>
              <w:rPr>
                <w:rFonts w:ascii="Gill Sans MT" w:hAnsi="Gill Sans MT"/>
                <w:b/>
                <w:sz w:val="22"/>
                <w:szCs w:val="22"/>
              </w:rPr>
            </w:pPr>
          </w:p>
        </w:tc>
        <w:tc>
          <w:tcPr>
            <w:tcW w:w="1050" w:type="dxa"/>
          </w:tcPr>
          <w:p w14:paraId="1D53E16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24" w:type="dxa"/>
            <w:gridSpan w:val="2"/>
          </w:tcPr>
          <w:p w14:paraId="35F9D90C"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930" w:type="dxa"/>
          </w:tcPr>
          <w:p w14:paraId="4D086B8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6" w:type="dxa"/>
            <w:gridSpan w:val="2"/>
          </w:tcPr>
          <w:p w14:paraId="5712603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2" w:type="dxa"/>
          </w:tcPr>
          <w:p w14:paraId="77027BC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3" w:type="dxa"/>
            <w:gridSpan w:val="2"/>
          </w:tcPr>
          <w:p w14:paraId="3553013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5658B27D" w14:textId="77777777" w:rsidTr="00441696">
        <w:trPr>
          <w:trHeight w:val="300"/>
        </w:trPr>
        <w:tc>
          <w:tcPr>
            <w:tcW w:w="2499" w:type="dxa"/>
            <w:tcBorders>
              <w:top w:val="single" w:sz="4" w:space="0" w:color="auto"/>
              <w:left w:val="single" w:sz="4" w:space="0" w:color="auto"/>
              <w:bottom w:val="single" w:sz="4" w:space="0" w:color="auto"/>
              <w:right w:val="single" w:sz="4" w:space="0" w:color="auto"/>
            </w:tcBorders>
            <w:noWrap/>
            <w:vAlign w:val="bottom"/>
            <w:hideMark/>
          </w:tcPr>
          <w:p w14:paraId="7CDFB7A4"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Beaumont Hospital </w:t>
            </w:r>
          </w:p>
        </w:tc>
        <w:tc>
          <w:tcPr>
            <w:tcW w:w="1050" w:type="dxa"/>
            <w:tcBorders>
              <w:top w:val="single" w:sz="4" w:space="0" w:color="auto"/>
              <w:left w:val="nil"/>
              <w:bottom w:val="single" w:sz="4" w:space="0" w:color="auto"/>
              <w:right w:val="single" w:sz="4" w:space="0" w:color="auto"/>
            </w:tcBorders>
            <w:noWrap/>
            <w:hideMark/>
          </w:tcPr>
          <w:p w14:paraId="2D9509D6"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4,084</w:t>
            </w:r>
          </w:p>
        </w:tc>
        <w:tc>
          <w:tcPr>
            <w:tcW w:w="1124" w:type="dxa"/>
            <w:gridSpan w:val="2"/>
            <w:tcBorders>
              <w:top w:val="single" w:sz="4" w:space="0" w:color="auto"/>
              <w:left w:val="nil"/>
              <w:bottom w:val="single" w:sz="4" w:space="0" w:color="auto"/>
              <w:right w:val="single" w:sz="4" w:space="0" w:color="auto"/>
            </w:tcBorders>
            <w:noWrap/>
            <w:hideMark/>
          </w:tcPr>
          <w:p w14:paraId="49A728F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4,250</w:t>
            </w:r>
          </w:p>
        </w:tc>
        <w:tc>
          <w:tcPr>
            <w:tcW w:w="930" w:type="dxa"/>
            <w:tcBorders>
              <w:top w:val="single" w:sz="4" w:space="0" w:color="auto"/>
              <w:left w:val="nil"/>
              <w:bottom w:val="single" w:sz="4" w:space="0" w:color="auto"/>
              <w:right w:val="single" w:sz="4" w:space="0" w:color="auto"/>
            </w:tcBorders>
            <w:noWrap/>
            <w:hideMark/>
          </w:tcPr>
          <w:p w14:paraId="2CDA62FE"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168</w:t>
            </w:r>
          </w:p>
        </w:tc>
        <w:tc>
          <w:tcPr>
            <w:tcW w:w="1116" w:type="dxa"/>
            <w:gridSpan w:val="2"/>
            <w:tcBorders>
              <w:top w:val="single" w:sz="4" w:space="0" w:color="auto"/>
              <w:left w:val="nil"/>
              <w:bottom w:val="single" w:sz="4" w:space="0" w:color="auto"/>
              <w:right w:val="single" w:sz="4" w:space="0" w:color="auto"/>
            </w:tcBorders>
            <w:noWrap/>
            <w:hideMark/>
          </w:tcPr>
          <w:p w14:paraId="5114820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176</w:t>
            </w:r>
          </w:p>
        </w:tc>
        <w:tc>
          <w:tcPr>
            <w:tcW w:w="1032" w:type="dxa"/>
            <w:tcBorders>
              <w:top w:val="single" w:sz="4" w:space="0" w:color="auto"/>
              <w:left w:val="nil"/>
              <w:bottom w:val="single" w:sz="4" w:space="0" w:color="auto"/>
              <w:right w:val="single" w:sz="4" w:space="0" w:color="auto"/>
            </w:tcBorders>
            <w:noWrap/>
            <w:hideMark/>
          </w:tcPr>
          <w:p w14:paraId="1ACCA1D5" w14:textId="77777777" w:rsidR="003B315D" w:rsidRPr="00BE33FC" w:rsidRDefault="003B315D" w:rsidP="0071585A">
            <w:pPr>
              <w:jc w:val="right"/>
              <w:rPr>
                <w:rFonts w:ascii="Gill Sans MT" w:hAnsi="Gill Sans MT" w:cs="Arial"/>
                <w:bCs/>
                <w:sz w:val="22"/>
                <w:szCs w:val="22"/>
                <w:lang w:eastAsia="en-IE"/>
              </w:rPr>
            </w:pPr>
            <w:r w:rsidRPr="00BE33FC">
              <w:rPr>
                <w:rFonts w:ascii="Gill Sans MT" w:hAnsi="Gill Sans MT" w:cs="Arial"/>
                <w:sz w:val="22"/>
                <w:szCs w:val="22"/>
              </w:rPr>
              <w:t>4.1</w:t>
            </w:r>
          </w:p>
        </w:tc>
        <w:tc>
          <w:tcPr>
            <w:tcW w:w="963" w:type="dxa"/>
            <w:gridSpan w:val="2"/>
            <w:tcBorders>
              <w:top w:val="single" w:sz="4" w:space="0" w:color="auto"/>
              <w:left w:val="nil"/>
              <w:bottom w:val="single" w:sz="4" w:space="0" w:color="auto"/>
              <w:right w:val="single" w:sz="4" w:space="0" w:color="auto"/>
            </w:tcBorders>
            <w:noWrap/>
            <w:hideMark/>
          </w:tcPr>
          <w:p w14:paraId="37691BB5" w14:textId="77777777" w:rsidR="003B315D" w:rsidRPr="00BE33FC" w:rsidRDefault="003B315D" w:rsidP="0071585A">
            <w:pPr>
              <w:jc w:val="right"/>
              <w:rPr>
                <w:rFonts w:ascii="Gill Sans MT" w:hAnsi="Gill Sans MT" w:cs="Arial"/>
                <w:bCs/>
                <w:sz w:val="22"/>
                <w:szCs w:val="22"/>
                <w:lang w:eastAsia="en-IE"/>
              </w:rPr>
            </w:pPr>
            <w:r w:rsidRPr="00BE33FC">
              <w:rPr>
                <w:rFonts w:ascii="Gill Sans MT" w:hAnsi="Gill Sans MT" w:cs="Arial"/>
                <w:sz w:val="22"/>
                <w:szCs w:val="22"/>
              </w:rPr>
              <w:t>4.1</w:t>
            </w:r>
          </w:p>
        </w:tc>
      </w:tr>
      <w:tr w:rsidR="003B315D" w:rsidRPr="00BE33FC" w14:paraId="36EC74AA"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23C4470B"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Dental Council </w:t>
            </w:r>
          </w:p>
        </w:tc>
        <w:tc>
          <w:tcPr>
            <w:tcW w:w="1050" w:type="dxa"/>
            <w:tcBorders>
              <w:top w:val="nil"/>
              <w:left w:val="nil"/>
              <w:bottom w:val="single" w:sz="4" w:space="0" w:color="auto"/>
              <w:right w:val="single" w:sz="4" w:space="0" w:color="auto"/>
            </w:tcBorders>
            <w:noWrap/>
            <w:hideMark/>
          </w:tcPr>
          <w:p w14:paraId="3BE63E79"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1124" w:type="dxa"/>
            <w:gridSpan w:val="2"/>
            <w:tcBorders>
              <w:top w:val="nil"/>
              <w:left w:val="nil"/>
              <w:bottom w:val="single" w:sz="4" w:space="0" w:color="auto"/>
              <w:right w:val="single" w:sz="4" w:space="0" w:color="auto"/>
            </w:tcBorders>
            <w:noWrap/>
            <w:hideMark/>
          </w:tcPr>
          <w:p w14:paraId="0AF77AC2"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930" w:type="dxa"/>
            <w:tcBorders>
              <w:top w:val="nil"/>
              <w:left w:val="nil"/>
              <w:bottom w:val="single" w:sz="4" w:space="0" w:color="auto"/>
              <w:right w:val="single" w:sz="4" w:space="0" w:color="auto"/>
            </w:tcBorders>
            <w:noWrap/>
            <w:hideMark/>
          </w:tcPr>
          <w:p w14:paraId="532D0CF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6" w:type="dxa"/>
            <w:gridSpan w:val="2"/>
            <w:tcBorders>
              <w:top w:val="nil"/>
              <w:left w:val="nil"/>
              <w:bottom w:val="single" w:sz="4" w:space="0" w:color="auto"/>
              <w:right w:val="single" w:sz="4" w:space="0" w:color="auto"/>
            </w:tcBorders>
            <w:noWrap/>
            <w:hideMark/>
          </w:tcPr>
          <w:p w14:paraId="0256305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32" w:type="dxa"/>
            <w:tcBorders>
              <w:top w:val="nil"/>
              <w:left w:val="nil"/>
              <w:bottom w:val="single" w:sz="4" w:space="0" w:color="auto"/>
              <w:right w:val="single" w:sz="4" w:space="0" w:color="auto"/>
            </w:tcBorders>
            <w:noWrap/>
            <w:hideMark/>
          </w:tcPr>
          <w:p w14:paraId="3F88B186"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63" w:type="dxa"/>
            <w:gridSpan w:val="2"/>
            <w:tcBorders>
              <w:top w:val="nil"/>
              <w:left w:val="nil"/>
              <w:bottom w:val="single" w:sz="4" w:space="0" w:color="auto"/>
              <w:right w:val="single" w:sz="4" w:space="0" w:color="auto"/>
            </w:tcBorders>
            <w:noWrap/>
            <w:hideMark/>
          </w:tcPr>
          <w:p w14:paraId="7A0F458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69E0A52D"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28445F06"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Dublin Dental Hospital</w:t>
            </w:r>
          </w:p>
        </w:tc>
        <w:tc>
          <w:tcPr>
            <w:tcW w:w="1050" w:type="dxa"/>
            <w:tcBorders>
              <w:top w:val="nil"/>
              <w:left w:val="nil"/>
              <w:bottom w:val="single" w:sz="4" w:space="0" w:color="auto"/>
              <w:right w:val="single" w:sz="4" w:space="0" w:color="auto"/>
            </w:tcBorders>
            <w:noWrap/>
            <w:hideMark/>
          </w:tcPr>
          <w:p w14:paraId="61FE24AC"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210</w:t>
            </w:r>
          </w:p>
        </w:tc>
        <w:tc>
          <w:tcPr>
            <w:tcW w:w="1124" w:type="dxa"/>
            <w:gridSpan w:val="2"/>
            <w:tcBorders>
              <w:top w:val="nil"/>
              <w:left w:val="nil"/>
              <w:bottom w:val="single" w:sz="4" w:space="0" w:color="auto"/>
              <w:right w:val="single" w:sz="4" w:space="0" w:color="auto"/>
            </w:tcBorders>
            <w:noWrap/>
            <w:hideMark/>
          </w:tcPr>
          <w:p w14:paraId="6DD1BCD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210</w:t>
            </w:r>
          </w:p>
        </w:tc>
        <w:tc>
          <w:tcPr>
            <w:tcW w:w="930" w:type="dxa"/>
            <w:tcBorders>
              <w:top w:val="nil"/>
              <w:left w:val="nil"/>
              <w:bottom w:val="single" w:sz="4" w:space="0" w:color="auto"/>
              <w:right w:val="single" w:sz="4" w:space="0" w:color="auto"/>
            </w:tcBorders>
            <w:noWrap/>
            <w:hideMark/>
          </w:tcPr>
          <w:p w14:paraId="2247571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116" w:type="dxa"/>
            <w:gridSpan w:val="2"/>
            <w:tcBorders>
              <w:top w:val="nil"/>
              <w:left w:val="nil"/>
              <w:bottom w:val="single" w:sz="4" w:space="0" w:color="auto"/>
              <w:right w:val="single" w:sz="4" w:space="0" w:color="auto"/>
            </w:tcBorders>
            <w:noWrap/>
            <w:hideMark/>
          </w:tcPr>
          <w:p w14:paraId="25E4909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1032" w:type="dxa"/>
            <w:tcBorders>
              <w:top w:val="nil"/>
              <w:left w:val="nil"/>
              <w:bottom w:val="single" w:sz="4" w:space="0" w:color="auto"/>
              <w:right w:val="single" w:sz="4" w:space="0" w:color="auto"/>
            </w:tcBorders>
            <w:noWrap/>
            <w:hideMark/>
          </w:tcPr>
          <w:p w14:paraId="4C8B5056"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5.7</w:t>
            </w:r>
          </w:p>
        </w:tc>
        <w:tc>
          <w:tcPr>
            <w:tcW w:w="963" w:type="dxa"/>
            <w:gridSpan w:val="2"/>
            <w:tcBorders>
              <w:top w:val="nil"/>
              <w:left w:val="nil"/>
              <w:bottom w:val="single" w:sz="4" w:space="0" w:color="auto"/>
              <w:right w:val="single" w:sz="4" w:space="0" w:color="auto"/>
            </w:tcBorders>
            <w:noWrap/>
            <w:hideMark/>
          </w:tcPr>
          <w:p w14:paraId="1795D38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4.3</w:t>
            </w:r>
          </w:p>
        </w:tc>
      </w:tr>
      <w:tr w:rsidR="003B315D" w:rsidRPr="00BE33FC" w14:paraId="03267830"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6A2DA5F5"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Food Safety Authority of Ireland</w:t>
            </w:r>
          </w:p>
        </w:tc>
        <w:tc>
          <w:tcPr>
            <w:tcW w:w="1050" w:type="dxa"/>
            <w:tcBorders>
              <w:top w:val="nil"/>
              <w:left w:val="nil"/>
              <w:bottom w:val="single" w:sz="4" w:space="0" w:color="auto"/>
              <w:right w:val="single" w:sz="4" w:space="0" w:color="auto"/>
            </w:tcBorders>
            <w:noWrap/>
            <w:hideMark/>
          </w:tcPr>
          <w:p w14:paraId="74449672"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77</w:t>
            </w:r>
          </w:p>
        </w:tc>
        <w:tc>
          <w:tcPr>
            <w:tcW w:w="1124" w:type="dxa"/>
            <w:gridSpan w:val="2"/>
            <w:tcBorders>
              <w:top w:val="nil"/>
              <w:left w:val="nil"/>
              <w:bottom w:val="single" w:sz="4" w:space="0" w:color="auto"/>
              <w:right w:val="single" w:sz="4" w:space="0" w:color="auto"/>
            </w:tcBorders>
            <w:noWrap/>
            <w:hideMark/>
          </w:tcPr>
          <w:p w14:paraId="064C899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84</w:t>
            </w:r>
          </w:p>
        </w:tc>
        <w:tc>
          <w:tcPr>
            <w:tcW w:w="930" w:type="dxa"/>
            <w:tcBorders>
              <w:top w:val="nil"/>
              <w:left w:val="nil"/>
              <w:bottom w:val="single" w:sz="4" w:space="0" w:color="auto"/>
              <w:right w:val="single" w:sz="4" w:space="0" w:color="auto"/>
            </w:tcBorders>
            <w:noWrap/>
            <w:hideMark/>
          </w:tcPr>
          <w:p w14:paraId="4146B77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6" w:type="dxa"/>
            <w:gridSpan w:val="2"/>
            <w:tcBorders>
              <w:top w:val="nil"/>
              <w:left w:val="nil"/>
              <w:bottom w:val="single" w:sz="4" w:space="0" w:color="auto"/>
              <w:right w:val="single" w:sz="4" w:space="0" w:color="auto"/>
            </w:tcBorders>
            <w:noWrap/>
            <w:hideMark/>
          </w:tcPr>
          <w:p w14:paraId="50F98C73"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32" w:type="dxa"/>
            <w:tcBorders>
              <w:top w:val="nil"/>
              <w:left w:val="nil"/>
              <w:bottom w:val="single" w:sz="4" w:space="0" w:color="auto"/>
              <w:right w:val="single" w:sz="4" w:space="0" w:color="auto"/>
            </w:tcBorders>
            <w:noWrap/>
            <w:hideMark/>
          </w:tcPr>
          <w:p w14:paraId="108DFC69"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5.2</w:t>
            </w:r>
          </w:p>
        </w:tc>
        <w:tc>
          <w:tcPr>
            <w:tcW w:w="963" w:type="dxa"/>
            <w:gridSpan w:val="2"/>
            <w:tcBorders>
              <w:top w:val="nil"/>
              <w:left w:val="nil"/>
              <w:bottom w:val="single" w:sz="4" w:space="0" w:color="auto"/>
              <w:right w:val="single" w:sz="4" w:space="0" w:color="auto"/>
            </w:tcBorders>
            <w:noWrap/>
            <w:hideMark/>
          </w:tcPr>
          <w:p w14:paraId="3218F973"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6.0</w:t>
            </w:r>
          </w:p>
        </w:tc>
      </w:tr>
      <w:tr w:rsidR="003B315D" w:rsidRPr="00BE33FC" w14:paraId="2A88ABCE"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75DD80E2"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Health Information and Quality Authority </w:t>
            </w:r>
          </w:p>
        </w:tc>
        <w:tc>
          <w:tcPr>
            <w:tcW w:w="1050" w:type="dxa"/>
            <w:tcBorders>
              <w:top w:val="nil"/>
              <w:left w:val="nil"/>
              <w:bottom w:val="single" w:sz="4" w:space="0" w:color="auto"/>
              <w:right w:val="single" w:sz="4" w:space="0" w:color="auto"/>
            </w:tcBorders>
            <w:noWrap/>
            <w:hideMark/>
          </w:tcPr>
          <w:p w14:paraId="4DA647D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216</w:t>
            </w:r>
          </w:p>
        </w:tc>
        <w:tc>
          <w:tcPr>
            <w:tcW w:w="1124" w:type="dxa"/>
            <w:gridSpan w:val="2"/>
            <w:tcBorders>
              <w:top w:val="nil"/>
              <w:left w:val="nil"/>
              <w:bottom w:val="single" w:sz="4" w:space="0" w:color="auto"/>
              <w:right w:val="single" w:sz="4" w:space="0" w:color="auto"/>
            </w:tcBorders>
            <w:noWrap/>
            <w:hideMark/>
          </w:tcPr>
          <w:p w14:paraId="7F1E65CE"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235</w:t>
            </w:r>
          </w:p>
        </w:tc>
        <w:tc>
          <w:tcPr>
            <w:tcW w:w="930" w:type="dxa"/>
            <w:tcBorders>
              <w:top w:val="nil"/>
              <w:left w:val="nil"/>
              <w:bottom w:val="single" w:sz="4" w:space="0" w:color="auto"/>
              <w:right w:val="single" w:sz="4" w:space="0" w:color="auto"/>
            </w:tcBorders>
            <w:noWrap/>
            <w:hideMark/>
          </w:tcPr>
          <w:p w14:paraId="4C348F3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116" w:type="dxa"/>
            <w:gridSpan w:val="2"/>
            <w:tcBorders>
              <w:top w:val="nil"/>
              <w:left w:val="nil"/>
              <w:bottom w:val="single" w:sz="4" w:space="0" w:color="auto"/>
              <w:right w:val="single" w:sz="4" w:space="0" w:color="auto"/>
            </w:tcBorders>
            <w:noWrap/>
            <w:hideMark/>
          </w:tcPr>
          <w:p w14:paraId="176702B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32" w:type="dxa"/>
            <w:tcBorders>
              <w:top w:val="nil"/>
              <w:left w:val="nil"/>
              <w:bottom w:val="single" w:sz="4" w:space="0" w:color="auto"/>
              <w:right w:val="single" w:sz="4" w:space="0" w:color="auto"/>
            </w:tcBorders>
            <w:noWrap/>
            <w:hideMark/>
          </w:tcPr>
          <w:p w14:paraId="65E079E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3.7</w:t>
            </w:r>
          </w:p>
        </w:tc>
        <w:tc>
          <w:tcPr>
            <w:tcW w:w="963" w:type="dxa"/>
            <w:gridSpan w:val="2"/>
            <w:tcBorders>
              <w:top w:val="nil"/>
              <w:left w:val="nil"/>
              <w:bottom w:val="single" w:sz="4" w:space="0" w:color="auto"/>
              <w:right w:val="single" w:sz="4" w:space="0" w:color="auto"/>
            </w:tcBorders>
            <w:noWrap/>
            <w:hideMark/>
          </w:tcPr>
          <w:p w14:paraId="6FB2699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3.4</w:t>
            </w:r>
          </w:p>
        </w:tc>
      </w:tr>
      <w:tr w:rsidR="003B315D" w:rsidRPr="00BE33FC" w14:paraId="095100DF"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5833C64A"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Health Insurance Authority </w:t>
            </w:r>
          </w:p>
        </w:tc>
        <w:tc>
          <w:tcPr>
            <w:tcW w:w="1050" w:type="dxa"/>
            <w:tcBorders>
              <w:top w:val="nil"/>
              <w:left w:val="nil"/>
              <w:bottom w:val="single" w:sz="4" w:space="0" w:color="auto"/>
              <w:right w:val="single" w:sz="4" w:space="0" w:color="auto"/>
            </w:tcBorders>
            <w:noWrap/>
            <w:hideMark/>
          </w:tcPr>
          <w:p w14:paraId="554AF786"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124" w:type="dxa"/>
            <w:gridSpan w:val="2"/>
            <w:tcBorders>
              <w:top w:val="nil"/>
              <w:left w:val="nil"/>
              <w:bottom w:val="single" w:sz="4" w:space="0" w:color="auto"/>
              <w:right w:val="single" w:sz="4" w:space="0" w:color="auto"/>
            </w:tcBorders>
            <w:noWrap/>
            <w:hideMark/>
          </w:tcPr>
          <w:p w14:paraId="3806A613"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930" w:type="dxa"/>
            <w:tcBorders>
              <w:top w:val="nil"/>
              <w:left w:val="nil"/>
              <w:bottom w:val="single" w:sz="4" w:space="0" w:color="auto"/>
              <w:right w:val="single" w:sz="4" w:space="0" w:color="auto"/>
            </w:tcBorders>
            <w:noWrap/>
            <w:hideMark/>
          </w:tcPr>
          <w:p w14:paraId="721DEAE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6" w:type="dxa"/>
            <w:gridSpan w:val="2"/>
            <w:tcBorders>
              <w:top w:val="nil"/>
              <w:left w:val="nil"/>
              <w:bottom w:val="single" w:sz="4" w:space="0" w:color="auto"/>
              <w:right w:val="single" w:sz="4" w:space="0" w:color="auto"/>
            </w:tcBorders>
            <w:noWrap/>
            <w:hideMark/>
          </w:tcPr>
          <w:p w14:paraId="00CAD05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2" w:type="dxa"/>
            <w:tcBorders>
              <w:top w:val="nil"/>
              <w:left w:val="nil"/>
              <w:bottom w:val="single" w:sz="4" w:space="0" w:color="auto"/>
              <w:right w:val="single" w:sz="4" w:space="0" w:color="auto"/>
            </w:tcBorders>
            <w:noWrap/>
            <w:hideMark/>
          </w:tcPr>
          <w:p w14:paraId="7FA709F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10.0</w:t>
            </w:r>
          </w:p>
        </w:tc>
        <w:tc>
          <w:tcPr>
            <w:tcW w:w="963" w:type="dxa"/>
            <w:gridSpan w:val="2"/>
            <w:tcBorders>
              <w:top w:val="nil"/>
              <w:left w:val="nil"/>
              <w:bottom w:val="single" w:sz="4" w:space="0" w:color="auto"/>
              <w:right w:val="single" w:sz="4" w:space="0" w:color="auto"/>
            </w:tcBorders>
            <w:noWrap/>
            <w:hideMark/>
          </w:tcPr>
          <w:p w14:paraId="4635642E"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22.2</w:t>
            </w:r>
          </w:p>
        </w:tc>
      </w:tr>
      <w:tr w:rsidR="003B315D" w:rsidRPr="00BE33FC" w14:paraId="420F8ED0"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039B1B6B"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Health Products Regulatory Authority </w:t>
            </w:r>
          </w:p>
        </w:tc>
        <w:tc>
          <w:tcPr>
            <w:tcW w:w="1050" w:type="dxa"/>
            <w:tcBorders>
              <w:top w:val="nil"/>
              <w:left w:val="nil"/>
              <w:bottom w:val="single" w:sz="4" w:space="0" w:color="auto"/>
              <w:right w:val="single" w:sz="4" w:space="0" w:color="auto"/>
            </w:tcBorders>
            <w:noWrap/>
            <w:hideMark/>
          </w:tcPr>
          <w:p w14:paraId="70779862"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312</w:t>
            </w:r>
          </w:p>
        </w:tc>
        <w:tc>
          <w:tcPr>
            <w:tcW w:w="1124" w:type="dxa"/>
            <w:gridSpan w:val="2"/>
            <w:tcBorders>
              <w:top w:val="nil"/>
              <w:left w:val="nil"/>
              <w:bottom w:val="single" w:sz="4" w:space="0" w:color="auto"/>
              <w:right w:val="single" w:sz="4" w:space="0" w:color="auto"/>
            </w:tcBorders>
            <w:noWrap/>
            <w:hideMark/>
          </w:tcPr>
          <w:p w14:paraId="371DD08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321</w:t>
            </w:r>
          </w:p>
        </w:tc>
        <w:tc>
          <w:tcPr>
            <w:tcW w:w="930" w:type="dxa"/>
            <w:tcBorders>
              <w:top w:val="nil"/>
              <w:left w:val="nil"/>
              <w:bottom w:val="single" w:sz="4" w:space="0" w:color="auto"/>
              <w:right w:val="single" w:sz="4" w:space="0" w:color="auto"/>
            </w:tcBorders>
            <w:noWrap/>
            <w:hideMark/>
          </w:tcPr>
          <w:p w14:paraId="0DD4A3B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116" w:type="dxa"/>
            <w:gridSpan w:val="2"/>
            <w:tcBorders>
              <w:top w:val="nil"/>
              <w:left w:val="nil"/>
              <w:bottom w:val="single" w:sz="4" w:space="0" w:color="auto"/>
              <w:right w:val="single" w:sz="4" w:space="0" w:color="auto"/>
            </w:tcBorders>
            <w:noWrap/>
            <w:hideMark/>
          </w:tcPr>
          <w:p w14:paraId="3199FF9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1032" w:type="dxa"/>
            <w:tcBorders>
              <w:top w:val="nil"/>
              <w:left w:val="nil"/>
              <w:bottom w:val="single" w:sz="4" w:space="0" w:color="auto"/>
              <w:right w:val="single" w:sz="4" w:space="0" w:color="auto"/>
            </w:tcBorders>
            <w:noWrap/>
            <w:hideMark/>
          </w:tcPr>
          <w:p w14:paraId="7BF0438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963" w:type="dxa"/>
            <w:gridSpan w:val="2"/>
            <w:tcBorders>
              <w:top w:val="nil"/>
              <w:left w:val="nil"/>
              <w:bottom w:val="single" w:sz="4" w:space="0" w:color="auto"/>
              <w:right w:val="single" w:sz="4" w:space="0" w:color="auto"/>
            </w:tcBorders>
            <w:noWrap/>
            <w:hideMark/>
          </w:tcPr>
          <w:p w14:paraId="4B5CCC1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5.0</w:t>
            </w:r>
          </w:p>
        </w:tc>
      </w:tr>
      <w:tr w:rsidR="003B315D" w:rsidRPr="00BE33FC" w14:paraId="77CCDCB6"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69E69B53"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Health Research Board </w:t>
            </w:r>
          </w:p>
        </w:tc>
        <w:tc>
          <w:tcPr>
            <w:tcW w:w="1050" w:type="dxa"/>
            <w:tcBorders>
              <w:top w:val="nil"/>
              <w:left w:val="nil"/>
              <w:bottom w:val="single" w:sz="4" w:space="0" w:color="auto"/>
              <w:right w:val="single" w:sz="4" w:space="0" w:color="auto"/>
            </w:tcBorders>
            <w:noWrap/>
            <w:hideMark/>
          </w:tcPr>
          <w:p w14:paraId="4EE1B03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63</w:t>
            </w:r>
          </w:p>
        </w:tc>
        <w:tc>
          <w:tcPr>
            <w:tcW w:w="1124" w:type="dxa"/>
            <w:gridSpan w:val="2"/>
            <w:tcBorders>
              <w:top w:val="nil"/>
              <w:left w:val="nil"/>
              <w:bottom w:val="single" w:sz="4" w:space="0" w:color="auto"/>
              <w:right w:val="single" w:sz="4" w:space="0" w:color="auto"/>
            </w:tcBorders>
            <w:noWrap/>
            <w:hideMark/>
          </w:tcPr>
          <w:p w14:paraId="433231D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67</w:t>
            </w:r>
          </w:p>
        </w:tc>
        <w:tc>
          <w:tcPr>
            <w:tcW w:w="930" w:type="dxa"/>
            <w:tcBorders>
              <w:top w:val="nil"/>
              <w:left w:val="nil"/>
              <w:bottom w:val="single" w:sz="4" w:space="0" w:color="auto"/>
              <w:right w:val="single" w:sz="4" w:space="0" w:color="auto"/>
            </w:tcBorders>
            <w:noWrap/>
            <w:hideMark/>
          </w:tcPr>
          <w:p w14:paraId="77AF6C6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6" w:type="dxa"/>
            <w:gridSpan w:val="2"/>
            <w:tcBorders>
              <w:top w:val="nil"/>
              <w:left w:val="nil"/>
              <w:bottom w:val="single" w:sz="4" w:space="0" w:color="auto"/>
              <w:right w:val="single" w:sz="4" w:space="0" w:color="auto"/>
            </w:tcBorders>
            <w:noWrap/>
            <w:hideMark/>
          </w:tcPr>
          <w:p w14:paraId="1FDEC76C"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2" w:type="dxa"/>
            <w:tcBorders>
              <w:top w:val="nil"/>
              <w:left w:val="nil"/>
              <w:bottom w:val="single" w:sz="4" w:space="0" w:color="auto"/>
              <w:right w:val="single" w:sz="4" w:space="0" w:color="auto"/>
            </w:tcBorders>
            <w:noWrap/>
            <w:hideMark/>
          </w:tcPr>
          <w:p w14:paraId="4095349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963" w:type="dxa"/>
            <w:gridSpan w:val="2"/>
            <w:tcBorders>
              <w:top w:val="nil"/>
              <w:left w:val="nil"/>
              <w:bottom w:val="single" w:sz="4" w:space="0" w:color="auto"/>
              <w:right w:val="single" w:sz="4" w:space="0" w:color="auto"/>
            </w:tcBorders>
            <w:noWrap/>
            <w:hideMark/>
          </w:tcPr>
          <w:p w14:paraId="370FE4E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3.0</w:t>
            </w:r>
          </w:p>
        </w:tc>
      </w:tr>
      <w:tr w:rsidR="003B315D" w:rsidRPr="00BE33FC" w14:paraId="67F34744"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093C22D0"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Health Service Executive </w:t>
            </w:r>
          </w:p>
        </w:tc>
        <w:tc>
          <w:tcPr>
            <w:tcW w:w="1050" w:type="dxa"/>
            <w:tcBorders>
              <w:top w:val="nil"/>
              <w:left w:val="nil"/>
              <w:bottom w:val="single" w:sz="4" w:space="0" w:color="auto"/>
              <w:right w:val="single" w:sz="4" w:space="0" w:color="auto"/>
            </w:tcBorders>
            <w:noWrap/>
            <w:hideMark/>
          </w:tcPr>
          <w:p w14:paraId="6310403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85,612</w:t>
            </w:r>
          </w:p>
        </w:tc>
        <w:tc>
          <w:tcPr>
            <w:tcW w:w="1124" w:type="dxa"/>
            <w:gridSpan w:val="2"/>
            <w:tcBorders>
              <w:top w:val="nil"/>
              <w:left w:val="nil"/>
              <w:bottom w:val="single" w:sz="4" w:space="0" w:color="auto"/>
              <w:right w:val="single" w:sz="4" w:space="0" w:color="auto"/>
            </w:tcBorders>
            <w:noWrap/>
            <w:hideMark/>
          </w:tcPr>
          <w:p w14:paraId="017CF9E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87,821</w:t>
            </w:r>
          </w:p>
        </w:tc>
        <w:tc>
          <w:tcPr>
            <w:tcW w:w="930" w:type="dxa"/>
            <w:tcBorders>
              <w:top w:val="nil"/>
              <w:left w:val="nil"/>
              <w:bottom w:val="single" w:sz="4" w:space="0" w:color="auto"/>
              <w:right w:val="single" w:sz="4" w:space="0" w:color="auto"/>
            </w:tcBorders>
            <w:noWrap/>
            <w:hideMark/>
          </w:tcPr>
          <w:p w14:paraId="328B6D3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1,546</w:t>
            </w:r>
          </w:p>
        </w:tc>
        <w:tc>
          <w:tcPr>
            <w:tcW w:w="1116" w:type="dxa"/>
            <w:gridSpan w:val="2"/>
            <w:tcBorders>
              <w:top w:val="nil"/>
              <w:left w:val="nil"/>
              <w:bottom w:val="single" w:sz="4" w:space="0" w:color="auto"/>
              <w:right w:val="single" w:sz="4" w:space="0" w:color="auto"/>
            </w:tcBorders>
            <w:noWrap/>
            <w:hideMark/>
          </w:tcPr>
          <w:p w14:paraId="29EA3C4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1,176</w:t>
            </w:r>
          </w:p>
        </w:tc>
        <w:tc>
          <w:tcPr>
            <w:tcW w:w="1032" w:type="dxa"/>
            <w:tcBorders>
              <w:top w:val="nil"/>
              <w:left w:val="nil"/>
              <w:bottom w:val="single" w:sz="4" w:space="0" w:color="auto"/>
              <w:right w:val="single" w:sz="4" w:space="0" w:color="auto"/>
            </w:tcBorders>
            <w:noWrap/>
            <w:hideMark/>
          </w:tcPr>
          <w:p w14:paraId="1A16B4C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963" w:type="dxa"/>
            <w:gridSpan w:val="2"/>
            <w:tcBorders>
              <w:top w:val="nil"/>
              <w:left w:val="nil"/>
              <w:bottom w:val="single" w:sz="4" w:space="0" w:color="auto"/>
              <w:right w:val="single" w:sz="4" w:space="0" w:color="auto"/>
            </w:tcBorders>
            <w:noWrap/>
            <w:hideMark/>
          </w:tcPr>
          <w:p w14:paraId="74226E6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1.3</w:t>
            </w:r>
          </w:p>
        </w:tc>
      </w:tr>
      <w:tr w:rsidR="003B315D" w:rsidRPr="00BE33FC" w14:paraId="31EA9CF8"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7B01E114"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Institute of Public Health</w:t>
            </w:r>
          </w:p>
        </w:tc>
        <w:tc>
          <w:tcPr>
            <w:tcW w:w="1050" w:type="dxa"/>
            <w:tcBorders>
              <w:top w:val="nil"/>
              <w:left w:val="nil"/>
              <w:bottom w:val="single" w:sz="4" w:space="0" w:color="auto"/>
              <w:right w:val="single" w:sz="4" w:space="0" w:color="auto"/>
            </w:tcBorders>
            <w:noWrap/>
            <w:hideMark/>
          </w:tcPr>
          <w:p w14:paraId="1224B34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124" w:type="dxa"/>
            <w:gridSpan w:val="2"/>
            <w:tcBorders>
              <w:top w:val="nil"/>
              <w:left w:val="nil"/>
              <w:bottom w:val="single" w:sz="4" w:space="0" w:color="auto"/>
              <w:right w:val="single" w:sz="4" w:space="0" w:color="auto"/>
            </w:tcBorders>
            <w:noWrap/>
            <w:hideMark/>
          </w:tcPr>
          <w:p w14:paraId="24FD892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21</w:t>
            </w:r>
          </w:p>
        </w:tc>
        <w:tc>
          <w:tcPr>
            <w:tcW w:w="930" w:type="dxa"/>
            <w:tcBorders>
              <w:top w:val="nil"/>
              <w:left w:val="nil"/>
              <w:bottom w:val="single" w:sz="4" w:space="0" w:color="auto"/>
              <w:right w:val="single" w:sz="4" w:space="0" w:color="auto"/>
            </w:tcBorders>
            <w:noWrap/>
            <w:hideMark/>
          </w:tcPr>
          <w:p w14:paraId="2D843E8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6" w:type="dxa"/>
            <w:gridSpan w:val="2"/>
            <w:tcBorders>
              <w:top w:val="nil"/>
              <w:left w:val="nil"/>
              <w:bottom w:val="single" w:sz="4" w:space="0" w:color="auto"/>
              <w:right w:val="single" w:sz="4" w:space="0" w:color="auto"/>
            </w:tcBorders>
            <w:noWrap/>
            <w:hideMark/>
          </w:tcPr>
          <w:p w14:paraId="4560210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2" w:type="dxa"/>
            <w:tcBorders>
              <w:top w:val="nil"/>
              <w:left w:val="nil"/>
              <w:bottom w:val="single" w:sz="4" w:space="0" w:color="auto"/>
              <w:right w:val="single" w:sz="4" w:space="0" w:color="auto"/>
            </w:tcBorders>
            <w:noWrap/>
            <w:hideMark/>
          </w:tcPr>
          <w:p w14:paraId="13DEFA4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5.9</w:t>
            </w:r>
          </w:p>
        </w:tc>
        <w:tc>
          <w:tcPr>
            <w:tcW w:w="963" w:type="dxa"/>
            <w:gridSpan w:val="2"/>
            <w:tcBorders>
              <w:top w:val="nil"/>
              <w:left w:val="nil"/>
              <w:bottom w:val="single" w:sz="4" w:space="0" w:color="auto"/>
              <w:right w:val="single" w:sz="4" w:space="0" w:color="auto"/>
            </w:tcBorders>
            <w:noWrap/>
            <w:hideMark/>
          </w:tcPr>
          <w:p w14:paraId="6C346A9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4.8</w:t>
            </w:r>
          </w:p>
        </w:tc>
      </w:tr>
      <w:tr w:rsidR="003B315D" w:rsidRPr="00BE33FC" w14:paraId="4D9E4BC5"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109495DC"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Irish Blood Transfusion Service </w:t>
            </w:r>
          </w:p>
        </w:tc>
        <w:tc>
          <w:tcPr>
            <w:tcW w:w="1050" w:type="dxa"/>
            <w:tcBorders>
              <w:top w:val="nil"/>
              <w:left w:val="nil"/>
              <w:bottom w:val="single" w:sz="4" w:space="0" w:color="auto"/>
              <w:right w:val="single" w:sz="4" w:space="0" w:color="auto"/>
            </w:tcBorders>
            <w:noWrap/>
            <w:hideMark/>
          </w:tcPr>
          <w:p w14:paraId="2F45E28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600</w:t>
            </w:r>
          </w:p>
        </w:tc>
        <w:tc>
          <w:tcPr>
            <w:tcW w:w="1124" w:type="dxa"/>
            <w:gridSpan w:val="2"/>
            <w:tcBorders>
              <w:top w:val="nil"/>
              <w:left w:val="nil"/>
              <w:bottom w:val="single" w:sz="4" w:space="0" w:color="auto"/>
              <w:right w:val="single" w:sz="4" w:space="0" w:color="auto"/>
            </w:tcBorders>
            <w:noWrap/>
            <w:hideMark/>
          </w:tcPr>
          <w:p w14:paraId="270F309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600</w:t>
            </w:r>
          </w:p>
        </w:tc>
        <w:tc>
          <w:tcPr>
            <w:tcW w:w="930" w:type="dxa"/>
            <w:tcBorders>
              <w:top w:val="nil"/>
              <w:left w:val="nil"/>
              <w:bottom w:val="single" w:sz="4" w:space="0" w:color="auto"/>
              <w:right w:val="single" w:sz="4" w:space="0" w:color="auto"/>
            </w:tcBorders>
            <w:noWrap/>
            <w:hideMark/>
          </w:tcPr>
          <w:p w14:paraId="0CC75CB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116" w:type="dxa"/>
            <w:gridSpan w:val="2"/>
            <w:tcBorders>
              <w:top w:val="nil"/>
              <w:left w:val="nil"/>
              <w:bottom w:val="single" w:sz="4" w:space="0" w:color="auto"/>
              <w:right w:val="single" w:sz="4" w:space="0" w:color="auto"/>
            </w:tcBorders>
            <w:noWrap/>
            <w:hideMark/>
          </w:tcPr>
          <w:p w14:paraId="573C556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25</w:t>
            </w:r>
          </w:p>
        </w:tc>
        <w:tc>
          <w:tcPr>
            <w:tcW w:w="1032" w:type="dxa"/>
            <w:tcBorders>
              <w:top w:val="nil"/>
              <w:left w:val="nil"/>
              <w:bottom w:val="single" w:sz="4" w:space="0" w:color="auto"/>
              <w:right w:val="single" w:sz="4" w:space="0" w:color="auto"/>
            </w:tcBorders>
            <w:noWrap/>
            <w:hideMark/>
          </w:tcPr>
          <w:p w14:paraId="40A565D3"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63" w:type="dxa"/>
            <w:gridSpan w:val="2"/>
            <w:tcBorders>
              <w:top w:val="nil"/>
              <w:left w:val="nil"/>
              <w:bottom w:val="single" w:sz="4" w:space="0" w:color="auto"/>
              <w:right w:val="single" w:sz="4" w:space="0" w:color="auto"/>
            </w:tcBorders>
            <w:noWrap/>
            <w:hideMark/>
          </w:tcPr>
          <w:p w14:paraId="244030D6"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4.2</w:t>
            </w:r>
          </w:p>
        </w:tc>
      </w:tr>
      <w:tr w:rsidR="003B315D" w:rsidRPr="00BE33FC" w14:paraId="176CF78E"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4CCDB017"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Leopardstown Park Hospital </w:t>
            </w:r>
          </w:p>
        </w:tc>
        <w:tc>
          <w:tcPr>
            <w:tcW w:w="1050" w:type="dxa"/>
            <w:tcBorders>
              <w:top w:val="nil"/>
              <w:left w:val="nil"/>
              <w:bottom w:val="single" w:sz="4" w:space="0" w:color="auto"/>
              <w:right w:val="single" w:sz="4" w:space="0" w:color="auto"/>
            </w:tcBorders>
            <w:noWrap/>
            <w:hideMark/>
          </w:tcPr>
          <w:p w14:paraId="09E92EF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258</w:t>
            </w:r>
          </w:p>
        </w:tc>
        <w:tc>
          <w:tcPr>
            <w:tcW w:w="1124" w:type="dxa"/>
            <w:gridSpan w:val="2"/>
            <w:tcBorders>
              <w:top w:val="nil"/>
              <w:left w:val="nil"/>
              <w:bottom w:val="single" w:sz="4" w:space="0" w:color="auto"/>
              <w:right w:val="single" w:sz="4" w:space="0" w:color="auto"/>
            </w:tcBorders>
            <w:noWrap/>
            <w:hideMark/>
          </w:tcPr>
          <w:p w14:paraId="51BA52B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245</w:t>
            </w:r>
          </w:p>
        </w:tc>
        <w:tc>
          <w:tcPr>
            <w:tcW w:w="930" w:type="dxa"/>
            <w:tcBorders>
              <w:top w:val="nil"/>
              <w:left w:val="nil"/>
              <w:bottom w:val="single" w:sz="4" w:space="0" w:color="auto"/>
              <w:right w:val="single" w:sz="4" w:space="0" w:color="auto"/>
            </w:tcBorders>
            <w:noWrap/>
            <w:hideMark/>
          </w:tcPr>
          <w:p w14:paraId="7404837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116" w:type="dxa"/>
            <w:gridSpan w:val="2"/>
            <w:tcBorders>
              <w:top w:val="nil"/>
              <w:left w:val="nil"/>
              <w:bottom w:val="single" w:sz="4" w:space="0" w:color="auto"/>
              <w:right w:val="single" w:sz="4" w:space="0" w:color="auto"/>
            </w:tcBorders>
            <w:noWrap/>
            <w:hideMark/>
          </w:tcPr>
          <w:p w14:paraId="6C3504A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1032" w:type="dxa"/>
            <w:tcBorders>
              <w:top w:val="nil"/>
              <w:left w:val="nil"/>
              <w:bottom w:val="single" w:sz="4" w:space="0" w:color="auto"/>
              <w:right w:val="single" w:sz="4" w:space="0" w:color="auto"/>
            </w:tcBorders>
            <w:noWrap/>
            <w:hideMark/>
          </w:tcPr>
          <w:p w14:paraId="4901A94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7.4</w:t>
            </w:r>
          </w:p>
        </w:tc>
        <w:tc>
          <w:tcPr>
            <w:tcW w:w="963" w:type="dxa"/>
            <w:gridSpan w:val="2"/>
            <w:tcBorders>
              <w:top w:val="nil"/>
              <w:left w:val="nil"/>
              <w:bottom w:val="single" w:sz="4" w:space="0" w:color="auto"/>
              <w:right w:val="single" w:sz="4" w:space="0" w:color="auto"/>
            </w:tcBorders>
            <w:noWrap/>
            <w:hideMark/>
          </w:tcPr>
          <w:p w14:paraId="5FC804CC" w14:textId="48F96FA0"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w:t>
            </w:r>
            <w:r w:rsidR="007B6488">
              <w:rPr>
                <w:rFonts w:ascii="Gill Sans MT" w:hAnsi="Gill Sans MT" w:cs="Arial"/>
                <w:sz w:val="22"/>
                <w:szCs w:val="22"/>
              </w:rPr>
              <w:t>3</w:t>
            </w:r>
          </w:p>
        </w:tc>
      </w:tr>
      <w:tr w:rsidR="003B315D" w:rsidRPr="00BE33FC" w14:paraId="3788DBEC"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4A61B636"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Medical Council</w:t>
            </w:r>
          </w:p>
        </w:tc>
        <w:tc>
          <w:tcPr>
            <w:tcW w:w="1050" w:type="dxa"/>
            <w:tcBorders>
              <w:top w:val="nil"/>
              <w:left w:val="nil"/>
              <w:bottom w:val="single" w:sz="4" w:space="0" w:color="auto"/>
              <w:right w:val="single" w:sz="4" w:space="0" w:color="auto"/>
            </w:tcBorders>
            <w:noWrap/>
            <w:hideMark/>
          </w:tcPr>
          <w:p w14:paraId="2198153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79</w:t>
            </w:r>
          </w:p>
        </w:tc>
        <w:tc>
          <w:tcPr>
            <w:tcW w:w="1124" w:type="dxa"/>
            <w:gridSpan w:val="2"/>
            <w:tcBorders>
              <w:top w:val="nil"/>
              <w:left w:val="nil"/>
              <w:bottom w:val="single" w:sz="4" w:space="0" w:color="auto"/>
              <w:right w:val="single" w:sz="4" w:space="0" w:color="auto"/>
            </w:tcBorders>
            <w:noWrap/>
            <w:hideMark/>
          </w:tcPr>
          <w:p w14:paraId="6273233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80</w:t>
            </w:r>
          </w:p>
        </w:tc>
        <w:tc>
          <w:tcPr>
            <w:tcW w:w="930" w:type="dxa"/>
            <w:tcBorders>
              <w:top w:val="nil"/>
              <w:left w:val="nil"/>
              <w:bottom w:val="single" w:sz="4" w:space="0" w:color="auto"/>
              <w:right w:val="single" w:sz="4" w:space="0" w:color="auto"/>
            </w:tcBorders>
            <w:noWrap/>
            <w:hideMark/>
          </w:tcPr>
          <w:p w14:paraId="761AEA5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6" w:type="dxa"/>
            <w:gridSpan w:val="2"/>
            <w:tcBorders>
              <w:top w:val="nil"/>
              <w:left w:val="nil"/>
              <w:bottom w:val="single" w:sz="4" w:space="0" w:color="auto"/>
              <w:right w:val="single" w:sz="4" w:space="0" w:color="auto"/>
            </w:tcBorders>
            <w:noWrap/>
            <w:hideMark/>
          </w:tcPr>
          <w:p w14:paraId="019C108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32" w:type="dxa"/>
            <w:tcBorders>
              <w:top w:val="nil"/>
              <w:left w:val="nil"/>
              <w:bottom w:val="single" w:sz="4" w:space="0" w:color="auto"/>
              <w:right w:val="single" w:sz="4" w:space="0" w:color="auto"/>
            </w:tcBorders>
            <w:noWrap/>
            <w:hideMark/>
          </w:tcPr>
          <w:p w14:paraId="5B31C7B4"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3.8</w:t>
            </w:r>
          </w:p>
        </w:tc>
        <w:tc>
          <w:tcPr>
            <w:tcW w:w="963" w:type="dxa"/>
            <w:gridSpan w:val="2"/>
            <w:tcBorders>
              <w:top w:val="nil"/>
              <w:left w:val="nil"/>
              <w:bottom w:val="single" w:sz="4" w:space="0" w:color="auto"/>
              <w:right w:val="single" w:sz="4" w:space="0" w:color="auto"/>
            </w:tcBorders>
            <w:noWrap/>
            <w:hideMark/>
          </w:tcPr>
          <w:p w14:paraId="1FC72FFE"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6.3</w:t>
            </w:r>
          </w:p>
        </w:tc>
      </w:tr>
      <w:tr w:rsidR="003B315D" w:rsidRPr="00BE33FC" w14:paraId="4A1B82F7"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1869AC80"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Mental Health Commission</w:t>
            </w:r>
          </w:p>
        </w:tc>
        <w:tc>
          <w:tcPr>
            <w:tcW w:w="1050" w:type="dxa"/>
            <w:tcBorders>
              <w:top w:val="nil"/>
              <w:left w:val="nil"/>
              <w:bottom w:val="single" w:sz="4" w:space="0" w:color="auto"/>
              <w:right w:val="single" w:sz="4" w:space="0" w:color="auto"/>
            </w:tcBorders>
            <w:noWrap/>
            <w:hideMark/>
          </w:tcPr>
          <w:p w14:paraId="290B741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28</w:t>
            </w:r>
          </w:p>
        </w:tc>
        <w:tc>
          <w:tcPr>
            <w:tcW w:w="1124" w:type="dxa"/>
            <w:gridSpan w:val="2"/>
            <w:tcBorders>
              <w:top w:val="nil"/>
              <w:left w:val="nil"/>
              <w:bottom w:val="single" w:sz="4" w:space="0" w:color="auto"/>
              <w:right w:val="single" w:sz="4" w:space="0" w:color="auto"/>
            </w:tcBorders>
            <w:noWrap/>
            <w:hideMark/>
          </w:tcPr>
          <w:p w14:paraId="37710B5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51</w:t>
            </w:r>
          </w:p>
        </w:tc>
        <w:tc>
          <w:tcPr>
            <w:tcW w:w="930" w:type="dxa"/>
            <w:tcBorders>
              <w:top w:val="nil"/>
              <w:left w:val="nil"/>
              <w:bottom w:val="single" w:sz="4" w:space="0" w:color="auto"/>
              <w:right w:val="single" w:sz="4" w:space="0" w:color="auto"/>
            </w:tcBorders>
            <w:noWrap/>
            <w:hideMark/>
          </w:tcPr>
          <w:p w14:paraId="06CCEDE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6" w:type="dxa"/>
            <w:gridSpan w:val="2"/>
            <w:tcBorders>
              <w:top w:val="nil"/>
              <w:left w:val="nil"/>
              <w:bottom w:val="single" w:sz="4" w:space="0" w:color="auto"/>
              <w:right w:val="single" w:sz="4" w:space="0" w:color="auto"/>
            </w:tcBorders>
            <w:noWrap/>
            <w:hideMark/>
          </w:tcPr>
          <w:p w14:paraId="7ECFCD4C"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2" w:type="dxa"/>
            <w:tcBorders>
              <w:top w:val="nil"/>
              <w:left w:val="nil"/>
              <w:bottom w:val="single" w:sz="4" w:space="0" w:color="auto"/>
              <w:right w:val="single" w:sz="4" w:space="0" w:color="auto"/>
            </w:tcBorders>
            <w:noWrap/>
            <w:hideMark/>
          </w:tcPr>
          <w:p w14:paraId="0503CBA8"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0.0</w:t>
            </w:r>
          </w:p>
        </w:tc>
        <w:tc>
          <w:tcPr>
            <w:tcW w:w="963" w:type="dxa"/>
            <w:gridSpan w:val="2"/>
            <w:tcBorders>
              <w:top w:val="nil"/>
              <w:left w:val="nil"/>
              <w:bottom w:val="single" w:sz="4" w:space="0" w:color="auto"/>
              <w:right w:val="single" w:sz="4" w:space="0" w:color="auto"/>
            </w:tcBorders>
            <w:noWrap/>
            <w:hideMark/>
          </w:tcPr>
          <w:p w14:paraId="7DA8A6FF"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3.9</w:t>
            </w:r>
          </w:p>
        </w:tc>
      </w:tr>
      <w:tr w:rsidR="003B315D" w:rsidRPr="00BE33FC" w14:paraId="2E3AA08B"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1C7C212A"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lastRenderedPageBreak/>
              <w:t>National Cancer Registry Ireland</w:t>
            </w:r>
          </w:p>
        </w:tc>
        <w:tc>
          <w:tcPr>
            <w:tcW w:w="1050" w:type="dxa"/>
            <w:tcBorders>
              <w:top w:val="nil"/>
              <w:left w:val="nil"/>
              <w:bottom w:val="single" w:sz="4" w:space="0" w:color="auto"/>
              <w:right w:val="single" w:sz="4" w:space="0" w:color="auto"/>
            </w:tcBorders>
            <w:noWrap/>
            <w:hideMark/>
          </w:tcPr>
          <w:p w14:paraId="6110FD2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58</w:t>
            </w:r>
          </w:p>
        </w:tc>
        <w:tc>
          <w:tcPr>
            <w:tcW w:w="1124" w:type="dxa"/>
            <w:gridSpan w:val="2"/>
            <w:tcBorders>
              <w:top w:val="nil"/>
              <w:left w:val="nil"/>
              <w:bottom w:val="single" w:sz="4" w:space="0" w:color="auto"/>
              <w:right w:val="single" w:sz="4" w:space="0" w:color="auto"/>
            </w:tcBorders>
            <w:noWrap/>
            <w:hideMark/>
          </w:tcPr>
          <w:p w14:paraId="63CCCA82"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930" w:type="dxa"/>
            <w:tcBorders>
              <w:top w:val="nil"/>
              <w:left w:val="nil"/>
              <w:bottom w:val="single" w:sz="4" w:space="0" w:color="auto"/>
              <w:right w:val="single" w:sz="4" w:space="0" w:color="auto"/>
            </w:tcBorders>
            <w:noWrap/>
            <w:hideMark/>
          </w:tcPr>
          <w:p w14:paraId="4281DB6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6" w:type="dxa"/>
            <w:gridSpan w:val="2"/>
            <w:tcBorders>
              <w:top w:val="nil"/>
              <w:left w:val="nil"/>
              <w:bottom w:val="single" w:sz="4" w:space="0" w:color="auto"/>
              <w:right w:val="single" w:sz="4" w:space="0" w:color="auto"/>
            </w:tcBorders>
            <w:noWrap/>
            <w:hideMark/>
          </w:tcPr>
          <w:p w14:paraId="0ACAFA2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2" w:type="dxa"/>
            <w:tcBorders>
              <w:top w:val="nil"/>
              <w:left w:val="nil"/>
              <w:bottom w:val="single" w:sz="4" w:space="0" w:color="auto"/>
              <w:right w:val="single" w:sz="4" w:space="0" w:color="auto"/>
            </w:tcBorders>
            <w:noWrap/>
            <w:hideMark/>
          </w:tcPr>
          <w:p w14:paraId="27EA7332" w14:textId="77777777" w:rsidR="003B315D" w:rsidRPr="00BE33FC" w:rsidRDefault="003B315D" w:rsidP="0071585A">
            <w:pPr>
              <w:jc w:val="right"/>
              <w:rPr>
                <w:rFonts w:ascii="Gill Sans MT" w:hAnsi="Gill Sans MT" w:cs="Arial"/>
                <w:color w:val="000000"/>
                <w:sz w:val="22"/>
                <w:szCs w:val="22"/>
                <w:lang w:eastAsia="en-IE"/>
              </w:rPr>
            </w:pPr>
            <w:r w:rsidRPr="00BE33FC">
              <w:rPr>
                <w:rFonts w:ascii="Gill Sans MT" w:hAnsi="Gill Sans MT" w:cs="Arial"/>
                <w:sz w:val="22"/>
                <w:szCs w:val="22"/>
              </w:rPr>
              <w:t>6.9</w:t>
            </w:r>
          </w:p>
        </w:tc>
        <w:tc>
          <w:tcPr>
            <w:tcW w:w="963" w:type="dxa"/>
            <w:gridSpan w:val="2"/>
            <w:tcBorders>
              <w:top w:val="nil"/>
              <w:left w:val="nil"/>
              <w:bottom w:val="single" w:sz="4" w:space="0" w:color="auto"/>
              <w:right w:val="single" w:sz="4" w:space="0" w:color="auto"/>
            </w:tcBorders>
            <w:noWrap/>
            <w:hideMark/>
          </w:tcPr>
          <w:p w14:paraId="68520946" w14:textId="77777777" w:rsidR="003B315D" w:rsidRPr="00BE33FC" w:rsidRDefault="003B315D" w:rsidP="0071585A">
            <w:pPr>
              <w:jc w:val="right"/>
              <w:rPr>
                <w:rFonts w:ascii="Gill Sans MT" w:hAnsi="Gill Sans MT" w:cs="Arial"/>
                <w:color w:val="000000"/>
                <w:sz w:val="22"/>
                <w:szCs w:val="22"/>
                <w:lang w:eastAsia="en-IE"/>
              </w:rPr>
            </w:pPr>
            <w:r w:rsidRPr="00BE33FC">
              <w:rPr>
                <w:rFonts w:ascii="Gill Sans MT" w:hAnsi="Gill Sans MT" w:cs="Arial"/>
                <w:sz w:val="22"/>
                <w:szCs w:val="22"/>
              </w:rPr>
              <w:t>7.3</w:t>
            </w:r>
          </w:p>
        </w:tc>
      </w:tr>
      <w:tr w:rsidR="003B315D" w:rsidRPr="00BE33FC" w14:paraId="106D6E4C"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1A2DAD5F"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National Treatment Purchase Fund</w:t>
            </w:r>
          </w:p>
        </w:tc>
        <w:tc>
          <w:tcPr>
            <w:tcW w:w="1050" w:type="dxa"/>
            <w:tcBorders>
              <w:top w:val="nil"/>
              <w:left w:val="nil"/>
              <w:bottom w:val="single" w:sz="4" w:space="0" w:color="auto"/>
              <w:right w:val="single" w:sz="4" w:space="0" w:color="auto"/>
            </w:tcBorders>
            <w:noWrap/>
            <w:hideMark/>
          </w:tcPr>
          <w:p w14:paraId="6560C3D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1124" w:type="dxa"/>
            <w:gridSpan w:val="2"/>
            <w:tcBorders>
              <w:top w:val="nil"/>
              <w:left w:val="nil"/>
              <w:bottom w:val="single" w:sz="4" w:space="0" w:color="auto"/>
              <w:right w:val="single" w:sz="4" w:space="0" w:color="auto"/>
            </w:tcBorders>
            <w:noWrap/>
            <w:hideMark/>
          </w:tcPr>
          <w:p w14:paraId="4C450C8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53</w:t>
            </w:r>
          </w:p>
        </w:tc>
        <w:tc>
          <w:tcPr>
            <w:tcW w:w="930" w:type="dxa"/>
            <w:tcBorders>
              <w:top w:val="nil"/>
              <w:left w:val="nil"/>
              <w:bottom w:val="single" w:sz="4" w:space="0" w:color="auto"/>
              <w:right w:val="single" w:sz="4" w:space="0" w:color="auto"/>
            </w:tcBorders>
            <w:noWrap/>
            <w:hideMark/>
          </w:tcPr>
          <w:p w14:paraId="0FFD9A1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6" w:type="dxa"/>
            <w:gridSpan w:val="2"/>
            <w:tcBorders>
              <w:top w:val="nil"/>
              <w:left w:val="nil"/>
              <w:bottom w:val="single" w:sz="4" w:space="0" w:color="auto"/>
              <w:right w:val="single" w:sz="4" w:space="0" w:color="auto"/>
            </w:tcBorders>
            <w:noWrap/>
            <w:hideMark/>
          </w:tcPr>
          <w:p w14:paraId="0F0C328E"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2" w:type="dxa"/>
            <w:tcBorders>
              <w:top w:val="nil"/>
              <w:left w:val="nil"/>
              <w:bottom w:val="single" w:sz="4" w:space="0" w:color="auto"/>
              <w:right w:val="single" w:sz="4" w:space="0" w:color="auto"/>
            </w:tcBorders>
            <w:noWrap/>
            <w:hideMark/>
          </w:tcPr>
          <w:p w14:paraId="61FC23C9"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10.5</w:t>
            </w:r>
          </w:p>
        </w:tc>
        <w:tc>
          <w:tcPr>
            <w:tcW w:w="963" w:type="dxa"/>
            <w:gridSpan w:val="2"/>
            <w:tcBorders>
              <w:top w:val="nil"/>
              <w:left w:val="nil"/>
              <w:bottom w:val="single" w:sz="4" w:space="0" w:color="auto"/>
              <w:right w:val="single" w:sz="4" w:space="0" w:color="auto"/>
            </w:tcBorders>
            <w:noWrap/>
            <w:hideMark/>
          </w:tcPr>
          <w:p w14:paraId="20F5CAAF" w14:textId="101FFFF9"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7.</w:t>
            </w:r>
            <w:r w:rsidR="00A50979">
              <w:rPr>
                <w:rFonts w:ascii="Gill Sans MT" w:hAnsi="Gill Sans MT" w:cs="Arial"/>
                <w:sz w:val="22"/>
                <w:szCs w:val="22"/>
              </w:rPr>
              <w:t>5</w:t>
            </w:r>
          </w:p>
        </w:tc>
      </w:tr>
      <w:tr w:rsidR="003B315D" w:rsidRPr="00BE33FC" w14:paraId="299A2F30"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512D2177"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Nursing and Midwifery Board of Ireland</w:t>
            </w:r>
          </w:p>
        </w:tc>
        <w:tc>
          <w:tcPr>
            <w:tcW w:w="1050" w:type="dxa"/>
            <w:tcBorders>
              <w:top w:val="nil"/>
              <w:left w:val="nil"/>
              <w:bottom w:val="single" w:sz="4" w:space="0" w:color="auto"/>
              <w:right w:val="single" w:sz="4" w:space="0" w:color="auto"/>
            </w:tcBorders>
            <w:noWrap/>
            <w:hideMark/>
          </w:tcPr>
          <w:p w14:paraId="4B69B37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52</w:t>
            </w:r>
          </w:p>
        </w:tc>
        <w:tc>
          <w:tcPr>
            <w:tcW w:w="1124" w:type="dxa"/>
            <w:gridSpan w:val="2"/>
            <w:tcBorders>
              <w:top w:val="nil"/>
              <w:left w:val="nil"/>
              <w:bottom w:val="single" w:sz="4" w:space="0" w:color="auto"/>
              <w:right w:val="single" w:sz="4" w:space="0" w:color="auto"/>
            </w:tcBorders>
            <w:noWrap/>
            <w:hideMark/>
          </w:tcPr>
          <w:p w14:paraId="31179369"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930" w:type="dxa"/>
            <w:tcBorders>
              <w:top w:val="nil"/>
              <w:left w:val="nil"/>
              <w:bottom w:val="single" w:sz="4" w:space="0" w:color="auto"/>
              <w:right w:val="single" w:sz="4" w:space="0" w:color="auto"/>
            </w:tcBorders>
            <w:noWrap/>
            <w:hideMark/>
          </w:tcPr>
          <w:p w14:paraId="707EE42E"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116" w:type="dxa"/>
            <w:gridSpan w:val="2"/>
            <w:tcBorders>
              <w:top w:val="nil"/>
              <w:left w:val="nil"/>
              <w:bottom w:val="single" w:sz="4" w:space="0" w:color="auto"/>
              <w:right w:val="single" w:sz="4" w:space="0" w:color="auto"/>
            </w:tcBorders>
            <w:noWrap/>
            <w:hideMark/>
          </w:tcPr>
          <w:p w14:paraId="4F04AC06"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2" w:type="dxa"/>
            <w:tcBorders>
              <w:top w:val="nil"/>
              <w:left w:val="nil"/>
              <w:bottom w:val="single" w:sz="4" w:space="0" w:color="auto"/>
              <w:right w:val="single" w:sz="4" w:space="0" w:color="auto"/>
            </w:tcBorders>
            <w:noWrap/>
            <w:hideMark/>
          </w:tcPr>
          <w:p w14:paraId="01485101" w14:textId="77777777" w:rsidR="003B315D" w:rsidRPr="00BE33FC" w:rsidRDefault="003B315D" w:rsidP="0071585A">
            <w:pPr>
              <w:jc w:val="right"/>
              <w:rPr>
                <w:rFonts w:ascii="Gill Sans MT" w:hAnsi="Gill Sans MT" w:cs="Arial"/>
                <w:color w:val="000000"/>
                <w:sz w:val="22"/>
                <w:szCs w:val="22"/>
                <w:lang w:eastAsia="en-IE"/>
              </w:rPr>
            </w:pPr>
            <w:r w:rsidRPr="00BE33FC">
              <w:rPr>
                <w:rFonts w:ascii="Gill Sans MT" w:hAnsi="Gill Sans MT" w:cs="Arial"/>
                <w:sz w:val="22"/>
                <w:szCs w:val="22"/>
              </w:rPr>
              <w:t>3.8</w:t>
            </w:r>
          </w:p>
        </w:tc>
        <w:tc>
          <w:tcPr>
            <w:tcW w:w="963" w:type="dxa"/>
            <w:gridSpan w:val="2"/>
            <w:tcBorders>
              <w:top w:val="nil"/>
              <w:left w:val="nil"/>
              <w:bottom w:val="single" w:sz="4" w:space="0" w:color="auto"/>
              <w:right w:val="single" w:sz="4" w:space="0" w:color="auto"/>
            </w:tcBorders>
            <w:noWrap/>
            <w:hideMark/>
          </w:tcPr>
          <w:p w14:paraId="4E583947" w14:textId="77777777" w:rsidR="003B315D" w:rsidRPr="00BE33FC" w:rsidRDefault="003B315D" w:rsidP="0071585A">
            <w:pPr>
              <w:jc w:val="right"/>
              <w:rPr>
                <w:rFonts w:ascii="Gill Sans MT" w:hAnsi="Gill Sans MT" w:cs="Arial"/>
                <w:color w:val="000000"/>
                <w:sz w:val="22"/>
                <w:szCs w:val="22"/>
                <w:lang w:eastAsia="en-IE"/>
              </w:rPr>
            </w:pPr>
            <w:r w:rsidRPr="00BE33FC">
              <w:rPr>
                <w:rFonts w:ascii="Gill Sans MT" w:hAnsi="Gill Sans MT" w:cs="Arial"/>
                <w:sz w:val="22"/>
                <w:szCs w:val="22"/>
              </w:rPr>
              <w:t>4.4</w:t>
            </w:r>
          </w:p>
        </w:tc>
      </w:tr>
      <w:tr w:rsidR="003B315D" w:rsidRPr="00BE33FC" w14:paraId="6D5D3236"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1B1113F0"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Pharmaceutical Society of Ireland</w:t>
            </w:r>
          </w:p>
        </w:tc>
        <w:tc>
          <w:tcPr>
            <w:tcW w:w="1050" w:type="dxa"/>
            <w:tcBorders>
              <w:top w:val="nil"/>
              <w:left w:val="nil"/>
              <w:bottom w:val="single" w:sz="4" w:space="0" w:color="auto"/>
              <w:right w:val="single" w:sz="4" w:space="0" w:color="auto"/>
            </w:tcBorders>
            <w:noWrap/>
            <w:hideMark/>
          </w:tcPr>
          <w:p w14:paraId="7936AD4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1124" w:type="dxa"/>
            <w:gridSpan w:val="2"/>
            <w:tcBorders>
              <w:top w:val="nil"/>
              <w:left w:val="nil"/>
              <w:bottom w:val="single" w:sz="4" w:space="0" w:color="auto"/>
              <w:right w:val="single" w:sz="4" w:space="0" w:color="auto"/>
            </w:tcBorders>
            <w:noWrap/>
            <w:hideMark/>
          </w:tcPr>
          <w:p w14:paraId="41A3A8B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39</w:t>
            </w:r>
          </w:p>
        </w:tc>
        <w:tc>
          <w:tcPr>
            <w:tcW w:w="930" w:type="dxa"/>
            <w:tcBorders>
              <w:top w:val="nil"/>
              <w:left w:val="nil"/>
              <w:bottom w:val="single" w:sz="4" w:space="0" w:color="auto"/>
              <w:right w:val="single" w:sz="4" w:space="0" w:color="auto"/>
            </w:tcBorders>
            <w:noWrap/>
            <w:hideMark/>
          </w:tcPr>
          <w:p w14:paraId="3E8C0F1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6" w:type="dxa"/>
            <w:gridSpan w:val="2"/>
            <w:tcBorders>
              <w:top w:val="nil"/>
              <w:left w:val="nil"/>
              <w:bottom w:val="single" w:sz="4" w:space="0" w:color="auto"/>
              <w:right w:val="single" w:sz="4" w:space="0" w:color="auto"/>
            </w:tcBorders>
            <w:noWrap/>
            <w:hideMark/>
          </w:tcPr>
          <w:p w14:paraId="1E2B5E9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2" w:type="dxa"/>
            <w:tcBorders>
              <w:top w:val="nil"/>
              <w:left w:val="nil"/>
              <w:bottom w:val="single" w:sz="4" w:space="0" w:color="auto"/>
              <w:right w:val="single" w:sz="4" w:space="0" w:color="auto"/>
            </w:tcBorders>
            <w:noWrap/>
            <w:hideMark/>
          </w:tcPr>
          <w:p w14:paraId="00D9798B"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7.9</w:t>
            </w:r>
          </w:p>
        </w:tc>
        <w:tc>
          <w:tcPr>
            <w:tcW w:w="963" w:type="dxa"/>
            <w:gridSpan w:val="2"/>
            <w:tcBorders>
              <w:top w:val="nil"/>
              <w:left w:val="nil"/>
              <w:bottom w:val="single" w:sz="4" w:space="0" w:color="auto"/>
              <w:right w:val="single" w:sz="4" w:space="0" w:color="auto"/>
            </w:tcBorders>
            <w:noWrap/>
            <w:hideMark/>
          </w:tcPr>
          <w:p w14:paraId="32186811"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10.3</w:t>
            </w:r>
          </w:p>
        </w:tc>
      </w:tr>
      <w:tr w:rsidR="003B315D" w:rsidRPr="00BE33FC" w14:paraId="002BBD2E"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2B5C2563"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Pre-Hospital Emergency Care Council</w:t>
            </w:r>
          </w:p>
        </w:tc>
        <w:tc>
          <w:tcPr>
            <w:tcW w:w="1050" w:type="dxa"/>
            <w:tcBorders>
              <w:top w:val="nil"/>
              <w:left w:val="nil"/>
              <w:bottom w:val="single" w:sz="4" w:space="0" w:color="auto"/>
              <w:right w:val="single" w:sz="4" w:space="0" w:color="auto"/>
            </w:tcBorders>
            <w:noWrap/>
            <w:hideMark/>
          </w:tcPr>
          <w:p w14:paraId="0913081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124" w:type="dxa"/>
            <w:gridSpan w:val="2"/>
            <w:tcBorders>
              <w:top w:val="nil"/>
              <w:left w:val="nil"/>
              <w:bottom w:val="single" w:sz="4" w:space="0" w:color="auto"/>
              <w:right w:val="single" w:sz="4" w:space="0" w:color="auto"/>
            </w:tcBorders>
            <w:noWrap/>
            <w:hideMark/>
          </w:tcPr>
          <w:p w14:paraId="3A29BB3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15</w:t>
            </w:r>
          </w:p>
        </w:tc>
        <w:tc>
          <w:tcPr>
            <w:tcW w:w="930" w:type="dxa"/>
            <w:tcBorders>
              <w:top w:val="nil"/>
              <w:left w:val="nil"/>
              <w:bottom w:val="single" w:sz="4" w:space="0" w:color="auto"/>
              <w:right w:val="single" w:sz="4" w:space="0" w:color="auto"/>
            </w:tcBorders>
            <w:noWrap/>
            <w:hideMark/>
          </w:tcPr>
          <w:p w14:paraId="6DFEE4B2"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6" w:type="dxa"/>
            <w:gridSpan w:val="2"/>
            <w:tcBorders>
              <w:top w:val="nil"/>
              <w:left w:val="nil"/>
              <w:bottom w:val="single" w:sz="4" w:space="0" w:color="auto"/>
              <w:right w:val="single" w:sz="4" w:space="0" w:color="auto"/>
            </w:tcBorders>
            <w:noWrap/>
            <w:hideMark/>
          </w:tcPr>
          <w:p w14:paraId="66986CB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2" w:type="dxa"/>
            <w:tcBorders>
              <w:top w:val="nil"/>
              <w:left w:val="nil"/>
              <w:bottom w:val="single" w:sz="4" w:space="0" w:color="auto"/>
              <w:right w:val="single" w:sz="4" w:space="0" w:color="auto"/>
            </w:tcBorders>
            <w:noWrap/>
            <w:hideMark/>
          </w:tcPr>
          <w:p w14:paraId="008F5943"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7.1</w:t>
            </w:r>
          </w:p>
        </w:tc>
        <w:tc>
          <w:tcPr>
            <w:tcW w:w="963" w:type="dxa"/>
            <w:gridSpan w:val="2"/>
            <w:tcBorders>
              <w:top w:val="nil"/>
              <w:left w:val="nil"/>
              <w:bottom w:val="single" w:sz="4" w:space="0" w:color="auto"/>
              <w:right w:val="single" w:sz="4" w:space="0" w:color="auto"/>
            </w:tcBorders>
            <w:noWrap/>
            <w:hideMark/>
          </w:tcPr>
          <w:p w14:paraId="16601C56"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6.7</w:t>
            </w:r>
          </w:p>
        </w:tc>
      </w:tr>
      <w:tr w:rsidR="003B315D" w:rsidRPr="00BE33FC" w14:paraId="7046BEE4"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29053397" w14:textId="77777777" w:rsidR="003B315D" w:rsidRPr="00BE33FC" w:rsidRDefault="003B315D" w:rsidP="006D697C">
            <w:pPr>
              <w:ind w:firstLineChars="10" w:firstLine="22"/>
              <w:rPr>
                <w:rFonts w:ascii="Gill Sans MT" w:hAnsi="Gill Sans MT"/>
                <w:color w:val="000000"/>
                <w:sz w:val="22"/>
                <w:szCs w:val="22"/>
                <w:lang w:eastAsia="en-IE"/>
              </w:rPr>
            </w:pPr>
            <w:proofErr w:type="spellStart"/>
            <w:r w:rsidRPr="00BE33FC">
              <w:rPr>
                <w:rFonts w:ascii="Gill Sans MT" w:hAnsi="Gill Sans MT" w:cs="Arial"/>
                <w:sz w:val="22"/>
                <w:szCs w:val="22"/>
              </w:rPr>
              <w:t>Safefood</w:t>
            </w:r>
            <w:proofErr w:type="spellEnd"/>
          </w:p>
        </w:tc>
        <w:tc>
          <w:tcPr>
            <w:tcW w:w="1050" w:type="dxa"/>
            <w:tcBorders>
              <w:top w:val="nil"/>
              <w:left w:val="nil"/>
              <w:bottom w:val="single" w:sz="4" w:space="0" w:color="auto"/>
              <w:right w:val="single" w:sz="4" w:space="0" w:color="auto"/>
            </w:tcBorders>
            <w:noWrap/>
            <w:hideMark/>
          </w:tcPr>
          <w:p w14:paraId="4798E79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32</w:t>
            </w:r>
          </w:p>
        </w:tc>
        <w:tc>
          <w:tcPr>
            <w:tcW w:w="1124" w:type="dxa"/>
            <w:gridSpan w:val="2"/>
            <w:tcBorders>
              <w:top w:val="nil"/>
              <w:left w:val="nil"/>
              <w:bottom w:val="single" w:sz="4" w:space="0" w:color="auto"/>
              <w:right w:val="single" w:sz="4" w:space="0" w:color="auto"/>
            </w:tcBorders>
            <w:noWrap/>
            <w:hideMark/>
          </w:tcPr>
          <w:p w14:paraId="4FF926C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32</w:t>
            </w:r>
          </w:p>
        </w:tc>
        <w:tc>
          <w:tcPr>
            <w:tcW w:w="930" w:type="dxa"/>
            <w:tcBorders>
              <w:top w:val="nil"/>
              <w:left w:val="nil"/>
              <w:bottom w:val="single" w:sz="4" w:space="0" w:color="auto"/>
              <w:right w:val="single" w:sz="4" w:space="0" w:color="auto"/>
            </w:tcBorders>
            <w:noWrap/>
            <w:hideMark/>
          </w:tcPr>
          <w:p w14:paraId="24520BD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6" w:type="dxa"/>
            <w:gridSpan w:val="2"/>
            <w:tcBorders>
              <w:top w:val="nil"/>
              <w:left w:val="nil"/>
              <w:bottom w:val="single" w:sz="4" w:space="0" w:color="auto"/>
              <w:right w:val="single" w:sz="4" w:space="0" w:color="auto"/>
            </w:tcBorders>
            <w:noWrap/>
            <w:hideMark/>
          </w:tcPr>
          <w:p w14:paraId="7A9E207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2" w:type="dxa"/>
            <w:tcBorders>
              <w:top w:val="nil"/>
              <w:left w:val="nil"/>
              <w:bottom w:val="single" w:sz="4" w:space="0" w:color="auto"/>
              <w:right w:val="single" w:sz="4" w:space="0" w:color="auto"/>
            </w:tcBorders>
            <w:noWrap/>
            <w:hideMark/>
          </w:tcPr>
          <w:p w14:paraId="1F5110E9"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3.1</w:t>
            </w:r>
          </w:p>
        </w:tc>
        <w:tc>
          <w:tcPr>
            <w:tcW w:w="963" w:type="dxa"/>
            <w:gridSpan w:val="2"/>
            <w:tcBorders>
              <w:top w:val="nil"/>
              <w:left w:val="nil"/>
              <w:bottom w:val="single" w:sz="4" w:space="0" w:color="auto"/>
              <w:right w:val="single" w:sz="4" w:space="0" w:color="auto"/>
            </w:tcBorders>
            <w:noWrap/>
            <w:hideMark/>
          </w:tcPr>
          <w:p w14:paraId="040288CC"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3.1</w:t>
            </w:r>
          </w:p>
        </w:tc>
      </w:tr>
      <w:tr w:rsidR="003B315D" w:rsidRPr="00BE33FC" w14:paraId="27029B37"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6516274A"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St James's Hospital</w:t>
            </w:r>
          </w:p>
        </w:tc>
        <w:tc>
          <w:tcPr>
            <w:tcW w:w="1050" w:type="dxa"/>
            <w:tcBorders>
              <w:top w:val="nil"/>
              <w:left w:val="nil"/>
              <w:bottom w:val="single" w:sz="4" w:space="0" w:color="auto"/>
              <w:right w:val="single" w:sz="4" w:space="0" w:color="auto"/>
            </w:tcBorders>
            <w:noWrap/>
            <w:hideMark/>
          </w:tcPr>
          <w:p w14:paraId="1DEE227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4,266</w:t>
            </w:r>
          </w:p>
        </w:tc>
        <w:tc>
          <w:tcPr>
            <w:tcW w:w="1124" w:type="dxa"/>
            <w:gridSpan w:val="2"/>
            <w:tcBorders>
              <w:top w:val="nil"/>
              <w:left w:val="nil"/>
              <w:bottom w:val="single" w:sz="4" w:space="0" w:color="auto"/>
              <w:right w:val="single" w:sz="4" w:space="0" w:color="auto"/>
            </w:tcBorders>
            <w:noWrap/>
            <w:hideMark/>
          </w:tcPr>
          <w:p w14:paraId="53AD0E3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4,327</w:t>
            </w:r>
          </w:p>
        </w:tc>
        <w:tc>
          <w:tcPr>
            <w:tcW w:w="930" w:type="dxa"/>
            <w:tcBorders>
              <w:top w:val="nil"/>
              <w:left w:val="nil"/>
              <w:bottom w:val="single" w:sz="4" w:space="0" w:color="auto"/>
              <w:right w:val="single" w:sz="4" w:space="0" w:color="auto"/>
            </w:tcBorders>
            <w:noWrap/>
            <w:hideMark/>
          </w:tcPr>
          <w:p w14:paraId="3108204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291</w:t>
            </w:r>
          </w:p>
        </w:tc>
        <w:tc>
          <w:tcPr>
            <w:tcW w:w="1116" w:type="dxa"/>
            <w:gridSpan w:val="2"/>
            <w:tcBorders>
              <w:top w:val="nil"/>
              <w:left w:val="nil"/>
              <w:bottom w:val="single" w:sz="4" w:space="0" w:color="auto"/>
              <w:right w:val="single" w:sz="4" w:space="0" w:color="auto"/>
            </w:tcBorders>
            <w:noWrap/>
            <w:hideMark/>
          </w:tcPr>
          <w:p w14:paraId="1FCB807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268</w:t>
            </w:r>
          </w:p>
        </w:tc>
        <w:tc>
          <w:tcPr>
            <w:tcW w:w="1032" w:type="dxa"/>
            <w:tcBorders>
              <w:top w:val="nil"/>
              <w:left w:val="nil"/>
              <w:bottom w:val="single" w:sz="4" w:space="0" w:color="auto"/>
              <w:right w:val="single" w:sz="4" w:space="0" w:color="auto"/>
            </w:tcBorders>
            <w:noWrap/>
            <w:hideMark/>
          </w:tcPr>
          <w:p w14:paraId="5D0C16F1"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6.8</w:t>
            </w:r>
          </w:p>
        </w:tc>
        <w:tc>
          <w:tcPr>
            <w:tcW w:w="963" w:type="dxa"/>
            <w:gridSpan w:val="2"/>
            <w:tcBorders>
              <w:top w:val="nil"/>
              <w:left w:val="nil"/>
              <w:bottom w:val="single" w:sz="4" w:space="0" w:color="auto"/>
              <w:right w:val="single" w:sz="4" w:space="0" w:color="auto"/>
            </w:tcBorders>
            <w:noWrap/>
            <w:hideMark/>
          </w:tcPr>
          <w:p w14:paraId="33D900DB"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6.2</w:t>
            </w:r>
          </w:p>
        </w:tc>
      </w:tr>
      <w:tr w:rsidR="003B315D" w:rsidRPr="00BE33FC" w14:paraId="1CB70B72"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2A0955AA"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Tallaght University Hospital (comparison made to The Adelaide and Meath Hospital 2017)</w:t>
            </w:r>
          </w:p>
        </w:tc>
        <w:tc>
          <w:tcPr>
            <w:tcW w:w="1050" w:type="dxa"/>
            <w:tcBorders>
              <w:top w:val="nil"/>
              <w:left w:val="nil"/>
              <w:bottom w:val="single" w:sz="4" w:space="0" w:color="auto"/>
              <w:right w:val="single" w:sz="4" w:space="0" w:color="auto"/>
            </w:tcBorders>
            <w:noWrap/>
            <w:hideMark/>
          </w:tcPr>
          <w:p w14:paraId="4328159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 </w:t>
            </w:r>
          </w:p>
        </w:tc>
        <w:tc>
          <w:tcPr>
            <w:tcW w:w="1124" w:type="dxa"/>
            <w:gridSpan w:val="2"/>
            <w:tcBorders>
              <w:top w:val="nil"/>
              <w:left w:val="nil"/>
              <w:bottom w:val="single" w:sz="4" w:space="0" w:color="auto"/>
              <w:right w:val="single" w:sz="4" w:space="0" w:color="auto"/>
            </w:tcBorders>
            <w:noWrap/>
            <w:hideMark/>
          </w:tcPr>
          <w:p w14:paraId="73D098C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3,175</w:t>
            </w:r>
          </w:p>
        </w:tc>
        <w:tc>
          <w:tcPr>
            <w:tcW w:w="930" w:type="dxa"/>
            <w:tcBorders>
              <w:top w:val="nil"/>
              <w:left w:val="nil"/>
              <w:bottom w:val="single" w:sz="4" w:space="0" w:color="auto"/>
              <w:right w:val="single" w:sz="4" w:space="0" w:color="auto"/>
            </w:tcBorders>
            <w:noWrap/>
            <w:hideMark/>
          </w:tcPr>
          <w:p w14:paraId="24828F4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 </w:t>
            </w:r>
          </w:p>
        </w:tc>
        <w:tc>
          <w:tcPr>
            <w:tcW w:w="1116" w:type="dxa"/>
            <w:gridSpan w:val="2"/>
            <w:tcBorders>
              <w:top w:val="nil"/>
              <w:left w:val="nil"/>
              <w:bottom w:val="single" w:sz="4" w:space="0" w:color="auto"/>
              <w:right w:val="single" w:sz="4" w:space="0" w:color="auto"/>
            </w:tcBorders>
            <w:noWrap/>
            <w:hideMark/>
          </w:tcPr>
          <w:p w14:paraId="3FBF16B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96</w:t>
            </w:r>
          </w:p>
        </w:tc>
        <w:tc>
          <w:tcPr>
            <w:tcW w:w="1032" w:type="dxa"/>
            <w:tcBorders>
              <w:top w:val="nil"/>
              <w:left w:val="nil"/>
              <w:bottom w:val="single" w:sz="4" w:space="0" w:color="auto"/>
              <w:right w:val="single" w:sz="4" w:space="0" w:color="auto"/>
            </w:tcBorders>
            <w:noWrap/>
            <w:hideMark/>
          </w:tcPr>
          <w:p w14:paraId="20D763B7"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 </w:t>
            </w:r>
          </w:p>
        </w:tc>
        <w:tc>
          <w:tcPr>
            <w:tcW w:w="963" w:type="dxa"/>
            <w:gridSpan w:val="2"/>
            <w:tcBorders>
              <w:top w:val="nil"/>
              <w:left w:val="nil"/>
              <w:bottom w:val="single" w:sz="4" w:space="0" w:color="auto"/>
              <w:right w:val="single" w:sz="4" w:space="0" w:color="auto"/>
            </w:tcBorders>
            <w:noWrap/>
            <w:hideMark/>
          </w:tcPr>
          <w:p w14:paraId="02193947"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3.0</w:t>
            </w:r>
          </w:p>
        </w:tc>
      </w:tr>
      <w:tr w:rsidR="003B315D" w:rsidRPr="00BE33FC" w14:paraId="1C654377"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353EE62A" w14:textId="484863A4" w:rsidR="003B315D" w:rsidRPr="00BE33FC" w:rsidRDefault="003B315D" w:rsidP="005D4C6D">
            <w:pPr>
              <w:ind w:firstLineChars="10" w:firstLine="22"/>
              <w:rPr>
                <w:rFonts w:ascii="Gill Sans MT" w:hAnsi="Gill Sans MT"/>
                <w:color w:val="000000"/>
                <w:sz w:val="22"/>
                <w:szCs w:val="22"/>
                <w:lang w:eastAsia="en-IE"/>
              </w:rPr>
            </w:pPr>
            <w:r w:rsidRPr="00BE33FC">
              <w:rPr>
                <w:rFonts w:ascii="Gill Sans MT" w:hAnsi="Gill Sans MT" w:cs="Arial"/>
                <w:sz w:val="22"/>
                <w:szCs w:val="22"/>
              </w:rPr>
              <w:t>The Adelaide and Meath Hospital</w:t>
            </w:r>
            <w:r w:rsidR="005D4C6D" w:rsidRPr="00BE33FC">
              <w:rPr>
                <w:rFonts w:ascii="Gill Sans MT" w:hAnsi="Gill Sans MT" w:cs="Arial"/>
                <w:sz w:val="22"/>
                <w:szCs w:val="22"/>
              </w:rPr>
              <w:t xml:space="preserve"> (comparison made to Tallaght </w:t>
            </w:r>
            <w:proofErr w:type="gramStart"/>
            <w:r w:rsidR="005D4C6D" w:rsidRPr="00BE33FC">
              <w:rPr>
                <w:rFonts w:ascii="Gill Sans MT" w:hAnsi="Gill Sans MT" w:cs="Arial"/>
                <w:sz w:val="22"/>
                <w:szCs w:val="22"/>
              </w:rPr>
              <w:t>University  Hospital</w:t>
            </w:r>
            <w:proofErr w:type="gramEnd"/>
            <w:r w:rsidR="005D4C6D" w:rsidRPr="00BE33FC">
              <w:rPr>
                <w:rFonts w:ascii="Gill Sans MT" w:hAnsi="Gill Sans MT" w:cs="Arial"/>
                <w:sz w:val="22"/>
                <w:szCs w:val="22"/>
              </w:rPr>
              <w:t xml:space="preserve"> in 2018)</w:t>
            </w:r>
          </w:p>
        </w:tc>
        <w:tc>
          <w:tcPr>
            <w:tcW w:w="1050" w:type="dxa"/>
            <w:tcBorders>
              <w:top w:val="nil"/>
              <w:left w:val="nil"/>
              <w:bottom w:val="single" w:sz="4" w:space="0" w:color="auto"/>
              <w:right w:val="single" w:sz="4" w:space="0" w:color="auto"/>
            </w:tcBorders>
            <w:noWrap/>
            <w:hideMark/>
          </w:tcPr>
          <w:p w14:paraId="4910AA4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3,119</w:t>
            </w:r>
          </w:p>
        </w:tc>
        <w:tc>
          <w:tcPr>
            <w:tcW w:w="1124" w:type="dxa"/>
            <w:gridSpan w:val="2"/>
            <w:tcBorders>
              <w:top w:val="nil"/>
              <w:left w:val="nil"/>
              <w:bottom w:val="single" w:sz="4" w:space="0" w:color="auto"/>
              <w:right w:val="single" w:sz="4" w:space="0" w:color="auto"/>
            </w:tcBorders>
            <w:noWrap/>
            <w:hideMark/>
          </w:tcPr>
          <w:p w14:paraId="1F60670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 </w:t>
            </w:r>
          </w:p>
        </w:tc>
        <w:tc>
          <w:tcPr>
            <w:tcW w:w="930" w:type="dxa"/>
            <w:tcBorders>
              <w:top w:val="nil"/>
              <w:left w:val="nil"/>
              <w:bottom w:val="single" w:sz="4" w:space="0" w:color="auto"/>
              <w:right w:val="single" w:sz="4" w:space="0" w:color="auto"/>
            </w:tcBorders>
            <w:noWrap/>
            <w:hideMark/>
          </w:tcPr>
          <w:p w14:paraId="505CD16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106</w:t>
            </w:r>
          </w:p>
        </w:tc>
        <w:tc>
          <w:tcPr>
            <w:tcW w:w="1116" w:type="dxa"/>
            <w:gridSpan w:val="2"/>
            <w:tcBorders>
              <w:top w:val="nil"/>
              <w:left w:val="nil"/>
              <w:bottom w:val="single" w:sz="4" w:space="0" w:color="auto"/>
              <w:right w:val="single" w:sz="4" w:space="0" w:color="auto"/>
            </w:tcBorders>
            <w:noWrap/>
            <w:hideMark/>
          </w:tcPr>
          <w:p w14:paraId="13DA4B2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 </w:t>
            </w:r>
          </w:p>
        </w:tc>
        <w:tc>
          <w:tcPr>
            <w:tcW w:w="1032" w:type="dxa"/>
            <w:tcBorders>
              <w:top w:val="nil"/>
              <w:left w:val="nil"/>
              <w:bottom w:val="single" w:sz="4" w:space="0" w:color="auto"/>
              <w:right w:val="single" w:sz="4" w:space="0" w:color="auto"/>
            </w:tcBorders>
            <w:noWrap/>
            <w:hideMark/>
          </w:tcPr>
          <w:p w14:paraId="38824F9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63" w:type="dxa"/>
            <w:gridSpan w:val="2"/>
            <w:tcBorders>
              <w:top w:val="nil"/>
              <w:left w:val="nil"/>
              <w:bottom w:val="single" w:sz="4" w:space="0" w:color="auto"/>
              <w:right w:val="single" w:sz="4" w:space="0" w:color="auto"/>
            </w:tcBorders>
            <w:noWrap/>
            <w:hideMark/>
          </w:tcPr>
          <w:p w14:paraId="7A33483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 </w:t>
            </w:r>
          </w:p>
        </w:tc>
      </w:tr>
      <w:tr w:rsidR="003B315D" w:rsidRPr="00BE33FC" w14:paraId="03E10326"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tcPr>
          <w:p w14:paraId="73D9E09A"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Voluntary Health Insurance Board </w:t>
            </w:r>
          </w:p>
        </w:tc>
        <w:tc>
          <w:tcPr>
            <w:tcW w:w="1050" w:type="dxa"/>
            <w:tcBorders>
              <w:top w:val="nil"/>
              <w:left w:val="nil"/>
              <w:bottom w:val="single" w:sz="4" w:space="0" w:color="auto"/>
              <w:right w:val="single" w:sz="4" w:space="0" w:color="auto"/>
            </w:tcBorders>
            <w:noWrap/>
          </w:tcPr>
          <w:p w14:paraId="088A72E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1,219</w:t>
            </w:r>
          </w:p>
        </w:tc>
        <w:tc>
          <w:tcPr>
            <w:tcW w:w="1124" w:type="dxa"/>
            <w:gridSpan w:val="2"/>
            <w:tcBorders>
              <w:top w:val="nil"/>
              <w:left w:val="nil"/>
              <w:bottom w:val="single" w:sz="4" w:space="0" w:color="auto"/>
              <w:right w:val="single" w:sz="4" w:space="0" w:color="auto"/>
            </w:tcBorders>
            <w:noWrap/>
          </w:tcPr>
          <w:p w14:paraId="4265C9D3"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1,281</w:t>
            </w:r>
          </w:p>
        </w:tc>
        <w:tc>
          <w:tcPr>
            <w:tcW w:w="930" w:type="dxa"/>
            <w:tcBorders>
              <w:top w:val="nil"/>
              <w:left w:val="nil"/>
              <w:bottom w:val="single" w:sz="4" w:space="0" w:color="auto"/>
              <w:right w:val="single" w:sz="4" w:space="0" w:color="auto"/>
            </w:tcBorders>
            <w:noWrap/>
          </w:tcPr>
          <w:p w14:paraId="55FC844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46</w:t>
            </w:r>
          </w:p>
        </w:tc>
        <w:tc>
          <w:tcPr>
            <w:tcW w:w="1116" w:type="dxa"/>
            <w:gridSpan w:val="2"/>
            <w:tcBorders>
              <w:top w:val="nil"/>
              <w:left w:val="nil"/>
              <w:bottom w:val="single" w:sz="4" w:space="0" w:color="auto"/>
              <w:right w:val="single" w:sz="4" w:space="0" w:color="auto"/>
            </w:tcBorders>
            <w:noWrap/>
          </w:tcPr>
          <w:p w14:paraId="536CB0A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66</w:t>
            </w:r>
          </w:p>
        </w:tc>
        <w:tc>
          <w:tcPr>
            <w:tcW w:w="1032" w:type="dxa"/>
            <w:tcBorders>
              <w:top w:val="nil"/>
              <w:left w:val="nil"/>
              <w:bottom w:val="single" w:sz="4" w:space="0" w:color="auto"/>
              <w:right w:val="single" w:sz="4" w:space="0" w:color="auto"/>
            </w:tcBorders>
            <w:noWrap/>
          </w:tcPr>
          <w:p w14:paraId="0BC2BED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963" w:type="dxa"/>
            <w:gridSpan w:val="2"/>
            <w:tcBorders>
              <w:top w:val="nil"/>
              <w:left w:val="nil"/>
              <w:bottom w:val="single" w:sz="4" w:space="0" w:color="auto"/>
              <w:right w:val="single" w:sz="4" w:space="0" w:color="auto"/>
            </w:tcBorders>
            <w:noWrap/>
          </w:tcPr>
          <w:p w14:paraId="4920A183"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5.2</w:t>
            </w:r>
          </w:p>
        </w:tc>
      </w:tr>
      <w:tr w:rsidR="003B315D" w:rsidRPr="00BE33FC" w14:paraId="02DECF1A" w14:textId="77777777" w:rsidTr="00441696">
        <w:tc>
          <w:tcPr>
            <w:tcW w:w="2499" w:type="dxa"/>
          </w:tcPr>
          <w:p w14:paraId="6A427323" w14:textId="77777777" w:rsidR="003B315D" w:rsidRPr="00BE33FC" w:rsidRDefault="003B315D" w:rsidP="006D697C">
            <w:pPr>
              <w:ind w:firstLineChars="10" w:firstLine="22"/>
              <w:rPr>
                <w:rFonts w:ascii="Gill Sans MT" w:hAnsi="Gill Sans MT"/>
                <w:b/>
                <w:sz w:val="22"/>
                <w:szCs w:val="22"/>
              </w:rPr>
            </w:pPr>
            <w:r w:rsidRPr="00BE33FC">
              <w:rPr>
                <w:rFonts w:ascii="Gill Sans MT" w:hAnsi="Gill Sans MT"/>
                <w:b/>
                <w:sz w:val="22"/>
                <w:szCs w:val="22"/>
              </w:rPr>
              <w:t>Grand Total</w:t>
            </w:r>
          </w:p>
        </w:tc>
        <w:tc>
          <w:tcPr>
            <w:tcW w:w="1050" w:type="dxa"/>
            <w:tcBorders>
              <w:top w:val="single" w:sz="4" w:space="0" w:color="auto"/>
              <w:left w:val="single" w:sz="4" w:space="0" w:color="auto"/>
              <w:bottom w:val="single" w:sz="4" w:space="0" w:color="auto"/>
              <w:right w:val="single" w:sz="4" w:space="0" w:color="auto"/>
            </w:tcBorders>
          </w:tcPr>
          <w:p w14:paraId="1247F79C" w14:textId="77777777" w:rsidR="003B315D" w:rsidRPr="00BE33FC" w:rsidRDefault="003B315D" w:rsidP="0071585A">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100,411</w:t>
            </w:r>
          </w:p>
        </w:tc>
        <w:tc>
          <w:tcPr>
            <w:tcW w:w="1124" w:type="dxa"/>
            <w:gridSpan w:val="2"/>
            <w:tcBorders>
              <w:top w:val="single" w:sz="4" w:space="0" w:color="auto"/>
              <w:left w:val="single" w:sz="4" w:space="0" w:color="auto"/>
              <w:bottom w:val="single" w:sz="4" w:space="0" w:color="auto"/>
              <w:right w:val="single" w:sz="4" w:space="0" w:color="auto"/>
            </w:tcBorders>
          </w:tcPr>
          <w:p w14:paraId="6DF2D2BE" w14:textId="77777777" w:rsidR="003B315D" w:rsidRPr="00BE33FC" w:rsidRDefault="003B315D" w:rsidP="0071585A">
            <w:pPr>
              <w:jc w:val="right"/>
              <w:rPr>
                <w:rFonts w:ascii="Gill Sans MT" w:hAnsi="Gill Sans MT"/>
                <w:b/>
                <w:bCs/>
                <w:color w:val="000000"/>
                <w:sz w:val="22"/>
                <w:szCs w:val="22"/>
              </w:rPr>
            </w:pPr>
            <w:r w:rsidRPr="00BE33FC">
              <w:rPr>
                <w:rFonts w:ascii="Gill Sans MT" w:hAnsi="Gill Sans MT" w:cs="Arial"/>
                <w:b/>
                <w:bCs/>
                <w:color w:val="000000"/>
                <w:sz w:val="22"/>
                <w:szCs w:val="22"/>
              </w:rPr>
              <w:t>103,023</w:t>
            </w:r>
          </w:p>
        </w:tc>
        <w:tc>
          <w:tcPr>
            <w:tcW w:w="930" w:type="dxa"/>
            <w:tcBorders>
              <w:top w:val="single" w:sz="4" w:space="0" w:color="auto"/>
              <w:left w:val="single" w:sz="4" w:space="0" w:color="auto"/>
              <w:bottom w:val="single" w:sz="4" w:space="0" w:color="auto"/>
              <w:right w:val="single" w:sz="4" w:space="0" w:color="auto"/>
            </w:tcBorders>
          </w:tcPr>
          <w:p w14:paraId="178BB046" w14:textId="77777777" w:rsidR="003B315D" w:rsidRPr="00BE33FC" w:rsidRDefault="003B315D" w:rsidP="0071585A">
            <w:pPr>
              <w:jc w:val="right"/>
              <w:rPr>
                <w:rFonts w:ascii="Gill Sans MT" w:hAnsi="Gill Sans MT"/>
                <w:b/>
                <w:bCs/>
                <w:color w:val="000000"/>
                <w:sz w:val="22"/>
                <w:szCs w:val="22"/>
              </w:rPr>
            </w:pPr>
            <w:r w:rsidRPr="00BE33FC">
              <w:rPr>
                <w:rFonts w:ascii="Gill Sans MT" w:hAnsi="Gill Sans MT" w:cs="Arial"/>
                <w:b/>
                <w:bCs/>
                <w:color w:val="000000"/>
                <w:sz w:val="22"/>
                <w:szCs w:val="22"/>
              </w:rPr>
              <w:t>2,255</w:t>
            </w:r>
          </w:p>
        </w:tc>
        <w:tc>
          <w:tcPr>
            <w:tcW w:w="1116" w:type="dxa"/>
            <w:gridSpan w:val="2"/>
            <w:tcBorders>
              <w:top w:val="single" w:sz="4" w:space="0" w:color="auto"/>
              <w:left w:val="single" w:sz="4" w:space="0" w:color="auto"/>
              <w:bottom w:val="single" w:sz="4" w:space="0" w:color="auto"/>
              <w:right w:val="single" w:sz="4" w:space="0" w:color="auto"/>
            </w:tcBorders>
          </w:tcPr>
          <w:p w14:paraId="64F61A9C" w14:textId="77777777" w:rsidR="003B315D" w:rsidRPr="00BE33FC" w:rsidRDefault="003B315D" w:rsidP="0071585A">
            <w:pPr>
              <w:jc w:val="right"/>
              <w:rPr>
                <w:rFonts w:ascii="Gill Sans MT" w:hAnsi="Gill Sans MT"/>
                <w:b/>
                <w:bCs/>
                <w:color w:val="000000"/>
                <w:sz w:val="22"/>
                <w:szCs w:val="22"/>
              </w:rPr>
            </w:pPr>
            <w:r w:rsidRPr="00BE33FC">
              <w:rPr>
                <w:rFonts w:ascii="Gill Sans MT" w:hAnsi="Gill Sans MT" w:cs="Arial"/>
                <w:b/>
                <w:bCs/>
                <w:color w:val="000000"/>
                <w:sz w:val="22"/>
                <w:szCs w:val="22"/>
              </w:rPr>
              <w:t>1,891</w:t>
            </w:r>
          </w:p>
        </w:tc>
        <w:tc>
          <w:tcPr>
            <w:tcW w:w="1032" w:type="dxa"/>
            <w:tcBorders>
              <w:top w:val="single" w:sz="4" w:space="0" w:color="auto"/>
              <w:left w:val="nil"/>
              <w:bottom w:val="single" w:sz="4" w:space="0" w:color="auto"/>
              <w:right w:val="single" w:sz="4" w:space="0" w:color="auto"/>
            </w:tcBorders>
          </w:tcPr>
          <w:p w14:paraId="5067C0D1" w14:textId="77777777" w:rsidR="003B315D" w:rsidRPr="00BE33FC" w:rsidRDefault="003B315D" w:rsidP="0071585A">
            <w:pPr>
              <w:jc w:val="right"/>
              <w:rPr>
                <w:rFonts w:ascii="Gill Sans MT" w:hAnsi="Gill Sans MT"/>
                <w:b/>
                <w:color w:val="000000"/>
                <w:sz w:val="22"/>
                <w:szCs w:val="22"/>
              </w:rPr>
            </w:pPr>
            <w:r w:rsidRPr="00BE33FC">
              <w:rPr>
                <w:rFonts w:ascii="Gill Sans MT" w:hAnsi="Gill Sans MT" w:cs="Arial"/>
                <w:b/>
                <w:bCs/>
                <w:sz w:val="22"/>
                <w:szCs w:val="22"/>
              </w:rPr>
              <w:t>2.2</w:t>
            </w:r>
          </w:p>
        </w:tc>
        <w:tc>
          <w:tcPr>
            <w:tcW w:w="963" w:type="dxa"/>
            <w:gridSpan w:val="2"/>
            <w:tcBorders>
              <w:top w:val="single" w:sz="4" w:space="0" w:color="auto"/>
              <w:left w:val="nil"/>
              <w:bottom w:val="single" w:sz="4" w:space="0" w:color="auto"/>
              <w:right w:val="single" w:sz="4" w:space="0" w:color="auto"/>
            </w:tcBorders>
          </w:tcPr>
          <w:p w14:paraId="375CEC37" w14:textId="77777777" w:rsidR="003B315D" w:rsidRPr="00BE33FC" w:rsidRDefault="003B315D" w:rsidP="0071585A">
            <w:pPr>
              <w:jc w:val="right"/>
              <w:rPr>
                <w:rFonts w:ascii="Gill Sans MT" w:hAnsi="Gill Sans MT"/>
                <w:b/>
                <w:color w:val="000000"/>
                <w:sz w:val="22"/>
                <w:szCs w:val="22"/>
              </w:rPr>
            </w:pPr>
            <w:r w:rsidRPr="00BE33FC">
              <w:rPr>
                <w:rFonts w:ascii="Gill Sans MT" w:hAnsi="Gill Sans MT" w:cs="Arial"/>
                <w:b/>
                <w:bCs/>
                <w:sz w:val="22"/>
                <w:szCs w:val="22"/>
              </w:rPr>
              <w:t>1.8</w:t>
            </w:r>
          </w:p>
        </w:tc>
      </w:tr>
    </w:tbl>
    <w:p w14:paraId="361CC1D7" w14:textId="77777777" w:rsidR="003B315D" w:rsidRPr="00CC4F07" w:rsidRDefault="003B315D">
      <w:pPr>
        <w:spacing w:after="0"/>
        <w:rPr>
          <w:b/>
        </w:rPr>
      </w:pPr>
      <w:r w:rsidRPr="00CC4F07">
        <w:rPr>
          <w:b/>
        </w:rPr>
        <w:br w:type="page"/>
      </w:r>
    </w:p>
    <w:p w14:paraId="1984D7A6" w14:textId="4D0039E3" w:rsidR="003B315D" w:rsidRPr="00CC4F07" w:rsidRDefault="003B315D" w:rsidP="003B315D">
      <w:pPr>
        <w:spacing w:before="120"/>
        <w:rPr>
          <w:b/>
        </w:rPr>
      </w:pPr>
      <w:r w:rsidRPr="00CC4F07">
        <w:rPr>
          <w:b/>
        </w:rPr>
        <w:lastRenderedPageBreak/>
        <w:t xml:space="preserve">Department of Housing, Planning &amp; Local Government </w:t>
      </w:r>
    </w:p>
    <w:tbl>
      <w:tblPr>
        <w:tblStyle w:val="TableGrid"/>
        <w:tblW w:w="0" w:type="auto"/>
        <w:tblLook w:val="04A0" w:firstRow="1" w:lastRow="0" w:firstColumn="1" w:lastColumn="0" w:noHBand="0" w:noVBand="1"/>
        <w:tblCaption w:val="Appendix B Public bodies"/>
        <w:tblDescription w:val="Department of Housing, Planning and Local Government (comparison made to Department of Housing, Planning, Community and Local Government 2016)"/>
      </w:tblPr>
      <w:tblGrid>
        <w:gridCol w:w="2424"/>
        <w:gridCol w:w="1258"/>
        <w:gridCol w:w="345"/>
        <w:gridCol w:w="621"/>
        <w:gridCol w:w="1023"/>
        <w:gridCol w:w="808"/>
        <w:gridCol w:w="285"/>
        <w:gridCol w:w="1005"/>
        <w:gridCol w:w="700"/>
        <w:gridCol w:w="245"/>
      </w:tblGrid>
      <w:tr w:rsidR="003B315D" w:rsidRPr="00BE33FC" w14:paraId="4DF1F9FA" w14:textId="77777777" w:rsidTr="00B961C4">
        <w:trPr>
          <w:tblHeader/>
        </w:trPr>
        <w:tc>
          <w:tcPr>
            <w:tcW w:w="2424" w:type="dxa"/>
          </w:tcPr>
          <w:p w14:paraId="1851C8EF"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603" w:type="dxa"/>
            <w:gridSpan w:val="2"/>
            <w:tcBorders>
              <w:right w:val="nil"/>
            </w:tcBorders>
          </w:tcPr>
          <w:p w14:paraId="14963332"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Total number of employees</w:t>
            </w:r>
          </w:p>
        </w:tc>
        <w:tc>
          <w:tcPr>
            <w:tcW w:w="621" w:type="dxa"/>
            <w:tcBorders>
              <w:left w:val="nil"/>
            </w:tcBorders>
          </w:tcPr>
          <w:p w14:paraId="6136CBBF" w14:textId="77777777" w:rsidR="003B315D" w:rsidRPr="00BE33FC" w:rsidRDefault="003B315D" w:rsidP="006D697C">
            <w:pPr>
              <w:rPr>
                <w:rFonts w:ascii="Gill Sans MT" w:hAnsi="Gill Sans MT"/>
                <w:b/>
                <w:sz w:val="22"/>
                <w:szCs w:val="22"/>
              </w:rPr>
            </w:pPr>
          </w:p>
        </w:tc>
        <w:tc>
          <w:tcPr>
            <w:tcW w:w="1831" w:type="dxa"/>
            <w:gridSpan w:val="2"/>
            <w:tcBorders>
              <w:right w:val="nil"/>
            </w:tcBorders>
          </w:tcPr>
          <w:p w14:paraId="0E333C46"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5" w:type="dxa"/>
            <w:tcBorders>
              <w:left w:val="nil"/>
            </w:tcBorders>
          </w:tcPr>
          <w:p w14:paraId="5E9C13C2" w14:textId="77777777" w:rsidR="003B315D" w:rsidRPr="00BE33FC" w:rsidRDefault="003B315D" w:rsidP="006D697C">
            <w:pPr>
              <w:rPr>
                <w:rFonts w:ascii="Gill Sans MT" w:hAnsi="Gill Sans MT"/>
                <w:b/>
                <w:sz w:val="22"/>
                <w:szCs w:val="22"/>
              </w:rPr>
            </w:pPr>
          </w:p>
        </w:tc>
        <w:tc>
          <w:tcPr>
            <w:tcW w:w="1705" w:type="dxa"/>
            <w:gridSpan w:val="2"/>
            <w:tcBorders>
              <w:right w:val="nil"/>
            </w:tcBorders>
          </w:tcPr>
          <w:p w14:paraId="24AEDA83"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5" w:type="dxa"/>
            <w:tcBorders>
              <w:left w:val="nil"/>
            </w:tcBorders>
          </w:tcPr>
          <w:p w14:paraId="63018FAE" w14:textId="77777777" w:rsidR="003B315D" w:rsidRPr="00BE33FC" w:rsidRDefault="003B315D" w:rsidP="006D697C">
            <w:pPr>
              <w:rPr>
                <w:rFonts w:ascii="Gill Sans MT" w:hAnsi="Gill Sans MT"/>
                <w:b/>
                <w:sz w:val="22"/>
                <w:szCs w:val="22"/>
              </w:rPr>
            </w:pPr>
          </w:p>
        </w:tc>
      </w:tr>
      <w:tr w:rsidR="003B315D" w:rsidRPr="00BE33FC" w14:paraId="6D473ACC" w14:textId="77777777" w:rsidTr="00B961C4">
        <w:trPr>
          <w:tblHeader/>
        </w:trPr>
        <w:tc>
          <w:tcPr>
            <w:tcW w:w="2424" w:type="dxa"/>
          </w:tcPr>
          <w:p w14:paraId="570FB7A6" w14:textId="77777777" w:rsidR="003B315D" w:rsidRPr="00BE33FC" w:rsidRDefault="003B315D" w:rsidP="006D697C">
            <w:pPr>
              <w:rPr>
                <w:rFonts w:ascii="Gill Sans MT" w:hAnsi="Gill Sans MT"/>
                <w:b/>
                <w:sz w:val="22"/>
                <w:szCs w:val="22"/>
              </w:rPr>
            </w:pPr>
          </w:p>
        </w:tc>
        <w:tc>
          <w:tcPr>
            <w:tcW w:w="1258" w:type="dxa"/>
          </w:tcPr>
          <w:p w14:paraId="11052E41"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6" w:type="dxa"/>
            <w:gridSpan w:val="2"/>
          </w:tcPr>
          <w:p w14:paraId="0ECC2A0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23" w:type="dxa"/>
          </w:tcPr>
          <w:p w14:paraId="497489FC"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093" w:type="dxa"/>
            <w:gridSpan w:val="2"/>
          </w:tcPr>
          <w:p w14:paraId="16DE5AAC"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05" w:type="dxa"/>
          </w:tcPr>
          <w:p w14:paraId="6B492EF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45" w:type="dxa"/>
            <w:gridSpan w:val="2"/>
          </w:tcPr>
          <w:p w14:paraId="719B48DD"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5D57D586" w14:textId="77777777" w:rsidTr="00441696">
        <w:trPr>
          <w:trHeight w:val="300"/>
        </w:trPr>
        <w:tc>
          <w:tcPr>
            <w:tcW w:w="2424" w:type="dxa"/>
            <w:tcBorders>
              <w:top w:val="single" w:sz="4" w:space="0" w:color="auto"/>
              <w:left w:val="single" w:sz="4" w:space="0" w:color="auto"/>
              <w:bottom w:val="single" w:sz="4" w:space="0" w:color="auto"/>
              <w:right w:val="single" w:sz="4" w:space="0" w:color="auto"/>
            </w:tcBorders>
            <w:noWrap/>
            <w:vAlign w:val="bottom"/>
            <w:hideMark/>
          </w:tcPr>
          <w:p w14:paraId="60A78F55"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An Bord Pleanála</w:t>
            </w:r>
          </w:p>
        </w:tc>
        <w:tc>
          <w:tcPr>
            <w:tcW w:w="1258" w:type="dxa"/>
            <w:tcBorders>
              <w:top w:val="single" w:sz="4" w:space="0" w:color="auto"/>
              <w:left w:val="nil"/>
              <w:bottom w:val="single" w:sz="4" w:space="0" w:color="auto"/>
              <w:right w:val="single" w:sz="4" w:space="0" w:color="auto"/>
            </w:tcBorders>
            <w:noWrap/>
            <w:hideMark/>
          </w:tcPr>
          <w:p w14:paraId="1732870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164</w:t>
            </w:r>
          </w:p>
        </w:tc>
        <w:tc>
          <w:tcPr>
            <w:tcW w:w="966" w:type="dxa"/>
            <w:gridSpan w:val="2"/>
            <w:tcBorders>
              <w:top w:val="single" w:sz="4" w:space="0" w:color="auto"/>
              <w:left w:val="nil"/>
              <w:bottom w:val="single" w:sz="4" w:space="0" w:color="auto"/>
              <w:right w:val="single" w:sz="4" w:space="0" w:color="auto"/>
            </w:tcBorders>
            <w:noWrap/>
            <w:hideMark/>
          </w:tcPr>
          <w:p w14:paraId="0872AE2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175</w:t>
            </w:r>
          </w:p>
        </w:tc>
        <w:tc>
          <w:tcPr>
            <w:tcW w:w="1023" w:type="dxa"/>
            <w:tcBorders>
              <w:top w:val="single" w:sz="4" w:space="0" w:color="auto"/>
              <w:left w:val="nil"/>
              <w:bottom w:val="single" w:sz="4" w:space="0" w:color="auto"/>
              <w:right w:val="single" w:sz="4" w:space="0" w:color="auto"/>
            </w:tcBorders>
            <w:noWrap/>
            <w:hideMark/>
          </w:tcPr>
          <w:p w14:paraId="3290A24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093" w:type="dxa"/>
            <w:gridSpan w:val="2"/>
            <w:tcBorders>
              <w:top w:val="single" w:sz="4" w:space="0" w:color="auto"/>
              <w:left w:val="nil"/>
              <w:bottom w:val="single" w:sz="4" w:space="0" w:color="auto"/>
              <w:right w:val="single" w:sz="4" w:space="0" w:color="auto"/>
            </w:tcBorders>
            <w:noWrap/>
            <w:hideMark/>
          </w:tcPr>
          <w:p w14:paraId="71AE64E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005" w:type="dxa"/>
            <w:tcBorders>
              <w:top w:val="single" w:sz="4" w:space="0" w:color="auto"/>
              <w:left w:val="nil"/>
              <w:bottom w:val="single" w:sz="4" w:space="0" w:color="auto"/>
              <w:right w:val="single" w:sz="4" w:space="0" w:color="auto"/>
            </w:tcBorders>
            <w:noWrap/>
            <w:hideMark/>
          </w:tcPr>
          <w:p w14:paraId="4A617CA2" w14:textId="77777777" w:rsidR="003B315D" w:rsidRPr="00BE33FC" w:rsidRDefault="003B315D" w:rsidP="00441696">
            <w:pPr>
              <w:jc w:val="right"/>
              <w:rPr>
                <w:rFonts w:ascii="Gill Sans MT" w:hAnsi="Gill Sans MT" w:cs="Arial"/>
                <w:bCs/>
                <w:sz w:val="22"/>
                <w:szCs w:val="22"/>
                <w:lang w:eastAsia="en-IE"/>
              </w:rPr>
            </w:pPr>
            <w:r w:rsidRPr="00BE33FC">
              <w:rPr>
                <w:rFonts w:ascii="Gill Sans MT" w:hAnsi="Gill Sans MT" w:cs="Arial"/>
                <w:sz w:val="22"/>
                <w:szCs w:val="22"/>
              </w:rPr>
              <w:t>7.3</w:t>
            </w:r>
          </w:p>
        </w:tc>
        <w:tc>
          <w:tcPr>
            <w:tcW w:w="945" w:type="dxa"/>
            <w:gridSpan w:val="2"/>
            <w:tcBorders>
              <w:top w:val="single" w:sz="4" w:space="0" w:color="auto"/>
              <w:left w:val="nil"/>
              <w:bottom w:val="single" w:sz="4" w:space="0" w:color="auto"/>
              <w:right w:val="single" w:sz="4" w:space="0" w:color="auto"/>
            </w:tcBorders>
            <w:noWrap/>
            <w:hideMark/>
          </w:tcPr>
          <w:p w14:paraId="18F72BCB" w14:textId="77777777" w:rsidR="003B315D" w:rsidRPr="00BE33FC" w:rsidRDefault="003B315D" w:rsidP="00441696">
            <w:pPr>
              <w:jc w:val="right"/>
              <w:rPr>
                <w:rFonts w:ascii="Gill Sans MT" w:hAnsi="Gill Sans MT" w:cs="Arial"/>
                <w:bCs/>
                <w:sz w:val="22"/>
                <w:szCs w:val="22"/>
                <w:lang w:eastAsia="en-IE"/>
              </w:rPr>
            </w:pPr>
            <w:r w:rsidRPr="00BE33FC">
              <w:rPr>
                <w:rFonts w:ascii="Gill Sans MT" w:hAnsi="Gill Sans MT" w:cs="Arial"/>
                <w:sz w:val="22"/>
                <w:szCs w:val="22"/>
              </w:rPr>
              <w:t>5.7</w:t>
            </w:r>
          </w:p>
        </w:tc>
      </w:tr>
      <w:tr w:rsidR="003B315D" w:rsidRPr="00BE33FC" w14:paraId="3AAEF329"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0DA75A29"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Carlow County Council</w:t>
            </w:r>
          </w:p>
        </w:tc>
        <w:tc>
          <w:tcPr>
            <w:tcW w:w="1258" w:type="dxa"/>
            <w:tcBorders>
              <w:top w:val="nil"/>
              <w:left w:val="nil"/>
              <w:bottom w:val="single" w:sz="4" w:space="0" w:color="auto"/>
              <w:right w:val="single" w:sz="4" w:space="0" w:color="auto"/>
            </w:tcBorders>
            <w:noWrap/>
            <w:hideMark/>
          </w:tcPr>
          <w:p w14:paraId="683AA09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349</w:t>
            </w:r>
          </w:p>
        </w:tc>
        <w:tc>
          <w:tcPr>
            <w:tcW w:w="966" w:type="dxa"/>
            <w:gridSpan w:val="2"/>
            <w:tcBorders>
              <w:top w:val="nil"/>
              <w:left w:val="nil"/>
              <w:bottom w:val="single" w:sz="4" w:space="0" w:color="auto"/>
              <w:right w:val="single" w:sz="4" w:space="0" w:color="auto"/>
            </w:tcBorders>
            <w:noWrap/>
            <w:hideMark/>
          </w:tcPr>
          <w:p w14:paraId="2C30E9C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350</w:t>
            </w:r>
          </w:p>
        </w:tc>
        <w:tc>
          <w:tcPr>
            <w:tcW w:w="1023" w:type="dxa"/>
            <w:tcBorders>
              <w:top w:val="nil"/>
              <w:left w:val="nil"/>
              <w:bottom w:val="single" w:sz="4" w:space="0" w:color="auto"/>
              <w:right w:val="single" w:sz="4" w:space="0" w:color="auto"/>
            </w:tcBorders>
            <w:noWrap/>
            <w:hideMark/>
          </w:tcPr>
          <w:p w14:paraId="6B852DF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93" w:type="dxa"/>
            <w:gridSpan w:val="2"/>
            <w:tcBorders>
              <w:top w:val="nil"/>
              <w:left w:val="nil"/>
              <w:bottom w:val="single" w:sz="4" w:space="0" w:color="auto"/>
              <w:right w:val="single" w:sz="4" w:space="0" w:color="auto"/>
            </w:tcBorders>
            <w:noWrap/>
            <w:hideMark/>
          </w:tcPr>
          <w:p w14:paraId="6F4233A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005" w:type="dxa"/>
            <w:tcBorders>
              <w:top w:val="nil"/>
              <w:left w:val="nil"/>
              <w:bottom w:val="single" w:sz="4" w:space="0" w:color="auto"/>
              <w:right w:val="single" w:sz="4" w:space="0" w:color="auto"/>
            </w:tcBorders>
            <w:noWrap/>
            <w:hideMark/>
          </w:tcPr>
          <w:p w14:paraId="59C55BE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hideMark/>
          </w:tcPr>
          <w:p w14:paraId="0364521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3.4</w:t>
            </w:r>
          </w:p>
        </w:tc>
      </w:tr>
      <w:tr w:rsidR="003B315D" w:rsidRPr="00BE33FC" w14:paraId="120C7D8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4B33074"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 xml:space="preserve">Cavan County Council </w:t>
            </w:r>
          </w:p>
        </w:tc>
        <w:tc>
          <w:tcPr>
            <w:tcW w:w="1258" w:type="dxa"/>
            <w:tcBorders>
              <w:top w:val="nil"/>
              <w:left w:val="nil"/>
              <w:bottom w:val="single" w:sz="4" w:space="0" w:color="auto"/>
              <w:right w:val="single" w:sz="4" w:space="0" w:color="auto"/>
            </w:tcBorders>
            <w:noWrap/>
          </w:tcPr>
          <w:p w14:paraId="4956B3B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416</w:t>
            </w:r>
          </w:p>
        </w:tc>
        <w:tc>
          <w:tcPr>
            <w:tcW w:w="966" w:type="dxa"/>
            <w:gridSpan w:val="2"/>
            <w:tcBorders>
              <w:top w:val="nil"/>
              <w:left w:val="nil"/>
              <w:bottom w:val="single" w:sz="4" w:space="0" w:color="auto"/>
              <w:right w:val="single" w:sz="4" w:space="0" w:color="auto"/>
            </w:tcBorders>
            <w:noWrap/>
          </w:tcPr>
          <w:p w14:paraId="1E38A08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408</w:t>
            </w:r>
          </w:p>
        </w:tc>
        <w:tc>
          <w:tcPr>
            <w:tcW w:w="1023" w:type="dxa"/>
            <w:tcBorders>
              <w:top w:val="nil"/>
              <w:left w:val="nil"/>
              <w:bottom w:val="single" w:sz="4" w:space="0" w:color="auto"/>
              <w:right w:val="single" w:sz="4" w:space="0" w:color="auto"/>
            </w:tcBorders>
            <w:noWrap/>
          </w:tcPr>
          <w:p w14:paraId="7D737EA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93" w:type="dxa"/>
            <w:gridSpan w:val="2"/>
            <w:tcBorders>
              <w:top w:val="nil"/>
              <w:left w:val="nil"/>
              <w:bottom w:val="single" w:sz="4" w:space="0" w:color="auto"/>
              <w:right w:val="single" w:sz="4" w:space="0" w:color="auto"/>
            </w:tcBorders>
            <w:noWrap/>
          </w:tcPr>
          <w:p w14:paraId="52CFF46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05" w:type="dxa"/>
            <w:tcBorders>
              <w:top w:val="nil"/>
              <w:left w:val="nil"/>
              <w:bottom w:val="single" w:sz="4" w:space="0" w:color="auto"/>
              <w:right w:val="single" w:sz="4" w:space="0" w:color="auto"/>
            </w:tcBorders>
            <w:noWrap/>
          </w:tcPr>
          <w:p w14:paraId="0EDF5AB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945" w:type="dxa"/>
            <w:gridSpan w:val="2"/>
            <w:tcBorders>
              <w:top w:val="nil"/>
              <w:left w:val="nil"/>
              <w:bottom w:val="single" w:sz="4" w:space="0" w:color="auto"/>
              <w:right w:val="single" w:sz="4" w:space="0" w:color="auto"/>
            </w:tcBorders>
            <w:noWrap/>
          </w:tcPr>
          <w:p w14:paraId="29A74B9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5.4</w:t>
            </w:r>
          </w:p>
        </w:tc>
      </w:tr>
      <w:tr w:rsidR="003B315D" w:rsidRPr="00BE33FC" w14:paraId="12914D50"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0439A148"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Clare County Council</w:t>
            </w:r>
          </w:p>
        </w:tc>
        <w:tc>
          <w:tcPr>
            <w:tcW w:w="1258" w:type="dxa"/>
            <w:tcBorders>
              <w:top w:val="nil"/>
              <w:left w:val="nil"/>
              <w:bottom w:val="single" w:sz="4" w:space="0" w:color="auto"/>
              <w:right w:val="single" w:sz="4" w:space="0" w:color="auto"/>
            </w:tcBorders>
            <w:noWrap/>
            <w:hideMark/>
          </w:tcPr>
          <w:p w14:paraId="31ED01D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806</w:t>
            </w:r>
          </w:p>
        </w:tc>
        <w:tc>
          <w:tcPr>
            <w:tcW w:w="966" w:type="dxa"/>
            <w:gridSpan w:val="2"/>
            <w:tcBorders>
              <w:top w:val="nil"/>
              <w:left w:val="nil"/>
              <w:bottom w:val="single" w:sz="4" w:space="0" w:color="auto"/>
              <w:right w:val="single" w:sz="4" w:space="0" w:color="auto"/>
            </w:tcBorders>
            <w:noWrap/>
            <w:hideMark/>
          </w:tcPr>
          <w:p w14:paraId="6C6BDE1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841</w:t>
            </w:r>
          </w:p>
        </w:tc>
        <w:tc>
          <w:tcPr>
            <w:tcW w:w="1023" w:type="dxa"/>
            <w:tcBorders>
              <w:top w:val="nil"/>
              <w:left w:val="nil"/>
              <w:bottom w:val="single" w:sz="4" w:space="0" w:color="auto"/>
              <w:right w:val="single" w:sz="4" w:space="0" w:color="auto"/>
            </w:tcBorders>
            <w:noWrap/>
            <w:hideMark/>
          </w:tcPr>
          <w:p w14:paraId="0134A59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37</w:t>
            </w:r>
          </w:p>
        </w:tc>
        <w:tc>
          <w:tcPr>
            <w:tcW w:w="1093" w:type="dxa"/>
            <w:gridSpan w:val="2"/>
            <w:tcBorders>
              <w:top w:val="nil"/>
              <w:left w:val="nil"/>
              <w:bottom w:val="single" w:sz="4" w:space="0" w:color="auto"/>
              <w:right w:val="single" w:sz="4" w:space="0" w:color="auto"/>
            </w:tcBorders>
            <w:noWrap/>
            <w:hideMark/>
          </w:tcPr>
          <w:p w14:paraId="5BC0C44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1005" w:type="dxa"/>
            <w:tcBorders>
              <w:top w:val="nil"/>
              <w:left w:val="nil"/>
              <w:bottom w:val="single" w:sz="4" w:space="0" w:color="auto"/>
              <w:right w:val="single" w:sz="4" w:space="0" w:color="auto"/>
            </w:tcBorders>
            <w:noWrap/>
            <w:hideMark/>
          </w:tcPr>
          <w:p w14:paraId="0D37BE4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4.6</w:t>
            </w:r>
          </w:p>
        </w:tc>
        <w:tc>
          <w:tcPr>
            <w:tcW w:w="945" w:type="dxa"/>
            <w:gridSpan w:val="2"/>
            <w:tcBorders>
              <w:top w:val="nil"/>
              <w:left w:val="nil"/>
              <w:bottom w:val="single" w:sz="4" w:space="0" w:color="auto"/>
              <w:right w:val="single" w:sz="4" w:space="0" w:color="auto"/>
            </w:tcBorders>
            <w:noWrap/>
            <w:hideMark/>
          </w:tcPr>
          <w:p w14:paraId="2E8A815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4.2</w:t>
            </w:r>
          </w:p>
        </w:tc>
      </w:tr>
      <w:tr w:rsidR="003B315D" w:rsidRPr="00BE33FC" w14:paraId="2FA0FA84"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6B4FB3F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Cork City Council</w:t>
            </w:r>
          </w:p>
        </w:tc>
        <w:tc>
          <w:tcPr>
            <w:tcW w:w="1258" w:type="dxa"/>
            <w:tcBorders>
              <w:top w:val="nil"/>
              <w:left w:val="nil"/>
              <w:bottom w:val="single" w:sz="4" w:space="0" w:color="auto"/>
              <w:right w:val="single" w:sz="4" w:space="0" w:color="auto"/>
            </w:tcBorders>
            <w:noWrap/>
            <w:hideMark/>
          </w:tcPr>
          <w:p w14:paraId="6BB772D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1,240</w:t>
            </w:r>
          </w:p>
        </w:tc>
        <w:tc>
          <w:tcPr>
            <w:tcW w:w="966" w:type="dxa"/>
            <w:gridSpan w:val="2"/>
            <w:tcBorders>
              <w:top w:val="nil"/>
              <w:left w:val="nil"/>
              <w:bottom w:val="single" w:sz="4" w:space="0" w:color="auto"/>
              <w:right w:val="single" w:sz="4" w:space="0" w:color="auto"/>
            </w:tcBorders>
            <w:noWrap/>
            <w:hideMark/>
          </w:tcPr>
          <w:p w14:paraId="77BD0B1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1,317</w:t>
            </w:r>
          </w:p>
        </w:tc>
        <w:tc>
          <w:tcPr>
            <w:tcW w:w="1023" w:type="dxa"/>
            <w:tcBorders>
              <w:top w:val="nil"/>
              <w:left w:val="nil"/>
              <w:bottom w:val="single" w:sz="4" w:space="0" w:color="auto"/>
              <w:right w:val="single" w:sz="4" w:space="0" w:color="auto"/>
            </w:tcBorders>
            <w:noWrap/>
            <w:hideMark/>
          </w:tcPr>
          <w:p w14:paraId="2A5FC76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51</w:t>
            </w:r>
          </w:p>
        </w:tc>
        <w:tc>
          <w:tcPr>
            <w:tcW w:w="1093" w:type="dxa"/>
            <w:gridSpan w:val="2"/>
            <w:tcBorders>
              <w:top w:val="nil"/>
              <w:left w:val="nil"/>
              <w:bottom w:val="single" w:sz="4" w:space="0" w:color="auto"/>
              <w:right w:val="single" w:sz="4" w:space="0" w:color="auto"/>
            </w:tcBorders>
            <w:noWrap/>
            <w:hideMark/>
          </w:tcPr>
          <w:p w14:paraId="3772787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51</w:t>
            </w:r>
          </w:p>
        </w:tc>
        <w:tc>
          <w:tcPr>
            <w:tcW w:w="1005" w:type="dxa"/>
            <w:tcBorders>
              <w:top w:val="nil"/>
              <w:left w:val="nil"/>
              <w:bottom w:val="single" w:sz="4" w:space="0" w:color="auto"/>
              <w:right w:val="single" w:sz="4" w:space="0" w:color="auto"/>
            </w:tcBorders>
            <w:noWrap/>
            <w:hideMark/>
          </w:tcPr>
          <w:p w14:paraId="3D852FB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hideMark/>
          </w:tcPr>
          <w:p w14:paraId="39849DA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3.9</w:t>
            </w:r>
          </w:p>
        </w:tc>
      </w:tr>
      <w:tr w:rsidR="003B315D" w:rsidRPr="00BE33FC" w14:paraId="346DB3B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DB7748A"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 xml:space="preserve">Cork County Council </w:t>
            </w:r>
          </w:p>
        </w:tc>
        <w:tc>
          <w:tcPr>
            <w:tcW w:w="1258" w:type="dxa"/>
            <w:tcBorders>
              <w:top w:val="nil"/>
              <w:left w:val="nil"/>
              <w:bottom w:val="single" w:sz="4" w:space="0" w:color="auto"/>
              <w:right w:val="single" w:sz="4" w:space="0" w:color="auto"/>
            </w:tcBorders>
            <w:noWrap/>
            <w:hideMark/>
          </w:tcPr>
          <w:p w14:paraId="11FEC32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2,551</w:t>
            </w:r>
          </w:p>
        </w:tc>
        <w:tc>
          <w:tcPr>
            <w:tcW w:w="966" w:type="dxa"/>
            <w:gridSpan w:val="2"/>
            <w:tcBorders>
              <w:top w:val="nil"/>
              <w:left w:val="nil"/>
              <w:bottom w:val="single" w:sz="4" w:space="0" w:color="auto"/>
              <w:right w:val="single" w:sz="4" w:space="0" w:color="auto"/>
            </w:tcBorders>
            <w:noWrap/>
            <w:hideMark/>
          </w:tcPr>
          <w:p w14:paraId="7590792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2,678</w:t>
            </w:r>
          </w:p>
        </w:tc>
        <w:tc>
          <w:tcPr>
            <w:tcW w:w="1023" w:type="dxa"/>
            <w:tcBorders>
              <w:top w:val="nil"/>
              <w:left w:val="nil"/>
              <w:bottom w:val="single" w:sz="4" w:space="0" w:color="auto"/>
              <w:right w:val="single" w:sz="4" w:space="0" w:color="auto"/>
            </w:tcBorders>
            <w:noWrap/>
            <w:hideMark/>
          </w:tcPr>
          <w:p w14:paraId="4285389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93</w:t>
            </w:r>
          </w:p>
        </w:tc>
        <w:tc>
          <w:tcPr>
            <w:tcW w:w="1093" w:type="dxa"/>
            <w:gridSpan w:val="2"/>
            <w:tcBorders>
              <w:top w:val="nil"/>
              <w:left w:val="nil"/>
              <w:bottom w:val="single" w:sz="4" w:space="0" w:color="auto"/>
              <w:right w:val="single" w:sz="4" w:space="0" w:color="auto"/>
            </w:tcBorders>
            <w:noWrap/>
            <w:hideMark/>
          </w:tcPr>
          <w:p w14:paraId="0BD8EE4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83</w:t>
            </w:r>
          </w:p>
        </w:tc>
        <w:tc>
          <w:tcPr>
            <w:tcW w:w="1005" w:type="dxa"/>
            <w:tcBorders>
              <w:top w:val="nil"/>
              <w:left w:val="nil"/>
              <w:bottom w:val="single" w:sz="4" w:space="0" w:color="auto"/>
              <w:right w:val="single" w:sz="4" w:space="0" w:color="auto"/>
            </w:tcBorders>
            <w:noWrap/>
            <w:hideMark/>
          </w:tcPr>
          <w:p w14:paraId="1C3998B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45" w:type="dxa"/>
            <w:gridSpan w:val="2"/>
            <w:tcBorders>
              <w:top w:val="nil"/>
              <w:left w:val="nil"/>
              <w:bottom w:val="single" w:sz="4" w:space="0" w:color="auto"/>
              <w:right w:val="single" w:sz="4" w:space="0" w:color="auto"/>
            </w:tcBorders>
            <w:noWrap/>
            <w:hideMark/>
          </w:tcPr>
          <w:p w14:paraId="68A59C6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29A1489D"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6F9387CE" w14:textId="0B56E211"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 xml:space="preserve">Donegal </w:t>
            </w:r>
            <w:r w:rsidR="002E5047" w:rsidRPr="00BE33FC">
              <w:rPr>
                <w:rFonts w:ascii="Gill Sans MT" w:hAnsi="Gill Sans MT" w:cs="Arial"/>
                <w:sz w:val="22"/>
                <w:szCs w:val="22"/>
              </w:rPr>
              <w:t>C</w:t>
            </w:r>
            <w:r w:rsidRPr="00BE33FC">
              <w:rPr>
                <w:rFonts w:ascii="Gill Sans MT" w:hAnsi="Gill Sans MT" w:cs="Arial"/>
                <w:sz w:val="22"/>
                <w:szCs w:val="22"/>
              </w:rPr>
              <w:t>ounty Council</w:t>
            </w:r>
          </w:p>
        </w:tc>
        <w:tc>
          <w:tcPr>
            <w:tcW w:w="1258" w:type="dxa"/>
            <w:tcBorders>
              <w:top w:val="nil"/>
              <w:left w:val="nil"/>
              <w:bottom w:val="single" w:sz="4" w:space="0" w:color="auto"/>
              <w:right w:val="single" w:sz="4" w:space="0" w:color="auto"/>
            </w:tcBorders>
            <w:noWrap/>
            <w:hideMark/>
          </w:tcPr>
          <w:p w14:paraId="09CDE95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938</w:t>
            </w:r>
          </w:p>
        </w:tc>
        <w:tc>
          <w:tcPr>
            <w:tcW w:w="966" w:type="dxa"/>
            <w:gridSpan w:val="2"/>
            <w:tcBorders>
              <w:top w:val="nil"/>
              <w:left w:val="nil"/>
              <w:bottom w:val="single" w:sz="4" w:space="0" w:color="auto"/>
              <w:right w:val="single" w:sz="4" w:space="0" w:color="auto"/>
            </w:tcBorders>
            <w:noWrap/>
            <w:hideMark/>
          </w:tcPr>
          <w:p w14:paraId="3B7E749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1,148</w:t>
            </w:r>
          </w:p>
        </w:tc>
        <w:tc>
          <w:tcPr>
            <w:tcW w:w="1023" w:type="dxa"/>
            <w:tcBorders>
              <w:top w:val="nil"/>
              <w:left w:val="nil"/>
              <w:bottom w:val="single" w:sz="4" w:space="0" w:color="auto"/>
              <w:right w:val="single" w:sz="4" w:space="0" w:color="auto"/>
            </w:tcBorders>
            <w:noWrap/>
            <w:hideMark/>
          </w:tcPr>
          <w:p w14:paraId="7D4CB77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1093" w:type="dxa"/>
            <w:gridSpan w:val="2"/>
            <w:tcBorders>
              <w:top w:val="nil"/>
              <w:left w:val="nil"/>
              <w:bottom w:val="single" w:sz="4" w:space="0" w:color="auto"/>
              <w:right w:val="single" w:sz="4" w:space="0" w:color="auto"/>
            </w:tcBorders>
            <w:noWrap/>
            <w:hideMark/>
          </w:tcPr>
          <w:p w14:paraId="03269FC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1005" w:type="dxa"/>
            <w:tcBorders>
              <w:top w:val="nil"/>
              <w:left w:val="nil"/>
              <w:bottom w:val="single" w:sz="4" w:space="0" w:color="auto"/>
              <w:right w:val="single" w:sz="4" w:space="0" w:color="auto"/>
            </w:tcBorders>
            <w:noWrap/>
            <w:hideMark/>
          </w:tcPr>
          <w:p w14:paraId="7BCB750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45" w:type="dxa"/>
            <w:gridSpan w:val="2"/>
            <w:tcBorders>
              <w:top w:val="nil"/>
              <w:left w:val="nil"/>
              <w:bottom w:val="single" w:sz="4" w:space="0" w:color="auto"/>
              <w:right w:val="single" w:sz="4" w:space="0" w:color="auto"/>
            </w:tcBorders>
            <w:noWrap/>
            <w:hideMark/>
          </w:tcPr>
          <w:p w14:paraId="47552CB7" w14:textId="2FD402D1"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w:t>
            </w:r>
            <w:r w:rsidR="00A50979">
              <w:rPr>
                <w:rFonts w:ascii="Gill Sans MT" w:hAnsi="Gill Sans MT" w:cs="Arial"/>
                <w:sz w:val="22"/>
                <w:szCs w:val="22"/>
              </w:rPr>
              <w:t>0</w:t>
            </w:r>
          </w:p>
        </w:tc>
      </w:tr>
      <w:tr w:rsidR="003B315D" w:rsidRPr="00BE33FC" w14:paraId="276AF0F6"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2B6B8A99"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Dublin City Council</w:t>
            </w:r>
          </w:p>
        </w:tc>
        <w:tc>
          <w:tcPr>
            <w:tcW w:w="1258" w:type="dxa"/>
            <w:tcBorders>
              <w:top w:val="nil"/>
              <w:left w:val="nil"/>
              <w:bottom w:val="single" w:sz="4" w:space="0" w:color="auto"/>
              <w:right w:val="single" w:sz="4" w:space="0" w:color="auto"/>
            </w:tcBorders>
            <w:noWrap/>
            <w:hideMark/>
          </w:tcPr>
          <w:p w14:paraId="57B0E81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5,741</w:t>
            </w:r>
          </w:p>
        </w:tc>
        <w:tc>
          <w:tcPr>
            <w:tcW w:w="966" w:type="dxa"/>
            <w:gridSpan w:val="2"/>
            <w:tcBorders>
              <w:top w:val="nil"/>
              <w:left w:val="nil"/>
              <w:bottom w:val="single" w:sz="4" w:space="0" w:color="auto"/>
              <w:right w:val="single" w:sz="4" w:space="0" w:color="auto"/>
            </w:tcBorders>
            <w:noWrap/>
            <w:hideMark/>
          </w:tcPr>
          <w:p w14:paraId="38C3E83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5,850</w:t>
            </w:r>
          </w:p>
        </w:tc>
        <w:tc>
          <w:tcPr>
            <w:tcW w:w="1023" w:type="dxa"/>
            <w:tcBorders>
              <w:top w:val="nil"/>
              <w:left w:val="nil"/>
              <w:bottom w:val="single" w:sz="4" w:space="0" w:color="auto"/>
              <w:right w:val="single" w:sz="4" w:space="0" w:color="auto"/>
            </w:tcBorders>
            <w:noWrap/>
            <w:hideMark/>
          </w:tcPr>
          <w:p w14:paraId="4EB11CA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331</w:t>
            </w:r>
          </w:p>
        </w:tc>
        <w:tc>
          <w:tcPr>
            <w:tcW w:w="1093" w:type="dxa"/>
            <w:gridSpan w:val="2"/>
            <w:tcBorders>
              <w:top w:val="nil"/>
              <w:left w:val="nil"/>
              <w:bottom w:val="single" w:sz="4" w:space="0" w:color="auto"/>
              <w:right w:val="single" w:sz="4" w:space="0" w:color="auto"/>
            </w:tcBorders>
            <w:noWrap/>
            <w:hideMark/>
          </w:tcPr>
          <w:p w14:paraId="7BA4870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272</w:t>
            </w:r>
          </w:p>
        </w:tc>
        <w:tc>
          <w:tcPr>
            <w:tcW w:w="1005" w:type="dxa"/>
            <w:tcBorders>
              <w:top w:val="nil"/>
              <w:left w:val="nil"/>
              <w:bottom w:val="single" w:sz="4" w:space="0" w:color="auto"/>
              <w:right w:val="single" w:sz="4" w:space="0" w:color="auto"/>
            </w:tcBorders>
            <w:noWrap/>
            <w:hideMark/>
          </w:tcPr>
          <w:p w14:paraId="71DE2F3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5.8</w:t>
            </w:r>
          </w:p>
        </w:tc>
        <w:tc>
          <w:tcPr>
            <w:tcW w:w="945" w:type="dxa"/>
            <w:gridSpan w:val="2"/>
            <w:tcBorders>
              <w:top w:val="nil"/>
              <w:left w:val="nil"/>
              <w:bottom w:val="single" w:sz="4" w:space="0" w:color="auto"/>
              <w:right w:val="single" w:sz="4" w:space="0" w:color="auto"/>
            </w:tcBorders>
            <w:noWrap/>
            <w:hideMark/>
          </w:tcPr>
          <w:p w14:paraId="73C6A9BF" w14:textId="0F02D6E6"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w:t>
            </w:r>
            <w:r w:rsidR="006A3D52">
              <w:rPr>
                <w:rFonts w:ascii="Gill Sans MT" w:hAnsi="Gill Sans MT" w:cs="Arial"/>
                <w:sz w:val="22"/>
                <w:szCs w:val="22"/>
              </w:rPr>
              <w:t>6</w:t>
            </w:r>
          </w:p>
        </w:tc>
      </w:tr>
      <w:tr w:rsidR="003B315D" w:rsidRPr="00BE33FC" w14:paraId="41B38D48"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CAAC87C"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Dún Laoghaire–</w:t>
            </w:r>
            <w:proofErr w:type="spellStart"/>
            <w:r w:rsidRPr="00BE33FC">
              <w:rPr>
                <w:rFonts w:ascii="Gill Sans MT" w:hAnsi="Gill Sans MT" w:cs="Arial"/>
                <w:sz w:val="22"/>
                <w:szCs w:val="22"/>
              </w:rPr>
              <w:t>Rathdown</w:t>
            </w:r>
            <w:proofErr w:type="spellEnd"/>
            <w:r w:rsidRPr="00BE33FC">
              <w:rPr>
                <w:rFonts w:ascii="Gill Sans MT" w:hAnsi="Gill Sans MT" w:cs="Arial"/>
                <w:sz w:val="22"/>
                <w:szCs w:val="22"/>
              </w:rPr>
              <w:t xml:space="preserve"> County Council</w:t>
            </w:r>
          </w:p>
        </w:tc>
        <w:tc>
          <w:tcPr>
            <w:tcW w:w="1258" w:type="dxa"/>
            <w:tcBorders>
              <w:top w:val="nil"/>
              <w:left w:val="nil"/>
              <w:bottom w:val="single" w:sz="4" w:space="0" w:color="auto"/>
              <w:right w:val="single" w:sz="4" w:space="0" w:color="auto"/>
            </w:tcBorders>
            <w:noWrap/>
            <w:hideMark/>
          </w:tcPr>
          <w:p w14:paraId="4EDA22F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1,031</w:t>
            </w:r>
          </w:p>
        </w:tc>
        <w:tc>
          <w:tcPr>
            <w:tcW w:w="966" w:type="dxa"/>
            <w:gridSpan w:val="2"/>
            <w:tcBorders>
              <w:top w:val="nil"/>
              <w:left w:val="nil"/>
              <w:bottom w:val="single" w:sz="4" w:space="0" w:color="auto"/>
              <w:right w:val="single" w:sz="4" w:space="0" w:color="auto"/>
            </w:tcBorders>
            <w:noWrap/>
            <w:hideMark/>
          </w:tcPr>
          <w:p w14:paraId="217B9F5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1,109</w:t>
            </w:r>
          </w:p>
        </w:tc>
        <w:tc>
          <w:tcPr>
            <w:tcW w:w="1023" w:type="dxa"/>
            <w:tcBorders>
              <w:top w:val="nil"/>
              <w:left w:val="nil"/>
              <w:bottom w:val="single" w:sz="4" w:space="0" w:color="auto"/>
              <w:right w:val="single" w:sz="4" w:space="0" w:color="auto"/>
            </w:tcBorders>
            <w:noWrap/>
            <w:hideMark/>
          </w:tcPr>
          <w:p w14:paraId="1E9BB48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39</w:t>
            </w:r>
          </w:p>
        </w:tc>
        <w:tc>
          <w:tcPr>
            <w:tcW w:w="1093" w:type="dxa"/>
            <w:gridSpan w:val="2"/>
            <w:tcBorders>
              <w:top w:val="nil"/>
              <w:left w:val="nil"/>
              <w:bottom w:val="single" w:sz="4" w:space="0" w:color="auto"/>
              <w:right w:val="single" w:sz="4" w:space="0" w:color="auto"/>
            </w:tcBorders>
            <w:noWrap/>
            <w:hideMark/>
          </w:tcPr>
          <w:p w14:paraId="566876A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1005" w:type="dxa"/>
            <w:tcBorders>
              <w:top w:val="nil"/>
              <w:left w:val="nil"/>
              <w:bottom w:val="single" w:sz="4" w:space="0" w:color="auto"/>
              <w:right w:val="single" w:sz="4" w:space="0" w:color="auto"/>
            </w:tcBorders>
            <w:noWrap/>
            <w:hideMark/>
          </w:tcPr>
          <w:p w14:paraId="009DC56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945" w:type="dxa"/>
            <w:gridSpan w:val="2"/>
            <w:tcBorders>
              <w:top w:val="nil"/>
              <w:left w:val="nil"/>
              <w:bottom w:val="single" w:sz="4" w:space="0" w:color="auto"/>
              <w:right w:val="single" w:sz="4" w:space="0" w:color="auto"/>
            </w:tcBorders>
            <w:noWrap/>
            <w:hideMark/>
          </w:tcPr>
          <w:p w14:paraId="3FABED1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3.6</w:t>
            </w:r>
          </w:p>
        </w:tc>
      </w:tr>
      <w:tr w:rsidR="003B315D" w:rsidRPr="00BE33FC" w14:paraId="20242FF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203FE71D"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 xml:space="preserve">Eastern &amp; Midland Regional Assembly </w:t>
            </w:r>
          </w:p>
        </w:tc>
        <w:tc>
          <w:tcPr>
            <w:tcW w:w="1258" w:type="dxa"/>
            <w:tcBorders>
              <w:top w:val="nil"/>
              <w:left w:val="nil"/>
              <w:bottom w:val="single" w:sz="4" w:space="0" w:color="auto"/>
              <w:right w:val="single" w:sz="4" w:space="0" w:color="auto"/>
            </w:tcBorders>
            <w:noWrap/>
            <w:hideMark/>
          </w:tcPr>
          <w:p w14:paraId="4E9202D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966" w:type="dxa"/>
            <w:gridSpan w:val="2"/>
            <w:tcBorders>
              <w:top w:val="nil"/>
              <w:left w:val="nil"/>
              <w:bottom w:val="single" w:sz="4" w:space="0" w:color="auto"/>
              <w:right w:val="single" w:sz="4" w:space="0" w:color="auto"/>
            </w:tcBorders>
            <w:noWrap/>
            <w:hideMark/>
          </w:tcPr>
          <w:p w14:paraId="52842B5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023" w:type="dxa"/>
            <w:tcBorders>
              <w:top w:val="nil"/>
              <w:left w:val="nil"/>
              <w:bottom w:val="single" w:sz="4" w:space="0" w:color="auto"/>
              <w:right w:val="single" w:sz="4" w:space="0" w:color="auto"/>
            </w:tcBorders>
            <w:noWrap/>
            <w:hideMark/>
          </w:tcPr>
          <w:p w14:paraId="337F0FF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hideMark/>
          </w:tcPr>
          <w:p w14:paraId="2C93E6B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hideMark/>
          </w:tcPr>
          <w:p w14:paraId="4106197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hideMark/>
          </w:tcPr>
          <w:p w14:paraId="220B220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4C6D192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27501781" w14:textId="77777777" w:rsidR="003B315D" w:rsidRPr="00BE33FC" w:rsidRDefault="003B315D" w:rsidP="006D697C">
            <w:pPr>
              <w:rPr>
                <w:rFonts w:ascii="Gill Sans MT" w:hAnsi="Gill Sans MT"/>
                <w:color w:val="000000"/>
                <w:sz w:val="22"/>
                <w:szCs w:val="22"/>
                <w:lang w:eastAsia="en-IE"/>
              </w:rPr>
            </w:pPr>
            <w:proofErr w:type="spellStart"/>
            <w:r w:rsidRPr="00BE33FC">
              <w:rPr>
                <w:rFonts w:ascii="Gill Sans MT" w:hAnsi="Gill Sans MT" w:cs="Arial"/>
                <w:sz w:val="22"/>
                <w:szCs w:val="22"/>
              </w:rPr>
              <w:t>Ervia</w:t>
            </w:r>
            <w:proofErr w:type="spellEnd"/>
            <w:r w:rsidRPr="00BE33FC">
              <w:rPr>
                <w:rFonts w:ascii="Gill Sans MT" w:hAnsi="Gill Sans MT" w:cs="Arial"/>
                <w:sz w:val="22"/>
                <w:szCs w:val="22"/>
              </w:rPr>
              <w:t>/Gas Networks Ireland</w:t>
            </w:r>
          </w:p>
        </w:tc>
        <w:tc>
          <w:tcPr>
            <w:tcW w:w="1258" w:type="dxa"/>
            <w:tcBorders>
              <w:top w:val="nil"/>
              <w:left w:val="nil"/>
              <w:bottom w:val="single" w:sz="4" w:space="0" w:color="auto"/>
              <w:right w:val="single" w:sz="4" w:space="0" w:color="auto"/>
            </w:tcBorders>
            <w:noWrap/>
            <w:hideMark/>
          </w:tcPr>
          <w:p w14:paraId="46A2795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929</w:t>
            </w:r>
          </w:p>
        </w:tc>
        <w:tc>
          <w:tcPr>
            <w:tcW w:w="966" w:type="dxa"/>
            <w:gridSpan w:val="2"/>
            <w:tcBorders>
              <w:top w:val="nil"/>
              <w:left w:val="nil"/>
              <w:bottom w:val="single" w:sz="4" w:space="0" w:color="auto"/>
              <w:right w:val="single" w:sz="4" w:space="0" w:color="auto"/>
            </w:tcBorders>
            <w:noWrap/>
            <w:hideMark/>
          </w:tcPr>
          <w:p w14:paraId="6216EC4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1,006</w:t>
            </w:r>
          </w:p>
        </w:tc>
        <w:tc>
          <w:tcPr>
            <w:tcW w:w="1023" w:type="dxa"/>
            <w:tcBorders>
              <w:top w:val="nil"/>
              <w:left w:val="nil"/>
              <w:bottom w:val="single" w:sz="4" w:space="0" w:color="auto"/>
              <w:right w:val="single" w:sz="4" w:space="0" w:color="auto"/>
            </w:tcBorders>
            <w:noWrap/>
            <w:hideMark/>
          </w:tcPr>
          <w:p w14:paraId="2472630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093" w:type="dxa"/>
            <w:gridSpan w:val="2"/>
            <w:tcBorders>
              <w:top w:val="nil"/>
              <w:left w:val="nil"/>
              <w:bottom w:val="single" w:sz="4" w:space="0" w:color="auto"/>
              <w:right w:val="single" w:sz="4" w:space="0" w:color="auto"/>
            </w:tcBorders>
            <w:noWrap/>
            <w:hideMark/>
          </w:tcPr>
          <w:p w14:paraId="534E3FE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1005" w:type="dxa"/>
            <w:tcBorders>
              <w:top w:val="nil"/>
              <w:left w:val="nil"/>
              <w:bottom w:val="single" w:sz="4" w:space="0" w:color="auto"/>
              <w:right w:val="single" w:sz="4" w:space="0" w:color="auto"/>
            </w:tcBorders>
            <w:noWrap/>
            <w:hideMark/>
          </w:tcPr>
          <w:p w14:paraId="7BF6C03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945" w:type="dxa"/>
            <w:gridSpan w:val="2"/>
            <w:tcBorders>
              <w:top w:val="nil"/>
              <w:left w:val="nil"/>
              <w:bottom w:val="single" w:sz="4" w:space="0" w:color="auto"/>
              <w:right w:val="single" w:sz="4" w:space="0" w:color="auto"/>
            </w:tcBorders>
            <w:noWrap/>
            <w:hideMark/>
          </w:tcPr>
          <w:p w14:paraId="4438A70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739C4C9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106AC3F0"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Fingal County Council</w:t>
            </w:r>
          </w:p>
        </w:tc>
        <w:tc>
          <w:tcPr>
            <w:tcW w:w="1258" w:type="dxa"/>
            <w:tcBorders>
              <w:top w:val="nil"/>
              <w:left w:val="nil"/>
              <w:bottom w:val="single" w:sz="4" w:space="0" w:color="auto"/>
              <w:right w:val="single" w:sz="4" w:space="0" w:color="auto"/>
            </w:tcBorders>
            <w:noWrap/>
            <w:hideMark/>
          </w:tcPr>
          <w:p w14:paraId="6AEB8EB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1,437</w:t>
            </w:r>
          </w:p>
        </w:tc>
        <w:tc>
          <w:tcPr>
            <w:tcW w:w="966" w:type="dxa"/>
            <w:gridSpan w:val="2"/>
            <w:tcBorders>
              <w:top w:val="nil"/>
              <w:left w:val="nil"/>
              <w:bottom w:val="single" w:sz="4" w:space="0" w:color="auto"/>
              <w:right w:val="single" w:sz="4" w:space="0" w:color="auto"/>
            </w:tcBorders>
            <w:noWrap/>
            <w:hideMark/>
          </w:tcPr>
          <w:p w14:paraId="69CE51E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1,455</w:t>
            </w:r>
          </w:p>
        </w:tc>
        <w:tc>
          <w:tcPr>
            <w:tcW w:w="1023" w:type="dxa"/>
            <w:tcBorders>
              <w:top w:val="nil"/>
              <w:left w:val="nil"/>
              <w:bottom w:val="single" w:sz="4" w:space="0" w:color="auto"/>
              <w:right w:val="single" w:sz="4" w:space="0" w:color="auto"/>
            </w:tcBorders>
            <w:noWrap/>
            <w:hideMark/>
          </w:tcPr>
          <w:p w14:paraId="2B29D65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63</w:t>
            </w:r>
          </w:p>
        </w:tc>
        <w:tc>
          <w:tcPr>
            <w:tcW w:w="1093" w:type="dxa"/>
            <w:gridSpan w:val="2"/>
            <w:tcBorders>
              <w:top w:val="nil"/>
              <w:left w:val="nil"/>
              <w:bottom w:val="single" w:sz="4" w:space="0" w:color="auto"/>
              <w:right w:val="single" w:sz="4" w:space="0" w:color="auto"/>
            </w:tcBorders>
            <w:noWrap/>
            <w:hideMark/>
          </w:tcPr>
          <w:p w14:paraId="7F10173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60</w:t>
            </w:r>
          </w:p>
        </w:tc>
        <w:tc>
          <w:tcPr>
            <w:tcW w:w="1005" w:type="dxa"/>
            <w:tcBorders>
              <w:top w:val="nil"/>
              <w:left w:val="nil"/>
              <w:bottom w:val="single" w:sz="4" w:space="0" w:color="auto"/>
              <w:right w:val="single" w:sz="4" w:space="0" w:color="auto"/>
            </w:tcBorders>
            <w:noWrap/>
            <w:hideMark/>
          </w:tcPr>
          <w:p w14:paraId="2756F2B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945" w:type="dxa"/>
            <w:gridSpan w:val="2"/>
            <w:tcBorders>
              <w:top w:val="nil"/>
              <w:left w:val="nil"/>
              <w:bottom w:val="single" w:sz="4" w:space="0" w:color="auto"/>
              <w:right w:val="single" w:sz="4" w:space="0" w:color="auto"/>
            </w:tcBorders>
            <w:noWrap/>
            <w:hideMark/>
          </w:tcPr>
          <w:p w14:paraId="4DA9512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4.1</w:t>
            </w:r>
          </w:p>
        </w:tc>
      </w:tr>
      <w:tr w:rsidR="003B315D" w:rsidRPr="00BE33FC" w14:paraId="1222BD1A"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E3338DC"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Galway City Council</w:t>
            </w:r>
          </w:p>
        </w:tc>
        <w:tc>
          <w:tcPr>
            <w:tcW w:w="1258" w:type="dxa"/>
            <w:tcBorders>
              <w:top w:val="nil"/>
              <w:left w:val="nil"/>
              <w:bottom w:val="single" w:sz="4" w:space="0" w:color="auto"/>
              <w:right w:val="single" w:sz="4" w:space="0" w:color="auto"/>
            </w:tcBorders>
            <w:noWrap/>
            <w:hideMark/>
          </w:tcPr>
          <w:p w14:paraId="1E19417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450</w:t>
            </w:r>
          </w:p>
        </w:tc>
        <w:tc>
          <w:tcPr>
            <w:tcW w:w="966" w:type="dxa"/>
            <w:gridSpan w:val="2"/>
            <w:tcBorders>
              <w:top w:val="nil"/>
              <w:left w:val="nil"/>
              <w:bottom w:val="single" w:sz="4" w:space="0" w:color="auto"/>
              <w:right w:val="single" w:sz="4" w:space="0" w:color="auto"/>
            </w:tcBorders>
            <w:noWrap/>
            <w:hideMark/>
          </w:tcPr>
          <w:p w14:paraId="49F046A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478</w:t>
            </w:r>
          </w:p>
        </w:tc>
        <w:tc>
          <w:tcPr>
            <w:tcW w:w="1023" w:type="dxa"/>
            <w:tcBorders>
              <w:top w:val="nil"/>
              <w:left w:val="nil"/>
              <w:bottom w:val="single" w:sz="4" w:space="0" w:color="auto"/>
              <w:right w:val="single" w:sz="4" w:space="0" w:color="auto"/>
            </w:tcBorders>
            <w:noWrap/>
            <w:hideMark/>
          </w:tcPr>
          <w:p w14:paraId="21D3036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28</w:t>
            </w:r>
          </w:p>
        </w:tc>
        <w:tc>
          <w:tcPr>
            <w:tcW w:w="1093" w:type="dxa"/>
            <w:gridSpan w:val="2"/>
            <w:tcBorders>
              <w:top w:val="nil"/>
              <w:left w:val="nil"/>
              <w:bottom w:val="single" w:sz="4" w:space="0" w:color="auto"/>
              <w:right w:val="single" w:sz="4" w:space="0" w:color="auto"/>
            </w:tcBorders>
            <w:noWrap/>
            <w:hideMark/>
          </w:tcPr>
          <w:p w14:paraId="3737647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49</w:t>
            </w:r>
          </w:p>
        </w:tc>
        <w:tc>
          <w:tcPr>
            <w:tcW w:w="1005" w:type="dxa"/>
            <w:tcBorders>
              <w:top w:val="nil"/>
              <w:left w:val="nil"/>
              <w:bottom w:val="single" w:sz="4" w:space="0" w:color="auto"/>
              <w:right w:val="single" w:sz="4" w:space="0" w:color="auto"/>
            </w:tcBorders>
            <w:noWrap/>
            <w:hideMark/>
          </w:tcPr>
          <w:p w14:paraId="6316B47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6.2</w:t>
            </w:r>
          </w:p>
        </w:tc>
        <w:tc>
          <w:tcPr>
            <w:tcW w:w="945" w:type="dxa"/>
            <w:gridSpan w:val="2"/>
            <w:tcBorders>
              <w:top w:val="nil"/>
              <w:left w:val="nil"/>
              <w:bottom w:val="single" w:sz="4" w:space="0" w:color="auto"/>
              <w:right w:val="single" w:sz="4" w:space="0" w:color="auto"/>
            </w:tcBorders>
            <w:noWrap/>
            <w:hideMark/>
          </w:tcPr>
          <w:p w14:paraId="791768F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10.3</w:t>
            </w:r>
          </w:p>
        </w:tc>
      </w:tr>
      <w:tr w:rsidR="003B315D" w:rsidRPr="00BE33FC" w14:paraId="7C4B9EA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59BD3B2D"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Galway County Council</w:t>
            </w:r>
          </w:p>
        </w:tc>
        <w:tc>
          <w:tcPr>
            <w:tcW w:w="1258" w:type="dxa"/>
            <w:tcBorders>
              <w:top w:val="nil"/>
              <w:left w:val="nil"/>
              <w:bottom w:val="single" w:sz="4" w:space="0" w:color="auto"/>
              <w:right w:val="single" w:sz="4" w:space="0" w:color="auto"/>
            </w:tcBorders>
            <w:noWrap/>
            <w:hideMark/>
          </w:tcPr>
          <w:p w14:paraId="4B94180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777</w:t>
            </w:r>
          </w:p>
        </w:tc>
        <w:tc>
          <w:tcPr>
            <w:tcW w:w="966" w:type="dxa"/>
            <w:gridSpan w:val="2"/>
            <w:tcBorders>
              <w:top w:val="nil"/>
              <w:left w:val="nil"/>
              <w:bottom w:val="single" w:sz="4" w:space="0" w:color="auto"/>
              <w:right w:val="single" w:sz="4" w:space="0" w:color="auto"/>
            </w:tcBorders>
            <w:noWrap/>
            <w:hideMark/>
          </w:tcPr>
          <w:p w14:paraId="0B6B510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803</w:t>
            </w:r>
          </w:p>
        </w:tc>
        <w:tc>
          <w:tcPr>
            <w:tcW w:w="1023" w:type="dxa"/>
            <w:tcBorders>
              <w:top w:val="nil"/>
              <w:left w:val="nil"/>
              <w:bottom w:val="single" w:sz="4" w:space="0" w:color="auto"/>
              <w:right w:val="single" w:sz="4" w:space="0" w:color="auto"/>
            </w:tcBorders>
            <w:noWrap/>
            <w:hideMark/>
          </w:tcPr>
          <w:p w14:paraId="2F0FB2F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1093" w:type="dxa"/>
            <w:gridSpan w:val="2"/>
            <w:tcBorders>
              <w:top w:val="nil"/>
              <w:left w:val="nil"/>
              <w:bottom w:val="single" w:sz="4" w:space="0" w:color="auto"/>
              <w:right w:val="single" w:sz="4" w:space="0" w:color="auto"/>
            </w:tcBorders>
            <w:noWrap/>
            <w:hideMark/>
          </w:tcPr>
          <w:p w14:paraId="08515D2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005" w:type="dxa"/>
            <w:tcBorders>
              <w:top w:val="nil"/>
              <w:left w:val="nil"/>
              <w:bottom w:val="single" w:sz="4" w:space="0" w:color="auto"/>
              <w:right w:val="single" w:sz="4" w:space="0" w:color="auto"/>
            </w:tcBorders>
            <w:noWrap/>
            <w:hideMark/>
          </w:tcPr>
          <w:p w14:paraId="346FC6E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hideMark/>
          </w:tcPr>
          <w:p w14:paraId="3F2EAA6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3.6</w:t>
            </w:r>
          </w:p>
        </w:tc>
      </w:tr>
      <w:tr w:rsidR="003B315D" w:rsidRPr="00BE33FC" w14:paraId="08F9DB05"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7C13900A"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Housing &amp; Sustainable Communities Agency</w:t>
            </w:r>
          </w:p>
        </w:tc>
        <w:tc>
          <w:tcPr>
            <w:tcW w:w="1258" w:type="dxa"/>
            <w:tcBorders>
              <w:top w:val="nil"/>
              <w:left w:val="nil"/>
              <w:bottom w:val="single" w:sz="4" w:space="0" w:color="auto"/>
              <w:right w:val="single" w:sz="4" w:space="0" w:color="auto"/>
            </w:tcBorders>
            <w:noWrap/>
            <w:hideMark/>
          </w:tcPr>
          <w:p w14:paraId="1589C23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51</w:t>
            </w:r>
          </w:p>
        </w:tc>
        <w:tc>
          <w:tcPr>
            <w:tcW w:w="966" w:type="dxa"/>
            <w:gridSpan w:val="2"/>
            <w:tcBorders>
              <w:top w:val="nil"/>
              <w:left w:val="nil"/>
              <w:bottom w:val="single" w:sz="4" w:space="0" w:color="auto"/>
              <w:right w:val="single" w:sz="4" w:space="0" w:color="auto"/>
            </w:tcBorders>
            <w:noWrap/>
            <w:hideMark/>
          </w:tcPr>
          <w:p w14:paraId="60EBEE0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70</w:t>
            </w:r>
          </w:p>
        </w:tc>
        <w:tc>
          <w:tcPr>
            <w:tcW w:w="1023" w:type="dxa"/>
            <w:tcBorders>
              <w:top w:val="nil"/>
              <w:left w:val="nil"/>
              <w:bottom w:val="single" w:sz="4" w:space="0" w:color="auto"/>
              <w:right w:val="single" w:sz="4" w:space="0" w:color="auto"/>
            </w:tcBorders>
            <w:noWrap/>
            <w:hideMark/>
          </w:tcPr>
          <w:p w14:paraId="561751A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93" w:type="dxa"/>
            <w:gridSpan w:val="2"/>
            <w:tcBorders>
              <w:top w:val="nil"/>
              <w:left w:val="nil"/>
              <w:bottom w:val="single" w:sz="4" w:space="0" w:color="auto"/>
              <w:right w:val="single" w:sz="4" w:space="0" w:color="auto"/>
            </w:tcBorders>
            <w:noWrap/>
            <w:hideMark/>
          </w:tcPr>
          <w:p w14:paraId="57A4DFC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05" w:type="dxa"/>
            <w:tcBorders>
              <w:top w:val="nil"/>
              <w:left w:val="nil"/>
              <w:bottom w:val="single" w:sz="4" w:space="0" w:color="auto"/>
              <w:right w:val="single" w:sz="4" w:space="0" w:color="auto"/>
            </w:tcBorders>
            <w:noWrap/>
            <w:hideMark/>
          </w:tcPr>
          <w:p w14:paraId="6B29497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5.9</w:t>
            </w:r>
          </w:p>
        </w:tc>
        <w:tc>
          <w:tcPr>
            <w:tcW w:w="945" w:type="dxa"/>
            <w:gridSpan w:val="2"/>
            <w:tcBorders>
              <w:top w:val="nil"/>
              <w:left w:val="nil"/>
              <w:bottom w:val="single" w:sz="4" w:space="0" w:color="auto"/>
              <w:right w:val="single" w:sz="4" w:space="0" w:color="auto"/>
            </w:tcBorders>
            <w:noWrap/>
            <w:hideMark/>
          </w:tcPr>
          <w:p w14:paraId="29F3CC8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8.6</w:t>
            </w:r>
          </w:p>
        </w:tc>
      </w:tr>
      <w:tr w:rsidR="003B315D" w:rsidRPr="00BE33FC" w14:paraId="41BDC12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7453F3FA"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Housing Finance Agency</w:t>
            </w:r>
          </w:p>
        </w:tc>
        <w:tc>
          <w:tcPr>
            <w:tcW w:w="1258" w:type="dxa"/>
            <w:tcBorders>
              <w:top w:val="nil"/>
              <w:left w:val="nil"/>
              <w:bottom w:val="single" w:sz="4" w:space="0" w:color="auto"/>
              <w:right w:val="single" w:sz="4" w:space="0" w:color="auto"/>
            </w:tcBorders>
            <w:noWrap/>
            <w:hideMark/>
          </w:tcPr>
          <w:p w14:paraId="53C3C19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966" w:type="dxa"/>
            <w:gridSpan w:val="2"/>
            <w:tcBorders>
              <w:top w:val="nil"/>
              <w:left w:val="nil"/>
              <w:bottom w:val="single" w:sz="4" w:space="0" w:color="auto"/>
              <w:right w:val="single" w:sz="4" w:space="0" w:color="auto"/>
            </w:tcBorders>
            <w:noWrap/>
            <w:hideMark/>
          </w:tcPr>
          <w:p w14:paraId="17E7B7B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w:t>
            </w:r>
          </w:p>
        </w:tc>
        <w:tc>
          <w:tcPr>
            <w:tcW w:w="1023" w:type="dxa"/>
            <w:tcBorders>
              <w:top w:val="nil"/>
              <w:left w:val="nil"/>
              <w:bottom w:val="single" w:sz="4" w:space="0" w:color="auto"/>
              <w:right w:val="single" w:sz="4" w:space="0" w:color="auto"/>
            </w:tcBorders>
            <w:noWrap/>
            <w:hideMark/>
          </w:tcPr>
          <w:p w14:paraId="2F7FE83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hideMark/>
          </w:tcPr>
          <w:p w14:paraId="58FC155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hideMark/>
          </w:tcPr>
          <w:p w14:paraId="59CB8D82" w14:textId="77777777" w:rsidR="003B315D" w:rsidRPr="00BE33FC" w:rsidRDefault="003B315D" w:rsidP="00441696">
            <w:pPr>
              <w:jc w:val="right"/>
              <w:rPr>
                <w:rFonts w:ascii="Gill Sans MT" w:hAnsi="Gill Sans MT" w:cs="Arial"/>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hideMark/>
          </w:tcPr>
          <w:p w14:paraId="7100AB6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5A5981B5"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27A7CA8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lastRenderedPageBreak/>
              <w:t>Irish Water</w:t>
            </w:r>
          </w:p>
        </w:tc>
        <w:tc>
          <w:tcPr>
            <w:tcW w:w="1258" w:type="dxa"/>
            <w:tcBorders>
              <w:top w:val="nil"/>
              <w:left w:val="nil"/>
              <w:bottom w:val="single" w:sz="4" w:space="0" w:color="auto"/>
              <w:right w:val="single" w:sz="4" w:space="0" w:color="auto"/>
            </w:tcBorders>
            <w:noWrap/>
            <w:hideMark/>
          </w:tcPr>
          <w:p w14:paraId="6B10D92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726</w:t>
            </w:r>
          </w:p>
        </w:tc>
        <w:tc>
          <w:tcPr>
            <w:tcW w:w="966" w:type="dxa"/>
            <w:gridSpan w:val="2"/>
            <w:tcBorders>
              <w:top w:val="nil"/>
              <w:left w:val="nil"/>
              <w:bottom w:val="single" w:sz="4" w:space="0" w:color="auto"/>
              <w:right w:val="single" w:sz="4" w:space="0" w:color="auto"/>
            </w:tcBorders>
            <w:noWrap/>
            <w:hideMark/>
          </w:tcPr>
          <w:p w14:paraId="0067BE0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809</w:t>
            </w:r>
          </w:p>
        </w:tc>
        <w:tc>
          <w:tcPr>
            <w:tcW w:w="1023" w:type="dxa"/>
            <w:tcBorders>
              <w:top w:val="nil"/>
              <w:left w:val="nil"/>
              <w:bottom w:val="single" w:sz="4" w:space="0" w:color="auto"/>
              <w:right w:val="single" w:sz="4" w:space="0" w:color="auto"/>
            </w:tcBorders>
            <w:noWrap/>
            <w:hideMark/>
          </w:tcPr>
          <w:p w14:paraId="26F10A8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93" w:type="dxa"/>
            <w:gridSpan w:val="2"/>
            <w:tcBorders>
              <w:top w:val="nil"/>
              <w:left w:val="nil"/>
              <w:bottom w:val="single" w:sz="4" w:space="0" w:color="auto"/>
              <w:right w:val="single" w:sz="4" w:space="0" w:color="auto"/>
            </w:tcBorders>
            <w:noWrap/>
            <w:hideMark/>
          </w:tcPr>
          <w:p w14:paraId="082E831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25</w:t>
            </w:r>
          </w:p>
        </w:tc>
        <w:tc>
          <w:tcPr>
            <w:tcW w:w="1005" w:type="dxa"/>
            <w:tcBorders>
              <w:top w:val="nil"/>
              <w:left w:val="nil"/>
              <w:bottom w:val="single" w:sz="4" w:space="0" w:color="auto"/>
              <w:right w:val="single" w:sz="4" w:space="0" w:color="auto"/>
            </w:tcBorders>
            <w:noWrap/>
            <w:hideMark/>
          </w:tcPr>
          <w:p w14:paraId="7B66DBB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3.2</w:t>
            </w:r>
          </w:p>
        </w:tc>
        <w:tc>
          <w:tcPr>
            <w:tcW w:w="945" w:type="dxa"/>
            <w:gridSpan w:val="2"/>
            <w:tcBorders>
              <w:top w:val="nil"/>
              <w:left w:val="nil"/>
              <w:bottom w:val="single" w:sz="4" w:space="0" w:color="auto"/>
              <w:right w:val="single" w:sz="4" w:space="0" w:color="auto"/>
            </w:tcBorders>
            <w:noWrap/>
            <w:hideMark/>
          </w:tcPr>
          <w:p w14:paraId="34090D8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06174A5A"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36D1F264" w14:textId="77777777" w:rsidR="003B315D" w:rsidRPr="00BE33FC" w:rsidRDefault="003B315D" w:rsidP="006D697C">
            <w:pPr>
              <w:spacing w:line="240" w:lineRule="auto"/>
              <w:rPr>
                <w:rFonts w:ascii="Gill Sans MT" w:hAnsi="Gill Sans MT"/>
                <w:color w:val="000000"/>
                <w:sz w:val="22"/>
                <w:szCs w:val="22"/>
                <w:lang w:eastAsia="en-IE"/>
              </w:rPr>
            </w:pPr>
            <w:r w:rsidRPr="00BE33FC">
              <w:rPr>
                <w:rFonts w:ascii="Gill Sans MT" w:hAnsi="Gill Sans MT" w:cs="Arial"/>
                <w:sz w:val="22"/>
                <w:szCs w:val="22"/>
              </w:rPr>
              <w:t>Kerry County Council</w:t>
            </w:r>
          </w:p>
        </w:tc>
        <w:tc>
          <w:tcPr>
            <w:tcW w:w="1258" w:type="dxa"/>
            <w:tcBorders>
              <w:top w:val="nil"/>
              <w:left w:val="nil"/>
              <w:bottom w:val="single" w:sz="4" w:space="0" w:color="auto"/>
              <w:right w:val="single" w:sz="4" w:space="0" w:color="auto"/>
            </w:tcBorders>
            <w:noWrap/>
            <w:hideMark/>
          </w:tcPr>
          <w:p w14:paraId="2F4CC6E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1,380</w:t>
            </w:r>
          </w:p>
        </w:tc>
        <w:tc>
          <w:tcPr>
            <w:tcW w:w="966" w:type="dxa"/>
            <w:gridSpan w:val="2"/>
            <w:tcBorders>
              <w:top w:val="nil"/>
              <w:left w:val="nil"/>
              <w:bottom w:val="single" w:sz="4" w:space="0" w:color="auto"/>
              <w:right w:val="single" w:sz="4" w:space="0" w:color="auto"/>
            </w:tcBorders>
            <w:noWrap/>
            <w:hideMark/>
          </w:tcPr>
          <w:p w14:paraId="2F77B7A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1,409</w:t>
            </w:r>
          </w:p>
        </w:tc>
        <w:tc>
          <w:tcPr>
            <w:tcW w:w="1023" w:type="dxa"/>
            <w:tcBorders>
              <w:top w:val="nil"/>
              <w:left w:val="nil"/>
              <w:bottom w:val="single" w:sz="4" w:space="0" w:color="auto"/>
              <w:right w:val="single" w:sz="4" w:space="0" w:color="auto"/>
            </w:tcBorders>
            <w:noWrap/>
            <w:hideMark/>
          </w:tcPr>
          <w:p w14:paraId="1ECD67C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96</w:t>
            </w:r>
          </w:p>
        </w:tc>
        <w:tc>
          <w:tcPr>
            <w:tcW w:w="1093" w:type="dxa"/>
            <w:gridSpan w:val="2"/>
            <w:tcBorders>
              <w:top w:val="nil"/>
              <w:left w:val="nil"/>
              <w:bottom w:val="single" w:sz="4" w:space="0" w:color="auto"/>
              <w:right w:val="single" w:sz="4" w:space="0" w:color="auto"/>
            </w:tcBorders>
            <w:noWrap/>
            <w:hideMark/>
          </w:tcPr>
          <w:p w14:paraId="4913C6B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85</w:t>
            </w:r>
          </w:p>
        </w:tc>
        <w:tc>
          <w:tcPr>
            <w:tcW w:w="1005" w:type="dxa"/>
            <w:tcBorders>
              <w:top w:val="nil"/>
              <w:left w:val="nil"/>
              <w:bottom w:val="single" w:sz="4" w:space="0" w:color="auto"/>
              <w:right w:val="single" w:sz="4" w:space="0" w:color="auto"/>
            </w:tcBorders>
            <w:noWrap/>
            <w:hideMark/>
          </w:tcPr>
          <w:p w14:paraId="16BA360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7.0</w:t>
            </w:r>
          </w:p>
        </w:tc>
        <w:tc>
          <w:tcPr>
            <w:tcW w:w="945" w:type="dxa"/>
            <w:gridSpan w:val="2"/>
            <w:tcBorders>
              <w:top w:val="nil"/>
              <w:left w:val="nil"/>
              <w:bottom w:val="single" w:sz="4" w:space="0" w:color="auto"/>
              <w:right w:val="single" w:sz="4" w:space="0" w:color="auto"/>
            </w:tcBorders>
            <w:noWrap/>
            <w:hideMark/>
          </w:tcPr>
          <w:p w14:paraId="00B6F66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6.0</w:t>
            </w:r>
          </w:p>
        </w:tc>
      </w:tr>
      <w:tr w:rsidR="003B315D" w:rsidRPr="00BE33FC" w14:paraId="292FC070"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68C010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Kildare County Council</w:t>
            </w:r>
          </w:p>
        </w:tc>
        <w:tc>
          <w:tcPr>
            <w:tcW w:w="1258" w:type="dxa"/>
            <w:tcBorders>
              <w:top w:val="nil"/>
              <w:left w:val="nil"/>
              <w:bottom w:val="single" w:sz="4" w:space="0" w:color="auto"/>
              <w:right w:val="single" w:sz="4" w:space="0" w:color="auto"/>
            </w:tcBorders>
            <w:noWrap/>
            <w:hideMark/>
          </w:tcPr>
          <w:p w14:paraId="040FBCC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985</w:t>
            </w:r>
          </w:p>
        </w:tc>
        <w:tc>
          <w:tcPr>
            <w:tcW w:w="966" w:type="dxa"/>
            <w:gridSpan w:val="2"/>
            <w:tcBorders>
              <w:top w:val="nil"/>
              <w:left w:val="nil"/>
              <w:bottom w:val="single" w:sz="4" w:space="0" w:color="auto"/>
              <w:right w:val="single" w:sz="4" w:space="0" w:color="auto"/>
            </w:tcBorders>
            <w:noWrap/>
            <w:hideMark/>
          </w:tcPr>
          <w:p w14:paraId="6AC9A2A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1,044</w:t>
            </w:r>
          </w:p>
        </w:tc>
        <w:tc>
          <w:tcPr>
            <w:tcW w:w="1023" w:type="dxa"/>
            <w:tcBorders>
              <w:top w:val="nil"/>
              <w:left w:val="nil"/>
              <w:bottom w:val="single" w:sz="4" w:space="0" w:color="auto"/>
              <w:right w:val="single" w:sz="4" w:space="0" w:color="auto"/>
            </w:tcBorders>
            <w:noWrap/>
            <w:hideMark/>
          </w:tcPr>
          <w:p w14:paraId="5471359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60</w:t>
            </w:r>
          </w:p>
        </w:tc>
        <w:tc>
          <w:tcPr>
            <w:tcW w:w="1093" w:type="dxa"/>
            <w:gridSpan w:val="2"/>
            <w:tcBorders>
              <w:top w:val="nil"/>
              <w:left w:val="nil"/>
              <w:bottom w:val="single" w:sz="4" w:space="0" w:color="auto"/>
              <w:right w:val="single" w:sz="4" w:space="0" w:color="auto"/>
            </w:tcBorders>
            <w:noWrap/>
            <w:hideMark/>
          </w:tcPr>
          <w:p w14:paraId="1621846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63</w:t>
            </w:r>
          </w:p>
        </w:tc>
        <w:tc>
          <w:tcPr>
            <w:tcW w:w="1005" w:type="dxa"/>
            <w:tcBorders>
              <w:top w:val="nil"/>
              <w:left w:val="nil"/>
              <w:bottom w:val="single" w:sz="4" w:space="0" w:color="auto"/>
              <w:right w:val="single" w:sz="4" w:space="0" w:color="auto"/>
            </w:tcBorders>
            <w:noWrap/>
            <w:hideMark/>
          </w:tcPr>
          <w:p w14:paraId="1EE10CC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6.1</w:t>
            </w:r>
          </w:p>
        </w:tc>
        <w:tc>
          <w:tcPr>
            <w:tcW w:w="945" w:type="dxa"/>
            <w:gridSpan w:val="2"/>
            <w:tcBorders>
              <w:top w:val="nil"/>
              <w:left w:val="nil"/>
              <w:bottom w:val="single" w:sz="4" w:space="0" w:color="auto"/>
              <w:right w:val="single" w:sz="4" w:space="0" w:color="auto"/>
            </w:tcBorders>
            <w:noWrap/>
            <w:hideMark/>
          </w:tcPr>
          <w:p w14:paraId="3AB4125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6.0</w:t>
            </w:r>
          </w:p>
        </w:tc>
      </w:tr>
      <w:tr w:rsidR="003B315D" w:rsidRPr="00BE33FC" w14:paraId="4E951DE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27F64AB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Kilkenny County Council</w:t>
            </w:r>
          </w:p>
        </w:tc>
        <w:tc>
          <w:tcPr>
            <w:tcW w:w="1258" w:type="dxa"/>
            <w:tcBorders>
              <w:top w:val="nil"/>
              <w:left w:val="nil"/>
              <w:bottom w:val="single" w:sz="4" w:space="0" w:color="auto"/>
              <w:right w:val="single" w:sz="4" w:space="0" w:color="auto"/>
            </w:tcBorders>
            <w:noWrap/>
            <w:hideMark/>
          </w:tcPr>
          <w:p w14:paraId="2E9C8FD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576</w:t>
            </w:r>
          </w:p>
        </w:tc>
        <w:tc>
          <w:tcPr>
            <w:tcW w:w="966" w:type="dxa"/>
            <w:gridSpan w:val="2"/>
            <w:tcBorders>
              <w:top w:val="nil"/>
              <w:left w:val="nil"/>
              <w:bottom w:val="single" w:sz="4" w:space="0" w:color="auto"/>
              <w:right w:val="single" w:sz="4" w:space="0" w:color="auto"/>
            </w:tcBorders>
            <w:noWrap/>
            <w:hideMark/>
          </w:tcPr>
          <w:p w14:paraId="47470AA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594</w:t>
            </w:r>
          </w:p>
        </w:tc>
        <w:tc>
          <w:tcPr>
            <w:tcW w:w="1023" w:type="dxa"/>
            <w:tcBorders>
              <w:top w:val="nil"/>
              <w:left w:val="nil"/>
              <w:bottom w:val="single" w:sz="4" w:space="0" w:color="auto"/>
              <w:right w:val="single" w:sz="4" w:space="0" w:color="auto"/>
            </w:tcBorders>
            <w:noWrap/>
            <w:hideMark/>
          </w:tcPr>
          <w:p w14:paraId="0B6FFFC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93" w:type="dxa"/>
            <w:gridSpan w:val="2"/>
            <w:tcBorders>
              <w:top w:val="nil"/>
              <w:left w:val="nil"/>
              <w:bottom w:val="single" w:sz="4" w:space="0" w:color="auto"/>
              <w:right w:val="single" w:sz="4" w:space="0" w:color="auto"/>
            </w:tcBorders>
            <w:noWrap/>
            <w:hideMark/>
          </w:tcPr>
          <w:p w14:paraId="62B3889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24</w:t>
            </w:r>
          </w:p>
        </w:tc>
        <w:tc>
          <w:tcPr>
            <w:tcW w:w="1005" w:type="dxa"/>
            <w:tcBorders>
              <w:top w:val="nil"/>
              <w:left w:val="nil"/>
              <w:bottom w:val="single" w:sz="4" w:space="0" w:color="auto"/>
              <w:right w:val="single" w:sz="4" w:space="0" w:color="auto"/>
            </w:tcBorders>
            <w:noWrap/>
            <w:hideMark/>
          </w:tcPr>
          <w:p w14:paraId="1C8B33B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945" w:type="dxa"/>
            <w:gridSpan w:val="2"/>
            <w:tcBorders>
              <w:top w:val="nil"/>
              <w:left w:val="nil"/>
              <w:bottom w:val="single" w:sz="4" w:space="0" w:color="auto"/>
              <w:right w:val="single" w:sz="4" w:space="0" w:color="auto"/>
            </w:tcBorders>
            <w:noWrap/>
            <w:hideMark/>
          </w:tcPr>
          <w:p w14:paraId="234CA65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w:t>
            </w:r>
          </w:p>
        </w:tc>
      </w:tr>
      <w:tr w:rsidR="003B315D" w:rsidRPr="00BE33FC" w14:paraId="2B2206E9"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9AA2F9E"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Laois County Council</w:t>
            </w:r>
          </w:p>
        </w:tc>
        <w:tc>
          <w:tcPr>
            <w:tcW w:w="1258" w:type="dxa"/>
            <w:tcBorders>
              <w:top w:val="nil"/>
              <w:left w:val="nil"/>
              <w:bottom w:val="single" w:sz="4" w:space="0" w:color="auto"/>
              <w:right w:val="single" w:sz="4" w:space="0" w:color="auto"/>
            </w:tcBorders>
            <w:noWrap/>
            <w:hideMark/>
          </w:tcPr>
          <w:p w14:paraId="20F1996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430</w:t>
            </w:r>
          </w:p>
        </w:tc>
        <w:tc>
          <w:tcPr>
            <w:tcW w:w="966" w:type="dxa"/>
            <w:gridSpan w:val="2"/>
            <w:tcBorders>
              <w:top w:val="nil"/>
              <w:left w:val="nil"/>
              <w:bottom w:val="single" w:sz="4" w:space="0" w:color="auto"/>
              <w:right w:val="single" w:sz="4" w:space="0" w:color="auto"/>
            </w:tcBorders>
            <w:noWrap/>
            <w:hideMark/>
          </w:tcPr>
          <w:p w14:paraId="6F97494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449</w:t>
            </w:r>
          </w:p>
        </w:tc>
        <w:tc>
          <w:tcPr>
            <w:tcW w:w="1023" w:type="dxa"/>
            <w:tcBorders>
              <w:top w:val="nil"/>
              <w:left w:val="nil"/>
              <w:bottom w:val="single" w:sz="4" w:space="0" w:color="auto"/>
              <w:right w:val="single" w:sz="4" w:space="0" w:color="auto"/>
            </w:tcBorders>
            <w:noWrap/>
            <w:hideMark/>
          </w:tcPr>
          <w:p w14:paraId="19E222F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093" w:type="dxa"/>
            <w:gridSpan w:val="2"/>
            <w:tcBorders>
              <w:top w:val="nil"/>
              <w:left w:val="nil"/>
              <w:bottom w:val="single" w:sz="4" w:space="0" w:color="auto"/>
              <w:right w:val="single" w:sz="4" w:space="0" w:color="auto"/>
            </w:tcBorders>
            <w:noWrap/>
            <w:hideMark/>
          </w:tcPr>
          <w:p w14:paraId="136474B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05" w:type="dxa"/>
            <w:tcBorders>
              <w:top w:val="nil"/>
              <w:left w:val="nil"/>
              <w:bottom w:val="single" w:sz="4" w:space="0" w:color="auto"/>
              <w:right w:val="single" w:sz="4" w:space="0" w:color="auto"/>
            </w:tcBorders>
            <w:noWrap/>
            <w:hideMark/>
          </w:tcPr>
          <w:p w14:paraId="0FDE442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hideMark/>
          </w:tcPr>
          <w:p w14:paraId="5CEA7F4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4.5</w:t>
            </w:r>
          </w:p>
        </w:tc>
      </w:tr>
      <w:tr w:rsidR="003B315D" w:rsidRPr="00BE33FC" w14:paraId="4B60C458"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536FE7FE"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Leitrim County Council</w:t>
            </w:r>
          </w:p>
        </w:tc>
        <w:tc>
          <w:tcPr>
            <w:tcW w:w="1258" w:type="dxa"/>
            <w:tcBorders>
              <w:top w:val="nil"/>
              <w:left w:val="nil"/>
              <w:bottom w:val="single" w:sz="4" w:space="0" w:color="auto"/>
              <w:right w:val="single" w:sz="4" w:space="0" w:color="auto"/>
            </w:tcBorders>
            <w:noWrap/>
            <w:hideMark/>
          </w:tcPr>
          <w:p w14:paraId="0723E2D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276</w:t>
            </w:r>
          </w:p>
        </w:tc>
        <w:tc>
          <w:tcPr>
            <w:tcW w:w="966" w:type="dxa"/>
            <w:gridSpan w:val="2"/>
            <w:tcBorders>
              <w:top w:val="nil"/>
              <w:left w:val="nil"/>
              <w:bottom w:val="single" w:sz="4" w:space="0" w:color="auto"/>
              <w:right w:val="single" w:sz="4" w:space="0" w:color="auto"/>
            </w:tcBorders>
            <w:noWrap/>
            <w:hideMark/>
          </w:tcPr>
          <w:p w14:paraId="06C1938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327</w:t>
            </w:r>
          </w:p>
        </w:tc>
        <w:tc>
          <w:tcPr>
            <w:tcW w:w="1023" w:type="dxa"/>
            <w:tcBorders>
              <w:top w:val="nil"/>
              <w:left w:val="nil"/>
              <w:bottom w:val="single" w:sz="4" w:space="0" w:color="auto"/>
              <w:right w:val="single" w:sz="4" w:space="0" w:color="auto"/>
            </w:tcBorders>
            <w:noWrap/>
            <w:hideMark/>
          </w:tcPr>
          <w:p w14:paraId="4B45FBA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w:t>
            </w:r>
          </w:p>
        </w:tc>
        <w:tc>
          <w:tcPr>
            <w:tcW w:w="1093" w:type="dxa"/>
            <w:gridSpan w:val="2"/>
            <w:tcBorders>
              <w:top w:val="nil"/>
              <w:left w:val="nil"/>
              <w:bottom w:val="single" w:sz="4" w:space="0" w:color="auto"/>
              <w:right w:val="single" w:sz="4" w:space="0" w:color="auto"/>
            </w:tcBorders>
            <w:noWrap/>
            <w:hideMark/>
          </w:tcPr>
          <w:p w14:paraId="56D3624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005" w:type="dxa"/>
            <w:tcBorders>
              <w:top w:val="nil"/>
              <w:left w:val="nil"/>
              <w:bottom w:val="single" w:sz="4" w:space="0" w:color="auto"/>
              <w:right w:val="single" w:sz="4" w:space="0" w:color="auto"/>
            </w:tcBorders>
            <w:noWrap/>
            <w:hideMark/>
          </w:tcPr>
          <w:p w14:paraId="066DEAE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hideMark/>
          </w:tcPr>
          <w:p w14:paraId="41D960B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6BAB319D"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5A5938B6"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Limerick City &amp; County Council</w:t>
            </w:r>
          </w:p>
        </w:tc>
        <w:tc>
          <w:tcPr>
            <w:tcW w:w="1258" w:type="dxa"/>
            <w:tcBorders>
              <w:top w:val="nil"/>
              <w:left w:val="nil"/>
              <w:bottom w:val="single" w:sz="4" w:space="0" w:color="auto"/>
              <w:right w:val="single" w:sz="4" w:space="0" w:color="auto"/>
            </w:tcBorders>
            <w:noWrap/>
            <w:hideMark/>
          </w:tcPr>
          <w:p w14:paraId="2BE188A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1,276</w:t>
            </w:r>
          </w:p>
        </w:tc>
        <w:tc>
          <w:tcPr>
            <w:tcW w:w="966" w:type="dxa"/>
            <w:gridSpan w:val="2"/>
            <w:tcBorders>
              <w:top w:val="nil"/>
              <w:left w:val="nil"/>
              <w:bottom w:val="single" w:sz="4" w:space="0" w:color="auto"/>
              <w:right w:val="single" w:sz="4" w:space="0" w:color="auto"/>
            </w:tcBorders>
            <w:noWrap/>
            <w:hideMark/>
          </w:tcPr>
          <w:p w14:paraId="0644C6D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1,352</w:t>
            </w:r>
          </w:p>
        </w:tc>
        <w:tc>
          <w:tcPr>
            <w:tcW w:w="1023" w:type="dxa"/>
            <w:tcBorders>
              <w:top w:val="nil"/>
              <w:left w:val="nil"/>
              <w:bottom w:val="single" w:sz="4" w:space="0" w:color="auto"/>
              <w:right w:val="single" w:sz="4" w:space="0" w:color="auto"/>
            </w:tcBorders>
            <w:noWrap/>
            <w:hideMark/>
          </w:tcPr>
          <w:p w14:paraId="178CDAD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1093" w:type="dxa"/>
            <w:gridSpan w:val="2"/>
            <w:tcBorders>
              <w:top w:val="nil"/>
              <w:left w:val="nil"/>
              <w:bottom w:val="single" w:sz="4" w:space="0" w:color="auto"/>
              <w:right w:val="single" w:sz="4" w:space="0" w:color="auto"/>
            </w:tcBorders>
            <w:noWrap/>
            <w:hideMark/>
          </w:tcPr>
          <w:p w14:paraId="11B4D89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50</w:t>
            </w:r>
          </w:p>
        </w:tc>
        <w:tc>
          <w:tcPr>
            <w:tcW w:w="1005" w:type="dxa"/>
            <w:tcBorders>
              <w:top w:val="nil"/>
              <w:left w:val="nil"/>
              <w:bottom w:val="single" w:sz="4" w:space="0" w:color="auto"/>
              <w:right w:val="single" w:sz="4" w:space="0" w:color="auto"/>
            </w:tcBorders>
            <w:noWrap/>
            <w:hideMark/>
          </w:tcPr>
          <w:p w14:paraId="61E66C0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45" w:type="dxa"/>
            <w:gridSpan w:val="2"/>
            <w:tcBorders>
              <w:top w:val="nil"/>
              <w:left w:val="nil"/>
              <w:bottom w:val="single" w:sz="4" w:space="0" w:color="auto"/>
              <w:right w:val="single" w:sz="4" w:space="0" w:color="auto"/>
            </w:tcBorders>
            <w:noWrap/>
            <w:hideMark/>
          </w:tcPr>
          <w:p w14:paraId="5FCA36F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05D370F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219B415C"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Local Government Management Agency</w:t>
            </w:r>
          </w:p>
        </w:tc>
        <w:tc>
          <w:tcPr>
            <w:tcW w:w="1258" w:type="dxa"/>
            <w:tcBorders>
              <w:top w:val="nil"/>
              <w:left w:val="nil"/>
              <w:bottom w:val="single" w:sz="4" w:space="0" w:color="auto"/>
              <w:right w:val="single" w:sz="4" w:space="0" w:color="auto"/>
            </w:tcBorders>
            <w:noWrap/>
            <w:hideMark/>
          </w:tcPr>
          <w:p w14:paraId="5C271A7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95</w:t>
            </w:r>
          </w:p>
        </w:tc>
        <w:tc>
          <w:tcPr>
            <w:tcW w:w="966" w:type="dxa"/>
            <w:gridSpan w:val="2"/>
            <w:tcBorders>
              <w:top w:val="nil"/>
              <w:left w:val="nil"/>
              <w:bottom w:val="single" w:sz="4" w:space="0" w:color="auto"/>
              <w:right w:val="single" w:sz="4" w:space="0" w:color="auto"/>
            </w:tcBorders>
            <w:noWrap/>
            <w:hideMark/>
          </w:tcPr>
          <w:p w14:paraId="63305D3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95</w:t>
            </w:r>
          </w:p>
        </w:tc>
        <w:tc>
          <w:tcPr>
            <w:tcW w:w="1023" w:type="dxa"/>
            <w:tcBorders>
              <w:top w:val="nil"/>
              <w:left w:val="nil"/>
              <w:bottom w:val="single" w:sz="4" w:space="0" w:color="auto"/>
              <w:right w:val="single" w:sz="4" w:space="0" w:color="auto"/>
            </w:tcBorders>
            <w:noWrap/>
            <w:hideMark/>
          </w:tcPr>
          <w:p w14:paraId="5173FF9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093" w:type="dxa"/>
            <w:gridSpan w:val="2"/>
            <w:tcBorders>
              <w:top w:val="nil"/>
              <w:left w:val="nil"/>
              <w:bottom w:val="single" w:sz="4" w:space="0" w:color="auto"/>
              <w:right w:val="single" w:sz="4" w:space="0" w:color="auto"/>
            </w:tcBorders>
            <w:noWrap/>
            <w:hideMark/>
          </w:tcPr>
          <w:p w14:paraId="6A20EEB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05" w:type="dxa"/>
            <w:tcBorders>
              <w:top w:val="nil"/>
              <w:left w:val="nil"/>
              <w:bottom w:val="single" w:sz="4" w:space="0" w:color="auto"/>
              <w:right w:val="single" w:sz="4" w:space="0" w:color="auto"/>
            </w:tcBorders>
            <w:noWrap/>
            <w:hideMark/>
          </w:tcPr>
          <w:p w14:paraId="0C72B86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7.4</w:t>
            </w:r>
          </w:p>
        </w:tc>
        <w:tc>
          <w:tcPr>
            <w:tcW w:w="945" w:type="dxa"/>
            <w:gridSpan w:val="2"/>
            <w:tcBorders>
              <w:top w:val="nil"/>
              <w:left w:val="nil"/>
              <w:bottom w:val="single" w:sz="4" w:space="0" w:color="auto"/>
              <w:right w:val="single" w:sz="4" w:space="0" w:color="auto"/>
            </w:tcBorders>
            <w:noWrap/>
            <w:hideMark/>
          </w:tcPr>
          <w:p w14:paraId="2819EE3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5.3</w:t>
            </w:r>
          </w:p>
        </w:tc>
      </w:tr>
      <w:tr w:rsidR="003B315D" w:rsidRPr="00BE33FC" w14:paraId="65F7F8E3"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1BA0AEA9"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Longford County Council</w:t>
            </w:r>
          </w:p>
        </w:tc>
        <w:tc>
          <w:tcPr>
            <w:tcW w:w="1258" w:type="dxa"/>
            <w:tcBorders>
              <w:top w:val="nil"/>
              <w:left w:val="nil"/>
              <w:bottom w:val="single" w:sz="4" w:space="0" w:color="auto"/>
              <w:right w:val="single" w:sz="4" w:space="0" w:color="auto"/>
            </w:tcBorders>
            <w:noWrap/>
            <w:hideMark/>
          </w:tcPr>
          <w:p w14:paraId="7E594C7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310</w:t>
            </w:r>
          </w:p>
        </w:tc>
        <w:tc>
          <w:tcPr>
            <w:tcW w:w="966" w:type="dxa"/>
            <w:gridSpan w:val="2"/>
            <w:tcBorders>
              <w:top w:val="nil"/>
              <w:left w:val="nil"/>
              <w:bottom w:val="single" w:sz="4" w:space="0" w:color="auto"/>
              <w:right w:val="single" w:sz="4" w:space="0" w:color="auto"/>
            </w:tcBorders>
            <w:noWrap/>
            <w:hideMark/>
          </w:tcPr>
          <w:p w14:paraId="42D6EDC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375</w:t>
            </w:r>
          </w:p>
        </w:tc>
        <w:tc>
          <w:tcPr>
            <w:tcW w:w="1023" w:type="dxa"/>
            <w:tcBorders>
              <w:top w:val="nil"/>
              <w:left w:val="nil"/>
              <w:bottom w:val="single" w:sz="4" w:space="0" w:color="auto"/>
              <w:right w:val="single" w:sz="4" w:space="0" w:color="auto"/>
            </w:tcBorders>
            <w:noWrap/>
            <w:hideMark/>
          </w:tcPr>
          <w:p w14:paraId="4A6D045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093" w:type="dxa"/>
            <w:gridSpan w:val="2"/>
            <w:tcBorders>
              <w:top w:val="nil"/>
              <w:left w:val="nil"/>
              <w:bottom w:val="single" w:sz="4" w:space="0" w:color="auto"/>
              <w:right w:val="single" w:sz="4" w:space="0" w:color="auto"/>
            </w:tcBorders>
            <w:noWrap/>
            <w:hideMark/>
          </w:tcPr>
          <w:p w14:paraId="534D8DD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005" w:type="dxa"/>
            <w:tcBorders>
              <w:top w:val="nil"/>
              <w:left w:val="nil"/>
              <w:bottom w:val="single" w:sz="4" w:space="0" w:color="auto"/>
              <w:right w:val="single" w:sz="4" w:space="0" w:color="auto"/>
            </w:tcBorders>
            <w:noWrap/>
            <w:hideMark/>
          </w:tcPr>
          <w:p w14:paraId="61488A4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6.1</w:t>
            </w:r>
          </w:p>
        </w:tc>
        <w:tc>
          <w:tcPr>
            <w:tcW w:w="945" w:type="dxa"/>
            <w:gridSpan w:val="2"/>
            <w:tcBorders>
              <w:top w:val="nil"/>
              <w:left w:val="nil"/>
              <w:bottom w:val="single" w:sz="4" w:space="0" w:color="auto"/>
              <w:right w:val="single" w:sz="4" w:space="0" w:color="auto"/>
            </w:tcBorders>
            <w:noWrap/>
            <w:hideMark/>
          </w:tcPr>
          <w:p w14:paraId="36EE106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5.1</w:t>
            </w:r>
          </w:p>
        </w:tc>
      </w:tr>
      <w:tr w:rsidR="003B315D" w:rsidRPr="00BE33FC" w14:paraId="790CA61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75140284"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Louth County Council</w:t>
            </w:r>
          </w:p>
        </w:tc>
        <w:tc>
          <w:tcPr>
            <w:tcW w:w="1258" w:type="dxa"/>
            <w:tcBorders>
              <w:top w:val="nil"/>
              <w:left w:val="nil"/>
              <w:bottom w:val="single" w:sz="4" w:space="0" w:color="auto"/>
              <w:right w:val="single" w:sz="4" w:space="0" w:color="auto"/>
            </w:tcBorders>
            <w:noWrap/>
            <w:hideMark/>
          </w:tcPr>
          <w:p w14:paraId="1BB16AE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664</w:t>
            </w:r>
          </w:p>
        </w:tc>
        <w:tc>
          <w:tcPr>
            <w:tcW w:w="966" w:type="dxa"/>
            <w:gridSpan w:val="2"/>
            <w:tcBorders>
              <w:top w:val="nil"/>
              <w:left w:val="nil"/>
              <w:bottom w:val="single" w:sz="4" w:space="0" w:color="auto"/>
              <w:right w:val="single" w:sz="4" w:space="0" w:color="auto"/>
            </w:tcBorders>
            <w:noWrap/>
            <w:hideMark/>
          </w:tcPr>
          <w:p w14:paraId="005FF26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724</w:t>
            </w:r>
          </w:p>
        </w:tc>
        <w:tc>
          <w:tcPr>
            <w:tcW w:w="1023" w:type="dxa"/>
            <w:tcBorders>
              <w:top w:val="nil"/>
              <w:left w:val="nil"/>
              <w:bottom w:val="single" w:sz="4" w:space="0" w:color="auto"/>
              <w:right w:val="single" w:sz="4" w:space="0" w:color="auto"/>
            </w:tcBorders>
            <w:noWrap/>
            <w:hideMark/>
          </w:tcPr>
          <w:p w14:paraId="7BE1EC0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093" w:type="dxa"/>
            <w:gridSpan w:val="2"/>
            <w:tcBorders>
              <w:top w:val="nil"/>
              <w:left w:val="nil"/>
              <w:bottom w:val="single" w:sz="4" w:space="0" w:color="auto"/>
              <w:right w:val="single" w:sz="4" w:space="0" w:color="auto"/>
            </w:tcBorders>
            <w:noWrap/>
            <w:hideMark/>
          </w:tcPr>
          <w:p w14:paraId="2529516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27</w:t>
            </w:r>
          </w:p>
        </w:tc>
        <w:tc>
          <w:tcPr>
            <w:tcW w:w="1005" w:type="dxa"/>
            <w:tcBorders>
              <w:top w:val="nil"/>
              <w:left w:val="nil"/>
              <w:bottom w:val="single" w:sz="4" w:space="0" w:color="auto"/>
              <w:right w:val="single" w:sz="4" w:space="0" w:color="auto"/>
            </w:tcBorders>
            <w:noWrap/>
            <w:hideMark/>
          </w:tcPr>
          <w:p w14:paraId="3D253BA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945" w:type="dxa"/>
            <w:gridSpan w:val="2"/>
            <w:tcBorders>
              <w:top w:val="nil"/>
              <w:left w:val="nil"/>
              <w:bottom w:val="single" w:sz="4" w:space="0" w:color="auto"/>
              <w:right w:val="single" w:sz="4" w:space="0" w:color="auto"/>
            </w:tcBorders>
            <w:noWrap/>
            <w:hideMark/>
          </w:tcPr>
          <w:p w14:paraId="586D6D7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018BFAA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754C03CF"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Mayo County Council</w:t>
            </w:r>
          </w:p>
        </w:tc>
        <w:tc>
          <w:tcPr>
            <w:tcW w:w="1258" w:type="dxa"/>
            <w:tcBorders>
              <w:top w:val="nil"/>
              <w:left w:val="nil"/>
              <w:bottom w:val="single" w:sz="4" w:space="0" w:color="auto"/>
              <w:right w:val="single" w:sz="4" w:space="0" w:color="auto"/>
            </w:tcBorders>
            <w:noWrap/>
            <w:hideMark/>
          </w:tcPr>
          <w:p w14:paraId="003B256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1,123</w:t>
            </w:r>
          </w:p>
        </w:tc>
        <w:tc>
          <w:tcPr>
            <w:tcW w:w="966" w:type="dxa"/>
            <w:gridSpan w:val="2"/>
            <w:tcBorders>
              <w:top w:val="nil"/>
              <w:left w:val="nil"/>
              <w:bottom w:val="single" w:sz="4" w:space="0" w:color="auto"/>
              <w:right w:val="single" w:sz="4" w:space="0" w:color="auto"/>
            </w:tcBorders>
            <w:noWrap/>
            <w:hideMark/>
          </w:tcPr>
          <w:p w14:paraId="78165DA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1,115</w:t>
            </w:r>
          </w:p>
        </w:tc>
        <w:tc>
          <w:tcPr>
            <w:tcW w:w="1023" w:type="dxa"/>
            <w:tcBorders>
              <w:top w:val="nil"/>
              <w:left w:val="nil"/>
              <w:bottom w:val="single" w:sz="4" w:space="0" w:color="auto"/>
              <w:right w:val="single" w:sz="4" w:space="0" w:color="auto"/>
            </w:tcBorders>
            <w:noWrap/>
            <w:hideMark/>
          </w:tcPr>
          <w:p w14:paraId="0D13678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71</w:t>
            </w:r>
          </w:p>
        </w:tc>
        <w:tc>
          <w:tcPr>
            <w:tcW w:w="1093" w:type="dxa"/>
            <w:gridSpan w:val="2"/>
            <w:tcBorders>
              <w:top w:val="nil"/>
              <w:left w:val="nil"/>
              <w:bottom w:val="single" w:sz="4" w:space="0" w:color="auto"/>
              <w:right w:val="single" w:sz="4" w:space="0" w:color="auto"/>
            </w:tcBorders>
            <w:noWrap/>
            <w:hideMark/>
          </w:tcPr>
          <w:p w14:paraId="3C76523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73</w:t>
            </w:r>
          </w:p>
        </w:tc>
        <w:tc>
          <w:tcPr>
            <w:tcW w:w="1005" w:type="dxa"/>
            <w:tcBorders>
              <w:top w:val="nil"/>
              <w:left w:val="nil"/>
              <w:bottom w:val="single" w:sz="4" w:space="0" w:color="auto"/>
              <w:right w:val="single" w:sz="4" w:space="0" w:color="auto"/>
            </w:tcBorders>
            <w:noWrap/>
            <w:hideMark/>
          </w:tcPr>
          <w:p w14:paraId="223D1B7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6.3</w:t>
            </w:r>
          </w:p>
        </w:tc>
        <w:tc>
          <w:tcPr>
            <w:tcW w:w="945" w:type="dxa"/>
            <w:gridSpan w:val="2"/>
            <w:tcBorders>
              <w:top w:val="nil"/>
              <w:left w:val="nil"/>
              <w:bottom w:val="single" w:sz="4" w:space="0" w:color="auto"/>
              <w:right w:val="single" w:sz="4" w:space="0" w:color="auto"/>
            </w:tcBorders>
            <w:noWrap/>
            <w:hideMark/>
          </w:tcPr>
          <w:p w14:paraId="1D528383" w14:textId="574FE06E"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w:t>
            </w:r>
            <w:r w:rsidR="0020529F">
              <w:rPr>
                <w:rFonts w:ascii="Gill Sans MT" w:hAnsi="Gill Sans MT" w:cs="Arial"/>
                <w:sz w:val="22"/>
                <w:szCs w:val="22"/>
              </w:rPr>
              <w:t>5</w:t>
            </w:r>
          </w:p>
        </w:tc>
      </w:tr>
      <w:tr w:rsidR="003B315D" w:rsidRPr="00BE33FC" w14:paraId="3368DD5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721CA0A0"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Meath County Council</w:t>
            </w:r>
          </w:p>
        </w:tc>
        <w:tc>
          <w:tcPr>
            <w:tcW w:w="1258" w:type="dxa"/>
            <w:tcBorders>
              <w:top w:val="nil"/>
              <w:left w:val="nil"/>
              <w:bottom w:val="single" w:sz="4" w:space="0" w:color="auto"/>
              <w:right w:val="single" w:sz="4" w:space="0" w:color="auto"/>
            </w:tcBorders>
            <w:noWrap/>
            <w:hideMark/>
          </w:tcPr>
          <w:p w14:paraId="4F4B1BE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733</w:t>
            </w:r>
          </w:p>
        </w:tc>
        <w:tc>
          <w:tcPr>
            <w:tcW w:w="966" w:type="dxa"/>
            <w:gridSpan w:val="2"/>
            <w:tcBorders>
              <w:top w:val="nil"/>
              <w:left w:val="nil"/>
              <w:bottom w:val="single" w:sz="4" w:space="0" w:color="auto"/>
              <w:right w:val="single" w:sz="4" w:space="0" w:color="auto"/>
            </w:tcBorders>
            <w:noWrap/>
            <w:hideMark/>
          </w:tcPr>
          <w:p w14:paraId="0F7A430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742</w:t>
            </w:r>
          </w:p>
        </w:tc>
        <w:tc>
          <w:tcPr>
            <w:tcW w:w="1023" w:type="dxa"/>
            <w:tcBorders>
              <w:top w:val="nil"/>
              <w:left w:val="nil"/>
              <w:bottom w:val="single" w:sz="4" w:space="0" w:color="auto"/>
              <w:right w:val="single" w:sz="4" w:space="0" w:color="auto"/>
            </w:tcBorders>
            <w:noWrap/>
            <w:hideMark/>
          </w:tcPr>
          <w:p w14:paraId="6069989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1093" w:type="dxa"/>
            <w:gridSpan w:val="2"/>
            <w:tcBorders>
              <w:top w:val="nil"/>
              <w:left w:val="nil"/>
              <w:bottom w:val="single" w:sz="4" w:space="0" w:color="auto"/>
              <w:right w:val="single" w:sz="4" w:space="0" w:color="auto"/>
            </w:tcBorders>
            <w:noWrap/>
            <w:hideMark/>
          </w:tcPr>
          <w:p w14:paraId="4E10A6A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1005" w:type="dxa"/>
            <w:tcBorders>
              <w:top w:val="nil"/>
              <w:left w:val="nil"/>
              <w:bottom w:val="single" w:sz="4" w:space="0" w:color="auto"/>
              <w:right w:val="single" w:sz="4" w:space="0" w:color="auto"/>
            </w:tcBorders>
            <w:noWrap/>
            <w:hideMark/>
          </w:tcPr>
          <w:p w14:paraId="6FD6834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4.9</w:t>
            </w:r>
          </w:p>
        </w:tc>
        <w:tc>
          <w:tcPr>
            <w:tcW w:w="945" w:type="dxa"/>
            <w:gridSpan w:val="2"/>
            <w:tcBorders>
              <w:top w:val="nil"/>
              <w:left w:val="nil"/>
              <w:bottom w:val="single" w:sz="4" w:space="0" w:color="auto"/>
              <w:right w:val="single" w:sz="4" w:space="0" w:color="auto"/>
            </w:tcBorders>
            <w:noWrap/>
            <w:hideMark/>
          </w:tcPr>
          <w:p w14:paraId="137610A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5.1</w:t>
            </w:r>
          </w:p>
        </w:tc>
      </w:tr>
      <w:tr w:rsidR="003B315D" w:rsidRPr="00BE33FC" w14:paraId="5D08E3E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5900E956"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Monaghan County Council</w:t>
            </w:r>
          </w:p>
        </w:tc>
        <w:tc>
          <w:tcPr>
            <w:tcW w:w="1258" w:type="dxa"/>
            <w:tcBorders>
              <w:top w:val="nil"/>
              <w:left w:val="nil"/>
              <w:bottom w:val="single" w:sz="4" w:space="0" w:color="auto"/>
              <w:right w:val="single" w:sz="4" w:space="0" w:color="auto"/>
            </w:tcBorders>
            <w:noWrap/>
            <w:hideMark/>
          </w:tcPr>
          <w:p w14:paraId="13047D0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469</w:t>
            </w:r>
          </w:p>
        </w:tc>
        <w:tc>
          <w:tcPr>
            <w:tcW w:w="966" w:type="dxa"/>
            <w:gridSpan w:val="2"/>
            <w:tcBorders>
              <w:top w:val="nil"/>
              <w:left w:val="nil"/>
              <w:bottom w:val="single" w:sz="4" w:space="0" w:color="auto"/>
              <w:right w:val="single" w:sz="4" w:space="0" w:color="auto"/>
            </w:tcBorders>
            <w:noWrap/>
            <w:hideMark/>
          </w:tcPr>
          <w:p w14:paraId="2E3E62B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478</w:t>
            </w:r>
          </w:p>
        </w:tc>
        <w:tc>
          <w:tcPr>
            <w:tcW w:w="1023" w:type="dxa"/>
            <w:tcBorders>
              <w:top w:val="nil"/>
              <w:left w:val="nil"/>
              <w:bottom w:val="single" w:sz="4" w:space="0" w:color="auto"/>
              <w:right w:val="single" w:sz="4" w:space="0" w:color="auto"/>
            </w:tcBorders>
            <w:noWrap/>
            <w:hideMark/>
          </w:tcPr>
          <w:p w14:paraId="2A5EF90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25</w:t>
            </w:r>
          </w:p>
        </w:tc>
        <w:tc>
          <w:tcPr>
            <w:tcW w:w="1093" w:type="dxa"/>
            <w:gridSpan w:val="2"/>
            <w:tcBorders>
              <w:top w:val="nil"/>
              <w:left w:val="nil"/>
              <w:bottom w:val="single" w:sz="4" w:space="0" w:color="auto"/>
              <w:right w:val="single" w:sz="4" w:space="0" w:color="auto"/>
            </w:tcBorders>
            <w:noWrap/>
            <w:hideMark/>
          </w:tcPr>
          <w:p w14:paraId="1883570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1005" w:type="dxa"/>
            <w:tcBorders>
              <w:top w:val="nil"/>
              <w:left w:val="nil"/>
              <w:bottom w:val="single" w:sz="4" w:space="0" w:color="auto"/>
              <w:right w:val="single" w:sz="4" w:space="0" w:color="auto"/>
            </w:tcBorders>
            <w:noWrap/>
            <w:hideMark/>
          </w:tcPr>
          <w:p w14:paraId="01ADB1A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5.3</w:t>
            </w:r>
          </w:p>
        </w:tc>
        <w:tc>
          <w:tcPr>
            <w:tcW w:w="945" w:type="dxa"/>
            <w:gridSpan w:val="2"/>
            <w:tcBorders>
              <w:top w:val="nil"/>
              <w:left w:val="nil"/>
              <w:bottom w:val="single" w:sz="4" w:space="0" w:color="auto"/>
              <w:right w:val="single" w:sz="4" w:space="0" w:color="auto"/>
            </w:tcBorders>
            <w:noWrap/>
            <w:hideMark/>
          </w:tcPr>
          <w:p w14:paraId="7F8644C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7.1</w:t>
            </w:r>
          </w:p>
        </w:tc>
      </w:tr>
      <w:tr w:rsidR="003B315D" w:rsidRPr="00BE33FC" w14:paraId="5843A39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391BF77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Northern &amp; Western Regional Assembly</w:t>
            </w:r>
          </w:p>
        </w:tc>
        <w:tc>
          <w:tcPr>
            <w:tcW w:w="1258" w:type="dxa"/>
            <w:tcBorders>
              <w:top w:val="nil"/>
              <w:left w:val="nil"/>
              <w:bottom w:val="single" w:sz="4" w:space="0" w:color="auto"/>
              <w:right w:val="single" w:sz="4" w:space="0" w:color="auto"/>
            </w:tcBorders>
            <w:noWrap/>
            <w:hideMark/>
          </w:tcPr>
          <w:p w14:paraId="00F0CB2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15</w:t>
            </w:r>
          </w:p>
        </w:tc>
        <w:tc>
          <w:tcPr>
            <w:tcW w:w="966" w:type="dxa"/>
            <w:gridSpan w:val="2"/>
            <w:tcBorders>
              <w:top w:val="nil"/>
              <w:left w:val="nil"/>
              <w:bottom w:val="single" w:sz="4" w:space="0" w:color="auto"/>
              <w:right w:val="single" w:sz="4" w:space="0" w:color="auto"/>
            </w:tcBorders>
            <w:noWrap/>
            <w:hideMark/>
          </w:tcPr>
          <w:p w14:paraId="30AE388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023" w:type="dxa"/>
            <w:tcBorders>
              <w:top w:val="nil"/>
              <w:left w:val="nil"/>
              <w:bottom w:val="single" w:sz="4" w:space="0" w:color="auto"/>
              <w:right w:val="single" w:sz="4" w:space="0" w:color="auto"/>
            </w:tcBorders>
            <w:noWrap/>
            <w:hideMark/>
          </w:tcPr>
          <w:p w14:paraId="26BACCE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hideMark/>
          </w:tcPr>
          <w:p w14:paraId="6753EB6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hideMark/>
          </w:tcPr>
          <w:p w14:paraId="197A03E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hideMark/>
          </w:tcPr>
          <w:p w14:paraId="78F4894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6983979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35E7AB40"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Offaly County Council</w:t>
            </w:r>
          </w:p>
        </w:tc>
        <w:tc>
          <w:tcPr>
            <w:tcW w:w="1258" w:type="dxa"/>
            <w:tcBorders>
              <w:top w:val="nil"/>
              <w:left w:val="nil"/>
              <w:bottom w:val="single" w:sz="4" w:space="0" w:color="auto"/>
              <w:right w:val="single" w:sz="4" w:space="0" w:color="auto"/>
            </w:tcBorders>
            <w:noWrap/>
            <w:hideMark/>
          </w:tcPr>
          <w:p w14:paraId="13A1967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386</w:t>
            </w:r>
          </w:p>
        </w:tc>
        <w:tc>
          <w:tcPr>
            <w:tcW w:w="966" w:type="dxa"/>
            <w:gridSpan w:val="2"/>
            <w:tcBorders>
              <w:top w:val="nil"/>
              <w:left w:val="nil"/>
              <w:bottom w:val="single" w:sz="4" w:space="0" w:color="auto"/>
              <w:right w:val="single" w:sz="4" w:space="0" w:color="auto"/>
            </w:tcBorders>
            <w:noWrap/>
            <w:hideMark/>
          </w:tcPr>
          <w:p w14:paraId="3915E90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409</w:t>
            </w:r>
          </w:p>
        </w:tc>
        <w:tc>
          <w:tcPr>
            <w:tcW w:w="1023" w:type="dxa"/>
            <w:tcBorders>
              <w:top w:val="nil"/>
              <w:left w:val="nil"/>
              <w:bottom w:val="single" w:sz="4" w:space="0" w:color="auto"/>
              <w:right w:val="single" w:sz="4" w:space="0" w:color="auto"/>
            </w:tcBorders>
            <w:noWrap/>
            <w:hideMark/>
          </w:tcPr>
          <w:p w14:paraId="1899D2A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1093" w:type="dxa"/>
            <w:gridSpan w:val="2"/>
            <w:tcBorders>
              <w:top w:val="nil"/>
              <w:left w:val="nil"/>
              <w:bottom w:val="single" w:sz="4" w:space="0" w:color="auto"/>
              <w:right w:val="single" w:sz="4" w:space="0" w:color="auto"/>
            </w:tcBorders>
            <w:noWrap/>
            <w:hideMark/>
          </w:tcPr>
          <w:p w14:paraId="6032A54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005" w:type="dxa"/>
            <w:tcBorders>
              <w:top w:val="nil"/>
              <w:left w:val="nil"/>
              <w:bottom w:val="single" w:sz="4" w:space="0" w:color="auto"/>
              <w:right w:val="single" w:sz="4" w:space="0" w:color="auto"/>
            </w:tcBorders>
            <w:noWrap/>
            <w:hideMark/>
          </w:tcPr>
          <w:p w14:paraId="11FBB4D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45" w:type="dxa"/>
            <w:gridSpan w:val="2"/>
            <w:tcBorders>
              <w:top w:val="nil"/>
              <w:left w:val="nil"/>
              <w:bottom w:val="single" w:sz="4" w:space="0" w:color="auto"/>
              <w:right w:val="single" w:sz="4" w:space="0" w:color="auto"/>
            </w:tcBorders>
            <w:noWrap/>
            <w:hideMark/>
          </w:tcPr>
          <w:p w14:paraId="0055755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4.2</w:t>
            </w:r>
          </w:p>
        </w:tc>
      </w:tr>
      <w:tr w:rsidR="003B315D" w:rsidRPr="00BE33FC" w14:paraId="24575FF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785C82C1"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Ordnance Survey Ireland (OSI)</w:t>
            </w:r>
          </w:p>
        </w:tc>
        <w:tc>
          <w:tcPr>
            <w:tcW w:w="1258" w:type="dxa"/>
            <w:tcBorders>
              <w:top w:val="nil"/>
              <w:left w:val="nil"/>
              <w:bottom w:val="single" w:sz="4" w:space="0" w:color="auto"/>
              <w:right w:val="single" w:sz="4" w:space="0" w:color="auto"/>
            </w:tcBorders>
            <w:noWrap/>
            <w:hideMark/>
          </w:tcPr>
          <w:p w14:paraId="1011261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230</w:t>
            </w:r>
          </w:p>
        </w:tc>
        <w:tc>
          <w:tcPr>
            <w:tcW w:w="966" w:type="dxa"/>
            <w:gridSpan w:val="2"/>
            <w:tcBorders>
              <w:top w:val="nil"/>
              <w:left w:val="nil"/>
              <w:bottom w:val="single" w:sz="4" w:space="0" w:color="auto"/>
              <w:right w:val="single" w:sz="4" w:space="0" w:color="auto"/>
            </w:tcBorders>
            <w:noWrap/>
            <w:hideMark/>
          </w:tcPr>
          <w:p w14:paraId="7CEF237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226</w:t>
            </w:r>
          </w:p>
        </w:tc>
        <w:tc>
          <w:tcPr>
            <w:tcW w:w="1023" w:type="dxa"/>
            <w:tcBorders>
              <w:top w:val="nil"/>
              <w:left w:val="nil"/>
              <w:bottom w:val="single" w:sz="4" w:space="0" w:color="auto"/>
              <w:right w:val="single" w:sz="4" w:space="0" w:color="auto"/>
            </w:tcBorders>
            <w:noWrap/>
            <w:hideMark/>
          </w:tcPr>
          <w:p w14:paraId="7D3131C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093" w:type="dxa"/>
            <w:gridSpan w:val="2"/>
            <w:tcBorders>
              <w:top w:val="nil"/>
              <w:left w:val="nil"/>
              <w:bottom w:val="single" w:sz="4" w:space="0" w:color="auto"/>
              <w:right w:val="single" w:sz="4" w:space="0" w:color="auto"/>
            </w:tcBorders>
            <w:noWrap/>
            <w:hideMark/>
          </w:tcPr>
          <w:p w14:paraId="635052B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05" w:type="dxa"/>
            <w:tcBorders>
              <w:top w:val="nil"/>
              <w:left w:val="nil"/>
              <w:bottom w:val="single" w:sz="4" w:space="0" w:color="auto"/>
              <w:right w:val="single" w:sz="4" w:space="0" w:color="auto"/>
            </w:tcBorders>
            <w:noWrap/>
            <w:hideMark/>
          </w:tcPr>
          <w:p w14:paraId="1B82678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4.3</w:t>
            </w:r>
          </w:p>
        </w:tc>
        <w:tc>
          <w:tcPr>
            <w:tcW w:w="945" w:type="dxa"/>
            <w:gridSpan w:val="2"/>
            <w:tcBorders>
              <w:top w:val="nil"/>
              <w:left w:val="nil"/>
              <w:bottom w:val="single" w:sz="4" w:space="0" w:color="auto"/>
              <w:right w:val="single" w:sz="4" w:space="0" w:color="auto"/>
            </w:tcBorders>
            <w:noWrap/>
            <w:hideMark/>
          </w:tcPr>
          <w:p w14:paraId="74CAD4E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3.5</w:t>
            </w:r>
          </w:p>
        </w:tc>
      </w:tr>
      <w:tr w:rsidR="003B315D" w:rsidRPr="00BE33FC" w14:paraId="7A0AD61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70A494C" w14:textId="77777777" w:rsidR="003B315D" w:rsidRPr="00BE33FC" w:rsidRDefault="003B315D" w:rsidP="006D697C">
            <w:pPr>
              <w:spacing w:line="240" w:lineRule="auto"/>
              <w:rPr>
                <w:rFonts w:ascii="Gill Sans MT" w:hAnsi="Gill Sans MT"/>
                <w:color w:val="000000"/>
                <w:sz w:val="22"/>
                <w:szCs w:val="22"/>
                <w:lang w:eastAsia="en-IE"/>
              </w:rPr>
            </w:pPr>
            <w:r w:rsidRPr="00BE33FC">
              <w:rPr>
                <w:rFonts w:ascii="Gill Sans MT" w:hAnsi="Gill Sans MT" w:cs="Arial"/>
                <w:sz w:val="22"/>
                <w:szCs w:val="22"/>
              </w:rPr>
              <w:lastRenderedPageBreak/>
              <w:t>Residential Tenancies Board</w:t>
            </w:r>
          </w:p>
        </w:tc>
        <w:tc>
          <w:tcPr>
            <w:tcW w:w="1258" w:type="dxa"/>
            <w:tcBorders>
              <w:top w:val="nil"/>
              <w:left w:val="nil"/>
              <w:bottom w:val="single" w:sz="4" w:space="0" w:color="auto"/>
              <w:right w:val="single" w:sz="4" w:space="0" w:color="auto"/>
            </w:tcBorders>
            <w:noWrap/>
            <w:hideMark/>
          </w:tcPr>
          <w:p w14:paraId="70AAC10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53</w:t>
            </w:r>
          </w:p>
        </w:tc>
        <w:tc>
          <w:tcPr>
            <w:tcW w:w="966" w:type="dxa"/>
            <w:gridSpan w:val="2"/>
            <w:tcBorders>
              <w:top w:val="nil"/>
              <w:left w:val="nil"/>
              <w:bottom w:val="single" w:sz="4" w:space="0" w:color="auto"/>
              <w:right w:val="single" w:sz="4" w:space="0" w:color="auto"/>
            </w:tcBorders>
            <w:noWrap/>
            <w:hideMark/>
          </w:tcPr>
          <w:p w14:paraId="61BBE9E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53</w:t>
            </w:r>
          </w:p>
        </w:tc>
        <w:tc>
          <w:tcPr>
            <w:tcW w:w="1023" w:type="dxa"/>
            <w:tcBorders>
              <w:top w:val="nil"/>
              <w:left w:val="nil"/>
              <w:bottom w:val="single" w:sz="4" w:space="0" w:color="auto"/>
              <w:right w:val="single" w:sz="4" w:space="0" w:color="auto"/>
            </w:tcBorders>
            <w:noWrap/>
            <w:hideMark/>
          </w:tcPr>
          <w:p w14:paraId="0109445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hideMark/>
          </w:tcPr>
          <w:p w14:paraId="5B8ECBD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05" w:type="dxa"/>
            <w:tcBorders>
              <w:top w:val="nil"/>
              <w:left w:val="nil"/>
              <w:bottom w:val="single" w:sz="4" w:space="0" w:color="auto"/>
              <w:right w:val="single" w:sz="4" w:space="0" w:color="auto"/>
            </w:tcBorders>
            <w:noWrap/>
            <w:hideMark/>
          </w:tcPr>
          <w:p w14:paraId="102FC17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945" w:type="dxa"/>
            <w:gridSpan w:val="2"/>
            <w:tcBorders>
              <w:top w:val="nil"/>
              <w:left w:val="nil"/>
              <w:bottom w:val="single" w:sz="4" w:space="0" w:color="auto"/>
              <w:right w:val="single" w:sz="4" w:space="0" w:color="auto"/>
            </w:tcBorders>
            <w:noWrap/>
            <w:hideMark/>
          </w:tcPr>
          <w:p w14:paraId="131DD1E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w:t>
            </w:r>
          </w:p>
        </w:tc>
      </w:tr>
      <w:tr w:rsidR="003B315D" w:rsidRPr="00BE33FC" w14:paraId="747506FA"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CC5547B"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Roscommon County Council</w:t>
            </w:r>
          </w:p>
        </w:tc>
        <w:tc>
          <w:tcPr>
            <w:tcW w:w="1258" w:type="dxa"/>
            <w:tcBorders>
              <w:top w:val="nil"/>
              <w:left w:val="nil"/>
              <w:bottom w:val="single" w:sz="4" w:space="0" w:color="auto"/>
              <w:right w:val="single" w:sz="4" w:space="0" w:color="auto"/>
            </w:tcBorders>
            <w:noWrap/>
          </w:tcPr>
          <w:p w14:paraId="0946B7D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412</w:t>
            </w:r>
          </w:p>
        </w:tc>
        <w:tc>
          <w:tcPr>
            <w:tcW w:w="966" w:type="dxa"/>
            <w:gridSpan w:val="2"/>
            <w:tcBorders>
              <w:top w:val="nil"/>
              <w:left w:val="nil"/>
              <w:bottom w:val="single" w:sz="4" w:space="0" w:color="auto"/>
              <w:right w:val="single" w:sz="4" w:space="0" w:color="auto"/>
            </w:tcBorders>
            <w:noWrap/>
          </w:tcPr>
          <w:p w14:paraId="7907A60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414</w:t>
            </w:r>
          </w:p>
        </w:tc>
        <w:tc>
          <w:tcPr>
            <w:tcW w:w="1023" w:type="dxa"/>
            <w:tcBorders>
              <w:top w:val="nil"/>
              <w:left w:val="nil"/>
              <w:bottom w:val="single" w:sz="4" w:space="0" w:color="auto"/>
              <w:right w:val="single" w:sz="4" w:space="0" w:color="auto"/>
            </w:tcBorders>
            <w:noWrap/>
          </w:tcPr>
          <w:p w14:paraId="3579E64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93" w:type="dxa"/>
            <w:gridSpan w:val="2"/>
            <w:tcBorders>
              <w:top w:val="nil"/>
              <w:left w:val="nil"/>
              <w:bottom w:val="single" w:sz="4" w:space="0" w:color="auto"/>
              <w:right w:val="single" w:sz="4" w:space="0" w:color="auto"/>
            </w:tcBorders>
            <w:noWrap/>
          </w:tcPr>
          <w:p w14:paraId="2083725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05" w:type="dxa"/>
            <w:tcBorders>
              <w:top w:val="nil"/>
              <w:left w:val="nil"/>
              <w:bottom w:val="single" w:sz="4" w:space="0" w:color="auto"/>
              <w:right w:val="single" w:sz="4" w:space="0" w:color="auto"/>
            </w:tcBorders>
            <w:noWrap/>
          </w:tcPr>
          <w:p w14:paraId="6DC5E01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4.9</w:t>
            </w:r>
          </w:p>
        </w:tc>
        <w:tc>
          <w:tcPr>
            <w:tcW w:w="945" w:type="dxa"/>
            <w:gridSpan w:val="2"/>
            <w:tcBorders>
              <w:top w:val="nil"/>
              <w:left w:val="nil"/>
              <w:bottom w:val="single" w:sz="4" w:space="0" w:color="auto"/>
              <w:right w:val="single" w:sz="4" w:space="0" w:color="auto"/>
            </w:tcBorders>
            <w:noWrap/>
          </w:tcPr>
          <w:p w14:paraId="5B33FCC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5.3</w:t>
            </w:r>
          </w:p>
        </w:tc>
      </w:tr>
      <w:tr w:rsidR="003B315D" w:rsidRPr="00BE33FC" w14:paraId="40808310"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89996DC"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Sligo County Council</w:t>
            </w:r>
          </w:p>
        </w:tc>
        <w:tc>
          <w:tcPr>
            <w:tcW w:w="1258" w:type="dxa"/>
            <w:tcBorders>
              <w:top w:val="nil"/>
              <w:left w:val="nil"/>
              <w:bottom w:val="single" w:sz="4" w:space="0" w:color="auto"/>
              <w:right w:val="single" w:sz="4" w:space="0" w:color="auto"/>
            </w:tcBorders>
            <w:noWrap/>
            <w:hideMark/>
          </w:tcPr>
          <w:p w14:paraId="473D617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434</w:t>
            </w:r>
          </w:p>
        </w:tc>
        <w:tc>
          <w:tcPr>
            <w:tcW w:w="966" w:type="dxa"/>
            <w:gridSpan w:val="2"/>
            <w:tcBorders>
              <w:top w:val="nil"/>
              <w:left w:val="nil"/>
              <w:bottom w:val="single" w:sz="4" w:space="0" w:color="auto"/>
              <w:right w:val="single" w:sz="4" w:space="0" w:color="auto"/>
            </w:tcBorders>
            <w:noWrap/>
            <w:hideMark/>
          </w:tcPr>
          <w:p w14:paraId="18D01EF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455</w:t>
            </w:r>
          </w:p>
        </w:tc>
        <w:tc>
          <w:tcPr>
            <w:tcW w:w="1023" w:type="dxa"/>
            <w:tcBorders>
              <w:top w:val="nil"/>
              <w:left w:val="nil"/>
              <w:bottom w:val="single" w:sz="4" w:space="0" w:color="auto"/>
              <w:right w:val="single" w:sz="4" w:space="0" w:color="auto"/>
            </w:tcBorders>
            <w:noWrap/>
            <w:hideMark/>
          </w:tcPr>
          <w:p w14:paraId="0341C22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093" w:type="dxa"/>
            <w:gridSpan w:val="2"/>
            <w:tcBorders>
              <w:top w:val="nil"/>
              <w:left w:val="nil"/>
              <w:bottom w:val="single" w:sz="4" w:space="0" w:color="auto"/>
              <w:right w:val="single" w:sz="4" w:space="0" w:color="auto"/>
            </w:tcBorders>
            <w:noWrap/>
            <w:hideMark/>
          </w:tcPr>
          <w:p w14:paraId="0CC3124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1005" w:type="dxa"/>
            <w:tcBorders>
              <w:top w:val="nil"/>
              <w:left w:val="nil"/>
              <w:bottom w:val="single" w:sz="4" w:space="0" w:color="auto"/>
              <w:right w:val="single" w:sz="4" w:space="0" w:color="auto"/>
            </w:tcBorders>
            <w:noWrap/>
            <w:hideMark/>
          </w:tcPr>
          <w:p w14:paraId="32A06CF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3.9</w:t>
            </w:r>
          </w:p>
        </w:tc>
        <w:tc>
          <w:tcPr>
            <w:tcW w:w="945" w:type="dxa"/>
            <w:gridSpan w:val="2"/>
            <w:tcBorders>
              <w:top w:val="nil"/>
              <w:left w:val="nil"/>
              <w:bottom w:val="single" w:sz="4" w:space="0" w:color="auto"/>
              <w:right w:val="single" w:sz="4" w:space="0" w:color="auto"/>
            </w:tcBorders>
            <w:noWrap/>
            <w:hideMark/>
          </w:tcPr>
          <w:p w14:paraId="4F81C57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3.5</w:t>
            </w:r>
          </w:p>
        </w:tc>
      </w:tr>
      <w:tr w:rsidR="003B315D" w:rsidRPr="00BE33FC" w14:paraId="345B991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1D30DA7A"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South Dublin County Council</w:t>
            </w:r>
          </w:p>
        </w:tc>
        <w:tc>
          <w:tcPr>
            <w:tcW w:w="1258" w:type="dxa"/>
            <w:tcBorders>
              <w:top w:val="nil"/>
              <w:left w:val="nil"/>
              <w:bottom w:val="single" w:sz="4" w:space="0" w:color="auto"/>
              <w:right w:val="single" w:sz="4" w:space="0" w:color="auto"/>
            </w:tcBorders>
            <w:noWrap/>
            <w:hideMark/>
          </w:tcPr>
          <w:p w14:paraId="763A2FB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1,229</w:t>
            </w:r>
          </w:p>
        </w:tc>
        <w:tc>
          <w:tcPr>
            <w:tcW w:w="966" w:type="dxa"/>
            <w:gridSpan w:val="2"/>
            <w:tcBorders>
              <w:top w:val="nil"/>
              <w:left w:val="nil"/>
              <w:bottom w:val="single" w:sz="4" w:space="0" w:color="auto"/>
              <w:right w:val="single" w:sz="4" w:space="0" w:color="auto"/>
            </w:tcBorders>
            <w:noWrap/>
            <w:hideMark/>
          </w:tcPr>
          <w:p w14:paraId="3146796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1,263</w:t>
            </w:r>
          </w:p>
        </w:tc>
        <w:tc>
          <w:tcPr>
            <w:tcW w:w="1023" w:type="dxa"/>
            <w:tcBorders>
              <w:top w:val="nil"/>
              <w:left w:val="nil"/>
              <w:bottom w:val="single" w:sz="4" w:space="0" w:color="auto"/>
              <w:right w:val="single" w:sz="4" w:space="0" w:color="auto"/>
            </w:tcBorders>
            <w:noWrap/>
            <w:hideMark/>
          </w:tcPr>
          <w:p w14:paraId="77ACDF3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49</w:t>
            </w:r>
          </w:p>
        </w:tc>
        <w:tc>
          <w:tcPr>
            <w:tcW w:w="1093" w:type="dxa"/>
            <w:gridSpan w:val="2"/>
            <w:tcBorders>
              <w:top w:val="nil"/>
              <w:left w:val="nil"/>
              <w:bottom w:val="single" w:sz="4" w:space="0" w:color="auto"/>
              <w:right w:val="single" w:sz="4" w:space="0" w:color="auto"/>
            </w:tcBorders>
            <w:noWrap/>
            <w:hideMark/>
          </w:tcPr>
          <w:p w14:paraId="3DFBA5D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56</w:t>
            </w:r>
          </w:p>
        </w:tc>
        <w:tc>
          <w:tcPr>
            <w:tcW w:w="1005" w:type="dxa"/>
            <w:tcBorders>
              <w:top w:val="nil"/>
              <w:left w:val="nil"/>
              <w:bottom w:val="single" w:sz="4" w:space="0" w:color="auto"/>
              <w:right w:val="single" w:sz="4" w:space="0" w:color="auto"/>
            </w:tcBorders>
            <w:noWrap/>
            <w:hideMark/>
          </w:tcPr>
          <w:p w14:paraId="7A16A5FC" w14:textId="77777777" w:rsidR="003B315D" w:rsidRPr="00BE33FC" w:rsidRDefault="003B315D" w:rsidP="00441696">
            <w:pPr>
              <w:jc w:val="right"/>
              <w:rPr>
                <w:rFonts w:ascii="Gill Sans MT" w:hAnsi="Gill Sans MT" w:cs="Arial"/>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hideMark/>
          </w:tcPr>
          <w:p w14:paraId="51EAB62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r>
      <w:tr w:rsidR="003B315D" w:rsidRPr="00BE33FC" w14:paraId="7AA69EF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390DD34A"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Southern Regional Assembly</w:t>
            </w:r>
          </w:p>
        </w:tc>
        <w:tc>
          <w:tcPr>
            <w:tcW w:w="1258" w:type="dxa"/>
            <w:tcBorders>
              <w:top w:val="nil"/>
              <w:left w:val="nil"/>
              <w:bottom w:val="single" w:sz="4" w:space="0" w:color="auto"/>
              <w:right w:val="single" w:sz="4" w:space="0" w:color="auto"/>
            </w:tcBorders>
            <w:noWrap/>
            <w:hideMark/>
          </w:tcPr>
          <w:p w14:paraId="626F8AF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966" w:type="dxa"/>
            <w:gridSpan w:val="2"/>
            <w:tcBorders>
              <w:top w:val="nil"/>
              <w:left w:val="nil"/>
              <w:bottom w:val="single" w:sz="4" w:space="0" w:color="auto"/>
              <w:right w:val="single" w:sz="4" w:space="0" w:color="auto"/>
            </w:tcBorders>
            <w:noWrap/>
            <w:hideMark/>
          </w:tcPr>
          <w:p w14:paraId="6C33BBD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23" w:type="dxa"/>
            <w:tcBorders>
              <w:top w:val="nil"/>
              <w:left w:val="nil"/>
              <w:bottom w:val="single" w:sz="4" w:space="0" w:color="auto"/>
              <w:right w:val="single" w:sz="4" w:space="0" w:color="auto"/>
            </w:tcBorders>
            <w:noWrap/>
            <w:hideMark/>
          </w:tcPr>
          <w:p w14:paraId="17BAF0B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hideMark/>
          </w:tcPr>
          <w:p w14:paraId="79B177D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hideMark/>
          </w:tcPr>
          <w:p w14:paraId="284E76E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hideMark/>
          </w:tcPr>
          <w:p w14:paraId="6533433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1FA396A8"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652E8CCD"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Tipperary County Council</w:t>
            </w:r>
          </w:p>
        </w:tc>
        <w:tc>
          <w:tcPr>
            <w:tcW w:w="1258" w:type="dxa"/>
            <w:tcBorders>
              <w:top w:val="nil"/>
              <w:left w:val="nil"/>
              <w:bottom w:val="single" w:sz="4" w:space="0" w:color="auto"/>
              <w:right w:val="single" w:sz="4" w:space="0" w:color="auto"/>
            </w:tcBorders>
            <w:noWrap/>
            <w:hideMark/>
          </w:tcPr>
          <w:p w14:paraId="45DC918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1,063</w:t>
            </w:r>
          </w:p>
        </w:tc>
        <w:tc>
          <w:tcPr>
            <w:tcW w:w="966" w:type="dxa"/>
            <w:gridSpan w:val="2"/>
            <w:tcBorders>
              <w:top w:val="nil"/>
              <w:left w:val="nil"/>
              <w:bottom w:val="single" w:sz="4" w:space="0" w:color="auto"/>
              <w:right w:val="single" w:sz="4" w:space="0" w:color="auto"/>
            </w:tcBorders>
            <w:noWrap/>
            <w:hideMark/>
          </w:tcPr>
          <w:p w14:paraId="39C7C7F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1,103</w:t>
            </w:r>
          </w:p>
        </w:tc>
        <w:tc>
          <w:tcPr>
            <w:tcW w:w="1023" w:type="dxa"/>
            <w:tcBorders>
              <w:top w:val="nil"/>
              <w:left w:val="nil"/>
              <w:bottom w:val="single" w:sz="4" w:space="0" w:color="auto"/>
              <w:right w:val="single" w:sz="4" w:space="0" w:color="auto"/>
            </w:tcBorders>
            <w:noWrap/>
            <w:hideMark/>
          </w:tcPr>
          <w:p w14:paraId="404EA24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1093" w:type="dxa"/>
            <w:gridSpan w:val="2"/>
            <w:tcBorders>
              <w:top w:val="nil"/>
              <w:left w:val="nil"/>
              <w:bottom w:val="single" w:sz="4" w:space="0" w:color="auto"/>
              <w:right w:val="single" w:sz="4" w:space="0" w:color="auto"/>
            </w:tcBorders>
            <w:noWrap/>
            <w:hideMark/>
          </w:tcPr>
          <w:p w14:paraId="23B5227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42</w:t>
            </w:r>
          </w:p>
        </w:tc>
        <w:tc>
          <w:tcPr>
            <w:tcW w:w="1005" w:type="dxa"/>
            <w:tcBorders>
              <w:top w:val="nil"/>
              <w:left w:val="nil"/>
              <w:bottom w:val="single" w:sz="4" w:space="0" w:color="auto"/>
              <w:right w:val="single" w:sz="4" w:space="0" w:color="auto"/>
            </w:tcBorders>
            <w:noWrap/>
            <w:hideMark/>
          </w:tcPr>
          <w:p w14:paraId="76F7F56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45" w:type="dxa"/>
            <w:gridSpan w:val="2"/>
            <w:tcBorders>
              <w:top w:val="nil"/>
              <w:left w:val="nil"/>
              <w:bottom w:val="single" w:sz="4" w:space="0" w:color="auto"/>
              <w:right w:val="single" w:sz="4" w:space="0" w:color="auto"/>
            </w:tcBorders>
            <w:noWrap/>
            <w:hideMark/>
          </w:tcPr>
          <w:p w14:paraId="218FAB1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w:t>
            </w:r>
          </w:p>
        </w:tc>
      </w:tr>
      <w:tr w:rsidR="003B315D" w:rsidRPr="00BE33FC" w14:paraId="3B1E019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61D763D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Waterford City &amp; County Council</w:t>
            </w:r>
          </w:p>
        </w:tc>
        <w:tc>
          <w:tcPr>
            <w:tcW w:w="1258" w:type="dxa"/>
            <w:tcBorders>
              <w:top w:val="nil"/>
              <w:left w:val="nil"/>
              <w:bottom w:val="single" w:sz="4" w:space="0" w:color="auto"/>
              <w:right w:val="single" w:sz="4" w:space="0" w:color="auto"/>
            </w:tcBorders>
            <w:noWrap/>
            <w:hideMark/>
          </w:tcPr>
          <w:p w14:paraId="1F1D89B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960</w:t>
            </w:r>
          </w:p>
        </w:tc>
        <w:tc>
          <w:tcPr>
            <w:tcW w:w="966" w:type="dxa"/>
            <w:gridSpan w:val="2"/>
            <w:tcBorders>
              <w:top w:val="nil"/>
              <w:left w:val="nil"/>
              <w:bottom w:val="single" w:sz="4" w:space="0" w:color="auto"/>
              <w:right w:val="single" w:sz="4" w:space="0" w:color="auto"/>
            </w:tcBorders>
            <w:noWrap/>
            <w:hideMark/>
          </w:tcPr>
          <w:p w14:paraId="4B39192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969</w:t>
            </w:r>
          </w:p>
        </w:tc>
        <w:tc>
          <w:tcPr>
            <w:tcW w:w="1023" w:type="dxa"/>
            <w:tcBorders>
              <w:top w:val="nil"/>
              <w:left w:val="nil"/>
              <w:bottom w:val="single" w:sz="4" w:space="0" w:color="auto"/>
              <w:right w:val="single" w:sz="4" w:space="0" w:color="auto"/>
            </w:tcBorders>
            <w:noWrap/>
            <w:hideMark/>
          </w:tcPr>
          <w:p w14:paraId="6887E28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1093" w:type="dxa"/>
            <w:gridSpan w:val="2"/>
            <w:tcBorders>
              <w:top w:val="nil"/>
              <w:left w:val="nil"/>
              <w:bottom w:val="single" w:sz="4" w:space="0" w:color="auto"/>
              <w:right w:val="single" w:sz="4" w:space="0" w:color="auto"/>
            </w:tcBorders>
            <w:noWrap/>
            <w:hideMark/>
          </w:tcPr>
          <w:p w14:paraId="400A800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1005" w:type="dxa"/>
            <w:tcBorders>
              <w:top w:val="nil"/>
              <w:left w:val="nil"/>
              <w:bottom w:val="single" w:sz="4" w:space="0" w:color="auto"/>
              <w:right w:val="single" w:sz="4" w:space="0" w:color="auto"/>
            </w:tcBorders>
            <w:noWrap/>
            <w:hideMark/>
          </w:tcPr>
          <w:p w14:paraId="6DDE79B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4.6</w:t>
            </w:r>
          </w:p>
        </w:tc>
        <w:tc>
          <w:tcPr>
            <w:tcW w:w="945" w:type="dxa"/>
            <w:gridSpan w:val="2"/>
            <w:tcBorders>
              <w:top w:val="nil"/>
              <w:left w:val="nil"/>
              <w:bottom w:val="single" w:sz="4" w:space="0" w:color="auto"/>
              <w:right w:val="single" w:sz="4" w:space="0" w:color="auto"/>
            </w:tcBorders>
            <w:noWrap/>
            <w:hideMark/>
          </w:tcPr>
          <w:p w14:paraId="0AF02DE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4.5</w:t>
            </w:r>
          </w:p>
        </w:tc>
      </w:tr>
      <w:tr w:rsidR="003B315D" w:rsidRPr="00BE33FC" w14:paraId="3E86D666"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09309FD5"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Westmeath County Council</w:t>
            </w:r>
          </w:p>
        </w:tc>
        <w:tc>
          <w:tcPr>
            <w:tcW w:w="1258" w:type="dxa"/>
            <w:tcBorders>
              <w:top w:val="nil"/>
              <w:left w:val="nil"/>
              <w:bottom w:val="single" w:sz="4" w:space="0" w:color="auto"/>
              <w:right w:val="single" w:sz="4" w:space="0" w:color="auto"/>
            </w:tcBorders>
            <w:noWrap/>
            <w:hideMark/>
          </w:tcPr>
          <w:p w14:paraId="29705FE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474</w:t>
            </w:r>
          </w:p>
        </w:tc>
        <w:tc>
          <w:tcPr>
            <w:tcW w:w="966" w:type="dxa"/>
            <w:gridSpan w:val="2"/>
            <w:tcBorders>
              <w:top w:val="nil"/>
              <w:left w:val="nil"/>
              <w:bottom w:val="single" w:sz="4" w:space="0" w:color="auto"/>
              <w:right w:val="single" w:sz="4" w:space="0" w:color="auto"/>
            </w:tcBorders>
            <w:noWrap/>
            <w:hideMark/>
          </w:tcPr>
          <w:p w14:paraId="571C239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488</w:t>
            </w:r>
          </w:p>
        </w:tc>
        <w:tc>
          <w:tcPr>
            <w:tcW w:w="1023" w:type="dxa"/>
            <w:tcBorders>
              <w:top w:val="nil"/>
              <w:left w:val="nil"/>
              <w:bottom w:val="single" w:sz="4" w:space="0" w:color="auto"/>
              <w:right w:val="single" w:sz="4" w:space="0" w:color="auto"/>
            </w:tcBorders>
            <w:noWrap/>
            <w:hideMark/>
          </w:tcPr>
          <w:p w14:paraId="6D8E4FA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21</w:t>
            </w:r>
          </w:p>
        </w:tc>
        <w:tc>
          <w:tcPr>
            <w:tcW w:w="1093" w:type="dxa"/>
            <w:gridSpan w:val="2"/>
            <w:tcBorders>
              <w:top w:val="nil"/>
              <w:left w:val="nil"/>
              <w:bottom w:val="single" w:sz="4" w:space="0" w:color="auto"/>
              <w:right w:val="single" w:sz="4" w:space="0" w:color="auto"/>
            </w:tcBorders>
            <w:noWrap/>
            <w:hideMark/>
          </w:tcPr>
          <w:p w14:paraId="0793179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30</w:t>
            </w:r>
          </w:p>
        </w:tc>
        <w:tc>
          <w:tcPr>
            <w:tcW w:w="1005" w:type="dxa"/>
            <w:tcBorders>
              <w:top w:val="nil"/>
              <w:left w:val="nil"/>
              <w:bottom w:val="single" w:sz="4" w:space="0" w:color="auto"/>
              <w:right w:val="single" w:sz="4" w:space="0" w:color="auto"/>
            </w:tcBorders>
            <w:noWrap/>
            <w:hideMark/>
          </w:tcPr>
          <w:p w14:paraId="30FD700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945" w:type="dxa"/>
            <w:gridSpan w:val="2"/>
            <w:tcBorders>
              <w:top w:val="nil"/>
              <w:left w:val="nil"/>
              <w:bottom w:val="single" w:sz="4" w:space="0" w:color="auto"/>
              <w:right w:val="single" w:sz="4" w:space="0" w:color="auto"/>
            </w:tcBorders>
            <w:noWrap/>
            <w:hideMark/>
          </w:tcPr>
          <w:p w14:paraId="05C054EE" w14:textId="0EF7873E"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w:t>
            </w:r>
            <w:r w:rsidR="0020529F">
              <w:rPr>
                <w:rFonts w:ascii="Gill Sans MT" w:hAnsi="Gill Sans MT" w:cs="Arial"/>
                <w:sz w:val="22"/>
                <w:szCs w:val="22"/>
              </w:rPr>
              <w:t>1</w:t>
            </w:r>
          </w:p>
        </w:tc>
      </w:tr>
      <w:tr w:rsidR="003B315D" w:rsidRPr="00BE33FC" w14:paraId="149D1E71"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55DBD9C6"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Wexford County Council</w:t>
            </w:r>
          </w:p>
        </w:tc>
        <w:tc>
          <w:tcPr>
            <w:tcW w:w="1258" w:type="dxa"/>
            <w:tcBorders>
              <w:top w:val="nil"/>
              <w:left w:val="nil"/>
              <w:bottom w:val="single" w:sz="4" w:space="0" w:color="auto"/>
              <w:right w:val="single" w:sz="4" w:space="0" w:color="auto"/>
            </w:tcBorders>
            <w:noWrap/>
            <w:hideMark/>
          </w:tcPr>
          <w:p w14:paraId="6E3E6F2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942</w:t>
            </w:r>
          </w:p>
        </w:tc>
        <w:tc>
          <w:tcPr>
            <w:tcW w:w="966" w:type="dxa"/>
            <w:gridSpan w:val="2"/>
            <w:tcBorders>
              <w:top w:val="nil"/>
              <w:left w:val="nil"/>
              <w:bottom w:val="single" w:sz="4" w:space="0" w:color="auto"/>
              <w:right w:val="single" w:sz="4" w:space="0" w:color="auto"/>
            </w:tcBorders>
            <w:noWrap/>
            <w:hideMark/>
          </w:tcPr>
          <w:p w14:paraId="6C3AE60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962</w:t>
            </w:r>
          </w:p>
        </w:tc>
        <w:tc>
          <w:tcPr>
            <w:tcW w:w="1023" w:type="dxa"/>
            <w:tcBorders>
              <w:top w:val="nil"/>
              <w:left w:val="nil"/>
              <w:bottom w:val="single" w:sz="4" w:space="0" w:color="auto"/>
              <w:right w:val="single" w:sz="4" w:space="0" w:color="auto"/>
            </w:tcBorders>
            <w:noWrap/>
            <w:hideMark/>
          </w:tcPr>
          <w:p w14:paraId="2A98C4F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71</w:t>
            </w:r>
          </w:p>
        </w:tc>
        <w:tc>
          <w:tcPr>
            <w:tcW w:w="1093" w:type="dxa"/>
            <w:gridSpan w:val="2"/>
            <w:tcBorders>
              <w:top w:val="nil"/>
              <w:left w:val="nil"/>
              <w:bottom w:val="single" w:sz="4" w:space="0" w:color="auto"/>
              <w:right w:val="single" w:sz="4" w:space="0" w:color="auto"/>
            </w:tcBorders>
            <w:noWrap/>
            <w:hideMark/>
          </w:tcPr>
          <w:p w14:paraId="41C8E06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73</w:t>
            </w:r>
          </w:p>
        </w:tc>
        <w:tc>
          <w:tcPr>
            <w:tcW w:w="1005" w:type="dxa"/>
            <w:tcBorders>
              <w:top w:val="nil"/>
              <w:left w:val="nil"/>
              <w:bottom w:val="single" w:sz="4" w:space="0" w:color="auto"/>
              <w:right w:val="single" w:sz="4" w:space="0" w:color="auto"/>
            </w:tcBorders>
            <w:noWrap/>
            <w:hideMark/>
          </w:tcPr>
          <w:p w14:paraId="5256348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7.5</w:t>
            </w:r>
          </w:p>
        </w:tc>
        <w:tc>
          <w:tcPr>
            <w:tcW w:w="945" w:type="dxa"/>
            <w:gridSpan w:val="2"/>
            <w:tcBorders>
              <w:top w:val="nil"/>
              <w:left w:val="nil"/>
              <w:bottom w:val="single" w:sz="4" w:space="0" w:color="auto"/>
              <w:right w:val="single" w:sz="4" w:space="0" w:color="auto"/>
            </w:tcBorders>
            <w:noWrap/>
            <w:hideMark/>
          </w:tcPr>
          <w:p w14:paraId="502ACA3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7.6</w:t>
            </w:r>
          </w:p>
        </w:tc>
      </w:tr>
      <w:tr w:rsidR="003B315D" w:rsidRPr="00BE33FC" w14:paraId="487EB353"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6AA582D4"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Wicklow County Council</w:t>
            </w:r>
          </w:p>
        </w:tc>
        <w:tc>
          <w:tcPr>
            <w:tcW w:w="1258" w:type="dxa"/>
            <w:tcBorders>
              <w:top w:val="nil"/>
              <w:left w:val="nil"/>
              <w:bottom w:val="single" w:sz="4" w:space="0" w:color="auto"/>
              <w:right w:val="single" w:sz="4" w:space="0" w:color="auto"/>
            </w:tcBorders>
            <w:noWrap/>
            <w:hideMark/>
          </w:tcPr>
          <w:p w14:paraId="6A98FE8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729</w:t>
            </w:r>
          </w:p>
        </w:tc>
        <w:tc>
          <w:tcPr>
            <w:tcW w:w="966" w:type="dxa"/>
            <w:gridSpan w:val="2"/>
            <w:tcBorders>
              <w:top w:val="nil"/>
              <w:left w:val="nil"/>
              <w:bottom w:val="single" w:sz="4" w:space="0" w:color="auto"/>
              <w:right w:val="single" w:sz="4" w:space="0" w:color="auto"/>
            </w:tcBorders>
            <w:noWrap/>
            <w:hideMark/>
          </w:tcPr>
          <w:p w14:paraId="0A69FA2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752</w:t>
            </w:r>
          </w:p>
        </w:tc>
        <w:tc>
          <w:tcPr>
            <w:tcW w:w="1023" w:type="dxa"/>
            <w:tcBorders>
              <w:top w:val="nil"/>
              <w:left w:val="nil"/>
              <w:bottom w:val="single" w:sz="4" w:space="0" w:color="auto"/>
              <w:right w:val="single" w:sz="4" w:space="0" w:color="auto"/>
            </w:tcBorders>
            <w:noWrap/>
            <w:hideMark/>
          </w:tcPr>
          <w:p w14:paraId="1EAF8ED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93" w:type="dxa"/>
            <w:gridSpan w:val="2"/>
            <w:tcBorders>
              <w:top w:val="nil"/>
              <w:left w:val="nil"/>
              <w:bottom w:val="single" w:sz="4" w:space="0" w:color="auto"/>
              <w:right w:val="single" w:sz="4" w:space="0" w:color="auto"/>
            </w:tcBorders>
            <w:noWrap/>
            <w:hideMark/>
          </w:tcPr>
          <w:p w14:paraId="500725D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05" w:type="dxa"/>
            <w:tcBorders>
              <w:top w:val="nil"/>
              <w:left w:val="nil"/>
              <w:bottom w:val="single" w:sz="4" w:space="0" w:color="auto"/>
              <w:right w:val="single" w:sz="4" w:space="0" w:color="auto"/>
            </w:tcBorders>
            <w:noWrap/>
            <w:hideMark/>
          </w:tcPr>
          <w:p w14:paraId="3D44A11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3.0</w:t>
            </w:r>
          </w:p>
        </w:tc>
        <w:tc>
          <w:tcPr>
            <w:tcW w:w="945" w:type="dxa"/>
            <w:gridSpan w:val="2"/>
            <w:tcBorders>
              <w:top w:val="nil"/>
              <w:left w:val="nil"/>
              <w:bottom w:val="single" w:sz="4" w:space="0" w:color="auto"/>
              <w:right w:val="single" w:sz="4" w:space="0" w:color="auto"/>
            </w:tcBorders>
            <w:noWrap/>
            <w:hideMark/>
          </w:tcPr>
          <w:p w14:paraId="0CE501B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1D5BA904" w14:textId="77777777" w:rsidTr="00B961C4">
        <w:tc>
          <w:tcPr>
            <w:tcW w:w="2424" w:type="dxa"/>
          </w:tcPr>
          <w:p w14:paraId="3FB250B1" w14:textId="77777777" w:rsidR="003B315D" w:rsidRPr="00BE33FC" w:rsidRDefault="003B315D" w:rsidP="006D697C">
            <w:pPr>
              <w:ind w:firstLineChars="10" w:firstLine="22"/>
              <w:rPr>
                <w:rFonts w:ascii="Gill Sans MT" w:hAnsi="Gill Sans MT"/>
                <w:b/>
                <w:sz w:val="22"/>
                <w:szCs w:val="22"/>
              </w:rPr>
            </w:pPr>
            <w:r w:rsidRPr="00BE33FC">
              <w:rPr>
                <w:rFonts w:ascii="Gill Sans MT" w:hAnsi="Gill Sans MT"/>
                <w:b/>
                <w:sz w:val="22"/>
                <w:szCs w:val="22"/>
              </w:rPr>
              <w:t>Grand Total</w:t>
            </w:r>
          </w:p>
        </w:tc>
        <w:tc>
          <w:tcPr>
            <w:tcW w:w="1258" w:type="dxa"/>
            <w:tcBorders>
              <w:top w:val="single" w:sz="4" w:space="0" w:color="auto"/>
              <w:left w:val="single" w:sz="4" w:space="0" w:color="auto"/>
              <w:bottom w:val="single" w:sz="4" w:space="0" w:color="auto"/>
              <w:right w:val="single" w:sz="4" w:space="0" w:color="auto"/>
            </w:tcBorders>
            <w:vAlign w:val="bottom"/>
          </w:tcPr>
          <w:p w14:paraId="36CE7277"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32,901</w:t>
            </w:r>
          </w:p>
        </w:tc>
        <w:tc>
          <w:tcPr>
            <w:tcW w:w="966" w:type="dxa"/>
            <w:gridSpan w:val="2"/>
            <w:tcBorders>
              <w:top w:val="single" w:sz="4" w:space="0" w:color="auto"/>
              <w:left w:val="single" w:sz="4" w:space="0" w:color="auto"/>
              <w:bottom w:val="single" w:sz="4" w:space="0" w:color="auto"/>
              <w:right w:val="single" w:sz="4" w:space="0" w:color="auto"/>
            </w:tcBorders>
            <w:vAlign w:val="bottom"/>
          </w:tcPr>
          <w:p w14:paraId="290A02BE"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34,365</w:t>
            </w:r>
          </w:p>
        </w:tc>
        <w:tc>
          <w:tcPr>
            <w:tcW w:w="1023" w:type="dxa"/>
            <w:tcBorders>
              <w:top w:val="single" w:sz="4" w:space="0" w:color="auto"/>
              <w:left w:val="single" w:sz="4" w:space="0" w:color="auto"/>
              <w:bottom w:val="single" w:sz="4" w:space="0" w:color="auto"/>
              <w:right w:val="single" w:sz="4" w:space="0" w:color="auto"/>
            </w:tcBorders>
            <w:vAlign w:val="bottom"/>
          </w:tcPr>
          <w:p w14:paraId="0017FFC1"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1,554</w:t>
            </w:r>
          </w:p>
        </w:tc>
        <w:tc>
          <w:tcPr>
            <w:tcW w:w="1093" w:type="dxa"/>
            <w:gridSpan w:val="2"/>
            <w:tcBorders>
              <w:top w:val="single" w:sz="4" w:space="0" w:color="auto"/>
              <w:left w:val="single" w:sz="4" w:space="0" w:color="auto"/>
              <w:bottom w:val="single" w:sz="4" w:space="0" w:color="auto"/>
              <w:right w:val="single" w:sz="4" w:space="0" w:color="auto"/>
            </w:tcBorders>
            <w:vAlign w:val="bottom"/>
          </w:tcPr>
          <w:p w14:paraId="33BB4297"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1,543</w:t>
            </w:r>
          </w:p>
        </w:tc>
        <w:tc>
          <w:tcPr>
            <w:tcW w:w="1005" w:type="dxa"/>
            <w:tcBorders>
              <w:top w:val="single" w:sz="4" w:space="0" w:color="auto"/>
              <w:left w:val="nil"/>
              <w:bottom w:val="single" w:sz="4" w:space="0" w:color="auto"/>
              <w:right w:val="single" w:sz="4" w:space="0" w:color="auto"/>
            </w:tcBorders>
            <w:vAlign w:val="bottom"/>
          </w:tcPr>
          <w:p w14:paraId="31F66C88" w14:textId="77777777" w:rsidR="003B315D" w:rsidRPr="00BE33FC" w:rsidRDefault="003B315D" w:rsidP="006D697C">
            <w:pPr>
              <w:jc w:val="right"/>
              <w:rPr>
                <w:rFonts w:ascii="Gill Sans MT" w:hAnsi="Gill Sans MT" w:cs="Arial"/>
                <w:b/>
                <w:sz w:val="22"/>
                <w:szCs w:val="22"/>
              </w:rPr>
            </w:pPr>
            <w:r w:rsidRPr="00BE33FC">
              <w:rPr>
                <w:rFonts w:ascii="Gill Sans MT" w:hAnsi="Gill Sans MT" w:cs="Arial"/>
                <w:b/>
                <w:bCs/>
                <w:sz w:val="22"/>
                <w:szCs w:val="22"/>
              </w:rPr>
              <w:t>4.7</w:t>
            </w:r>
          </w:p>
        </w:tc>
        <w:tc>
          <w:tcPr>
            <w:tcW w:w="945" w:type="dxa"/>
            <w:gridSpan w:val="2"/>
            <w:tcBorders>
              <w:top w:val="single" w:sz="4" w:space="0" w:color="auto"/>
              <w:left w:val="nil"/>
              <w:bottom w:val="single" w:sz="4" w:space="0" w:color="auto"/>
              <w:right w:val="single" w:sz="4" w:space="0" w:color="auto"/>
            </w:tcBorders>
            <w:vAlign w:val="bottom"/>
          </w:tcPr>
          <w:p w14:paraId="55AE5E12" w14:textId="77777777" w:rsidR="003B315D" w:rsidRPr="00BE33FC" w:rsidRDefault="003B315D" w:rsidP="006D697C">
            <w:pPr>
              <w:jc w:val="right"/>
              <w:rPr>
                <w:rFonts w:ascii="Gill Sans MT" w:hAnsi="Gill Sans MT" w:cs="Arial"/>
                <w:b/>
                <w:sz w:val="22"/>
                <w:szCs w:val="22"/>
              </w:rPr>
            </w:pPr>
            <w:r w:rsidRPr="00BE33FC">
              <w:rPr>
                <w:rFonts w:ascii="Gill Sans MT" w:hAnsi="Gill Sans MT" w:cs="Arial"/>
                <w:b/>
                <w:bCs/>
                <w:sz w:val="22"/>
                <w:szCs w:val="22"/>
              </w:rPr>
              <w:t>4.5</w:t>
            </w:r>
          </w:p>
        </w:tc>
      </w:tr>
    </w:tbl>
    <w:p w14:paraId="606FB513" w14:textId="1D5860B9" w:rsidR="003B315D" w:rsidRPr="00CC4F07" w:rsidRDefault="003B315D" w:rsidP="003B315D"/>
    <w:p w14:paraId="62835B5E" w14:textId="77777777" w:rsidR="003B315D" w:rsidRPr="00CC4F07" w:rsidRDefault="003B315D">
      <w:pPr>
        <w:spacing w:after="0"/>
      </w:pPr>
      <w:r w:rsidRPr="00CC4F07">
        <w:br w:type="page"/>
      </w:r>
    </w:p>
    <w:p w14:paraId="388283B4" w14:textId="58A11280" w:rsidR="003B315D" w:rsidRPr="00CC4F07" w:rsidRDefault="003B315D" w:rsidP="003B315D">
      <w:pPr>
        <w:rPr>
          <w:b/>
        </w:rPr>
      </w:pPr>
      <w:r w:rsidRPr="00CC4F07">
        <w:rPr>
          <w:b/>
        </w:rPr>
        <w:lastRenderedPageBreak/>
        <w:t xml:space="preserve">Department of </w:t>
      </w:r>
      <w:r w:rsidR="006A2CE0" w:rsidRPr="00CC4F07">
        <w:rPr>
          <w:b/>
        </w:rPr>
        <w:t>Justice &amp;</w:t>
      </w:r>
      <w:r w:rsidRPr="00CC4F07">
        <w:rPr>
          <w:b/>
        </w:rPr>
        <w:t xml:space="preserve"> Equality</w:t>
      </w:r>
    </w:p>
    <w:tbl>
      <w:tblPr>
        <w:tblStyle w:val="TableGrid"/>
        <w:tblpPr w:leftFromText="180" w:rightFromText="180" w:vertAnchor="text" w:horzAnchor="margin" w:tblpY="44"/>
        <w:tblW w:w="0" w:type="auto"/>
        <w:tblLook w:val="04A0" w:firstRow="1" w:lastRow="0" w:firstColumn="1" w:lastColumn="0" w:noHBand="0" w:noVBand="1"/>
        <w:tblCaption w:val="Appendix B Public bodies"/>
        <w:tblDescription w:val="Department of Justice and Equality"/>
      </w:tblPr>
      <w:tblGrid>
        <w:gridCol w:w="2506"/>
        <w:gridCol w:w="1053"/>
        <w:gridCol w:w="350"/>
        <w:gridCol w:w="636"/>
        <w:gridCol w:w="1053"/>
        <w:gridCol w:w="830"/>
        <w:gridCol w:w="288"/>
        <w:gridCol w:w="1034"/>
        <w:gridCol w:w="718"/>
        <w:gridCol w:w="246"/>
      </w:tblGrid>
      <w:tr w:rsidR="003B315D" w:rsidRPr="00BE33FC" w14:paraId="00F95824" w14:textId="77777777" w:rsidTr="00B961C4">
        <w:tc>
          <w:tcPr>
            <w:tcW w:w="2506" w:type="dxa"/>
          </w:tcPr>
          <w:p w14:paraId="02035627"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403" w:type="dxa"/>
            <w:gridSpan w:val="2"/>
            <w:tcBorders>
              <w:right w:val="nil"/>
            </w:tcBorders>
          </w:tcPr>
          <w:p w14:paraId="550CCDC4"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Total number of employees</w:t>
            </w:r>
          </w:p>
        </w:tc>
        <w:tc>
          <w:tcPr>
            <w:tcW w:w="636" w:type="dxa"/>
            <w:tcBorders>
              <w:left w:val="nil"/>
            </w:tcBorders>
          </w:tcPr>
          <w:p w14:paraId="673EA980"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69F98769"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8" w:type="dxa"/>
            <w:tcBorders>
              <w:left w:val="nil"/>
            </w:tcBorders>
          </w:tcPr>
          <w:p w14:paraId="24CCC746"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5F059322"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6" w:type="dxa"/>
            <w:tcBorders>
              <w:left w:val="nil"/>
            </w:tcBorders>
          </w:tcPr>
          <w:p w14:paraId="73EA5CDC" w14:textId="77777777" w:rsidR="003B315D" w:rsidRPr="00BE33FC" w:rsidRDefault="003B315D" w:rsidP="006D697C">
            <w:pPr>
              <w:rPr>
                <w:rFonts w:ascii="Gill Sans MT" w:hAnsi="Gill Sans MT"/>
                <w:b/>
                <w:sz w:val="22"/>
                <w:szCs w:val="22"/>
              </w:rPr>
            </w:pPr>
          </w:p>
        </w:tc>
      </w:tr>
      <w:tr w:rsidR="003B315D" w:rsidRPr="00BE33FC" w14:paraId="45020969" w14:textId="77777777" w:rsidTr="00B961C4">
        <w:tc>
          <w:tcPr>
            <w:tcW w:w="2506" w:type="dxa"/>
          </w:tcPr>
          <w:p w14:paraId="78B70610" w14:textId="77777777" w:rsidR="003B315D" w:rsidRPr="00BE33FC" w:rsidRDefault="003B315D" w:rsidP="006D697C">
            <w:pPr>
              <w:rPr>
                <w:rFonts w:ascii="Gill Sans MT" w:hAnsi="Gill Sans MT"/>
                <w:b/>
                <w:sz w:val="22"/>
                <w:szCs w:val="22"/>
              </w:rPr>
            </w:pPr>
          </w:p>
        </w:tc>
        <w:tc>
          <w:tcPr>
            <w:tcW w:w="1053" w:type="dxa"/>
          </w:tcPr>
          <w:p w14:paraId="20707B5E"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1639853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37B84E1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3497E02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417E38C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22557F51"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7AD710BD" w14:textId="77777777" w:rsidTr="00441696">
        <w:trPr>
          <w:trHeight w:val="300"/>
        </w:trPr>
        <w:tc>
          <w:tcPr>
            <w:tcW w:w="2506" w:type="dxa"/>
            <w:noWrap/>
            <w:hideMark/>
          </w:tcPr>
          <w:p w14:paraId="7A2FE9D1"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olor w:val="000000"/>
                <w:sz w:val="22"/>
                <w:szCs w:val="22"/>
                <w:lang w:eastAsia="en-IE"/>
              </w:rPr>
              <w:t>National Disability Authority</w:t>
            </w:r>
          </w:p>
        </w:tc>
        <w:tc>
          <w:tcPr>
            <w:tcW w:w="1053" w:type="dxa"/>
            <w:tcBorders>
              <w:top w:val="single" w:sz="4" w:space="0" w:color="auto"/>
              <w:left w:val="single" w:sz="4" w:space="0" w:color="auto"/>
              <w:bottom w:val="single" w:sz="4" w:space="0" w:color="auto"/>
              <w:right w:val="single" w:sz="4" w:space="0" w:color="auto"/>
            </w:tcBorders>
            <w:noWrap/>
            <w:hideMark/>
          </w:tcPr>
          <w:p w14:paraId="1B29ED9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86" w:type="dxa"/>
            <w:gridSpan w:val="2"/>
            <w:tcBorders>
              <w:top w:val="single" w:sz="4" w:space="0" w:color="auto"/>
              <w:left w:val="nil"/>
              <w:bottom w:val="single" w:sz="4" w:space="0" w:color="auto"/>
              <w:right w:val="single" w:sz="4" w:space="0" w:color="auto"/>
            </w:tcBorders>
            <w:noWrap/>
            <w:hideMark/>
          </w:tcPr>
          <w:p w14:paraId="328D6F1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1053" w:type="dxa"/>
            <w:tcBorders>
              <w:top w:val="single" w:sz="4" w:space="0" w:color="auto"/>
              <w:left w:val="nil"/>
              <w:bottom w:val="single" w:sz="4" w:space="0" w:color="auto"/>
              <w:right w:val="single" w:sz="4" w:space="0" w:color="auto"/>
            </w:tcBorders>
            <w:noWrap/>
            <w:hideMark/>
          </w:tcPr>
          <w:p w14:paraId="76EB6AA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8" w:type="dxa"/>
            <w:gridSpan w:val="2"/>
            <w:tcBorders>
              <w:top w:val="single" w:sz="4" w:space="0" w:color="auto"/>
              <w:left w:val="nil"/>
              <w:bottom w:val="single" w:sz="4" w:space="0" w:color="auto"/>
              <w:right w:val="single" w:sz="4" w:space="0" w:color="auto"/>
            </w:tcBorders>
            <w:noWrap/>
            <w:hideMark/>
          </w:tcPr>
          <w:p w14:paraId="40680D7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4" w:type="dxa"/>
            <w:tcBorders>
              <w:top w:val="single" w:sz="4" w:space="0" w:color="auto"/>
              <w:left w:val="nil"/>
              <w:bottom w:val="single" w:sz="4" w:space="0" w:color="auto"/>
              <w:right w:val="single" w:sz="4" w:space="0" w:color="auto"/>
            </w:tcBorders>
            <w:noWrap/>
            <w:hideMark/>
          </w:tcPr>
          <w:p w14:paraId="72DA7FD9"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8.8</w:t>
            </w:r>
          </w:p>
        </w:tc>
        <w:tc>
          <w:tcPr>
            <w:tcW w:w="964" w:type="dxa"/>
            <w:gridSpan w:val="2"/>
            <w:tcBorders>
              <w:top w:val="single" w:sz="4" w:space="0" w:color="auto"/>
              <w:left w:val="nil"/>
              <w:bottom w:val="single" w:sz="4" w:space="0" w:color="auto"/>
              <w:right w:val="single" w:sz="4" w:space="0" w:color="auto"/>
            </w:tcBorders>
            <w:noWrap/>
            <w:hideMark/>
          </w:tcPr>
          <w:p w14:paraId="4367A94F"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11.8</w:t>
            </w:r>
          </w:p>
        </w:tc>
      </w:tr>
      <w:tr w:rsidR="003B315D" w:rsidRPr="00BE33FC" w14:paraId="3B65CD76" w14:textId="77777777" w:rsidTr="00B961C4">
        <w:tc>
          <w:tcPr>
            <w:tcW w:w="2506" w:type="dxa"/>
          </w:tcPr>
          <w:p w14:paraId="27AA2915" w14:textId="77777777" w:rsidR="003B315D" w:rsidRPr="00BE33FC" w:rsidRDefault="003B315D" w:rsidP="006D697C">
            <w:pPr>
              <w:ind w:firstLineChars="10" w:firstLine="22"/>
              <w:rPr>
                <w:rFonts w:ascii="Gill Sans MT" w:hAnsi="Gill Sans MT"/>
                <w:b/>
                <w:sz w:val="22"/>
                <w:szCs w:val="22"/>
              </w:rPr>
            </w:pPr>
            <w:r w:rsidRPr="00BE33FC">
              <w:rPr>
                <w:rFonts w:ascii="Gill Sans MT" w:hAnsi="Gill Sans MT"/>
                <w:b/>
                <w:sz w:val="22"/>
                <w:szCs w:val="22"/>
              </w:rPr>
              <w:t>Grand Total</w:t>
            </w:r>
          </w:p>
        </w:tc>
        <w:tc>
          <w:tcPr>
            <w:tcW w:w="1053" w:type="dxa"/>
            <w:tcBorders>
              <w:top w:val="single" w:sz="4" w:space="0" w:color="auto"/>
              <w:left w:val="single" w:sz="4" w:space="0" w:color="auto"/>
              <w:bottom w:val="single" w:sz="4" w:space="0" w:color="auto"/>
              <w:right w:val="single" w:sz="4" w:space="0" w:color="auto"/>
            </w:tcBorders>
            <w:vAlign w:val="bottom"/>
          </w:tcPr>
          <w:p w14:paraId="45F6DF5F"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34</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2AE42A10"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34</w:t>
            </w:r>
          </w:p>
        </w:tc>
        <w:tc>
          <w:tcPr>
            <w:tcW w:w="1053" w:type="dxa"/>
            <w:tcBorders>
              <w:top w:val="single" w:sz="4" w:space="0" w:color="auto"/>
              <w:left w:val="single" w:sz="4" w:space="0" w:color="auto"/>
              <w:bottom w:val="single" w:sz="4" w:space="0" w:color="auto"/>
              <w:right w:val="single" w:sz="4" w:space="0" w:color="auto"/>
            </w:tcBorders>
            <w:vAlign w:val="bottom"/>
          </w:tcPr>
          <w:p w14:paraId="0E2E6688"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3</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25202428"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4</w:t>
            </w:r>
          </w:p>
        </w:tc>
        <w:tc>
          <w:tcPr>
            <w:tcW w:w="1034" w:type="dxa"/>
            <w:tcBorders>
              <w:top w:val="single" w:sz="4" w:space="0" w:color="auto"/>
              <w:left w:val="nil"/>
              <w:bottom w:val="single" w:sz="4" w:space="0" w:color="auto"/>
              <w:right w:val="single" w:sz="4" w:space="0" w:color="auto"/>
            </w:tcBorders>
            <w:vAlign w:val="bottom"/>
          </w:tcPr>
          <w:p w14:paraId="5D17E793"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8.8</w:t>
            </w:r>
          </w:p>
        </w:tc>
        <w:tc>
          <w:tcPr>
            <w:tcW w:w="964" w:type="dxa"/>
            <w:gridSpan w:val="2"/>
            <w:tcBorders>
              <w:top w:val="single" w:sz="4" w:space="0" w:color="auto"/>
              <w:left w:val="nil"/>
              <w:bottom w:val="single" w:sz="4" w:space="0" w:color="auto"/>
              <w:right w:val="single" w:sz="4" w:space="0" w:color="auto"/>
            </w:tcBorders>
            <w:vAlign w:val="bottom"/>
          </w:tcPr>
          <w:p w14:paraId="791BD275"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11.8</w:t>
            </w:r>
          </w:p>
        </w:tc>
      </w:tr>
    </w:tbl>
    <w:p w14:paraId="4B88048E" w14:textId="77777777" w:rsidR="003B315D" w:rsidRPr="00CC4F07" w:rsidRDefault="003B315D" w:rsidP="003B315D"/>
    <w:p w14:paraId="3C238983" w14:textId="77777777" w:rsidR="003B315D" w:rsidRPr="00CC4F07" w:rsidRDefault="003B315D" w:rsidP="003B315D">
      <w:pPr>
        <w:rPr>
          <w:b/>
        </w:rPr>
      </w:pPr>
      <w:r w:rsidRPr="00CC4F07">
        <w:rPr>
          <w:b/>
        </w:rPr>
        <w:t>Department of Public Expenditure &amp; Reform</w:t>
      </w:r>
    </w:p>
    <w:tbl>
      <w:tblPr>
        <w:tblStyle w:val="TableGrid"/>
        <w:tblW w:w="0" w:type="auto"/>
        <w:tblLook w:val="04A0" w:firstRow="1" w:lastRow="0" w:firstColumn="1" w:lastColumn="0" w:noHBand="0" w:noVBand="1"/>
        <w:tblCaption w:val="Appendix B Public bodies"/>
        <w:tblDescription w:val="Department of Public Expenditure and Reform"/>
      </w:tblPr>
      <w:tblGrid>
        <w:gridCol w:w="2424"/>
        <w:gridCol w:w="1258"/>
        <w:gridCol w:w="345"/>
        <w:gridCol w:w="621"/>
        <w:gridCol w:w="1023"/>
        <w:gridCol w:w="808"/>
        <w:gridCol w:w="285"/>
        <w:gridCol w:w="1005"/>
        <w:gridCol w:w="700"/>
        <w:gridCol w:w="245"/>
      </w:tblGrid>
      <w:tr w:rsidR="003B315D" w:rsidRPr="00BE33FC" w14:paraId="5155B36F" w14:textId="77777777" w:rsidTr="00B961C4">
        <w:trPr>
          <w:tblHeader/>
        </w:trPr>
        <w:tc>
          <w:tcPr>
            <w:tcW w:w="2424" w:type="dxa"/>
          </w:tcPr>
          <w:p w14:paraId="3A5F3CD5"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603" w:type="dxa"/>
            <w:gridSpan w:val="2"/>
            <w:tcBorders>
              <w:right w:val="nil"/>
            </w:tcBorders>
          </w:tcPr>
          <w:p w14:paraId="72AD93D6"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Total number of employees</w:t>
            </w:r>
          </w:p>
        </w:tc>
        <w:tc>
          <w:tcPr>
            <w:tcW w:w="621" w:type="dxa"/>
            <w:tcBorders>
              <w:left w:val="nil"/>
            </w:tcBorders>
          </w:tcPr>
          <w:p w14:paraId="080D7E7E" w14:textId="77777777" w:rsidR="003B315D" w:rsidRPr="00BE33FC" w:rsidRDefault="003B315D" w:rsidP="006D697C">
            <w:pPr>
              <w:rPr>
                <w:rFonts w:ascii="Gill Sans MT" w:hAnsi="Gill Sans MT"/>
                <w:b/>
                <w:sz w:val="22"/>
                <w:szCs w:val="22"/>
              </w:rPr>
            </w:pPr>
          </w:p>
        </w:tc>
        <w:tc>
          <w:tcPr>
            <w:tcW w:w="1831" w:type="dxa"/>
            <w:gridSpan w:val="2"/>
            <w:tcBorders>
              <w:right w:val="nil"/>
            </w:tcBorders>
          </w:tcPr>
          <w:p w14:paraId="08BA6418"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5" w:type="dxa"/>
            <w:tcBorders>
              <w:left w:val="nil"/>
              <w:right w:val="single" w:sz="4" w:space="0" w:color="auto"/>
            </w:tcBorders>
          </w:tcPr>
          <w:p w14:paraId="719EA8A9" w14:textId="77777777" w:rsidR="003B315D" w:rsidRPr="00BE33FC" w:rsidRDefault="003B315D" w:rsidP="006D697C">
            <w:pPr>
              <w:rPr>
                <w:rFonts w:ascii="Gill Sans MT" w:hAnsi="Gill Sans MT"/>
                <w:b/>
                <w:sz w:val="22"/>
                <w:szCs w:val="22"/>
              </w:rPr>
            </w:pPr>
          </w:p>
        </w:tc>
        <w:tc>
          <w:tcPr>
            <w:tcW w:w="1705" w:type="dxa"/>
            <w:gridSpan w:val="2"/>
            <w:tcBorders>
              <w:left w:val="single" w:sz="4" w:space="0" w:color="auto"/>
              <w:right w:val="nil"/>
            </w:tcBorders>
          </w:tcPr>
          <w:p w14:paraId="6EB94138"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5" w:type="dxa"/>
            <w:tcBorders>
              <w:left w:val="nil"/>
            </w:tcBorders>
          </w:tcPr>
          <w:p w14:paraId="5407FBDA" w14:textId="77777777" w:rsidR="003B315D" w:rsidRPr="00BE33FC" w:rsidRDefault="003B315D" w:rsidP="006D697C">
            <w:pPr>
              <w:rPr>
                <w:rFonts w:ascii="Gill Sans MT" w:hAnsi="Gill Sans MT"/>
                <w:b/>
                <w:sz w:val="22"/>
                <w:szCs w:val="22"/>
              </w:rPr>
            </w:pPr>
          </w:p>
        </w:tc>
      </w:tr>
      <w:tr w:rsidR="003B315D" w:rsidRPr="00BE33FC" w14:paraId="50154792" w14:textId="77777777" w:rsidTr="00B961C4">
        <w:trPr>
          <w:tblHeader/>
        </w:trPr>
        <w:tc>
          <w:tcPr>
            <w:tcW w:w="2424" w:type="dxa"/>
          </w:tcPr>
          <w:p w14:paraId="5FD18FF9" w14:textId="77777777" w:rsidR="003B315D" w:rsidRPr="00BE33FC" w:rsidRDefault="003B315D" w:rsidP="006D697C">
            <w:pPr>
              <w:rPr>
                <w:rFonts w:ascii="Gill Sans MT" w:hAnsi="Gill Sans MT"/>
                <w:b/>
                <w:sz w:val="22"/>
                <w:szCs w:val="22"/>
              </w:rPr>
            </w:pPr>
          </w:p>
        </w:tc>
        <w:tc>
          <w:tcPr>
            <w:tcW w:w="1258" w:type="dxa"/>
          </w:tcPr>
          <w:p w14:paraId="058D3DD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6" w:type="dxa"/>
            <w:gridSpan w:val="2"/>
          </w:tcPr>
          <w:p w14:paraId="1689462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23" w:type="dxa"/>
          </w:tcPr>
          <w:p w14:paraId="2B552E1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093" w:type="dxa"/>
            <w:gridSpan w:val="2"/>
          </w:tcPr>
          <w:p w14:paraId="7DD62615"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05" w:type="dxa"/>
          </w:tcPr>
          <w:p w14:paraId="1B7FEBE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45" w:type="dxa"/>
            <w:gridSpan w:val="2"/>
          </w:tcPr>
          <w:p w14:paraId="158951D6"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0AA26E1A" w14:textId="77777777" w:rsidTr="00441696">
        <w:trPr>
          <w:trHeight w:val="300"/>
        </w:trPr>
        <w:tc>
          <w:tcPr>
            <w:tcW w:w="2424" w:type="dxa"/>
            <w:tcBorders>
              <w:top w:val="single" w:sz="4" w:space="0" w:color="auto"/>
              <w:left w:val="single" w:sz="4" w:space="0" w:color="auto"/>
              <w:bottom w:val="single" w:sz="4" w:space="0" w:color="auto"/>
              <w:right w:val="single" w:sz="4" w:space="0" w:color="auto"/>
            </w:tcBorders>
            <w:noWrap/>
            <w:vAlign w:val="bottom"/>
          </w:tcPr>
          <w:p w14:paraId="5B679B28"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 xml:space="preserve">An </w:t>
            </w:r>
            <w:proofErr w:type="spellStart"/>
            <w:r w:rsidRPr="00BE33FC">
              <w:rPr>
                <w:rFonts w:ascii="Gill Sans MT" w:hAnsi="Gill Sans MT" w:cs="Arial"/>
                <w:sz w:val="22"/>
                <w:szCs w:val="22"/>
              </w:rPr>
              <w:t>Chomhairle</w:t>
            </w:r>
            <w:proofErr w:type="spellEnd"/>
            <w:r w:rsidRPr="00BE33FC">
              <w:rPr>
                <w:rFonts w:ascii="Gill Sans MT" w:hAnsi="Gill Sans MT" w:cs="Arial"/>
                <w:sz w:val="22"/>
                <w:szCs w:val="22"/>
              </w:rPr>
              <w:t xml:space="preserve"> um </w:t>
            </w:r>
            <w:proofErr w:type="spellStart"/>
            <w:r w:rsidRPr="00BE33FC">
              <w:rPr>
                <w:rFonts w:ascii="Gill Sans MT" w:hAnsi="Gill Sans MT" w:cs="Arial"/>
                <w:sz w:val="22"/>
                <w:szCs w:val="22"/>
              </w:rPr>
              <w:t>Oideachas</w:t>
            </w:r>
            <w:proofErr w:type="spellEnd"/>
            <w:r w:rsidRPr="00BE33FC">
              <w:rPr>
                <w:rFonts w:ascii="Gill Sans MT" w:hAnsi="Gill Sans MT" w:cs="Arial"/>
                <w:sz w:val="22"/>
                <w:szCs w:val="22"/>
              </w:rPr>
              <w:t xml:space="preserve"> </w:t>
            </w:r>
            <w:proofErr w:type="spellStart"/>
            <w:r w:rsidRPr="00BE33FC">
              <w:rPr>
                <w:rFonts w:ascii="Gill Sans MT" w:hAnsi="Gill Sans MT" w:cs="Arial"/>
                <w:sz w:val="22"/>
                <w:szCs w:val="22"/>
              </w:rPr>
              <w:t>Gaeltachta</w:t>
            </w:r>
            <w:proofErr w:type="spellEnd"/>
            <w:r w:rsidRPr="00BE33FC">
              <w:rPr>
                <w:rFonts w:ascii="Gill Sans MT" w:hAnsi="Gill Sans MT" w:cs="Arial"/>
                <w:sz w:val="22"/>
                <w:szCs w:val="22"/>
              </w:rPr>
              <w:t xml:space="preserve"> &amp; </w:t>
            </w:r>
            <w:proofErr w:type="spellStart"/>
            <w:r w:rsidRPr="00BE33FC">
              <w:rPr>
                <w:rFonts w:ascii="Gill Sans MT" w:hAnsi="Gill Sans MT" w:cs="Arial"/>
                <w:sz w:val="22"/>
                <w:szCs w:val="22"/>
              </w:rPr>
              <w:t>Gaelscolaíochta</w:t>
            </w:r>
            <w:proofErr w:type="spellEnd"/>
          </w:p>
        </w:tc>
        <w:tc>
          <w:tcPr>
            <w:tcW w:w="1258" w:type="dxa"/>
            <w:tcBorders>
              <w:top w:val="single" w:sz="4" w:space="0" w:color="auto"/>
              <w:left w:val="nil"/>
              <w:bottom w:val="single" w:sz="4" w:space="0" w:color="auto"/>
              <w:right w:val="single" w:sz="4" w:space="0" w:color="auto"/>
            </w:tcBorders>
            <w:noWrap/>
          </w:tcPr>
          <w:p w14:paraId="30B835A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966" w:type="dxa"/>
            <w:gridSpan w:val="2"/>
            <w:tcBorders>
              <w:top w:val="single" w:sz="4" w:space="0" w:color="auto"/>
              <w:left w:val="nil"/>
              <w:bottom w:val="single" w:sz="4" w:space="0" w:color="auto"/>
              <w:right w:val="single" w:sz="4" w:space="0" w:color="auto"/>
            </w:tcBorders>
            <w:noWrap/>
          </w:tcPr>
          <w:p w14:paraId="25F0407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23" w:type="dxa"/>
            <w:tcBorders>
              <w:top w:val="single" w:sz="4" w:space="0" w:color="auto"/>
              <w:left w:val="nil"/>
              <w:bottom w:val="single" w:sz="4" w:space="0" w:color="auto"/>
              <w:right w:val="single" w:sz="4" w:space="0" w:color="auto"/>
            </w:tcBorders>
            <w:noWrap/>
          </w:tcPr>
          <w:p w14:paraId="0CE69A9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single" w:sz="4" w:space="0" w:color="auto"/>
              <w:left w:val="nil"/>
              <w:bottom w:val="single" w:sz="4" w:space="0" w:color="auto"/>
              <w:right w:val="single" w:sz="4" w:space="0" w:color="auto"/>
            </w:tcBorders>
            <w:noWrap/>
          </w:tcPr>
          <w:p w14:paraId="05C50F3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single" w:sz="4" w:space="0" w:color="auto"/>
              <w:left w:val="nil"/>
              <w:bottom w:val="single" w:sz="4" w:space="0" w:color="auto"/>
              <w:right w:val="single" w:sz="4" w:space="0" w:color="auto"/>
            </w:tcBorders>
            <w:noWrap/>
          </w:tcPr>
          <w:p w14:paraId="73E45BBB"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0.0</w:t>
            </w:r>
          </w:p>
        </w:tc>
        <w:tc>
          <w:tcPr>
            <w:tcW w:w="945" w:type="dxa"/>
            <w:gridSpan w:val="2"/>
            <w:tcBorders>
              <w:top w:val="single" w:sz="4" w:space="0" w:color="auto"/>
              <w:left w:val="nil"/>
              <w:bottom w:val="single" w:sz="4" w:space="0" w:color="auto"/>
              <w:right w:val="single" w:sz="4" w:space="0" w:color="auto"/>
            </w:tcBorders>
            <w:noWrap/>
          </w:tcPr>
          <w:p w14:paraId="1AA01716"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0.0</w:t>
            </w:r>
          </w:p>
        </w:tc>
      </w:tr>
      <w:tr w:rsidR="003B315D" w:rsidRPr="00BE33FC" w14:paraId="08926921"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14669D6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 xml:space="preserve">An </w:t>
            </w:r>
            <w:proofErr w:type="spellStart"/>
            <w:r w:rsidRPr="00BE33FC">
              <w:rPr>
                <w:rFonts w:ascii="Gill Sans MT" w:hAnsi="Gill Sans MT" w:cs="Arial"/>
                <w:sz w:val="22"/>
                <w:szCs w:val="22"/>
              </w:rPr>
              <w:t>Coimisinéir</w:t>
            </w:r>
            <w:proofErr w:type="spellEnd"/>
            <w:r w:rsidRPr="00BE33FC">
              <w:rPr>
                <w:rFonts w:ascii="Gill Sans MT" w:hAnsi="Gill Sans MT" w:cs="Arial"/>
                <w:sz w:val="22"/>
                <w:szCs w:val="22"/>
              </w:rPr>
              <w:t xml:space="preserve"> </w:t>
            </w:r>
            <w:proofErr w:type="spellStart"/>
            <w:r w:rsidRPr="00BE33FC">
              <w:rPr>
                <w:rFonts w:ascii="Gill Sans MT" w:hAnsi="Gill Sans MT" w:cs="Arial"/>
                <w:sz w:val="22"/>
                <w:szCs w:val="22"/>
              </w:rPr>
              <w:t>Teanga</w:t>
            </w:r>
            <w:proofErr w:type="spellEnd"/>
          </w:p>
        </w:tc>
        <w:tc>
          <w:tcPr>
            <w:tcW w:w="1258" w:type="dxa"/>
            <w:tcBorders>
              <w:top w:val="nil"/>
              <w:left w:val="nil"/>
              <w:bottom w:val="single" w:sz="4" w:space="0" w:color="auto"/>
              <w:right w:val="single" w:sz="4" w:space="0" w:color="auto"/>
            </w:tcBorders>
            <w:noWrap/>
          </w:tcPr>
          <w:p w14:paraId="3FB08C7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966" w:type="dxa"/>
            <w:gridSpan w:val="2"/>
            <w:tcBorders>
              <w:top w:val="nil"/>
              <w:left w:val="nil"/>
              <w:bottom w:val="single" w:sz="4" w:space="0" w:color="auto"/>
              <w:right w:val="single" w:sz="4" w:space="0" w:color="auto"/>
            </w:tcBorders>
            <w:noWrap/>
          </w:tcPr>
          <w:p w14:paraId="7308D5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023" w:type="dxa"/>
            <w:tcBorders>
              <w:top w:val="nil"/>
              <w:left w:val="nil"/>
              <w:bottom w:val="single" w:sz="4" w:space="0" w:color="auto"/>
              <w:right w:val="single" w:sz="4" w:space="0" w:color="auto"/>
            </w:tcBorders>
            <w:noWrap/>
          </w:tcPr>
          <w:p w14:paraId="34E2DD5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tcPr>
          <w:p w14:paraId="7E524FA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36C6E64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tcPr>
          <w:p w14:paraId="077E04F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09ED60F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3D7DD31"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Central Statistics Office</w:t>
            </w:r>
          </w:p>
        </w:tc>
        <w:tc>
          <w:tcPr>
            <w:tcW w:w="1258" w:type="dxa"/>
            <w:tcBorders>
              <w:top w:val="nil"/>
              <w:left w:val="nil"/>
              <w:bottom w:val="single" w:sz="4" w:space="0" w:color="auto"/>
              <w:right w:val="single" w:sz="4" w:space="0" w:color="auto"/>
            </w:tcBorders>
            <w:noWrap/>
          </w:tcPr>
          <w:p w14:paraId="3B4DA89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825</w:t>
            </w:r>
          </w:p>
        </w:tc>
        <w:tc>
          <w:tcPr>
            <w:tcW w:w="966" w:type="dxa"/>
            <w:gridSpan w:val="2"/>
            <w:tcBorders>
              <w:top w:val="nil"/>
              <w:left w:val="nil"/>
              <w:bottom w:val="single" w:sz="4" w:space="0" w:color="auto"/>
              <w:right w:val="single" w:sz="4" w:space="0" w:color="auto"/>
            </w:tcBorders>
            <w:noWrap/>
          </w:tcPr>
          <w:p w14:paraId="2D48C7F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896</w:t>
            </w:r>
          </w:p>
        </w:tc>
        <w:tc>
          <w:tcPr>
            <w:tcW w:w="1023" w:type="dxa"/>
            <w:tcBorders>
              <w:top w:val="nil"/>
              <w:left w:val="nil"/>
              <w:bottom w:val="single" w:sz="4" w:space="0" w:color="auto"/>
              <w:right w:val="single" w:sz="4" w:space="0" w:color="auto"/>
            </w:tcBorders>
            <w:noWrap/>
          </w:tcPr>
          <w:p w14:paraId="5C2C7A9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47</w:t>
            </w:r>
          </w:p>
        </w:tc>
        <w:tc>
          <w:tcPr>
            <w:tcW w:w="1093" w:type="dxa"/>
            <w:gridSpan w:val="2"/>
            <w:tcBorders>
              <w:top w:val="nil"/>
              <w:left w:val="nil"/>
              <w:bottom w:val="single" w:sz="4" w:space="0" w:color="auto"/>
              <w:right w:val="single" w:sz="4" w:space="0" w:color="auto"/>
            </w:tcBorders>
            <w:noWrap/>
          </w:tcPr>
          <w:p w14:paraId="3168CD1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56</w:t>
            </w:r>
          </w:p>
        </w:tc>
        <w:tc>
          <w:tcPr>
            <w:tcW w:w="1005" w:type="dxa"/>
            <w:tcBorders>
              <w:top w:val="nil"/>
              <w:left w:val="nil"/>
              <w:bottom w:val="single" w:sz="4" w:space="0" w:color="auto"/>
              <w:right w:val="single" w:sz="4" w:space="0" w:color="auto"/>
            </w:tcBorders>
            <w:noWrap/>
          </w:tcPr>
          <w:p w14:paraId="1C911FC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5.7</w:t>
            </w:r>
          </w:p>
        </w:tc>
        <w:tc>
          <w:tcPr>
            <w:tcW w:w="945" w:type="dxa"/>
            <w:gridSpan w:val="2"/>
            <w:tcBorders>
              <w:top w:val="nil"/>
              <w:left w:val="nil"/>
              <w:bottom w:val="single" w:sz="4" w:space="0" w:color="auto"/>
              <w:right w:val="single" w:sz="4" w:space="0" w:color="auto"/>
            </w:tcBorders>
            <w:noWrap/>
          </w:tcPr>
          <w:p w14:paraId="067D247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6.3</w:t>
            </w:r>
          </w:p>
        </w:tc>
      </w:tr>
      <w:tr w:rsidR="003B315D" w:rsidRPr="00BE33FC" w14:paraId="7B05B20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2ACEAB8"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Charities Regulatory Authority</w:t>
            </w:r>
          </w:p>
        </w:tc>
        <w:tc>
          <w:tcPr>
            <w:tcW w:w="1258" w:type="dxa"/>
            <w:tcBorders>
              <w:top w:val="nil"/>
              <w:left w:val="nil"/>
              <w:bottom w:val="single" w:sz="4" w:space="0" w:color="auto"/>
              <w:right w:val="single" w:sz="4" w:space="0" w:color="auto"/>
            </w:tcBorders>
            <w:noWrap/>
          </w:tcPr>
          <w:p w14:paraId="6EB587A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47</w:t>
            </w:r>
          </w:p>
        </w:tc>
        <w:tc>
          <w:tcPr>
            <w:tcW w:w="966" w:type="dxa"/>
            <w:gridSpan w:val="2"/>
            <w:tcBorders>
              <w:top w:val="nil"/>
              <w:left w:val="nil"/>
              <w:bottom w:val="single" w:sz="4" w:space="0" w:color="auto"/>
              <w:right w:val="single" w:sz="4" w:space="0" w:color="auto"/>
            </w:tcBorders>
            <w:noWrap/>
          </w:tcPr>
          <w:p w14:paraId="4521362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39</w:t>
            </w:r>
          </w:p>
        </w:tc>
        <w:tc>
          <w:tcPr>
            <w:tcW w:w="1023" w:type="dxa"/>
            <w:tcBorders>
              <w:top w:val="nil"/>
              <w:left w:val="nil"/>
              <w:bottom w:val="single" w:sz="4" w:space="0" w:color="auto"/>
              <w:right w:val="single" w:sz="4" w:space="0" w:color="auto"/>
            </w:tcBorders>
            <w:noWrap/>
          </w:tcPr>
          <w:p w14:paraId="262864F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tcPr>
          <w:p w14:paraId="76B5506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05" w:type="dxa"/>
            <w:tcBorders>
              <w:top w:val="nil"/>
              <w:left w:val="nil"/>
              <w:bottom w:val="single" w:sz="4" w:space="0" w:color="auto"/>
              <w:right w:val="single" w:sz="4" w:space="0" w:color="auto"/>
            </w:tcBorders>
            <w:noWrap/>
          </w:tcPr>
          <w:p w14:paraId="24DAA45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2.1</w:t>
            </w:r>
          </w:p>
        </w:tc>
        <w:tc>
          <w:tcPr>
            <w:tcW w:w="945" w:type="dxa"/>
            <w:gridSpan w:val="2"/>
            <w:tcBorders>
              <w:top w:val="nil"/>
              <w:left w:val="nil"/>
              <w:bottom w:val="single" w:sz="4" w:space="0" w:color="auto"/>
              <w:right w:val="single" w:sz="4" w:space="0" w:color="auto"/>
            </w:tcBorders>
            <w:noWrap/>
          </w:tcPr>
          <w:p w14:paraId="72DF492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7.7</w:t>
            </w:r>
          </w:p>
        </w:tc>
      </w:tr>
      <w:tr w:rsidR="003B315D" w:rsidRPr="00BE33FC" w14:paraId="0548286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48ADEF4"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Chief State Solicitor's Office</w:t>
            </w:r>
          </w:p>
        </w:tc>
        <w:tc>
          <w:tcPr>
            <w:tcW w:w="1258" w:type="dxa"/>
            <w:tcBorders>
              <w:top w:val="nil"/>
              <w:left w:val="nil"/>
              <w:bottom w:val="single" w:sz="4" w:space="0" w:color="auto"/>
              <w:right w:val="single" w:sz="4" w:space="0" w:color="auto"/>
            </w:tcBorders>
            <w:noWrap/>
          </w:tcPr>
          <w:p w14:paraId="7E98039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262</w:t>
            </w:r>
          </w:p>
        </w:tc>
        <w:tc>
          <w:tcPr>
            <w:tcW w:w="966" w:type="dxa"/>
            <w:gridSpan w:val="2"/>
            <w:tcBorders>
              <w:top w:val="nil"/>
              <w:left w:val="nil"/>
              <w:bottom w:val="single" w:sz="4" w:space="0" w:color="auto"/>
              <w:right w:val="single" w:sz="4" w:space="0" w:color="auto"/>
            </w:tcBorders>
            <w:noWrap/>
          </w:tcPr>
          <w:p w14:paraId="28CEA69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263</w:t>
            </w:r>
          </w:p>
        </w:tc>
        <w:tc>
          <w:tcPr>
            <w:tcW w:w="1023" w:type="dxa"/>
            <w:tcBorders>
              <w:top w:val="nil"/>
              <w:left w:val="nil"/>
              <w:bottom w:val="single" w:sz="4" w:space="0" w:color="auto"/>
              <w:right w:val="single" w:sz="4" w:space="0" w:color="auto"/>
            </w:tcBorders>
            <w:noWrap/>
          </w:tcPr>
          <w:p w14:paraId="1ADA276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93" w:type="dxa"/>
            <w:gridSpan w:val="2"/>
            <w:tcBorders>
              <w:top w:val="nil"/>
              <w:left w:val="nil"/>
              <w:bottom w:val="single" w:sz="4" w:space="0" w:color="auto"/>
              <w:right w:val="single" w:sz="4" w:space="0" w:color="auto"/>
            </w:tcBorders>
            <w:noWrap/>
          </w:tcPr>
          <w:p w14:paraId="3E2682D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005" w:type="dxa"/>
            <w:tcBorders>
              <w:top w:val="nil"/>
              <w:left w:val="nil"/>
              <w:bottom w:val="single" w:sz="4" w:space="0" w:color="auto"/>
              <w:right w:val="single" w:sz="4" w:space="0" w:color="auto"/>
            </w:tcBorders>
            <w:noWrap/>
          </w:tcPr>
          <w:p w14:paraId="6677606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945" w:type="dxa"/>
            <w:gridSpan w:val="2"/>
            <w:tcBorders>
              <w:top w:val="nil"/>
              <w:left w:val="nil"/>
              <w:bottom w:val="single" w:sz="4" w:space="0" w:color="auto"/>
              <w:right w:val="single" w:sz="4" w:space="0" w:color="auto"/>
            </w:tcBorders>
            <w:noWrap/>
          </w:tcPr>
          <w:p w14:paraId="0CBB376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w:t>
            </w:r>
          </w:p>
        </w:tc>
      </w:tr>
      <w:tr w:rsidR="003B315D" w:rsidRPr="00BE33FC" w14:paraId="4D12F7A1"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3C43D389"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Courts Service</w:t>
            </w:r>
          </w:p>
        </w:tc>
        <w:tc>
          <w:tcPr>
            <w:tcW w:w="1258" w:type="dxa"/>
            <w:tcBorders>
              <w:top w:val="nil"/>
              <w:left w:val="nil"/>
              <w:bottom w:val="single" w:sz="4" w:space="0" w:color="auto"/>
              <w:right w:val="single" w:sz="4" w:space="0" w:color="auto"/>
            </w:tcBorders>
            <w:noWrap/>
          </w:tcPr>
          <w:p w14:paraId="111704D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1,072</w:t>
            </w:r>
          </w:p>
        </w:tc>
        <w:tc>
          <w:tcPr>
            <w:tcW w:w="966" w:type="dxa"/>
            <w:gridSpan w:val="2"/>
            <w:tcBorders>
              <w:top w:val="nil"/>
              <w:left w:val="nil"/>
              <w:bottom w:val="single" w:sz="4" w:space="0" w:color="auto"/>
              <w:right w:val="single" w:sz="4" w:space="0" w:color="auto"/>
            </w:tcBorders>
            <w:noWrap/>
          </w:tcPr>
          <w:p w14:paraId="3B2260D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1,097</w:t>
            </w:r>
          </w:p>
        </w:tc>
        <w:tc>
          <w:tcPr>
            <w:tcW w:w="1023" w:type="dxa"/>
            <w:tcBorders>
              <w:top w:val="nil"/>
              <w:left w:val="nil"/>
              <w:bottom w:val="single" w:sz="4" w:space="0" w:color="auto"/>
              <w:right w:val="single" w:sz="4" w:space="0" w:color="auto"/>
            </w:tcBorders>
            <w:noWrap/>
          </w:tcPr>
          <w:p w14:paraId="30E8CCD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1093" w:type="dxa"/>
            <w:gridSpan w:val="2"/>
            <w:tcBorders>
              <w:top w:val="nil"/>
              <w:left w:val="nil"/>
              <w:bottom w:val="single" w:sz="4" w:space="0" w:color="auto"/>
              <w:right w:val="single" w:sz="4" w:space="0" w:color="auto"/>
            </w:tcBorders>
            <w:noWrap/>
          </w:tcPr>
          <w:p w14:paraId="6E069C8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c>
          <w:tcPr>
            <w:tcW w:w="1005" w:type="dxa"/>
            <w:tcBorders>
              <w:top w:val="nil"/>
              <w:left w:val="nil"/>
              <w:bottom w:val="single" w:sz="4" w:space="0" w:color="auto"/>
              <w:right w:val="single" w:sz="4" w:space="0" w:color="auto"/>
            </w:tcBorders>
            <w:noWrap/>
          </w:tcPr>
          <w:p w14:paraId="0EAF099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45" w:type="dxa"/>
            <w:gridSpan w:val="2"/>
            <w:tcBorders>
              <w:top w:val="nil"/>
              <w:left w:val="nil"/>
              <w:bottom w:val="single" w:sz="4" w:space="0" w:color="auto"/>
              <w:right w:val="single" w:sz="4" w:space="0" w:color="auto"/>
            </w:tcBorders>
            <w:noWrap/>
          </w:tcPr>
          <w:p w14:paraId="6C106C2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r>
      <w:tr w:rsidR="003B315D" w:rsidRPr="00BE33FC" w14:paraId="61523CB0"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BB2A9F0"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Data Protection Commissioner</w:t>
            </w:r>
          </w:p>
        </w:tc>
        <w:tc>
          <w:tcPr>
            <w:tcW w:w="1258" w:type="dxa"/>
            <w:tcBorders>
              <w:top w:val="nil"/>
              <w:left w:val="nil"/>
              <w:bottom w:val="single" w:sz="4" w:space="0" w:color="auto"/>
              <w:right w:val="single" w:sz="4" w:space="0" w:color="auto"/>
            </w:tcBorders>
            <w:noWrap/>
          </w:tcPr>
          <w:p w14:paraId="402E3CD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74</w:t>
            </w:r>
          </w:p>
        </w:tc>
        <w:tc>
          <w:tcPr>
            <w:tcW w:w="966" w:type="dxa"/>
            <w:gridSpan w:val="2"/>
            <w:tcBorders>
              <w:top w:val="nil"/>
              <w:left w:val="nil"/>
              <w:bottom w:val="single" w:sz="4" w:space="0" w:color="auto"/>
              <w:right w:val="single" w:sz="4" w:space="0" w:color="auto"/>
            </w:tcBorders>
            <w:noWrap/>
          </w:tcPr>
          <w:p w14:paraId="48E1109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74</w:t>
            </w:r>
          </w:p>
        </w:tc>
        <w:tc>
          <w:tcPr>
            <w:tcW w:w="1023" w:type="dxa"/>
            <w:tcBorders>
              <w:top w:val="nil"/>
              <w:left w:val="nil"/>
              <w:bottom w:val="single" w:sz="4" w:space="0" w:color="auto"/>
              <w:right w:val="single" w:sz="4" w:space="0" w:color="auto"/>
            </w:tcBorders>
            <w:noWrap/>
          </w:tcPr>
          <w:p w14:paraId="7D46872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93" w:type="dxa"/>
            <w:gridSpan w:val="2"/>
            <w:tcBorders>
              <w:top w:val="nil"/>
              <w:left w:val="nil"/>
              <w:bottom w:val="single" w:sz="4" w:space="0" w:color="auto"/>
              <w:right w:val="single" w:sz="4" w:space="0" w:color="auto"/>
            </w:tcBorders>
            <w:noWrap/>
          </w:tcPr>
          <w:p w14:paraId="15BC17F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05" w:type="dxa"/>
            <w:tcBorders>
              <w:top w:val="nil"/>
              <w:left w:val="nil"/>
              <w:bottom w:val="single" w:sz="4" w:space="0" w:color="auto"/>
              <w:right w:val="single" w:sz="4" w:space="0" w:color="auto"/>
            </w:tcBorders>
            <w:noWrap/>
          </w:tcPr>
          <w:p w14:paraId="6BF06A7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tcPr>
          <w:p w14:paraId="0131749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r>
      <w:tr w:rsidR="003B315D" w:rsidRPr="00BE33FC" w14:paraId="27897A7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AEF0D7F"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Defence Forces Canteen Board</w:t>
            </w:r>
          </w:p>
        </w:tc>
        <w:tc>
          <w:tcPr>
            <w:tcW w:w="1258" w:type="dxa"/>
            <w:tcBorders>
              <w:top w:val="nil"/>
              <w:left w:val="nil"/>
              <w:bottom w:val="single" w:sz="4" w:space="0" w:color="auto"/>
              <w:right w:val="single" w:sz="4" w:space="0" w:color="auto"/>
            </w:tcBorders>
            <w:noWrap/>
          </w:tcPr>
          <w:p w14:paraId="2FE5931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966" w:type="dxa"/>
            <w:gridSpan w:val="2"/>
            <w:tcBorders>
              <w:top w:val="nil"/>
              <w:left w:val="nil"/>
              <w:bottom w:val="single" w:sz="4" w:space="0" w:color="auto"/>
              <w:right w:val="single" w:sz="4" w:space="0" w:color="auto"/>
            </w:tcBorders>
            <w:noWrap/>
          </w:tcPr>
          <w:p w14:paraId="1549681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23" w:type="dxa"/>
            <w:tcBorders>
              <w:top w:val="nil"/>
              <w:left w:val="nil"/>
              <w:bottom w:val="single" w:sz="4" w:space="0" w:color="auto"/>
              <w:right w:val="single" w:sz="4" w:space="0" w:color="auto"/>
            </w:tcBorders>
            <w:noWrap/>
          </w:tcPr>
          <w:p w14:paraId="3C2A5EA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tcPr>
          <w:p w14:paraId="407DAD3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306A150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tcPr>
          <w:p w14:paraId="70B6954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3D1D7F53"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02B1CFC"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lastRenderedPageBreak/>
              <w:t>Department of Agriculture, Food &amp; the Marine</w:t>
            </w:r>
          </w:p>
        </w:tc>
        <w:tc>
          <w:tcPr>
            <w:tcW w:w="1258" w:type="dxa"/>
            <w:tcBorders>
              <w:top w:val="nil"/>
              <w:left w:val="nil"/>
              <w:bottom w:val="single" w:sz="4" w:space="0" w:color="auto"/>
              <w:right w:val="single" w:sz="4" w:space="0" w:color="auto"/>
            </w:tcBorders>
            <w:noWrap/>
          </w:tcPr>
          <w:p w14:paraId="7103EAE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3,258</w:t>
            </w:r>
          </w:p>
        </w:tc>
        <w:tc>
          <w:tcPr>
            <w:tcW w:w="966" w:type="dxa"/>
            <w:gridSpan w:val="2"/>
            <w:tcBorders>
              <w:top w:val="nil"/>
              <w:left w:val="nil"/>
              <w:bottom w:val="single" w:sz="4" w:space="0" w:color="auto"/>
              <w:right w:val="single" w:sz="4" w:space="0" w:color="auto"/>
            </w:tcBorders>
            <w:noWrap/>
          </w:tcPr>
          <w:p w14:paraId="3E5692D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3,369</w:t>
            </w:r>
          </w:p>
        </w:tc>
        <w:tc>
          <w:tcPr>
            <w:tcW w:w="1023" w:type="dxa"/>
            <w:tcBorders>
              <w:top w:val="nil"/>
              <w:left w:val="nil"/>
              <w:bottom w:val="single" w:sz="4" w:space="0" w:color="auto"/>
              <w:right w:val="single" w:sz="4" w:space="0" w:color="auto"/>
            </w:tcBorders>
            <w:noWrap/>
          </w:tcPr>
          <w:p w14:paraId="1A4BA7C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133</w:t>
            </w:r>
          </w:p>
        </w:tc>
        <w:tc>
          <w:tcPr>
            <w:tcW w:w="1093" w:type="dxa"/>
            <w:gridSpan w:val="2"/>
            <w:tcBorders>
              <w:top w:val="nil"/>
              <w:left w:val="nil"/>
              <w:bottom w:val="single" w:sz="4" w:space="0" w:color="auto"/>
              <w:right w:val="single" w:sz="4" w:space="0" w:color="auto"/>
            </w:tcBorders>
            <w:noWrap/>
          </w:tcPr>
          <w:p w14:paraId="63716D0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128</w:t>
            </w:r>
          </w:p>
        </w:tc>
        <w:tc>
          <w:tcPr>
            <w:tcW w:w="1005" w:type="dxa"/>
            <w:tcBorders>
              <w:top w:val="nil"/>
              <w:left w:val="nil"/>
              <w:bottom w:val="single" w:sz="4" w:space="0" w:color="auto"/>
              <w:right w:val="single" w:sz="4" w:space="0" w:color="auto"/>
            </w:tcBorders>
            <w:noWrap/>
          </w:tcPr>
          <w:p w14:paraId="1171055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tcPr>
          <w:p w14:paraId="37E73D0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3.8</w:t>
            </w:r>
          </w:p>
        </w:tc>
      </w:tr>
      <w:tr w:rsidR="003B315D" w:rsidRPr="00BE33FC" w14:paraId="47833703"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FAA7310"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Business, Enterprise &amp; Innovation</w:t>
            </w:r>
          </w:p>
        </w:tc>
        <w:tc>
          <w:tcPr>
            <w:tcW w:w="1258" w:type="dxa"/>
            <w:tcBorders>
              <w:top w:val="nil"/>
              <w:left w:val="nil"/>
              <w:bottom w:val="single" w:sz="4" w:space="0" w:color="auto"/>
              <w:right w:val="single" w:sz="4" w:space="0" w:color="auto"/>
            </w:tcBorders>
            <w:noWrap/>
          </w:tcPr>
          <w:p w14:paraId="390CF37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871</w:t>
            </w:r>
          </w:p>
        </w:tc>
        <w:tc>
          <w:tcPr>
            <w:tcW w:w="966" w:type="dxa"/>
            <w:gridSpan w:val="2"/>
            <w:tcBorders>
              <w:top w:val="nil"/>
              <w:left w:val="nil"/>
              <w:bottom w:val="single" w:sz="4" w:space="0" w:color="auto"/>
              <w:right w:val="single" w:sz="4" w:space="0" w:color="auto"/>
            </w:tcBorders>
            <w:noWrap/>
          </w:tcPr>
          <w:p w14:paraId="40E5277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897</w:t>
            </w:r>
          </w:p>
        </w:tc>
        <w:tc>
          <w:tcPr>
            <w:tcW w:w="1023" w:type="dxa"/>
            <w:tcBorders>
              <w:top w:val="nil"/>
              <w:left w:val="nil"/>
              <w:bottom w:val="single" w:sz="4" w:space="0" w:color="auto"/>
              <w:right w:val="single" w:sz="4" w:space="0" w:color="auto"/>
            </w:tcBorders>
            <w:noWrap/>
          </w:tcPr>
          <w:p w14:paraId="32272CF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1093" w:type="dxa"/>
            <w:gridSpan w:val="2"/>
            <w:tcBorders>
              <w:top w:val="nil"/>
              <w:left w:val="nil"/>
              <w:bottom w:val="single" w:sz="4" w:space="0" w:color="auto"/>
              <w:right w:val="single" w:sz="4" w:space="0" w:color="auto"/>
            </w:tcBorders>
            <w:noWrap/>
          </w:tcPr>
          <w:p w14:paraId="23F5A0F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1005" w:type="dxa"/>
            <w:tcBorders>
              <w:top w:val="nil"/>
              <w:left w:val="nil"/>
              <w:bottom w:val="single" w:sz="4" w:space="0" w:color="auto"/>
              <w:right w:val="single" w:sz="4" w:space="0" w:color="auto"/>
            </w:tcBorders>
            <w:noWrap/>
          </w:tcPr>
          <w:p w14:paraId="212C8F9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5.2</w:t>
            </w:r>
          </w:p>
        </w:tc>
        <w:tc>
          <w:tcPr>
            <w:tcW w:w="945" w:type="dxa"/>
            <w:gridSpan w:val="2"/>
            <w:tcBorders>
              <w:top w:val="nil"/>
              <w:left w:val="nil"/>
              <w:bottom w:val="single" w:sz="4" w:space="0" w:color="auto"/>
              <w:right w:val="single" w:sz="4" w:space="0" w:color="auto"/>
            </w:tcBorders>
            <w:noWrap/>
          </w:tcPr>
          <w:p w14:paraId="458CD99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5.0</w:t>
            </w:r>
          </w:p>
        </w:tc>
      </w:tr>
      <w:tr w:rsidR="003B315D" w:rsidRPr="00BE33FC" w14:paraId="5C482B71"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FE255CB"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Children &amp; Youth Affairs</w:t>
            </w:r>
          </w:p>
        </w:tc>
        <w:tc>
          <w:tcPr>
            <w:tcW w:w="1258" w:type="dxa"/>
            <w:tcBorders>
              <w:top w:val="nil"/>
              <w:left w:val="nil"/>
              <w:bottom w:val="single" w:sz="4" w:space="0" w:color="auto"/>
              <w:right w:val="single" w:sz="4" w:space="0" w:color="auto"/>
            </w:tcBorders>
            <w:noWrap/>
          </w:tcPr>
          <w:p w14:paraId="79020F3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242</w:t>
            </w:r>
          </w:p>
        </w:tc>
        <w:tc>
          <w:tcPr>
            <w:tcW w:w="966" w:type="dxa"/>
            <w:gridSpan w:val="2"/>
            <w:tcBorders>
              <w:top w:val="nil"/>
              <w:left w:val="nil"/>
              <w:bottom w:val="single" w:sz="4" w:space="0" w:color="auto"/>
              <w:right w:val="single" w:sz="4" w:space="0" w:color="auto"/>
            </w:tcBorders>
            <w:noWrap/>
          </w:tcPr>
          <w:p w14:paraId="5F0E428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277</w:t>
            </w:r>
          </w:p>
        </w:tc>
        <w:tc>
          <w:tcPr>
            <w:tcW w:w="1023" w:type="dxa"/>
            <w:tcBorders>
              <w:top w:val="nil"/>
              <w:left w:val="nil"/>
              <w:bottom w:val="single" w:sz="4" w:space="0" w:color="auto"/>
              <w:right w:val="single" w:sz="4" w:space="0" w:color="auto"/>
            </w:tcBorders>
            <w:noWrap/>
          </w:tcPr>
          <w:p w14:paraId="411A88E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1093" w:type="dxa"/>
            <w:gridSpan w:val="2"/>
            <w:tcBorders>
              <w:top w:val="nil"/>
              <w:left w:val="nil"/>
              <w:bottom w:val="single" w:sz="4" w:space="0" w:color="auto"/>
              <w:right w:val="single" w:sz="4" w:space="0" w:color="auto"/>
            </w:tcBorders>
            <w:noWrap/>
          </w:tcPr>
          <w:p w14:paraId="32032D0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05" w:type="dxa"/>
            <w:tcBorders>
              <w:top w:val="nil"/>
              <w:left w:val="nil"/>
              <w:bottom w:val="single" w:sz="4" w:space="0" w:color="auto"/>
              <w:right w:val="single" w:sz="4" w:space="0" w:color="auto"/>
            </w:tcBorders>
            <w:noWrap/>
          </w:tcPr>
          <w:p w14:paraId="3EE281D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5.4</w:t>
            </w:r>
          </w:p>
        </w:tc>
        <w:tc>
          <w:tcPr>
            <w:tcW w:w="945" w:type="dxa"/>
            <w:gridSpan w:val="2"/>
            <w:tcBorders>
              <w:top w:val="nil"/>
              <w:left w:val="nil"/>
              <w:bottom w:val="single" w:sz="4" w:space="0" w:color="auto"/>
              <w:right w:val="single" w:sz="4" w:space="0" w:color="auto"/>
            </w:tcBorders>
            <w:noWrap/>
          </w:tcPr>
          <w:p w14:paraId="129AEB7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5.1</w:t>
            </w:r>
          </w:p>
        </w:tc>
      </w:tr>
      <w:tr w:rsidR="003B315D" w:rsidRPr="00BE33FC" w14:paraId="2708FEB3"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7B76784"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Communications, Climate Action &amp; Environment</w:t>
            </w:r>
          </w:p>
        </w:tc>
        <w:tc>
          <w:tcPr>
            <w:tcW w:w="1258" w:type="dxa"/>
            <w:tcBorders>
              <w:top w:val="nil"/>
              <w:left w:val="nil"/>
              <w:bottom w:val="single" w:sz="4" w:space="0" w:color="auto"/>
              <w:right w:val="single" w:sz="4" w:space="0" w:color="auto"/>
            </w:tcBorders>
            <w:noWrap/>
          </w:tcPr>
          <w:p w14:paraId="320B082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387</w:t>
            </w:r>
          </w:p>
        </w:tc>
        <w:tc>
          <w:tcPr>
            <w:tcW w:w="966" w:type="dxa"/>
            <w:gridSpan w:val="2"/>
            <w:tcBorders>
              <w:top w:val="nil"/>
              <w:left w:val="nil"/>
              <w:bottom w:val="single" w:sz="4" w:space="0" w:color="auto"/>
              <w:right w:val="single" w:sz="4" w:space="0" w:color="auto"/>
            </w:tcBorders>
            <w:noWrap/>
          </w:tcPr>
          <w:p w14:paraId="6C44616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412</w:t>
            </w:r>
          </w:p>
        </w:tc>
        <w:tc>
          <w:tcPr>
            <w:tcW w:w="1023" w:type="dxa"/>
            <w:tcBorders>
              <w:top w:val="nil"/>
              <w:left w:val="nil"/>
              <w:bottom w:val="single" w:sz="4" w:space="0" w:color="auto"/>
              <w:right w:val="single" w:sz="4" w:space="0" w:color="auto"/>
            </w:tcBorders>
            <w:noWrap/>
          </w:tcPr>
          <w:p w14:paraId="165AD20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93" w:type="dxa"/>
            <w:gridSpan w:val="2"/>
            <w:tcBorders>
              <w:top w:val="nil"/>
              <w:left w:val="nil"/>
              <w:bottom w:val="single" w:sz="4" w:space="0" w:color="auto"/>
              <w:right w:val="single" w:sz="4" w:space="0" w:color="auto"/>
            </w:tcBorders>
            <w:noWrap/>
          </w:tcPr>
          <w:p w14:paraId="3538A71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05" w:type="dxa"/>
            <w:tcBorders>
              <w:top w:val="nil"/>
              <w:left w:val="nil"/>
              <w:bottom w:val="single" w:sz="4" w:space="0" w:color="auto"/>
              <w:right w:val="single" w:sz="4" w:space="0" w:color="auto"/>
            </w:tcBorders>
            <w:noWrap/>
          </w:tcPr>
          <w:p w14:paraId="596E246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45" w:type="dxa"/>
            <w:gridSpan w:val="2"/>
            <w:tcBorders>
              <w:top w:val="nil"/>
              <w:left w:val="nil"/>
              <w:bottom w:val="single" w:sz="4" w:space="0" w:color="auto"/>
              <w:right w:val="single" w:sz="4" w:space="0" w:color="auto"/>
            </w:tcBorders>
            <w:noWrap/>
          </w:tcPr>
          <w:p w14:paraId="717816A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r>
      <w:tr w:rsidR="003B315D" w:rsidRPr="00BE33FC" w14:paraId="24421E1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1F1FD532"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Culture, Heritage &amp; the Gaeltacht</w:t>
            </w:r>
          </w:p>
        </w:tc>
        <w:tc>
          <w:tcPr>
            <w:tcW w:w="1258" w:type="dxa"/>
            <w:tcBorders>
              <w:top w:val="nil"/>
              <w:left w:val="nil"/>
              <w:bottom w:val="single" w:sz="4" w:space="0" w:color="auto"/>
              <w:right w:val="single" w:sz="4" w:space="0" w:color="auto"/>
            </w:tcBorders>
            <w:noWrap/>
          </w:tcPr>
          <w:p w14:paraId="2342B38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649</w:t>
            </w:r>
          </w:p>
        </w:tc>
        <w:tc>
          <w:tcPr>
            <w:tcW w:w="966" w:type="dxa"/>
            <w:gridSpan w:val="2"/>
            <w:tcBorders>
              <w:top w:val="nil"/>
              <w:left w:val="nil"/>
              <w:bottom w:val="single" w:sz="4" w:space="0" w:color="auto"/>
              <w:right w:val="single" w:sz="4" w:space="0" w:color="auto"/>
            </w:tcBorders>
            <w:noWrap/>
          </w:tcPr>
          <w:p w14:paraId="50EE567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643</w:t>
            </w:r>
          </w:p>
        </w:tc>
        <w:tc>
          <w:tcPr>
            <w:tcW w:w="1023" w:type="dxa"/>
            <w:tcBorders>
              <w:top w:val="nil"/>
              <w:left w:val="nil"/>
              <w:bottom w:val="single" w:sz="4" w:space="0" w:color="auto"/>
              <w:right w:val="single" w:sz="4" w:space="0" w:color="auto"/>
            </w:tcBorders>
            <w:noWrap/>
          </w:tcPr>
          <w:p w14:paraId="627859A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93" w:type="dxa"/>
            <w:gridSpan w:val="2"/>
            <w:tcBorders>
              <w:top w:val="nil"/>
              <w:left w:val="nil"/>
              <w:bottom w:val="single" w:sz="4" w:space="0" w:color="auto"/>
              <w:right w:val="single" w:sz="4" w:space="0" w:color="auto"/>
            </w:tcBorders>
            <w:noWrap/>
          </w:tcPr>
          <w:p w14:paraId="3E13C1D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05" w:type="dxa"/>
            <w:tcBorders>
              <w:top w:val="nil"/>
              <w:left w:val="nil"/>
              <w:bottom w:val="single" w:sz="4" w:space="0" w:color="auto"/>
              <w:right w:val="single" w:sz="4" w:space="0" w:color="auto"/>
            </w:tcBorders>
            <w:noWrap/>
          </w:tcPr>
          <w:p w14:paraId="16FF559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945" w:type="dxa"/>
            <w:gridSpan w:val="2"/>
            <w:tcBorders>
              <w:top w:val="nil"/>
              <w:left w:val="nil"/>
              <w:bottom w:val="single" w:sz="4" w:space="0" w:color="auto"/>
              <w:right w:val="single" w:sz="4" w:space="0" w:color="auto"/>
            </w:tcBorders>
            <w:noWrap/>
          </w:tcPr>
          <w:p w14:paraId="5C82E2C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1D1C6305"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17885A1B"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Defence</w:t>
            </w:r>
          </w:p>
        </w:tc>
        <w:tc>
          <w:tcPr>
            <w:tcW w:w="1258" w:type="dxa"/>
            <w:tcBorders>
              <w:top w:val="nil"/>
              <w:left w:val="nil"/>
              <w:bottom w:val="single" w:sz="4" w:space="0" w:color="auto"/>
              <w:right w:val="single" w:sz="4" w:space="0" w:color="auto"/>
            </w:tcBorders>
            <w:noWrap/>
          </w:tcPr>
          <w:p w14:paraId="64F56EC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351</w:t>
            </w:r>
          </w:p>
        </w:tc>
        <w:tc>
          <w:tcPr>
            <w:tcW w:w="966" w:type="dxa"/>
            <w:gridSpan w:val="2"/>
            <w:tcBorders>
              <w:top w:val="nil"/>
              <w:left w:val="nil"/>
              <w:bottom w:val="single" w:sz="4" w:space="0" w:color="auto"/>
              <w:right w:val="single" w:sz="4" w:space="0" w:color="auto"/>
            </w:tcBorders>
            <w:noWrap/>
          </w:tcPr>
          <w:p w14:paraId="36A8F37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355</w:t>
            </w:r>
          </w:p>
        </w:tc>
        <w:tc>
          <w:tcPr>
            <w:tcW w:w="1023" w:type="dxa"/>
            <w:tcBorders>
              <w:top w:val="nil"/>
              <w:left w:val="nil"/>
              <w:bottom w:val="single" w:sz="4" w:space="0" w:color="auto"/>
              <w:right w:val="single" w:sz="4" w:space="0" w:color="auto"/>
            </w:tcBorders>
            <w:noWrap/>
          </w:tcPr>
          <w:p w14:paraId="0A90BDC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93" w:type="dxa"/>
            <w:gridSpan w:val="2"/>
            <w:tcBorders>
              <w:top w:val="nil"/>
              <w:left w:val="nil"/>
              <w:bottom w:val="single" w:sz="4" w:space="0" w:color="auto"/>
              <w:right w:val="single" w:sz="4" w:space="0" w:color="auto"/>
            </w:tcBorders>
            <w:noWrap/>
          </w:tcPr>
          <w:p w14:paraId="6DCE235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w:t>
            </w:r>
          </w:p>
        </w:tc>
        <w:tc>
          <w:tcPr>
            <w:tcW w:w="1005" w:type="dxa"/>
            <w:tcBorders>
              <w:top w:val="nil"/>
              <w:left w:val="nil"/>
              <w:bottom w:val="single" w:sz="4" w:space="0" w:color="auto"/>
              <w:right w:val="single" w:sz="4" w:space="0" w:color="auto"/>
            </w:tcBorders>
            <w:noWrap/>
          </w:tcPr>
          <w:p w14:paraId="182E671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5.7</w:t>
            </w:r>
          </w:p>
        </w:tc>
        <w:tc>
          <w:tcPr>
            <w:tcW w:w="945" w:type="dxa"/>
            <w:gridSpan w:val="2"/>
            <w:tcBorders>
              <w:top w:val="nil"/>
              <w:left w:val="nil"/>
              <w:bottom w:val="single" w:sz="4" w:space="0" w:color="auto"/>
              <w:right w:val="single" w:sz="4" w:space="0" w:color="auto"/>
            </w:tcBorders>
            <w:noWrap/>
          </w:tcPr>
          <w:p w14:paraId="4736D1D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4.2</w:t>
            </w:r>
          </w:p>
        </w:tc>
      </w:tr>
      <w:tr w:rsidR="003B315D" w:rsidRPr="00BE33FC" w14:paraId="195D495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50F88B6"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Defence - Civilian Employees</w:t>
            </w:r>
          </w:p>
        </w:tc>
        <w:tc>
          <w:tcPr>
            <w:tcW w:w="1258" w:type="dxa"/>
            <w:tcBorders>
              <w:top w:val="nil"/>
              <w:left w:val="nil"/>
              <w:bottom w:val="single" w:sz="4" w:space="0" w:color="auto"/>
              <w:right w:val="single" w:sz="4" w:space="0" w:color="auto"/>
            </w:tcBorders>
            <w:noWrap/>
          </w:tcPr>
          <w:p w14:paraId="1FFC9C6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469</w:t>
            </w:r>
          </w:p>
        </w:tc>
        <w:tc>
          <w:tcPr>
            <w:tcW w:w="966" w:type="dxa"/>
            <w:gridSpan w:val="2"/>
            <w:tcBorders>
              <w:top w:val="nil"/>
              <w:left w:val="nil"/>
              <w:bottom w:val="single" w:sz="4" w:space="0" w:color="auto"/>
              <w:right w:val="single" w:sz="4" w:space="0" w:color="auto"/>
            </w:tcBorders>
            <w:noWrap/>
          </w:tcPr>
          <w:p w14:paraId="3909505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431</w:t>
            </w:r>
          </w:p>
        </w:tc>
        <w:tc>
          <w:tcPr>
            <w:tcW w:w="1023" w:type="dxa"/>
            <w:tcBorders>
              <w:top w:val="nil"/>
              <w:left w:val="nil"/>
              <w:bottom w:val="single" w:sz="4" w:space="0" w:color="auto"/>
              <w:right w:val="single" w:sz="4" w:space="0" w:color="auto"/>
            </w:tcBorders>
            <w:noWrap/>
          </w:tcPr>
          <w:p w14:paraId="355D196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93" w:type="dxa"/>
            <w:gridSpan w:val="2"/>
            <w:tcBorders>
              <w:top w:val="nil"/>
              <w:left w:val="nil"/>
              <w:bottom w:val="single" w:sz="4" w:space="0" w:color="auto"/>
              <w:right w:val="single" w:sz="4" w:space="0" w:color="auto"/>
            </w:tcBorders>
            <w:noWrap/>
          </w:tcPr>
          <w:p w14:paraId="4FA3D2B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005" w:type="dxa"/>
            <w:tcBorders>
              <w:top w:val="nil"/>
              <w:left w:val="nil"/>
              <w:bottom w:val="single" w:sz="4" w:space="0" w:color="auto"/>
              <w:right w:val="single" w:sz="4" w:space="0" w:color="auto"/>
            </w:tcBorders>
            <w:noWrap/>
          </w:tcPr>
          <w:p w14:paraId="5AD88C7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w:t>
            </w:r>
          </w:p>
        </w:tc>
        <w:tc>
          <w:tcPr>
            <w:tcW w:w="945" w:type="dxa"/>
            <w:gridSpan w:val="2"/>
            <w:tcBorders>
              <w:top w:val="nil"/>
              <w:left w:val="nil"/>
              <w:bottom w:val="single" w:sz="4" w:space="0" w:color="auto"/>
              <w:right w:val="single" w:sz="4" w:space="0" w:color="auto"/>
            </w:tcBorders>
            <w:noWrap/>
          </w:tcPr>
          <w:p w14:paraId="4091184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6.7</w:t>
            </w:r>
          </w:p>
        </w:tc>
      </w:tr>
      <w:tr w:rsidR="003B315D" w:rsidRPr="00BE33FC" w14:paraId="51AC4423"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AD3578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Education &amp; Skills</w:t>
            </w:r>
          </w:p>
        </w:tc>
        <w:tc>
          <w:tcPr>
            <w:tcW w:w="1258" w:type="dxa"/>
            <w:tcBorders>
              <w:top w:val="nil"/>
              <w:left w:val="nil"/>
              <w:bottom w:val="single" w:sz="4" w:space="0" w:color="auto"/>
              <w:right w:val="single" w:sz="4" w:space="0" w:color="auto"/>
            </w:tcBorders>
            <w:noWrap/>
          </w:tcPr>
          <w:p w14:paraId="08D10C5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1,372</w:t>
            </w:r>
          </w:p>
        </w:tc>
        <w:tc>
          <w:tcPr>
            <w:tcW w:w="966" w:type="dxa"/>
            <w:gridSpan w:val="2"/>
            <w:tcBorders>
              <w:top w:val="nil"/>
              <w:left w:val="nil"/>
              <w:bottom w:val="single" w:sz="4" w:space="0" w:color="auto"/>
              <w:right w:val="single" w:sz="4" w:space="0" w:color="auto"/>
            </w:tcBorders>
            <w:noWrap/>
          </w:tcPr>
          <w:p w14:paraId="56D23D1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1,372</w:t>
            </w:r>
          </w:p>
        </w:tc>
        <w:tc>
          <w:tcPr>
            <w:tcW w:w="1023" w:type="dxa"/>
            <w:tcBorders>
              <w:top w:val="nil"/>
              <w:left w:val="nil"/>
              <w:bottom w:val="single" w:sz="4" w:space="0" w:color="auto"/>
              <w:right w:val="single" w:sz="4" w:space="0" w:color="auto"/>
            </w:tcBorders>
            <w:noWrap/>
          </w:tcPr>
          <w:p w14:paraId="5A7E880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1093" w:type="dxa"/>
            <w:gridSpan w:val="2"/>
            <w:tcBorders>
              <w:top w:val="nil"/>
              <w:left w:val="nil"/>
              <w:bottom w:val="single" w:sz="4" w:space="0" w:color="auto"/>
              <w:right w:val="single" w:sz="4" w:space="0" w:color="auto"/>
            </w:tcBorders>
            <w:noWrap/>
          </w:tcPr>
          <w:p w14:paraId="4334506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1005" w:type="dxa"/>
            <w:tcBorders>
              <w:top w:val="nil"/>
              <w:left w:val="nil"/>
              <w:bottom w:val="single" w:sz="4" w:space="0" w:color="auto"/>
              <w:right w:val="single" w:sz="4" w:space="0" w:color="auto"/>
            </w:tcBorders>
            <w:noWrap/>
          </w:tcPr>
          <w:p w14:paraId="48FC4DB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tcPr>
          <w:p w14:paraId="123D387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4.0</w:t>
            </w:r>
          </w:p>
        </w:tc>
      </w:tr>
      <w:tr w:rsidR="003B315D" w:rsidRPr="00BE33FC" w14:paraId="2ACC9C6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8BEC5CF"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Employment Affairs &amp; Social Protection</w:t>
            </w:r>
          </w:p>
        </w:tc>
        <w:tc>
          <w:tcPr>
            <w:tcW w:w="1258" w:type="dxa"/>
            <w:tcBorders>
              <w:top w:val="nil"/>
              <w:left w:val="nil"/>
              <w:bottom w:val="single" w:sz="4" w:space="0" w:color="auto"/>
              <w:right w:val="single" w:sz="4" w:space="0" w:color="auto"/>
            </w:tcBorders>
            <w:noWrap/>
          </w:tcPr>
          <w:p w14:paraId="29B780E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6,728</w:t>
            </w:r>
          </w:p>
        </w:tc>
        <w:tc>
          <w:tcPr>
            <w:tcW w:w="966" w:type="dxa"/>
            <w:gridSpan w:val="2"/>
            <w:tcBorders>
              <w:top w:val="nil"/>
              <w:left w:val="nil"/>
              <w:bottom w:val="single" w:sz="4" w:space="0" w:color="auto"/>
              <w:right w:val="single" w:sz="4" w:space="0" w:color="auto"/>
            </w:tcBorders>
            <w:noWrap/>
          </w:tcPr>
          <w:p w14:paraId="7FD8C43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6,725</w:t>
            </w:r>
          </w:p>
        </w:tc>
        <w:tc>
          <w:tcPr>
            <w:tcW w:w="1023" w:type="dxa"/>
            <w:tcBorders>
              <w:top w:val="nil"/>
              <w:left w:val="nil"/>
              <w:bottom w:val="single" w:sz="4" w:space="0" w:color="auto"/>
              <w:right w:val="single" w:sz="4" w:space="0" w:color="auto"/>
            </w:tcBorders>
            <w:noWrap/>
          </w:tcPr>
          <w:p w14:paraId="39EBF82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339</w:t>
            </w:r>
          </w:p>
        </w:tc>
        <w:tc>
          <w:tcPr>
            <w:tcW w:w="1093" w:type="dxa"/>
            <w:gridSpan w:val="2"/>
            <w:tcBorders>
              <w:top w:val="nil"/>
              <w:left w:val="nil"/>
              <w:bottom w:val="single" w:sz="4" w:space="0" w:color="auto"/>
              <w:right w:val="single" w:sz="4" w:space="0" w:color="auto"/>
            </w:tcBorders>
            <w:noWrap/>
          </w:tcPr>
          <w:p w14:paraId="2C9AB99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351</w:t>
            </w:r>
          </w:p>
        </w:tc>
        <w:tc>
          <w:tcPr>
            <w:tcW w:w="1005" w:type="dxa"/>
            <w:tcBorders>
              <w:top w:val="nil"/>
              <w:left w:val="nil"/>
              <w:bottom w:val="single" w:sz="4" w:space="0" w:color="auto"/>
              <w:right w:val="single" w:sz="4" w:space="0" w:color="auto"/>
            </w:tcBorders>
            <w:noWrap/>
          </w:tcPr>
          <w:p w14:paraId="46CDD6A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5.0</w:t>
            </w:r>
          </w:p>
        </w:tc>
        <w:tc>
          <w:tcPr>
            <w:tcW w:w="945" w:type="dxa"/>
            <w:gridSpan w:val="2"/>
            <w:tcBorders>
              <w:top w:val="nil"/>
              <w:left w:val="nil"/>
              <w:bottom w:val="single" w:sz="4" w:space="0" w:color="auto"/>
              <w:right w:val="single" w:sz="4" w:space="0" w:color="auto"/>
            </w:tcBorders>
            <w:noWrap/>
          </w:tcPr>
          <w:p w14:paraId="61AFA7F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5.2</w:t>
            </w:r>
          </w:p>
        </w:tc>
      </w:tr>
      <w:tr w:rsidR="003B315D" w:rsidRPr="00BE33FC" w14:paraId="0BCD160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6981EAB"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Finance</w:t>
            </w:r>
          </w:p>
        </w:tc>
        <w:tc>
          <w:tcPr>
            <w:tcW w:w="1258" w:type="dxa"/>
            <w:tcBorders>
              <w:top w:val="nil"/>
              <w:left w:val="nil"/>
              <w:bottom w:val="single" w:sz="4" w:space="0" w:color="auto"/>
              <w:right w:val="single" w:sz="4" w:space="0" w:color="auto"/>
            </w:tcBorders>
            <w:noWrap/>
          </w:tcPr>
          <w:p w14:paraId="14DD290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320</w:t>
            </w:r>
          </w:p>
        </w:tc>
        <w:tc>
          <w:tcPr>
            <w:tcW w:w="966" w:type="dxa"/>
            <w:gridSpan w:val="2"/>
            <w:tcBorders>
              <w:top w:val="nil"/>
              <w:left w:val="nil"/>
              <w:bottom w:val="single" w:sz="4" w:space="0" w:color="auto"/>
              <w:right w:val="single" w:sz="4" w:space="0" w:color="auto"/>
            </w:tcBorders>
            <w:noWrap/>
          </w:tcPr>
          <w:p w14:paraId="037C30D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319</w:t>
            </w:r>
          </w:p>
        </w:tc>
        <w:tc>
          <w:tcPr>
            <w:tcW w:w="1023" w:type="dxa"/>
            <w:tcBorders>
              <w:top w:val="nil"/>
              <w:left w:val="nil"/>
              <w:bottom w:val="single" w:sz="4" w:space="0" w:color="auto"/>
              <w:right w:val="single" w:sz="4" w:space="0" w:color="auto"/>
            </w:tcBorders>
            <w:noWrap/>
          </w:tcPr>
          <w:p w14:paraId="4E6A512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1093" w:type="dxa"/>
            <w:gridSpan w:val="2"/>
            <w:tcBorders>
              <w:top w:val="nil"/>
              <w:left w:val="nil"/>
              <w:bottom w:val="single" w:sz="4" w:space="0" w:color="auto"/>
              <w:right w:val="single" w:sz="4" w:space="0" w:color="auto"/>
            </w:tcBorders>
            <w:noWrap/>
          </w:tcPr>
          <w:p w14:paraId="5FB8A6C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1005" w:type="dxa"/>
            <w:tcBorders>
              <w:top w:val="nil"/>
              <w:left w:val="nil"/>
              <w:bottom w:val="single" w:sz="4" w:space="0" w:color="auto"/>
              <w:right w:val="single" w:sz="4" w:space="0" w:color="auto"/>
            </w:tcBorders>
            <w:noWrap/>
          </w:tcPr>
          <w:p w14:paraId="49E2F7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tcPr>
          <w:p w14:paraId="232CE15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r>
      <w:tr w:rsidR="003B315D" w:rsidRPr="00BE33FC" w14:paraId="485AD5A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5D3D5F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Foreign Affairs &amp; Trade</w:t>
            </w:r>
          </w:p>
        </w:tc>
        <w:tc>
          <w:tcPr>
            <w:tcW w:w="1258" w:type="dxa"/>
            <w:tcBorders>
              <w:top w:val="nil"/>
              <w:left w:val="nil"/>
              <w:bottom w:val="single" w:sz="4" w:space="0" w:color="auto"/>
              <w:right w:val="single" w:sz="4" w:space="0" w:color="auto"/>
            </w:tcBorders>
            <w:noWrap/>
          </w:tcPr>
          <w:p w14:paraId="3AC3B45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1,584</w:t>
            </w:r>
          </w:p>
        </w:tc>
        <w:tc>
          <w:tcPr>
            <w:tcW w:w="966" w:type="dxa"/>
            <w:gridSpan w:val="2"/>
            <w:tcBorders>
              <w:top w:val="nil"/>
              <w:left w:val="nil"/>
              <w:bottom w:val="single" w:sz="4" w:space="0" w:color="auto"/>
              <w:right w:val="single" w:sz="4" w:space="0" w:color="auto"/>
            </w:tcBorders>
            <w:noWrap/>
          </w:tcPr>
          <w:p w14:paraId="00E9C75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1,763</w:t>
            </w:r>
          </w:p>
        </w:tc>
        <w:tc>
          <w:tcPr>
            <w:tcW w:w="1023" w:type="dxa"/>
            <w:tcBorders>
              <w:top w:val="nil"/>
              <w:left w:val="nil"/>
              <w:bottom w:val="single" w:sz="4" w:space="0" w:color="auto"/>
              <w:right w:val="single" w:sz="4" w:space="0" w:color="auto"/>
            </w:tcBorders>
            <w:noWrap/>
          </w:tcPr>
          <w:p w14:paraId="23904F3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56</w:t>
            </w:r>
          </w:p>
        </w:tc>
        <w:tc>
          <w:tcPr>
            <w:tcW w:w="1093" w:type="dxa"/>
            <w:gridSpan w:val="2"/>
            <w:tcBorders>
              <w:top w:val="nil"/>
              <w:left w:val="nil"/>
              <w:bottom w:val="single" w:sz="4" w:space="0" w:color="auto"/>
              <w:right w:val="single" w:sz="4" w:space="0" w:color="auto"/>
            </w:tcBorders>
            <w:noWrap/>
          </w:tcPr>
          <w:p w14:paraId="723C7E5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w:t>
            </w:r>
          </w:p>
        </w:tc>
        <w:tc>
          <w:tcPr>
            <w:tcW w:w="1005" w:type="dxa"/>
            <w:tcBorders>
              <w:top w:val="nil"/>
              <w:left w:val="nil"/>
              <w:bottom w:val="single" w:sz="4" w:space="0" w:color="auto"/>
              <w:right w:val="single" w:sz="4" w:space="0" w:color="auto"/>
            </w:tcBorders>
            <w:noWrap/>
          </w:tcPr>
          <w:p w14:paraId="15C8019A" w14:textId="77777777" w:rsidR="003B315D" w:rsidRPr="00BE33FC" w:rsidRDefault="003B315D" w:rsidP="006D697C">
            <w:pPr>
              <w:jc w:val="right"/>
              <w:rPr>
                <w:rFonts w:ascii="Gill Sans MT" w:hAnsi="Gill Sans MT" w:cs="Arial"/>
                <w:color w:val="000000"/>
                <w:sz w:val="22"/>
                <w:szCs w:val="22"/>
                <w:lang w:eastAsia="en-IE"/>
              </w:rPr>
            </w:pPr>
            <w:r w:rsidRPr="00BE33FC">
              <w:rPr>
                <w:rFonts w:ascii="Gill Sans MT" w:hAnsi="Gill Sans MT" w:cs="Arial"/>
                <w:sz w:val="22"/>
                <w:szCs w:val="22"/>
              </w:rPr>
              <w:t>3.5</w:t>
            </w:r>
          </w:p>
        </w:tc>
        <w:tc>
          <w:tcPr>
            <w:tcW w:w="945" w:type="dxa"/>
            <w:gridSpan w:val="2"/>
            <w:tcBorders>
              <w:top w:val="nil"/>
              <w:left w:val="nil"/>
              <w:bottom w:val="single" w:sz="4" w:space="0" w:color="auto"/>
              <w:right w:val="single" w:sz="4" w:space="0" w:color="auto"/>
            </w:tcBorders>
            <w:noWrap/>
          </w:tcPr>
          <w:p w14:paraId="34F223F9" w14:textId="77777777" w:rsidR="003B315D" w:rsidRPr="00BE33FC" w:rsidRDefault="003B315D" w:rsidP="006D697C">
            <w:pPr>
              <w:jc w:val="right"/>
              <w:rPr>
                <w:rFonts w:ascii="Gill Sans MT" w:hAnsi="Gill Sans MT" w:cs="Arial"/>
                <w:color w:val="000000"/>
                <w:sz w:val="22"/>
                <w:szCs w:val="22"/>
                <w:lang w:eastAsia="en-IE"/>
              </w:rPr>
            </w:pPr>
            <w:r w:rsidRPr="00BE33FC">
              <w:rPr>
                <w:rFonts w:ascii="Gill Sans MT" w:hAnsi="Gill Sans MT" w:cs="Arial"/>
                <w:sz w:val="22"/>
                <w:szCs w:val="22"/>
              </w:rPr>
              <w:t>3.7</w:t>
            </w:r>
          </w:p>
        </w:tc>
      </w:tr>
      <w:tr w:rsidR="003B315D" w:rsidRPr="00BE33FC" w14:paraId="22E86EF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FC4665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Health</w:t>
            </w:r>
          </w:p>
        </w:tc>
        <w:tc>
          <w:tcPr>
            <w:tcW w:w="1258" w:type="dxa"/>
            <w:tcBorders>
              <w:top w:val="nil"/>
              <w:left w:val="nil"/>
              <w:bottom w:val="single" w:sz="4" w:space="0" w:color="auto"/>
              <w:right w:val="single" w:sz="4" w:space="0" w:color="auto"/>
            </w:tcBorders>
            <w:noWrap/>
          </w:tcPr>
          <w:p w14:paraId="0C96707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457</w:t>
            </w:r>
          </w:p>
        </w:tc>
        <w:tc>
          <w:tcPr>
            <w:tcW w:w="966" w:type="dxa"/>
            <w:gridSpan w:val="2"/>
            <w:tcBorders>
              <w:top w:val="nil"/>
              <w:left w:val="nil"/>
              <w:bottom w:val="single" w:sz="4" w:space="0" w:color="auto"/>
              <w:right w:val="single" w:sz="4" w:space="0" w:color="auto"/>
            </w:tcBorders>
            <w:noWrap/>
          </w:tcPr>
          <w:p w14:paraId="026672A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498</w:t>
            </w:r>
          </w:p>
        </w:tc>
        <w:tc>
          <w:tcPr>
            <w:tcW w:w="1023" w:type="dxa"/>
            <w:tcBorders>
              <w:top w:val="nil"/>
              <w:left w:val="nil"/>
              <w:bottom w:val="single" w:sz="4" w:space="0" w:color="auto"/>
              <w:right w:val="single" w:sz="4" w:space="0" w:color="auto"/>
            </w:tcBorders>
            <w:noWrap/>
          </w:tcPr>
          <w:p w14:paraId="2F496B8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21</w:t>
            </w:r>
          </w:p>
        </w:tc>
        <w:tc>
          <w:tcPr>
            <w:tcW w:w="1093" w:type="dxa"/>
            <w:gridSpan w:val="2"/>
            <w:tcBorders>
              <w:top w:val="nil"/>
              <w:left w:val="nil"/>
              <w:bottom w:val="single" w:sz="4" w:space="0" w:color="auto"/>
              <w:right w:val="single" w:sz="4" w:space="0" w:color="auto"/>
            </w:tcBorders>
            <w:noWrap/>
          </w:tcPr>
          <w:p w14:paraId="2EAFD5D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05" w:type="dxa"/>
            <w:tcBorders>
              <w:top w:val="nil"/>
              <w:left w:val="nil"/>
              <w:bottom w:val="single" w:sz="4" w:space="0" w:color="auto"/>
              <w:right w:val="single" w:sz="4" w:space="0" w:color="auto"/>
            </w:tcBorders>
            <w:noWrap/>
          </w:tcPr>
          <w:p w14:paraId="2AAC87B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w:t>
            </w:r>
          </w:p>
        </w:tc>
        <w:tc>
          <w:tcPr>
            <w:tcW w:w="945" w:type="dxa"/>
            <w:gridSpan w:val="2"/>
            <w:tcBorders>
              <w:top w:val="nil"/>
              <w:left w:val="nil"/>
              <w:bottom w:val="single" w:sz="4" w:space="0" w:color="auto"/>
              <w:right w:val="single" w:sz="4" w:space="0" w:color="auto"/>
            </w:tcBorders>
            <w:noWrap/>
          </w:tcPr>
          <w:p w14:paraId="37DFE1D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4.4</w:t>
            </w:r>
          </w:p>
        </w:tc>
      </w:tr>
      <w:tr w:rsidR="003B315D" w:rsidRPr="00BE33FC" w14:paraId="7FAF7AC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49F6D758"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lastRenderedPageBreak/>
              <w:t>Department of Housing, Planning &amp; Local Government</w:t>
            </w:r>
          </w:p>
        </w:tc>
        <w:tc>
          <w:tcPr>
            <w:tcW w:w="1258" w:type="dxa"/>
            <w:tcBorders>
              <w:top w:val="nil"/>
              <w:left w:val="nil"/>
              <w:bottom w:val="single" w:sz="4" w:space="0" w:color="auto"/>
              <w:right w:val="single" w:sz="4" w:space="0" w:color="auto"/>
            </w:tcBorders>
            <w:noWrap/>
          </w:tcPr>
          <w:p w14:paraId="1DB0395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656</w:t>
            </w:r>
          </w:p>
        </w:tc>
        <w:tc>
          <w:tcPr>
            <w:tcW w:w="966" w:type="dxa"/>
            <w:gridSpan w:val="2"/>
            <w:tcBorders>
              <w:top w:val="nil"/>
              <w:left w:val="nil"/>
              <w:bottom w:val="single" w:sz="4" w:space="0" w:color="auto"/>
              <w:right w:val="single" w:sz="4" w:space="0" w:color="auto"/>
            </w:tcBorders>
            <w:noWrap/>
          </w:tcPr>
          <w:p w14:paraId="0C9487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750</w:t>
            </w:r>
          </w:p>
        </w:tc>
        <w:tc>
          <w:tcPr>
            <w:tcW w:w="1023" w:type="dxa"/>
            <w:tcBorders>
              <w:top w:val="nil"/>
              <w:left w:val="nil"/>
              <w:bottom w:val="single" w:sz="4" w:space="0" w:color="auto"/>
              <w:right w:val="single" w:sz="4" w:space="0" w:color="auto"/>
            </w:tcBorders>
            <w:noWrap/>
          </w:tcPr>
          <w:p w14:paraId="391C9C7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1093" w:type="dxa"/>
            <w:gridSpan w:val="2"/>
            <w:tcBorders>
              <w:top w:val="nil"/>
              <w:left w:val="nil"/>
              <w:bottom w:val="single" w:sz="4" w:space="0" w:color="auto"/>
              <w:right w:val="single" w:sz="4" w:space="0" w:color="auto"/>
            </w:tcBorders>
            <w:noWrap/>
          </w:tcPr>
          <w:p w14:paraId="19AA833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1005" w:type="dxa"/>
            <w:tcBorders>
              <w:top w:val="nil"/>
              <w:left w:val="nil"/>
              <w:bottom w:val="single" w:sz="4" w:space="0" w:color="auto"/>
              <w:right w:val="single" w:sz="4" w:space="0" w:color="auto"/>
            </w:tcBorders>
            <w:noWrap/>
          </w:tcPr>
          <w:p w14:paraId="3D7827C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5.2</w:t>
            </w:r>
          </w:p>
        </w:tc>
        <w:tc>
          <w:tcPr>
            <w:tcW w:w="945" w:type="dxa"/>
            <w:gridSpan w:val="2"/>
            <w:tcBorders>
              <w:top w:val="nil"/>
              <w:left w:val="nil"/>
              <w:bottom w:val="single" w:sz="4" w:space="0" w:color="auto"/>
              <w:right w:val="single" w:sz="4" w:space="0" w:color="auto"/>
            </w:tcBorders>
            <w:noWrap/>
          </w:tcPr>
          <w:p w14:paraId="459BA90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r>
      <w:tr w:rsidR="003B315D" w:rsidRPr="00BE33FC" w14:paraId="15C9A06B"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A062852"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Justice &amp; Equality</w:t>
            </w:r>
          </w:p>
        </w:tc>
        <w:tc>
          <w:tcPr>
            <w:tcW w:w="1258" w:type="dxa"/>
            <w:tcBorders>
              <w:top w:val="nil"/>
              <w:left w:val="nil"/>
              <w:bottom w:val="single" w:sz="4" w:space="0" w:color="auto"/>
              <w:right w:val="single" w:sz="4" w:space="0" w:color="auto"/>
            </w:tcBorders>
            <w:noWrap/>
          </w:tcPr>
          <w:p w14:paraId="2945875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1,945</w:t>
            </w:r>
          </w:p>
        </w:tc>
        <w:tc>
          <w:tcPr>
            <w:tcW w:w="966" w:type="dxa"/>
            <w:gridSpan w:val="2"/>
            <w:tcBorders>
              <w:top w:val="nil"/>
              <w:left w:val="nil"/>
              <w:bottom w:val="single" w:sz="4" w:space="0" w:color="auto"/>
              <w:right w:val="single" w:sz="4" w:space="0" w:color="auto"/>
            </w:tcBorders>
            <w:noWrap/>
          </w:tcPr>
          <w:p w14:paraId="6B66CFC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2,016</w:t>
            </w:r>
          </w:p>
        </w:tc>
        <w:tc>
          <w:tcPr>
            <w:tcW w:w="1023" w:type="dxa"/>
            <w:tcBorders>
              <w:top w:val="nil"/>
              <w:left w:val="nil"/>
              <w:bottom w:val="single" w:sz="4" w:space="0" w:color="auto"/>
              <w:right w:val="single" w:sz="4" w:space="0" w:color="auto"/>
            </w:tcBorders>
            <w:noWrap/>
          </w:tcPr>
          <w:p w14:paraId="623CF83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110</w:t>
            </w:r>
          </w:p>
        </w:tc>
        <w:tc>
          <w:tcPr>
            <w:tcW w:w="1093" w:type="dxa"/>
            <w:gridSpan w:val="2"/>
            <w:tcBorders>
              <w:top w:val="nil"/>
              <w:left w:val="nil"/>
              <w:bottom w:val="single" w:sz="4" w:space="0" w:color="auto"/>
              <w:right w:val="single" w:sz="4" w:space="0" w:color="auto"/>
            </w:tcBorders>
            <w:noWrap/>
          </w:tcPr>
          <w:p w14:paraId="580ABBA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121</w:t>
            </w:r>
          </w:p>
        </w:tc>
        <w:tc>
          <w:tcPr>
            <w:tcW w:w="1005" w:type="dxa"/>
            <w:tcBorders>
              <w:top w:val="nil"/>
              <w:left w:val="nil"/>
              <w:bottom w:val="single" w:sz="4" w:space="0" w:color="auto"/>
              <w:right w:val="single" w:sz="4" w:space="0" w:color="auto"/>
            </w:tcBorders>
            <w:noWrap/>
          </w:tcPr>
          <w:p w14:paraId="2ECEE56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5.7</w:t>
            </w:r>
          </w:p>
        </w:tc>
        <w:tc>
          <w:tcPr>
            <w:tcW w:w="945" w:type="dxa"/>
            <w:gridSpan w:val="2"/>
            <w:tcBorders>
              <w:top w:val="nil"/>
              <w:left w:val="nil"/>
              <w:bottom w:val="single" w:sz="4" w:space="0" w:color="auto"/>
              <w:right w:val="single" w:sz="4" w:space="0" w:color="auto"/>
            </w:tcBorders>
            <w:noWrap/>
          </w:tcPr>
          <w:p w14:paraId="5244003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6.0</w:t>
            </w:r>
          </w:p>
        </w:tc>
      </w:tr>
      <w:tr w:rsidR="003B315D" w:rsidRPr="00BE33FC" w14:paraId="012658F1"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31BD932"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Public Expenditure &amp; Reform</w:t>
            </w:r>
          </w:p>
        </w:tc>
        <w:tc>
          <w:tcPr>
            <w:tcW w:w="1258" w:type="dxa"/>
            <w:tcBorders>
              <w:top w:val="nil"/>
              <w:left w:val="nil"/>
              <w:bottom w:val="single" w:sz="4" w:space="0" w:color="auto"/>
              <w:right w:val="single" w:sz="4" w:space="0" w:color="auto"/>
            </w:tcBorders>
            <w:noWrap/>
          </w:tcPr>
          <w:p w14:paraId="0E6859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412</w:t>
            </w:r>
          </w:p>
        </w:tc>
        <w:tc>
          <w:tcPr>
            <w:tcW w:w="966" w:type="dxa"/>
            <w:gridSpan w:val="2"/>
            <w:tcBorders>
              <w:top w:val="nil"/>
              <w:left w:val="nil"/>
              <w:bottom w:val="single" w:sz="4" w:space="0" w:color="auto"/>
              <w:right w:val="single" w:sz="4" w:space="0" w:color="auto"/>
            </w:tcBorders>
            <w:noWrap/>
          </w:tcPr>
          <w:p w14:paraId="543BE45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447</w:t>
            </w:r>
          </w:p>
        </w:tc>
        <w:tc>
          <w:tcPr>
            <w:tcW w:w="1023" w:type="dxa"/>
            <w:tcBorders>
              <w:top w:val="nil"/>
              <w:left w:val="nil"/>
              <w:bottom w:val="single" w:sz="4" w:space="0" w:color="auto"/>
              <w:right w:val="single" w:sz="4" w:space="0" w:color="auto"/>
            </w:tcBorders>
            <w:noWrap/>
          </w:tcPr>
          <w:p w14:paraId="18B3E8D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93" w:type="dxa"/>
            <w:gridSpan w:val="2"/>
            <w:tcBorders>
              <w:top w:val="nil"/>
              <w:left w:val="nil"/>
              <w:bottom w:val="single" w:sz="4" w:space="0" w:color="auto"/>
              <w:right w:val="single" w:sz="4" w:space="0" w:color="auto"/>
            </w:tcBorders>
            <w:noWrap/>
          </w:tcPr>
          <w:p w14:paraId="48F7ACD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005" w:type="dxa"/>
            <w:tcBorders>
              <w:top w:val="nil"/>
              <w:left w:val="nil"/>
              <w:bottom w:val="single" w:sz="4" w:space="0" w:color="auto"/>
              <w:right w:val="single" w:sz="4" w:space="0" w:color="auto"/>
            </w:tcBorders>
            <w:noWrap/>
          </w:tcPr>
          <w:p w14:paraId="60AF555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45" w:type="dxa"/>
            <w:gridSpan w:val="2"/>
            <w:tcBorders>
              <w:top w:val="nil"/>
              <w:left w:val="nil"/>
              <w:bottom w:val="single" w:sz="4" w:space="0" w:color="auto"/>
              <w:right w:val="single" w:sz="4" w:space="0" w:color="auto"/>
            </w:tcBorders>
            <w:noWrap/>
          </w:tcPr>
          <w:p w14:paraId="4169567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w:t>
            </w:r>
          </w:p>
        </w:tc>
      </w:tr>
      <w:tr w:rsidR="003B315D" w:rsidRPr="00BE33FC" w14:paraId="38827A20"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372EBCE4" w14:textId="77777777" w:rsidR="003B315D" w:rsidRPr="00BE33FC" w:rsidRDefault="003B315D" w:rsidP="006D697C">
            <w:pPr>
              <w:rPr>
                <w:rFonts w:ascii="Gill Sans MT" w:hAnsi="Gill Sans MT"/>
                <w:b/>
                <w:color w:val="000000"/>
                <w:sz w:val="22"/>
                <w:szCs w:val="22"/>
                <w:lang w:eastAsia="en-IE"/>
              </w:rPr>
            </w:pPr>
            <w:r w:rsidRPr="00BE33FC">
              <w:rPr>
                <w:rFonts w:ascii="Gill Sans MT" w:hAnsi="Gill Sans MT" w:cs="Arial"/>
                <w:sz w:val="22"/>
                <w:szCs w:val="22"/>
              </w:rPr>
              <w:t xml:space="preserve">Department of </w:t>
            </w:r>
            <w:proofErr w:type="gramStart"/>
            <w:r w:rsidRPr="00BE33FC">
              <w:rPr>
                <w:rFonts w:ascii="Gill Sans MT" w:hAnsi="Gill Sans MT" w:cs="Arial"/>
                <w:sz w:val="22"/>
                <w:szCs w:val="22"/>
              </w:rPr>
              <w:t>Rural  Community</w:t>
            </w:r>
            <w:proofErr w:type="gramEnd"/>
            <w:r w:rsidRPr="00BE33FC">
              <w:rPr>
                <w:rFonts w:ascii="Gill Sans MT" w:hAnsi="Gill Sans MT" w:cs="Arial"/>
                <w:sz w:val="22"/>
                <w:szCs w:val="22"/>
              </w:rPr>
              <w:t xml:space="preserve"> Development</w:t>
            </w:r>
          </w:p>
        </w:tc>
        <w:tc>
          <w:tcPr>
            <w:tcW w:w="1258" w:type="dxa"/>
            <w:tcBorders>
              <w:top w:val="nil"/>
              <w:left w:val="nil"/>
              <w:bottom w:val="single" w:sz="4" w:space="0" w:color="auto"/>
              <w:right w:val="single" w:sz="4" w:space="0" w:color="auto"/>
            </w:tcBorders>
            <w:noWrap/>
          </w:tcPr>
          <w:p w14:paraId="1711382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115</w:t>
            </w:r>
          </w:p>
        </w:tc>
        <w:tc>
          <w:tcPr>
            <w:tcW w:w="966" w:type="dxa"/>
            <w:gridSpan w:val="2"/>
            <w:tcBorders>
              <w:top w:val="nil"/>
              <w:left w:val="nil"/>
              <w:bottom w:val="single" w:sz="4" w:space="0" w:color="auto"/>
              <w:right w:val="single" w:sz="4" w:space="0" w:color="auto"/>
            </w:tcBorders>
            <w:noWrap/>
          </w:tcPr>
          <w:p w14:paraId="0AA4978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150</w:t>
            </w:r>
          </w:p>
        </w:tc>
        <w:tc>
          <w:tcPr>
            <w:tcW w:w="1023" w:type="dxa"/>
            <w:tcBorders>
              <w:top w:val="nil"/>
              <w:left w:val="nil"/>
              <w:bottom w:val="single" w:sz="4" w:space="0" w:color="auto"/>
              <w:right w:val="single" w:sz="4" w:space="0" w:color="auto"/>
            </w:tcBorders>
            <w:noWrap/>
          </w:tcPr>
          <w:p w14:paraId="6756AC1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93" w:type="dxa"/>
            <w:gridSpan w:val="2"/>
            <w:tcBorders>
              <w:top w:val="nil"/>
              <w:left w:val="nil"/>
              <w:bottom w:val="single" w:sz="4" w:space="0" w:color="auto"/>
              <w:right w:val="single" w:sz="4" w:space="0" w:color="auto"/>
            </w:tcBorders>
            <w:noWrap/>
          </w:tcPr>
          <w:p w14:paraId="03153DE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05" w:type="dxa"/>
            <w:tcBorders>
              <w:top w:val="nil"/>
              <w:left w:val="nil"/>
              <w:bottom w:val="single" w:sz="4" w:space="0" w:color="auto"/>
              <w:right w:val="single" w:sz="4" w:space="0" w:color="auto"/>
            </w:tcBorders>
            <w:noWrap/>
          </w:tcPr>
          <w:p w14:paraId="60F4CCA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7.0</w:t>
            </w:r>
          </w:p>
        </w:tc>
        <w:tc>
          <w:tcPr>
            <w:tcW w:w="945" w:type="dxa"/>
            <w:gridSpan w:val="2"/>
            <w:tcBorders>
              <w:top w:val="nil"/>
              <w:left w:val="nil"/>
              <w:bottom w:val="single" w:sz="4" w:space="0" w:color="auto"/>
              <w:right w:val="single" w:sz="4" w:space="0" w:color="auto"/>
            </w:tcBorders>
            <w:noWrap/>
          </w:tcPr>
          <w:p w14:paraId="2A5C785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5.3</w:t>
            </w:r>
          </w:p>
        </w:tc>
      </w:tr>
      <w:tr w:rsidR="003B315D" w:rsidRPr="00BE33FC" w14:paraId="631FB9A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093FE8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the Taoiseach</w:t>
            </w:r>
          </w:p>
        </w:tc>
        <w:tc>
          <w:tcPr>
            <w:tcW w:w="1258" w:type="dxa"/>
            <w:tcBorders>
              <w:top w:val="nil"/>
              <w:left w:val="nil"/>
              <w:bottom w:val="single" w:sz="4" w:space="0" w:color="auto"/>
              <w:right w:val="single" w:sz="4" w:space="0" w:color="auto"/>
            </w:tcBorders>
            <w:noWrap/>
          </w:tcPr>
          <w:p w14:paraId="489795B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218</w:t>
            </w:r>
          </w:p>
        </w:tc>
        <w:tc>
          <w:tcPr>
            <w:tcW w:w="966" w:type="dxa"/>
            <w:gridSpan w:val="2"/>
            <w:tcBorders>
              <w:top w:val="nil"/>
              <w:left w:val="nil"/>
              <w:bottom w:val="single" w:sz="4" w:space="0" w:color="auto"/>
              <w:right w:val="single" w:sz="4" w:space="0" w:color="auto"/>
            </w:tcBorders>
            <w:noWrap/>
          </w:tcPr>
          <w:p w14:paraId="7A58960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224</w:t>
            </w:r>
          </w:p>
        </w:tc>
        <w:tc>
          <w:tcPr>
            <w:tcW w:w="1023" w:type="dxa"/>
            <w:tcBorders>
              <w:top w:val="nil"/>
              <w:left w:val="nil"/>
              <w:bottom w:val="single" w:sz="4" w:space="0" w:color="auto"/>
              <w:right w:val="single" w:sz="4" w:space="0" w:color="auto"/>
            </w:tcBorders>
            <w:noWrap/>
          </w:tcPr>
          <w:p w14:paraId="3380877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093" w:type="dxa"/>
            <w:gridSpan w:val="2"/>
            <w:tcBorders>
              <w:top w:val="nil"/>
              <w:left w:val="nil"/>
              <w:bottom w:val="single" w:sz="4" w:space="0" w:color="auto"/>
              <w:right w:val="single" w:sz="4" w:space="0" w:color="auto"/>
            </w:tcBorders>
            <w:noWrap/>
          </w:tcPr>
          <w:p w14:paraId="64D918D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005" w:type="dxa"/>
            <w:tcBorders>
              <w:top w:val="nil"/>
              <w:left w:val="nil"/>
              <w:bottom w:val="single" w:sz="4" w:space="0" w:color="auto"/>
              <w:right w:val="single" w:sz="4" w:space="0" w:color="auto"/>
            </w:tcBorders>
            <w:noWrap/>
          </w:tcPr>
          <w:p w14:paraId="779A2C8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w:t>
            </w:r>
          </w:p>
        </w:tc>
        <w:tc>
          <w:tcPr>
            <w:tcW w:w="945" w:type="dxa"/>
            <w:gridSpan w:val="2"/>
            <w:tcBorders>
              <w:top w:val="nil"/>
              <w:left w:val="nil"/>
              <w:bottom w:val="single" w:sz="4" w:space="0" w:color="auto"/>
              <w:right w:val="single" w:sz="4" w:space="0" w:color="auto"/>
            </w:tcBorders>
            <w:noWrap/>
          </w:tcPr>
          <w:p w14:paraId="70AACA4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5.4</w:t>
            </w:r>
          </w:p>
        </w:tc>
      </w:tr>
      <w:tr w:rsidR="003B315D" w:rsidRPr="00BE33FC" w14:paraId="7027A52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322E342"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Department of Transport, Tourism &amp; Sport</w:t>
            </w:r>
          </w:p>
        </w:tc>
        <w:tc>
          <w:tcPr>
            <w:tcW w:w="1258" w:type="dxa"/>
            <w:tcBorders>
              <w:top w:val="nil"/>
              <w:left w:val="nil"/>
              <w:bottom w:val="single" w:sz="4" w:space="0" w:color="auto"/>
              <w:right w:val="single" w:sz="4" w:space="0" w:color="auto"/>
            </w:tcBorders>
            <w:noWrap/>
          </w:tcPr>
          <w:p w14:paraId="7C754AC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486</w:t>
            </w:r>
          </w:p>
        </w:tc>
        <w:tc>
          <w:tcPr>
            <w:tcW w:w="966" w:type="dxa"/>
            <w:gridSpan w:val="2"/>
            <w:tcBorders>
              <w:top w:val="nil"/>
              <w:left w:val="nil"/>
              <w:bottom w:val="single" w:sz="4" w:space="0" w:color="auto"/>
              <w:right w:val="single" w:sz="4" w:space="0" w:color="auto"/>
            </w:tcBorders>
            <w:noWrap/>
          </w:tcPr>
          <w:p w14:paraId="3AC241B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557</w:t>
            </w:r>
          </w:p>
        </w:tc>
        <w:tc>
          <w:tcPr>
            <w:tcW w:w="1023" w:type="dxa"/>
            <w:tcBorders>
              <w:top w:val="nil"/>
              <w:left w:val="nil"/>
              <w:bottom w:val="single" w:sz="4" w:space="0" w:color="auto"/>
              <w:right w:val="single" w:sz="4" w:space="0" w:color="auto"/>
            </w:tcBorders>
            <w:noWrap/>
          </w:tcPr>
          <w:p w14:paraId="495F840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093" w:type="dxa"/>
            <w:gridSpan w:val="2"/>
            <w:tcBorders>
              <w:top w:val="nil"/>
              <w:left w:val="nil"/>
              <w:bottom w:val="single" w:sz="4" w:space="0" w:color="auto"/>
              <w:right w:val="single" w:sz="4" w:space="0" w:color="auto"/>
            </w:tcBorders>
            <w:noWrap/>
          </w:tcPr>
          <w:p w14:paraId="705836F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1005" w:type="dxa"/>
            <w:tcBorders>
              <w:top w:val="nil"/>
              <w:left w:val="nil"/>
              <w:bottom w:val="single" w:sz="4" w:space="0" w:color="auto"/>
              <w:right w:val="single" w:sz="4" w:space="0" w:color="auto"/>
            </w:tcBorders>
            <w:noWrap/>
          </w:tcPr>
          <w:p w14:paraId="03416D5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3.9</w:t>
            </w:r>
          </w:p>
        </w:tc>
        <w:tc>
          <w:tcPr>
            <w:tcW w:w="945" w:type="dxa"/>
            <w:gridSpan w:val="2"/>
            <w:tcBorders>
              <w:top w:val="nil"/>
              <w:left w:val="nil"/>
              <w:bottom w:val="single" w:sz="4" w:space="0" w:color="auto"/>
              <w:right w:val="single" w:sz="4" w:space="0" w:color="auto"/>
            </w:tcBorders>
            <w:noWrap/>
          </w:tcPr>
          <w:p w14:paraId="000C3A5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w:t>
            </w:r>
          </w:p>
        </w:tc>
      </w:tr>
      <w:tr w:rsidR="003B315D" w:rsidRPr="00BE33FC" w14:paraId="5534BA6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3BF7AFD1"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Garda Inspectorate</w:t>
            </w:r>
          </w:p>
        </w:tc>
        <w:tc>
          <w:tcPr>
            <w:tcW w:w="1258" w:type="dxa"/>
            <w:tcBorders>
              <w:top w:val="nil"/>
              <w:left w:val="nil"/>
              <w:bottom w:val="single" w:sz="4" w:space="0" w:color="auto"/>
              <w:right w:val="single" w:sz="4" w:space="0" w:color="auto"/>
            </w:tcBorders>
            <w:noWrap/>
          </w:tcPr>
          <w:p w14:paraId="2820A7F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w:t>
            </w:r>
          </w:p>
        </w:tc>
        <w:tc>
          <w:tcPr>
            <w:tcW w:w="966" w:type="dxa"/>
            <w:gridSpan w:val="2"/>
            <w:tcBorders>
              <w:top w:val="nil"/>
              <w:left w:val="nil"/>
              <w:bottom w:val="single" w:sz="4" w:space="0" w:color="auto"/>
              <w:right w:val="single" w:sz="4" w:space="0" w:color="auto"/>
            </w:tcBorders>
            <w:noWrap/>
          </w:tcPr>
          <w:p w14:paraId="07D95E3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w:t>
            </w:r>
          </w:p>
        </w:tc>
        <w:tc>
          <w:tcPr>
            <w:tcW w:w="1023" w:type="dxa"/>
            <w:tcBorders>
              <w:top w:val="nil"/>
              <w:left w:val="nil"/>
              <w:bottom w:val="single" w:sz="4" w:space="0" w:color="auto"/>
              <w:right w:val="single" w:sz="4" w:space="0" w:color="auto"/>
            </w:tcBorders>
            <w:noWrap/>
          </w:tcPr>
          <w:p w14:paraId="38FF4A0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tcPr>
          <w:p w14:paraId="34C6D7C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05" w:type="dxa"/>
            <w:tcBorders>
              <w:top w:val="nil"/>
              <w:left w:val="nil"/>
              <w:bottom w:val="single" w:sz="4" w:space="0" w:color="auto"/>
              <w:right w:val="single" w:sz="4" w:space="0" w:color="auto"/>
            </w:tcBorders>
            <w:noWrap/>
          </w:tcPr>
          <w:p w14:paraId="4B51288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9.1</w:t>
            </w:r>
          </w:p>
        </w:tc>
        <w:tc>
          <w:tcPr>
            <w:tcW w:w="945" w:type="dxa"/>
            <w:gridSpan w:val="2"/>
            <w:tcBorders>
              <w:top w:val="nil"/>
              <w:left w:val="nil"/>
              <w:bottom w:val="single" w:sz="4" w:space="0" w:color="auto"/>
              <w:right w:val="single" w:sz="4" w:space="0" w:color="auto"/>
            </w:tcBorders>
            <w:noWrap/>
          </w:tcPr>
          <w:p w14:paraId="038D0CE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9.1</w:t>
            </w:r>
          </w:p>
        </w:tc>
      </w:tr>
      <w:tr w:rsidR="003B315D" w:rsidRPr="00BE33FC" w14:paraId="15FBE88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2E0F6DC"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 xml:space="preserve">Garda </w:t>
            </w:r>
            <w:proofErr w:type="gramStart"/>
            <w:r w:rsidRPr="00BE33FC">
              <w:rPr>
                <w:rFonts w:ascii="Gill Sans MT" w:hAnsi="Gill Sans MT" w:cs="Arial"/>
                <w:sz w:val="22"/>
                <w:szCs w:val="22"/>
              </w:rPr>
              <w:t>Síochána  Ombudsman</w:t>
            </w:r>
            <w:proofErr w:type="gramEnd"/>
            <w:r w:rsidRPr="00BE33FC">
              <w:rPr>
                <w:rFonts w:ascii="Gill Sans MT" w:hAnsi="Gill Sans MT" w:cs="Arial"/>
                <w:sz w:val="22"/>
                <w:szCs w:val="22"/>
              </w:rPr>
              <w:t xml:space="preserve"> Commission</w:t>
            </w:r>
          </w:p>
        </w:tc>
        <w:tc>
          <w:tcPr>
            <w:tcW w:w="1258" w:type="dxa"/>
            <w:tcBorders>
              <w:top w:val="nil"/>
              <w:left w:val="nil"/>
              <w:bottom w:val="single" w:sz="4" w:space="0" w:color="auto"/>
              <w:right w:val="single" w:sz="4" w:space="0" w:color="auto"/>
            </w:tcBorders>
            <w:noWrap/>
          </w:tcPr>
          <w:p w14:paraId="6B6B3B2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87</w:t>
            </w:r>
          </w:p>
        </w:tc>
        <w:tc>
          <w:tcPr>
            <w:tcW w:w="966" w:type="dxa"/>
            <w:gridSpan w:val="2"/>
            <w:tcBorders>
              <w:top w:val="nil"/>
              <w:left w:val="nil"/>
              <w:bottom w:val="single" w:sz="4" w:space="0" w:color="auto"/>
              <w:right w:val="single" w:sz="4" w:space="0" w:color="auto"/>
            </w:tcBorders>
            <w:noWrap/>
          </w:tcPr>
          <w:p w14:paraId="0BC909D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92</w:t>
            </w:r>
          </w:p>
        </w:tc>
        <w:tc>
          <w:tcPr>
            <w:tcW w:w="1023" w:type="dxa"/>
            <w:tcBorders>
              <w:top w:val="nil"/>
              <w:left w:val="nil"/>
              <w:bottom w:val="single" w:sz="4" w:space="0" w:color="auto"/>
              <w:right w:val="single" w:sz="4" w:space="0" w:color="auto"/>
            </w:tcBorders>
            <w:noWrap/>
          </w:tcPr>
          <w:p w14:paraId="3A8BE38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93" w:type="dxa"/>
            <w:gridSpan w:val="2"/>
            <w:tcBorders>
              <w:top w:val="nil"/>
              <w:left w:val="nil"/>
              <w:bottom w:val="single" w:sz="4" w:space="0" w:color="auto"/>
              <w:right w:val="single" w:sz="4" w:space="0" w:color="auto"/>
            </w:tcBorders>
            <w:noWrap/>
          </w:tcPr>
          <w:p w14:paraId="23A3E0F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05" w:type="dxa"/>
            <w:tcBorders>
              <w:top w:val="nil"/>
              <w:left w:val="nil"/>
              <w:bottom w:val="single" w:sz="4" w:space="0" w:color="auto"/>
              <w:right w:val="single" w:sz="4" w:space="0" w:color="auto"/>
            </w:tcBorders>
            <w:noWrap/>
          </w:tcPr>
          <w:p w14:paraId="60FA75C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45" w:type="dxa"/>
            <w:gridSpan w:val="2"/>
            <w:tcBorders>
              <w:top w:val="nil"/>
              <w:left w:val="nil"/>
              <w:bottom w:val="single" w:sz="4" w:space="0" w:color="auto"/>
              <w:right w:val="single" w:sz="4" w:space="0" w:color="auto"/>
            </w:tcBorders>
            <w:noWrap/>
          </w:tcPr>
          <w:p w14:paraId="0384BAB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r>
      <w:tr w:rsidR="003B315D" w:rsidRPr="00BE33FC" w14:paraId="393D273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C137786"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Houses of the Oireachtas</w:t>
            </w:r>
          </w:p>
        </w:tc>
        <w:tc>
          <w:tcPr>
            <w:tcW w:w="1258" w:type="dxa"/>
            <w:tcBorders>
              <w:top w:val="nil"/>
              <w:left w:val="nil"/>
              <w:bottom w:val="single" w:sz="4" w:space="0" w:color="auto"/>
              <w:right w:val="single" w:sz="4" w:space="0" w:color="auto"/>
            </w:tcBorders>
            <w:noWrap/>
          </w:tcPr>
          <w:p w14:paraId="11DD47A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560</w:t>
            </w:r>
          </w:p>
        </w:tc>
        <w:tc>
          <w:tcPr>
            <w:tcW w:w="966" w:type="dxa"/>
            <w:gridSpan w:val="2"/>
            <w:tcBorders>
              <w:top w:val="nil"/>
              <w:left w:val="nil"/>
              <w:bottom w:val="single" w:sz="4" w:space="0" w:color="auto"/>
              <w:right w:val="single" w:sz="4" w:space="0" w:color="auto"/>
            </w:tcBorders>
            <w:noWrap/>
          </w:tcPr>
          <w:p w14:paraId="7112311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588</w:t>
            </w:r>
          </w:p>
        </w:tc>
        <w:tc>
          <w:tcPr>
            <w:tcW w:w="1023" w:type="dxa"/>
            <w:tcBorders>
              <w:top w:val="nil"/>
              <w:left w:val="nil"/>
              <w:bottom w:val="single" w:sz="4" w:space="0" w:color="auto"/>
              <w:right w:val="single" w:sz="4" w:space="0" w:color="auto"/>
            </w:tcBorders>
            <w:noWrap/>
          </w:tcPr>
          <w:p w14:paraId="61F17F3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93" w:type="dxa"/>
            <w:gridSpan w:val="2"/>
            <w:tcBorders>
              <w:top w:val="nil"/>
              <w:left w:val="nil"/>
              <w:bottom w:val="single" w:sz="4" w:space="0" w:color="auto"/>
              <w:right w:val="single" w:sz="4" w:space="0" w:color="auto"/>
            </w:tcBorders>
            <w:noWrap/>
          </w:tcPr>
          <w:p w14:paraId="08AA4E9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05" w:type="dxa"/>
            <w:tcBorders>
              <w:top w:val="nil"/>
              <w:left w:val="nil"/>
              <w:bottom w:val="single" w:sz="4" w:space="0" w:color="auto"/>
              <w:right w:val="single" w:sz="4" w:space="0" w:color="auto"/>
            </w:tcBorders>
            <w:noWrap/>
          </w:tcPr>
          <w:p w14:paraId="089639D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tcPr>
          <w:p w14:paraId="0634F8E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26142B4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A16EB8E"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Insolvency Service of Ireland</w:t>
            </w:r>
          </w:p>
        </w:tc>
        <w:tc>
          <w:tcPr>
            <w:tcW w:w="1258" w:type="dxa"/>
            <w:tcBorders>
              <w:top w:val="nil"/>
              <w:left w:val="nil"/>
              <w:bottom w:val="single" w:sz="4" w:space="0" w:color="auto"/>
              <w:right w:val="single" w:sz="4" w:space="0" w:color="auto"/>
            </w:tcBorders>
            <w:noWrap/>
          </w:tcPr>
          <w:p w14:paraId="5C57A0B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81</w:t>
            </w:r>
          </w:p>
        </w:tc>
        <w:tc>
          <w:tcPr>
            <w:tcW w:w="966" w:type="dxa"/>
            <w:gridSpan w:val="2"/>
            <w:tcBorders>
              <w:top w:val="nil"/>
              <w:left w:val="nil"/>
              <w:bottom w:val="single" w:sz="4" w:space="0" w:color="auto"/>
              <w:right w:val="single" w:sz="4" w:space="0" w:color="auto"/>
            </w:tcBorders>
            <w:noWrap/>
          </w:tcPr>
          <w:p w14:paraId="28BD8FA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81</w:t>
            </w:r>
          </w:p>
        </w:tc>
        <w:tc>
          <w:tcPr>
            <w:tcW w:w="1023" w:type="dxa"/>
            <w:tcBorders>
              <w:top w:val="nil"/>
              <w:left w:val="nil"/>
              <w:bottom w:val="single" w:sz="4" w:space="0" w:color="auto"/>
              <w:right w:val="single" w:sz="4" w:space="0" w:color="auto"/>
            </w:tcBorders>
            <w:noWrap/>
          </w:tcPr>
          <w:p w14:paraId="0B3DE21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93" w:type="dxa"/>
            <w:gridSpan w:val="2"/>
            <w:tcBorders>
              <w:top w:val="nil"/>
              <w:left w:val="nil"/>
              <w:bottom w:val="single" w:sz="4" w:space="0" w:color="auto"/>
              <w:right w:val="single" w:sz="4" w:space="0" w:color="auto"/>
            </w:tcBorders>
            <w:noWrap/>
          </w:tcPr>
          <w:p w14:paraId="6016C0E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05" w:type="dxa"/>
            <w:tcBorders>
              <w:top w:val="nil"/>
              <w:left w:val="nil"/>
              <w:bottom w:val="single" w:sz="4" w:space="0" w:color="auto"/>
              <w:right w:val="single" w:sz="4" w:space="0" w:color="auto"/>
            </w:tcBorders>
            <w:noWrap/>
          </w:tcPr>
          <w:p w14:paraId="63F33B2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c>
          <w:tcPr>
            <w:tcW w:w="945" w:type="dxa"/>
            <w:gridSpan w:val="2"/>
            <w:tcBorders>
              <w:top w:val="nil"/>
              <w:left w:val="nil"/>
              <w:bottom w:val="single" w:sz="4" w:space="0" w:color="auto"/>
              <w:right w:val="single" w:sz="4" w:space="0" w:color="auto"/>
            </w:tcBorders>
            <w:noWrap/>
          </w:tcPr>
          <w:p w14:paraId="0530395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6688F4A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ECCFB8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International Protection Appeals Tribunal</w:t>
            </w:r>
          </w:p>
        </w:tc>
        <w:tc>
          <w:tcPr>
            <w:tcW w:w="1258" w:type="dxa"/>
            <w:tcBorders>
              <w:top w:val="nil"/>
              <w:left w:val="nil"/>
              <w:bottom w:val="single" w:sz="4" w:space="0" w:color="auto"/>
              <w:right w:val="single" w:sz="4" w:space="0" w:color="auto"/>
            </w:tcBorders>
            <w:noWrap/>
          </w:tcPr>
          <w:p w14:paraId="48D9BDA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42</w:t>
            </w:r>
          </w:p>
        </w:tc>
        <w:tc>
          <w:tcPr>
            <w:tcW w:w="966" w:type="dxa"/>
            <w:gridSpan w:val="2"/>
            <w:tcBorders>
              <w:top w:val="nil"/>
              <w:left w:val="nil"/>
              <w:bottom w:val="single" w:sz="4" w:space="0" w:color="auto"/>
              <w:right w:val="single" w:sz="4" w:space="0" w:color="auto"/>
            </w:tcBorders>
            <w:noWrap/>
          </w:tcPr>
          <w:p w14:paraId="644ECE6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42</w:t>
            </w:r>
          </w:p>
        </w:tc>
        <w:tc>
          <w:tcPr>
            <w:tcW w:w="1023" w:type="dxa"/>
            <w:tcBorders>
              <w:top w:val="nil"/>
              <w:left w:val="nil"/>
              <w:bottom w:val="single" w:sz="4" w:space="0" w:color="auto"/>
              <w:right w:val="single" w:sz="4" w:space="0" w:color="auto"/>
            </w:tcBorders>
            <w:noWrap/>
          </w:tcPr>
          <w:p w14:paraId="3E50E12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93" w:type="dxa"/>
            <w:gridSpan w:val="2"/>
            <w:tcBorders>
              <w:top w:val="nil"/>
              <w:left w:val="nil"/>
              <w:bottom w:val="single" w:sz="4" w:space="0" w:color="auto"/>
              <w:right w:val="single" w:sz="4" w:space="0" w:color="auto"/>
            </w:tcBorders>
            <w:noWrap/>
          </w:tcPr>
          <w:p w14:paraId="3FDA03D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05" w:type="dxa"/>
            <w:tcBorders>
              <w:top w:val="nil"/>
              <w:left w:val="nil"/>
              <w:bottom w:val="single" w:sz="4" w:space="0" w:color="auto"/>
              <w:right w:val="single" w:sz="4" w:space="0" w:color="auto"/>
            </w:tcBorders>
            <w:noWrap/>
          </w:tcPr>
          <w:p w14:paraId="29D2EA5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w:t>
            </w:r>
          </w:p>
        </w:tc>
        <w:tc>
          <w:tcPr>
            <w:tcW w:w="945" w:type="dxa"/>
            <w:gridSpan w:val="2"/>
            <w:tcBorders>
              <w:top w:val="nil"/>
              <w:left w:val="nil"/>
              <w:bottom w:val="single" w:sz="4" w:space="0" w:color="auto"/>
              <w:right w:val="single" w:sz="4" w:space="0" w:color="auto"/>
            </w:tcBorders>
            <w:noWrap/>
          </w:tcPr>
          <w:p w14:paraId="1B74AFC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w:t>
            </w:r>
          </w:p>
        </w:tc>
      </w:tr>
      <w:tr w:rsidR="003B315D" w:rsidRPr="00BE33FC" w14:paraId="0DB5005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F1FB3AB"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International Protection Office</w:t>
            </w:r>
          </w:p>
        </w:tc>
        <w:tc>
          <w:tcPr>
            <w:tcW w:w="1258" w:type="dxa"/>
            <w:tcBorders>
              <w:top w:val="nil"/>
              <w:left w:val="nil"/>
              <w:bottom w:val="single" w:sz="4" w:space="0" w:color="auto"/>
              <w:right w:val="single" w:sz="4" w:space="0" w:color="auto"/>
            </w:tcBorders>
            <w:noWrap/>
          </w:tcPr>
          <w:p w14:paraId="6E3C75A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139</w:t>
            </w:r>
          </w:p>
        </w:tc>
        <w:tc>
          <w:tcPr>
            <w:tcW w:w="966" w:type="dxa"/>
            <w:gridSpan w:val="2"/>
            <w:tcBorders>
              <w:top w:val="nil"/>
              <w:left w:val="nil"/>
              <w:bottom w:val="single" w:sz="4" w:space="0" w:color="auto"/>
              <w:right w:val="single" w:sz="4" w:space="0" w:color="auto"/>
            </w:tcBorders>
            <w:noWrap/>
          </w:tcPr>
          <w:p w14:paraId="207A229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139</w:t>
            </w:r>
          </w:p>
        </w:tc>
        <w:tc>
          <w:tcPr>
            <w:tcW w:w="1023" w:type="dxa"/>
            <w:tcBorders>
              <w:top w:val="nil"/>
              <w:left w:val="nil"/>
              <w:bottom w:val="single" w:sz="4" w:space="0" w:color="auto"/>
              <w:right w:val="single" w:sz="4" w:space="0" w:color="auto"/>
            </w:tcBorders>
            <w:noWrap/>
          </w:tcPr>
          <w:p w14:paraId="088CF69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93" w:type="dxa"/>
            <w:gridSpan w:val="2"/>
            <w:tcBorders>
              <w:top w:val="nil"/>
              <w:left w:val="nil"/>
              <w:bottom w:val="single" w:sz="4" w:space="0" w:color="auto"/>
              <w:right w:val="single" w:sz="4" w:space="0" w:color="auto"/>
            </w:tcBorders>
            <w:noWrap/>
          </w:tcPr>
          <w:p w14:paraId="22DD81A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05" w:type="dxa"/>
            <w:tcBorders>
              <w:top w:val="nil"/>
              <w:left w:val="nil"/>
              <w:bottom w:val="single" w:sz="4" w:space="0" w:color="auto"/>
              <w:right w:val="single" w:sz="4" w:space="0" w:color="auto"/>
            </w:tcBorders>
            <w:noWrap/>
          </w:tcPr>
          <w:p w14:paraId="26C3F2B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5.8</w:t>
            </w:r>
          </w:p>
        </w:tc>
        <w:tc>
          <w:tcPr>
            <w:tcW w:w="945" w:type="dxa"/>
            <w:gridSpan w:val="2"/>
            <w:tcBorders>
              <w:top w:val="nil"/>
              <w:left w:val="nil"/>
              <w:bottom w:val="single" w:sz="4" w:space="0" w:color="auto"/>
              <w:right w:val="single" w:sz="4" w:space="0" w:color="auto"/>
            </w:tcBorders>
            <w:noWrap/>
          </w:tcPr>
          <w:p w14:paraId="4642DA1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5.8</w:t>
            </w:r>
          </w:p>
        </w:tc>
      </w:tr>
      <w:tr w:rsidR="003B315D" w:rsidRPr="00BE33FC" w14:paraId="03CD886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3D9EF1A"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lastRenderedPageBreak/>
              <w:t>Irish Film Classification Office</w:t>
            </w:r>
          </w:p>
        </w:tc>
        <w:tc>
          <w:tcPr>
            <w:tcW w:w="1258" w:type="dxa"/>
            <w:tcBorders>
              <w:top w:val="nil"/>
              <w:left w:val="nil"/>
              <w:bottom w:val="single" w:sz="4" w:space="0" w:color="auto"/>
              <w:right w:val="single" w:sz="4" w:space="0" w:color="auto"/>
            </w:tcBorders>
            <w:noWrap/>
          </w:tcPr>
          <w:p w14:paraId="0AB6A3D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966" w:type="dxa"/>
            <w:gridSpan w:val="2"/>
            <w:tcBorders>
              <w:top w:val="nil"/>
              <w:left w:val="nil"/>
              <w:bottom w:val="single" w:sz="4" w:space="0" w:color="auto"/>
              <w:right w:val="single" w:sz="4" w:space="0" w:color="auto"/>
            </w:tcBorders>
            <w:noWrap/>
          </w:tcPr>
          <w:p w14:paraId="1BB76E0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023" w:type="dxa"/>
            <w:tcBorders>
              <w:top w:val="nil"/>
              <w:left w:val="nil"/>
              <w:bottom w:val="single" w:sz="4" w:space="0" w:color="auto"/>
              <w:right w:val="single" w:sz="4" w:space="0" w:color="auto"/>
            </w:tcBorders>
            <w:noWrap/>
          </w:tcPr>
          <w:p w14:paraId="6703F77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tcPr>
          <w:p w14:paraId="1E39D85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2C2E47D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tcPr>
          <w:p w14:paraId="0686FE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0B469E5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EF7848D"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Irish Human Rights and Equality Commission</w:t>
            </w:r>
          </w:p>
        </w:tc>
        <w:tc>
          <w:tcPr>
            <w:tcW w:w="1258" w:type="dxa"/>
            <w:tcBorders>
              <w:top w:val="nil"/>
              <w:left w:val="nil"/>
              <w:bottom w:val="single" w:sz="4" w:space="0" w:color="auto"/>
              <w:right w:val="single" w:sz="4" w:space="0" w:color="auto"/>
            </w:tcBorders>
            <w:noWrap/>
          </w:tcPr>
          <w:p w14:paraId="78A515F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966" w:type="dxa"/>
            <w:gridSpan w:val="2"/>
            <w:tcBorders>
              <w:top w:val="nil"/>
              <w:left w:val="nil"/>
              <w:bottom w:val="single" w:sz="4" w:space="0" w:color="auto"/>
              <w:right w:val="single" w:sz="4" w:space="0" w:color="auto"/>
            </w:tcBorders>
            <w:noWrap/>
          </w:tcPr>
          <w:p w14:paraId="7047E78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1023" w:type="dxa"/>
            <w:tcBorders>
              <w:top w:val="nil"/>
              <w:left w:val="nil"/>
              <w:bottom w:val="single" w:sz="4" w:space="0" w:color="auto"/>
              <w:right w:val="single" w:sz="4" w:space="0" w:color="auto"/>
            </w:tcBorders>
            <w:noWrap/>
          </w:tcPr>
          <w:p w14:paraId="11897D8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93" w:type="dxa"/>
            <w:gridSpan w:val="2"/>
            <w:tcBorders>
              <w:top w:val="nil"/>
              <w:left w:val="nil"/>
              <w:bottom w:val="single" w:sz="4" w:space="0" w:color="auto"/>
              <w:right w:val="single" w:sz="4" w:space="0" w:color="auto"/>
            </w:tcBorders>
            <w:noWrap/>
          </w:tcPr>
          <w:p w14:paraId="62A0B3E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05" w:type="dxa"/>
            <w:tcBorders>
              <w:top w:val="nil"/>
              <w:left w:val="nil"/>
              <w:bottom w:val="single" w:sz="4" w:space="0" w:color="auto"/>
              <w:right w:val="single" w:sz="4" w:space="0" w:color="auto"/>
            </w:tcBorders>
            <w:noWrap/>
          </w:tcPr>
          <w:p w14:paraId="4A2175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11.1</w:t>
            </w:r>
          </w:p>
        </w:tc>
        <w:tc>
          <w:tcPr>
            <w:tcW w:w="945" w:type="dxa"/>
            <w:gridSpan w:val="2"/>
            <w:tcBorders>
              <w:top w:val="nil"/>
              <w:left w:val="nil"/>
              <w:bottom w:val="single" w:sz="4" w:space="0" w:color="auto"/>
              <w:right w:val="single" w:sz="4" w:space="0" w:color="auto"/>
            </w:tcBorders>
            <w:noWrap/>
          </w:tcPr>
          <w:p w14:paraId="00A31418"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2.2</w:t>
            </w:r>
          </w:p>
        </w:tc>
      </w:tr>
      <w:tr w:rsidR="003B315D" w:rsidRPr="00BE33FC" w14:paraId="0B4EFAA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F35E765" w14:textId="77777777" w:rsidR="003B315D" w:rsidRPr="00BE33FC" w:rsidRDefault="003B315D" w:rsidP="006D697C">
            <w:pPr>
              <w:spacing w:line="240" w:lineRule="auto"/>
              <w:rPr>
                <w:rFonts w:ascii="Gill Sans MT" w:hAnsi="Gill Sans MT"/>
                <w:color w:val="000000"/>
                <w:sz w:val="22"/>
                <w:szCs w:val="22"/>
                <w:lang w:eastAsia="en-IE"/>
              </w:rPr>
            </w:pPr>
            <w:r w:rsidRPr="00BE33FC">
              <w:rPr>
                <w:rFonts w:ascii="Gill Sans MT" w:hAnsi="Gill Sans MT" w:cs="Arial"/>
                <w:sz w:val="22"/>
                <w:szCs w:val="22"/>
              </w:rPr>
              <w:t>Law Reform Commission</w:t>
            </w:r>
          </w:p>
        </w:tc>
        <w:tc>
          <w:tcPr>
            <w:tcW w:w="1258" w:type="dxa"/>
            <w:tcBorders>
              <w:top w:val="nil"/>
              <w:left w:val="nil"/>
              <w:bottom w:val="single" w:sz="4" w:space="0" w:color="auto"/>
              <w:right w:val="single" w:sz="4" w:space="0" w:color="auto"/>
            </w:tcBorders>
            <w:noWrap/>
          </w:tcPr>
          <w:p w14:paraId="41FAE6F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966" w:type="dxa"/>
            <w:gridSpan w:val="2"/>
            <w:tcBorders>
              <w:top w:val="nil"/>
              <w:left w:val="nil"/>
              <w:bottom w:val="single" w:sz="4" w:space="0" w:color="auto"/>
              <w:right w:val="single" w:sz="4" w:space="0" w:color="auto"/>
            </w:tcBorders>
            <w:noWrap/>
          </w:tcPr>
          <w:p w14:paraId="517B8F0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1023" w:type="dxa"/>
            <w:tcBorders>
              <w:top w:val="nil"/>
              <w:left w:val="nil"/>
              <w:bottom w:val="single" w:sz="4" w:space="0" w:color="auto"/>
              <w:right w:val="single" w:sz="4" w:space="0" w:color="auto"/>
            </w:tcBorders>
            <w:noWrap/>
          </w:tcPr>
          <w:p w14:paraId="0C2BA48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tcPr>
          <w:p w14:paraId="015317A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6BBFF26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945" w:type="dxa"/>
            <w:gridSpan w:val="2"/>
            <w:tcBorders>
              <w:top w:val="nil"/>
              <w:left w:val="nil"/>
              <w:bottom w:val="single" w:sz="4" w:space="0" w:color="auto"/>
              <w:right w:val="single" w:sz="4" w:space="0" w:color="auto"/>
            </w:tcBorders>
            <w:noWrap/>
          </w:tcPr>
          <w:p w14:paraId="3DC3603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28002EB8"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FF3400B"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Legal Aid Board</w:t>
            </w:r>
          </w:p>
        </w:tc>
        <w:tc>
          <w:tcPr>
            <w:tcW w:w="1258" w:type="dxa"/>
            <w:tcBorders>
              <w:top w:val="nil"/>
              <w:left w:val="nil"/>
              <w:bottom w:val="single" w:sz="4" w:space="0" w:color="auto"/>
              <w:right w:val="single" w:sz="4" w:space="0" w:color="auto"/>
            </w:tcBorders>
            <w:noWrap/>
          </w:tcPr>
          <w:p w14:paraId="61ECE29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483</w:t>
            </w:r>
          </w:p>
        </w:tc>
        <w:tc>
          <w:tcPr>
            <w:tcW w:w="966" w:type="dxa"/>
            <w:gridSpan w:val="2"/>
            <w:tcBorders>
              <w:top w:val="nil"/>
              <w:left w:val="nil"/>
              <w:bottom w:val="single" w:sz="4" w:space="0" w:color="auto"/>
              <w:right w:val="single" w:sz="4" w:space="0" w:color="auto"/>
            </w:tcBorders>
            <w:noWrap/>
          </w:tcPr>
          <w:p w14:paraId="57BE0A7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484</w:t>
            </w:r>
          </w:p>
        </w:tc>
        <w:tc>
          <w:tcPr>
            <w:tcW w:w="1023" w:type="dxa"/>
            <w:tcBorders>
              <w:top w:val="nil"/>
              <w:left w:val="nil"/>
              <w:bottom w:val="single" w:sz="4" w:space="0" w:color="auto"/>
              <w:right w:val="single" w:sz="4" w:space="0" w:color="auto"/>
            </w:tcBorders>
            <w:noWrap/>
          </w:tcPr>
          <w:p w14:paraId="30A4F70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1093" w:type="dxa"/>
            <w:gridSpan w:val="2"/>
            <w:tcBorders>
              <w:top w:val="nil"/>
              <w:left w:val="nil"/>
              <w:bottom w:val="single" w:sz="4" w:space="0" w:color="auto"/>
              <w:right w:val="single" w:sz="4" w:space="0" w:color="auto"/>
            </w:tcBorders>
            <w:noWrap/>
          </w:tcPr>
          <w:p w14:paraId="43A5F2C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1005" w:type="dxa"/>
            <w:tcBorders>
              <w:top w:val="nil"/>
              <w:left w:val="nil"/>
              <w:bottom w:val="single" w:sz="4" w:space="0" w:color="auto"/>
              <w:right w:val="single" w:sz="4" w:space="0" w:color="auto"/>
            </w:tcBorders>
            <w:noWrap/>
          </w:tcPr>
          <w:p w14:paraId="505EB1D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c>
          <w:tcPr>
            <w:tcW w:w="945" w:type="dxa"/>
            <w:gridSpan w:val="2"/>
            <w:tcBorders>
              <w:top w:val="nil"/>
              <w:left w:val="nil"/>
              <w:bottom w:val="single" w:sz="4" w:space="0" w:color="auto"/>
              <w:right w:val="single" w:sz="4" w:space="0" w:color="auto"/>
            </w:tcBorders>
            <w:noWrap/>
          </w:tcPr>
          <w:p w14:paraId="5BD8D21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73FA638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A0D2070"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National Council for Curriculum &amp; Assessment</w:t>
            </w:r>
          </w:p>
        </w:tc>
        <w:tc>
          <w:tcPr>
            <w:tcW w:w="1258" w:type="dxa"/>
            <w:tcBorders>
              <w:top w:val="nil"/>
              <w:left w:val="nil"/>
              <w:bottom w:val="single" w:sz="4" w:space="0" w:color="auto"/>
              <w:right w:val="single" w:sz="4" w:space="0" w:color="auto"/>
            </w:tcBorders>
            <w:noWrap/>
          </w:tcPr>
          <w:p w14:paraId="54A2292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42</w:t>
            </w:r>
          </w:p>
        </w:tc>
        <w:tc>
          <w:tcPr>
            <w:tcW w:w="966" w:type="dxa"/>
            <w:gridSpan w:val="2"/>
            <w:tcBorders>
              <w:top w:val="nil"/>
              <w:left w:val="nil"/>
              <w:bottom w:val="single" w:sz="4" w:space="0" w:color="auto"/>
              <w:right w:val="single" w:sz="4" w:space="0" w:color="auto"/>
            </w:tcBorders>
            <w:noWrap/>
          </w:tcPr>
          <w:p w14:paraId="6C10928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1023" w:type="dxa"/>
            <w:tcBorders>
              <w:top w:val="nil"/>
              <w:left w:val="nil"/>
              <w:bottom w:val="single" w:sz="4" w:space="0" w:color="auto"/>
              <w:right w:val="single" w:sz="4" w:space="0" w:color="auto"/>
            </w:tcBorders>
            <w:noWrap/>
          </w:tcPr>
          <w:p w14:paraId="52D33AE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93" w:type="dxa"/>
            <w:gridSpan w:val="2"/>
            <w:tcBorders>
              <w:top w:val="nil"/>
              <w:left w:val="nil"/>
              <w:bottom w:val="single" w:sz="4" w:space="0" w:color="auto"/>
              <w:right w:val="single" w:sz="4" w:space="0" w:color="auto"/>
            </w:tcBorders>
            <w:noWrap/>
          </w:tcPr>
          <w:p w14:paraId="0C88CBA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05" w:type="dxa"/>
            <w:tcBorders>
              <w:top w:val="nil"/>
              <w:left w:val="nil"/>
              <w:bottom w:val="single" w:sz="4" w:space="0" w:color="auto"/>
              <w:right w:val="single" w:sz="4" w:space="0" w:color="auto"/>
            </w:tcBorders>
            <w:noWrap/>
          </w:tcPr>
          <w:p w14:paraId="76F97D9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7.1</w:t>
            </w:r>
          </w:p>
        </w:tc>
        <w:tc>
          <w:tcPr>
            <w:tcW w:w="945" w:type="dxa"/>
            <w:gridSpan w:val="2"/>
            <w:tcBorders>
              <w:top w:val="nil"/>
              <w:left w:val="nil"/>
              <w:bottom w:val="single" w:sz="4" w:space="0" w:color="auto"/>
              <w:right w:val="single" w:sz="4" w:space="0" w:color="auto"/>
            </w:tcBorders>
            <w:noWrap/>
          </w:tcPr>
          <w:p w14:paraId="5C52EA7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6.8</w:t>
            </w:r>
          </w:p>
        </w:tc>
      </w:tr>
      <w:tr w:rsidR="003B315D" w:rsidRPr="00BE33FC" w14:paraId="791E835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7C9DD28"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National Council for Special Education</w:t>
            </w:r>
          </w:p>
        </w:tc>
        <w:tc>
          <w:tcPr>
            <w:tcW w:w="1258" w:type="dxa"/>
            <w:tcBorders>
              <w:top w:val="nil"/>
              <w:left w:val="nil"/>
              <w:bottom w:val="single" w:sz="4" w:space="0" w:color="auto"/>
              <w:right w:val="single" w:sz="4" w:space="0" w:color="auto"/>
            </w:tcBorders>
            <w:noWrap/>
          </w:tcPr>
          <w:p w14:paraId="4636259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100</w:t>
            </w:r>
          </w:p>
        </w:tc>
        <w:tc>
          <w:tcPr>
            <w:tcW w:w="966" w:type="dxa"/>
            <w:gridSpan w:val="2"/>
            <w:tcBorders>
              <w:top w:val="nil"/>
              <w:left w:val="nil"/>
              <w:bottom w:val="single" w:sz="4" w:space="0" w:color="auto"/>
              <w:right w:val="single" w:sz="4" w:space="0" w:color="auto"/>
            </w:tcBorders>
            <w:noWrap/>
          </w:tcPr>
          <w:p w14:paraId="264C03F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101</w:t>
            </w:r>
          </w:p>
        </w:tc>
        <w:tc>
          <w:tcPr>
            <w:tcW w:w="1023" w:type="dxa"/>
            <w:tcBorders>
              <w:top w:val="nil"/>
              <w:left w:val="nil"/>
              <w:bottom w:val="single" w:sz="4" w:space="0" w:color="auto"/>
              <w:right w:val="single" w:sz="4" w:space="0" w:color="auto"/>
            </w:tcBorders>
            <w:noWrap/>
          </w:tcPr>
          <w:p w14:paraId="4D400D5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93" w:type="dxa"/>
            <w:gridSpan w:val="2"/>
            <w:tcBorders>
              <w:top w:val="nil"/>
              <w:left w:val="nil"/>
              <w:bottom w:val="single" w:sz="4" w:space="0" w:color="auto"/>
              <w:right w:val="single" w:sz="4" w:space="0" w:color="auto"/>
            </w:tcBorders>
            <w:noWrap/>
          </w:tcPr>
          <w:p w14:paraId="2D4CA5D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05" w:type="dxa"/>
            <w:tcBorders>
              <w:top w:val="nil"/>
              <w:left w:val="nil"/>
              <w:bottom w:val="single" w:sz="4" w:space="0" w:color="auto"/>
              <w:right w:val="single" w:sz="4" w:space="0" w:color="auto"/>
            </w:tcBorders>
            <w:noWrap/>
          </w:tcPr>
          <w:p w14:paraId="7081E2E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5.0</w:t>
            </w:r>
          </w:p>
        </w:tc>
        <w:tc>
          <w:tcPr>
            <w:tcW w:w="945" w:type="dxa"/>
            <w:gridSpan w:val="2"/>
            <w:tcBorders>
              <w:top w:val="nil"/>
              <w:left w:val="nil"/>
              <w:bottom w:val="single" w:sz="4" w:space="0" w:color="auto"/>
              <w:right w:val="single" w:sz="4" w:space="0" w:color="auto"/>
            </w:tcBorders>
            <w:noWrap/>
          </w:tcPr>
          <w:p w14:paraId="41EB40B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5.0</w:t>
            </w:r>
          </w:p>
        </w:tc>
      </w:tr>
      <w:tr w:rsidR="003B315D" w:rsidRPr="00BE33FC" w14:paraId="23BA0664"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2A0CEA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National Property Services Regulatory Authority</w:t>
            </w:r>
          </w:p>
        </w:tc>
        <w:tc>
          <w:tcPr>
            <w:tcW w:w="1258" w:type="dxa"/>
            <w:tcBorders>
              <w:top w:val="nil"/>
              <w:left w:val="nil"/>
              <w:bottom w:val="single" w:sz="4" w:space="0" w:color="auto"/>
              <w:right w:val="single" w:sz="4" w:space="0" w:color="auto"/>
            </w:tcBorders>
            <w:noWrap/>
          </w:tcPr>
          <w:p w14:paraId="0E2401C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966" w:type="dxa"/>
            <w:gridSpan w:val="2"/>
            <w:tcBorders>
              <w:top w:val="nil"/>
              <w:left w:val="nil"/>
              <w:bottom w:val="single" w:sz="4" w:space="0" w:color="auto"/>
              <w:right w:val="single" w:sz="4" w:space="0" w:color="auto"/>
            </w:tcBorders>
            <w:noWrap/>
          </w:tcPr>
          <w:p w14:paraId="166522D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023" w:type="dxa"/>
            <w:tcBorders>
              <w:top w:val="nil"/>
              <w:left w:val="nil"/>
              <w:bottom w:val="single" w:sz="4" w:space="0" w:color="auto"/>
              <w:right w:val="single" w:sz="4" w:space="0" w:color="auto"/>
            </w:tcBorders>
            <w:noWrap/>
          </w:tcPr>
          <w:p w14:paraId="40F622A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tcPr>
          <w:p w14:paraId="3D9CB3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05" w:type="dxa"/>
            <w:tcBorders>
              <w:top w:val="nil"/>
              <w:left w:val="nil"/>
              <w:bottom w:val="single" w:sz="4" w:space="0" w:color="auto"/>
              <w:right w:val="single" w:sz="4" w:space="0" w:color="auto"/>
            </w:tcBorders>
            <w:noWrap/>
          </w:tcPr>
          <w:p w14:paraId="3F8E6ED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45" w:type="dxa"/>
            <w:gridSpan w:val="2"/>
            <w:tcBorders>
              <w:top w:val="nil"/>
              <w:left w:val="nil"/>
              <w:bottom w:val="single" w:sz="4" w:space="0" w:color="auto"/>
              <w:right w:val="single" w:sz="4" w:space="0" w:color="auto"/>
            </w:tcBorders>
            <w:noWrap/>
          </w:tcPr>
          <w:p w14:paraId="563E0105" w14:textId="38C5B21C" w:rsidR="003B315D" w:rsidRPr="00BE33FC" w:rsidRDefault="003B315D" w:rsidP="007D7821">
            <w:pPr>
              <w:jc w:val="right"/>
              <w:rPr>
                <w:rFonts w:ascii="Gill Sans MT" w:hAnsi="Gill Sans MT"/>
                <w:color w:val="000000"/>
                <w:sz w:val="22"/>
                <w:szCs w:val="22"/>
                <w:lang w:eastAsia="en-IE"/>
              </w:rPr>
            </w:pPr>
            <w:r w:rsidRPr="00BE33FC">
              <w:rPr>
                <w:rFonts w:ascii="Gill Sans MT" w:hAnsi="Gill Sans MT" w:cs="Arial"/>
                <w:sz w:val="22"/>
                <w:szCs w:val="22"/>
              </w:rPr>
              <w:t>3.</w:t>
            </w:r>
            <w:r w:rsidR="0020529F">
              <w:rPr>
                <w:rFonts w:ascii="Gill Sans MT" w:hAnsi="Gill Sans MT" w:cs="Arial"/>
                <w:sz w:val="22"/>
                <w:szCs w:val="22"/>
              </w:rPr>
              <w:t>4</w:t>
            </w:r>
          </w:p>
        </w:tc>
      </w:tr>
      <w:tr w:rsidR="003B315D" w:rsidRPr="00BE33FC" w14:paraId="4C87A825"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3294018C" w14:textId="77777777" w:rsidR="003B315D" w:rsidRPr="00BE33FC" w:rsidRDefault="003B315D" w:rsidP="006D697C">
            <w:pPr>
              <w:spacing w:line="240" w:lineRule="auto"/>
              <w:rPr>
                <w:rFonts w:ascii="Gill Sans MT" w:hAnsi="Gill Sans MT"/>
                <w:b/>
                <w:color w:val="000000"/>
                <w:sz w:val="22"/>
                <w:szCs w:val="22"/>
                <w:lang w:eastAsia="en-IE"/>
              </w:rPr>
            </w:pPr>
            <w:r w:rsidRPr="00BE33FC">
              <w:rPr>
                <w:rFonts w:ascii="Gill Sans MT" w:hAnsi="Gill Sans MT" w:cs="Arial"/>
                <w:sz w:val="22"/>
                <w:szCs w:val="22"/>
              </w:rPr>
              <w:t>National Shared Services Office</w:t>
            </w:r>
          </w:p>
        </w:tc>
        <w:tc>
          <w:tcPr>
            <w:tcW w:w="1258" w:type="dxa"/>
            <w:tcBorders>
              <w:top w:val="nil"/>
              <w:left w:val="nil"/>
              <w:bottom w:val="single" w:sz="4" w:space="0" w:color="auto"/>
              <w:right w:val="single" w:sz="4" w:space="0" w:color="auto"/>
            </w:tcBorders>
            <w:noWrap/>
          </w:tcPr>
          <w:p w14:paraId="730C1BD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750</w:t>
            </w:r>
          </w:p>
        </w:tc>
        <w:tc>
          <w:tcPr>
            <w:tcW w:w="966" w:type="dxa"/>
            <w:gridSpan w:val="2"/>
            <w:tcBorders>
              <w:top w:val="nil"/>
              <w:left w:val="nil"/>
              <w:bottom w:val="single" w:sz="4" w:space="0" w:color="auto"/>
              <w:right w:val="single" w:sz="4" w:space="0" w:color="auto"/>
            </w:tcBorders>
            <w:noWrap/>
          </w:tcPr>
          <w:p w14:paraId="3294177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775</w:t>
            </w:r>
          </w:p>
        </w:tc>
        <w:tc>
          <w:tcPr>
            <w:tcW w:w="1023" w:type="dxa"/>
            <w:tcBorders>
              <w:top w:val="nil"/>
              <w:left w:val="nil"/>
              <w:bottom w:val="single" w:sz="4" w:space="0" w:color="auto"/>
              <w:right w:val="single" w:sz="4" w:space="0" w:color="auto"/>
            </w:tcBorders>
            <w:noWrap/>
          </w:tcPr>
          <w:p w14:paraId="7654F17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1093" w:type="dxa"/>
            <w:gridSpan w:val="2"/>
            <w:tcBorders>
              <w:top w:val="nil"/>
              <w:left w:val="nil"/>
              <w:bottom w:val="single" w:sz="4" w:space="0" w:color="auto"/>
              <w:right w:val="single" w:sz="4" w:space="0" w:color="auto"/>
            </w:tcBorders>
            <w:noWrap/>
          </w:tcPr>
          <w:p w14:paraId="33C150A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05" w:type="dxa"/>
            <w:tcBorders>
              <w:top w:val="nil"/>
              <w:left w:val="nil"/>
              <w:bottom w:val="single" w:sz="4" w:space="0" w:color="auto"/>
              <w:right w:val="single" w:sz="4" w:space="0" w:color="auto"/>
            </w:tcBorders>
            <w:noWrap/>
          </w:tcPr>
          <w:p w14:paraId="1A3F130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4.7</w:t>
            </w:r>
          </w:p>
        </w:tc>
        <w:tc>
          <w:tcPr>
            <w:tcW w:w="945" w:type="dxa"/>
            <w:gridSpan w:val="2"/>
            <w:tcBorders>
              <w:top w:val="nil"/>
              <w:left w:val="nil"/>
              <w:bottom w:val="single" w:sz="4" w:space="0" w:color="auto"/>
              <w:right w:val="single" w:sz="4" w:space="0" w:color="auto"/>
            </w:tcBorders>
            <w:noWrap/>
          </w:tcPr>
          <w:p w14:paraId="00C97B3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3.0</w:t>
            </w:r>
          </w:p>
        </w:tc>
      </w:tr>
      <w:tr w:rsidR="003B315D" w:rsidRPr="00BE33FC" w14:paraId="661DD986"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B4A66C4" w14:textId="77777777" w:rsidR="003B315D" w:rsidRPr="00BE33FC" w:rsidRDefault="003B315D" w:rsidP="006D697C">
            <w:pPr>
              <w:spacing w:line="240" w:lineRule="auto"/>
              <w:rPr>
                <w:rFonts w:ascii="Gill Sans MT" w:hAnsi="Gill Sans MT"/>
                <w:b/>
                <w:color w:val="000000"/>
                <w:sz w:val="22"/>
                <w:szCs w:val="22"/>
                <w:lang w:eastAsia="en-IE"/>
              </w:rPr>
            </w:pPr>
            <w:r w:rsidRPr="00BE33FC">
              <w:rPr>
                <w:rFonts w:ascii="Gill Sans MT" w:hAnsi="Gill Sans MT" w:cs="Arial"/>
                <w:sz w:val="22"/>
                <w:szCs w:val="22"/>
              </w:rPr>
              <w:t>Office of Government Procurement</w:t>
            </w:r>
          </w:p>
        </w:tc>
        <w:tc>
          <w:tcPr>
            <w:tcW w:w="1258" w:type="dxa"/>
            <w:tcBorders>
              <w:top w:val="nil"/>
              <w:left w:val="nil"/>
              <w:bottom w:val="single" w:sz="4" w:space="0" w:color="auto"/>
              <w:right w:val="single" w:sz="4" w:space="0" w:color="auto"/>
            </w:tcBorders>
            <w:noWrap/>
          </w:tcPr>
          <w:p w14:paraId="40552B8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187</w:t>
            </w:r>
          </w:p>
        </w:tc>
        <w:tc>
          <w:tcPr>
            <w:tcW w:w="966" w:type="dxa"/>
            <w:gridSpan w:val="2"/>
            <w:tcBorders>
              <w:top w:val="nil"/>
              <w:left w:val="nil"/>
              <w:bottom w:val="single" w:sz="4" w:space="0" w:color="auto"/>
              <w:right w:val="single" w:sz="4" w:space="0" w:color="auto"/>
            </w:tcBorders>
            <w:noWrap/>
          </w:tcPr>
          <w:p w14:paraId="1E74522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223</w:t>
            </w:r>
          </w:p>
        </w:tc>
        <w:tc>
          <w:tcPr>
            <w:tcW w:w="1023" w:type="dxa"/>
            <w:tcBorders>
              <w:top w:val="nil"/>
              <w:left w:val="nil"/>
              <w:bottom w:val="single" w:sz="4" w:space="0" w:color="auto"/>
              <w:right w:val="single" w:sz="4" w:space="0" w:color="auto"/>
            </w:tcBorders>
            <w:noWrap/>
          </w:tcPr>
          <w:p w14:paraId="6F7FA5A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1093" w:type="dxa"/>
            <w:gridSpan w:val="2"/>
            <w:tcBorders>
              <w:top w:val="nil"/>
              <w:left w:val="nil"/>
              <w:bottom w:val="single" w:sz="4" w:space="0" w:color="auto"/>
              <w:right w:val="single" w:sz="4" w:space="0" w:color="auto"/>
            </w:tcBorders>
            <w:noWrap/>
          </w:tcPr>
          <w:p w14:paraId="0F023C6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w:t>
            </w:r>
          </w:p>
        </w:tc>
        <w:tc>
          <w:tcPr>
            <w:tcW w:w="1005" w:type="dxa"/>
            <w:tcBorders>
              <w:top w:val="nil"/>
              <w:left w:val="nil"/>
              <w:bottom w:val="single" w:sz="4" w:space="0" w:color="auto"/>
              <w:right w:val="single" w:sz="4" w:space="0" w:color="auto"/>
            </w:tcBorders>
            <w:noWrap/>
          </w:tcPr>
          <w:p w14:paraId="63D3FB5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8.6</w:t>
            </w:r>
          </w:p>
        </w:tc>
        <w:tc>
          <w:tcPr>
            <w:tcW w:w="945" w:type="dxa"/>
            <w:gridSpan w:val="2"/>
            <w:tcBorders>
              <w:top w:val="nil"/>
              <w:left w:val="nil"/>
              <w:bottom w:val="single" w:sz="4" w:space="0" w:color="auto"/>
              <w:right w:val="single" w:sz="4" w:space="0" w:color="auto"/>
            </w:tcBorders>
            <w:noWrap/>
          </w:tcPr>
          <w:p w14:paraId="565DC36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4.9</w:t>
            </w:r>
          </w:p>
        </w:tc>
      </w:tr>
      <w:tr w:rsidR="003B315D" w:rsidRPr="00BE33FC" w14:paraId="70975CC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22ECFBC"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Office of Public Works</w:t>
            </w:r>
          </w:p>
        </w:tc>
        <w:tc>
          <w:tcPr>
            <w:tcW w:w="1258" w:type="dxa"/>
            <w:tcBorders>
              <w:top w:val="nil"/>
              <w:left w:val="nil"/>
              <w:bottom w:val="single" w:sz="4" w:space="0" w:color="auto"/>
              <w:right w:val="single" w:sz="4" w:space="0" w:color="auto"/>
            </w:tcBorders>
            <w:noWrap/>
          </w:tcPr>
          <w:p w14:paraId="78E421E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700</w:t>
            </w:r>
          </w:p>
        </w:tc>
        <w:tc>
          <w:tcPr>
            <w:tcW w:w="966" w:type="dxa"/>
            <w:gridSpan w:val="2"/>
            <w:tcBorders>
              <w:top w:val="nil"/>
              <w:left w:val="nil"/>
              <w:bottom w:val="single" w:sz="4" w:space="0" w:color="auto"/>
              <w:right w:val="single" w:sz="4" w:space="0" w:color="auto"/>
            </w:tcBorders>
            <w:noWrap/>
          </w:tcPr>
          <w:p w14:paraId="62F5AD7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752</w:t>
            </w:r>
          </w:p>
        </w:tc>
        <w:tc>
          <w:tcPr>
            <w:tcW w:w="1023" w:type="dxa"/>
            <w:tcBorders>
              <w:top w:val="nil"/>
              <w:left w:val="nil"/>
              <w:bottom w:val="single" w:sz="4" w:space="0" w:color="auto"/>
              <w:right w:val="single" w:sz="4" w:space="0" w:color="auto"/>
            </w:tcBorders>
            <w:noWrap/>
          </w:tcPr>
          <w:p w14:paraId="060D064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93" w:type="dxa"/>
            <w:gridSpan w:val="2"/>
            <w:tcBorders>
              <w:top w:val="nil"/>
              <w:left w:val="nil"/>
              <w:bottom w:val="single" w:sz="4" w:space="0" w:color="auto"/>
              <w:right w:val="single" w:sz="4" w:space="0" w:color="auto"/>
            </w:tcBorders>
            <w:noWrap/>
          </w:tcPr>
          <w:p w14:paraId="3CB5926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26</w:t>
            </w:r>
          </w:p>
        </w:tc>
        <w:tc>
          <w:tcPr>
            <w:tcW w:w="1005" w:type="dxa"/>
            <w:tcBorders>
              <w:top w:val="nil"/>
              <w:left w:val="nil"/>
              <w:bottom w:val="single" w:sz="4" w:space="0" w:color="auto"/>
              <w:right w:val="single" w:sz="4" w:space="0" w:color="auto"/>
            </w:tcBorders>
            <w:noWrap/>
          </w:tcPr>
          <w:p w14:paraId="1CBF3CE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45" w:type="dxa"/>
            <w:gridSpan w:val="2"/>
            <w:tcBorders>
              <w:top w:val="nil"/>
              <w:left w:val="nil"/>
              <w:bottom w:val="single" w:sz="4" w:space="0" w:color="auto"/>
              <w:right w:val="single" w:sz="4" w:space="0" w:color="auto"/>
            </w:tcBorders>
            <w:noWrap/>
          </w:tcPr>
          <w:p w14:paraId="6F8F896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r>
      <w:tr w:rsidR="003B315D" w:rsidRPr="00BE33FC" w14:paraId="5D2241E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9CF4430"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Office of the Attorney General</w:t>
            </w:r>
          </w:p>
        </w:tc>
        <w:tc>
          <w:tcPr>
            <w:tcW w:w="1258" w:type="dxa"/>
            <w:tcBorders>
              <w:top w:val="nil"/>
              <w:left w:val="nil"/>
              <w:bottom w:val="single" w:sz="4" w:space="0" w:color="auto"/>
              <w:right w:val="single" w:sz="4" w:space="0" w:color="auto"/>
            </w:tcBorders>
            <w:noWrap/>
          </w:tcPr>
          <w:p w14:paraId="1F77D6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133</w:t>
            </w:r>
          </w:p>
        </w:tc>
        <w:tc>
          <w:tcPr>
            <w:tcW w:w="966" w:type="dxa"/>
            <w:gridSpan w:val="2"/>
            <w:tcBorders>
              <w:top w:val="nil"/>
              <w:left w:val="nil"/>
              <w:bottom w:val="single" w:sz="4" w:space="0" w:color="auto"/>
              <w:right w:val="single" w:sz="4" w:space="0" w:color="auto"/>
            </w:tcBorders>
            <w:noWrap/>
          </w:tcPr>
          <w:p w14:paraId="535BB13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133</w:t>
            </w:r>
          </w:p>
        </w:tc>
        <w:tc>
          <w:tcPr>
            <w:tcW w:w="1023" w:type="dxa"/>
            <w:tcBorders>
              <w:top w:val="nil"/>
              <w:left w:val="nil"/>
              <w:bottom w:val="single" w:sz="4" w:space="0" w:color="auto"/>
              <w:right w:val="single" w:sz="4" w:space="0" w:color="auto"/>
            </w:tcBorders>
            <w:noWrap/>
          </w:tcPr>
          <w:p w14:paraId="7FAAC54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93" w:type="dxa"/>
            <w:gridSpan w:val="2"/>
            <w:tcBorders>
              <w:top w:val="nil"/>
              <w:left w:val="nil"/>
              <w:bottom w:val="single" w:sz="4" w:space="0" w:color="auto"/>
              <w:right w:val="single" w:sz="4" w:space="0" w:color="auto"/>
            </w:tcBorders>
            <w:noWrap/>
          </w:tcPr>
          <w:p w14:paraId="555E178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05" w:type="dxa"/>
            <w:tcBorders>
              <w:top w:val="nil"/>
              <w:left w:val="nil"/>
              <w:bottom w:val="single" w:sz="4" w:space="0" w:color="auto"/>
              <w:right w:val="single" w:sz="4" w:space="0" w:color="auto"/>
            </w:tcBorders>
            <w:noWrap/>
          </w:tcPr>
          <w:p w14:paraId="15B9191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945" w:type="dxa"/>
            <w:gridSpan w:val="2"/>
            <w:tcBorders>
              <w:top w:val="nil"/>
              <w:left w:val="nil"/>
              <w:bottom w:val="single" w:sz="4" w:space="0" w:color="auto"/>
              <w:right w:val="single" w:sz="4" w:space="0" w:color="auto"/>
            </w:tcBorders>
            <w:noWrap/>
          </w:tcPr>
          <w:p w14:paraId="7905588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r>
      <w:tr w:rsidR="003B315D" w:rsidRPr="00BE33FC" w14:paraId="2E2A0E1B"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648304A"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Office of the Comptroller &amp; Auditor General</w:t>
            </w:r>
          </w:p>
        </w:tc>
        <w:tc>
          <w:tcPr>
            <w:tcW w:w="1258" w:type="dxa"/>
            <w:tcBorders>
              <w:top w:val="nil"/>
              <w:left w:val="nil"/>
              <w:bottom w:val="single" w:sz="4" w:space="0" w:color="auto"/>
              <w:right w:val="single" w:sz="4" w:space="0" w:color="auto"/>
            </w:tcBorders>
            <w:noWrap/>
          </w:tcPr>
          <w:p w14:paraId="1A713EC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145</w:t>
            </w:r>
          </w:p>
        </w:tc>
        <w:tc>
          <w:tcPr>
            <w:tcW w:w="966" w:type="dxa"/>
            <w:gridSpan w:val="2"/>
            <w:tcBorders>
              <w:top w:val="nil"/>
              <w:left w:val="nil"/>
              <w:bottom w:val="single" w:sz="4" w:space="0" w:color="auto"/>
              <w:right w:val="single" w:sz="4" w:space="0" w:color="auto"/>
            </w:tcBorders>
            <w:noWrap/>
          </w:tcPr>
          <w:p w14:paraId="0582457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168</w:t>
            </w:r>
          </w:p>
        </w:tc>
        <w:tc>
          <w:tcPr>
            <w:tcW w:w="1023" w:type="dxa"/>
            <w:tcBorders>
              <w:top w:val="nil"/>
              <w:left w:val="nil"/>
              <w:bottom w:val="single" w:sz="4" w:space="0" w:color="auto"/>
              <w:right w:val="single" w:sz="4" w:space="0" w:color="auto"/>
            </w:tcBorders>
            <w:noWrap/>
          </w:tcPr>
          <w:p w14:paraId="71AFB2A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93" w:type="dxa"/>
            <w:gridSpan w:val="2"/>
            <w:tcBorders>
              <w:top w:val="nil"/>
              <w:left w:val="nil"/>
              <w:bottom w:val="single" w:sz="4" w:space="0" w:color="auto"/>
              <w:right w:val="single" w:sz="4" w:space="0" w:color="auto"/>
            </w:tcBorders>
            <w:noWrap/>
          </w:tcPr>
          <w:p w14:paraId="7C65BB5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05" w:type="dxa"/>
            <w:tcBorders>
              <w:top w:val="nil"/>
              <w:left w:val="nil"/>
              <w:bottom w:val="single" w:sz="4" w:space="0" w:color="auto"/>
              <w:right w:val="single" w:sz="4" w:space="0" w:color="auto"/>
            </w:tcBorders>
            <w:noWrap/>
          </w:tcPr>
          <w:p w14:paraId="65D19AA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tcPr>
          <w:p w14:paraId="3526D79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r>
      <w:tr w:rsidR="003B315D" w:rsidRPr="00BE33FC" w14:paraId="14889E7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1E6BEF8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Office of the Director of Public Prosecutions</w:t>
            </w:r>
          </w:p>
        </w:tc>
        <w:tc>
          <w:tcPr>
            <w:tcW w:w="1258" w:type="dxa"/>
            <w:tcBorders>
              <w:top w:val="nil"/>
              <w:left w:val="nil"/>
              <w:bottom w:val="single" w:sz="4" w:space="0" w:color="auto"/>
              <w:right w:val="single" w:sz="4" w:space="0" w:color="auto"/>
            </w:tcBorders>
            <w:noWrap/>
          </w:tcPr>
          <w:p w14:paraId="2DD035E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202</w:t>
            </w:r>
          </w:p>
        </w:tc>
        <w:tc>
          <w:tcPr>
            <w:tcW w:w="966" w:type="dxa"/>
            <w:gridSpan w:val="2"/>
            <w:tcBorders>
              <w:top w:val="nil"/>
              <w:left w:val="nil"/>
              <w:bottom w:val="single" w:sz="4" w:space="0" w:color="auto"/>
              <w:right w:val="single" w:sz="4" w:space="0" w:color="auto"/>
            </w:tcBorders>
            <w:noWrap/>
          </w:tcPr>
          <w:p w14:paraId="27B1ADE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213</w:t>
            </w:r>
          </w:p>
        </w:tc>
        <w:tc>
          <w:tcPr>
            <w:tcW w:w="1023" w:type="dxa"/>
            <w:tcBorders>
              <w:top w:val="nil"/>
              <w:left w:val="nil"/>
              <w:bottom w:val="single" w:sz="4" w:space="0" w:color="auto"/>
              <w:right w:val="single" w:sz="4" w:space="0" w:color="auto"/>
            </w:tcBorders>
            <w:noWrap/>
          </w:tcPr>
          <w:p w14:paraId="666A14F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w:t>
            </w:r>
          </w:p>
        </w:tc>
        <w:tc>
          <w:tcPr>
            <w:tcW w:w="1093" w:type="dxa"/>
            <w:gridSpan w:val="2"/>
            <w:tcBorders>
              <w:top w:val="nil"/>
              <w:left w:val="nil"/>
              <w:bottom w:val="single" w:sz="4" w:space="0" w:color="auto"/>
              <w:right w:val="single" w:sz="4" w:space="0" w:color="auto"/>
            </w:tcBorders>
            <w:noWrap/>
          </w:tcPr>
          <w:p w14:paraId="0EB4417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005" w:type="dxa"/>
            <w:tcBorders>
              <w:top w:val="nil"/>
              <w:left w:val="nil"/>
              <w:bottom w:val="single" w:sz="4" w:space="0" w:color="auto"/>
              <w:right w:val="single" w:sz="4" w:space="0" w:color="auto"/>
            </w:tcBorders>
            <w:noWrap/>
          </w:tcPr>
          <w:p w14:paraId="343F7ED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5.4</w:t>
            </w:r>
          </w:p>
        </w:tc>
        <w:tc>
          <w:tcPr>
            <w:tcW w:w="945" w:type="dxa"/>
            <w:gridSpan w:val="2"/>
            <w:tcBorders>
              <w:top w:val="nil"/>
              <w:left w:val="nil"/>
              <w:bottom w:val="single" w:sz="4" w:space="0" w:color="auto"/>
              <w:right w:val="single" w:sz="4" w:space="0" w:color="auto"/>
            </w:tcBorders>
            <w:noWrap/>
          </w:tcPr>
          <w:p w14:paraId="02F1E2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5.6</w:t>
            </w:r>
          </w:p>
        </w:tc>
      </w:tr>
      <w:tr w:rsidR="003B315D" w:rsidRPr="00BE33FC" w14:paraId="18AA668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834AC9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lastRenderedPageBreak/>
              <w:t>Office of the Ombudsman</w:t>
            </w:r>
          </w:p>
        </w:tc>
        <w:tc>
          <w:tcPr>
            <w:tcW w:w="1258" w:type="dxa"/>
            <w:tcBorders>
              <w:top w:val="nil"/>
              <w:left w:val="nil"/>
              <w:bottom w:val="single" w:sz="4" w:space="0" w:color="auto"/>
              <w:right w:val="single" w:sz="4" w:space="0" w:color="auto"/>
            </w:tcBorders>
            <w:noWrap/>
          </w:tcPr>
          <w:p w14:paraId="77CD76B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123</w:t>
            </w:r>
          </w:p>
        </w:tc>
        <w:tc>
          <w:tcPr>
            <w:tcW w:w="966" w:type="dxa"/>
            <w:gridSpan w:val="2"/>
            <w:tcBorders>
              <w:top w:val="nil"/>
              <w:left w:val="nil"/>
              <w:bottom w:val="single" w:sz="4" w:space="0" w:color="auto"/>
              <w:right w:val="single" w:sz="4" w:space="0" w:color="auto"/>
            </w:tcBorders>
            <w:noWrap/>
          </w:tcPr>
          <w:p w14:paraId="2050393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131</w:t>
            </w:r>
          </w:p>
        </w:tc>
        <w:tc>
          <w:tcPr>
            <w:tcW w:w="1023" w:type="dxa"/>
            <w:tcBorders>
              <w:top w:val="nil"/>
              <w:left w:val="nil"/>
              <w:bottom w:val="single" w:sz="4" w:space="0" w:color="auto"/>
              <w:right w:val="single" w:sz="4" w:space="0" w:color="auto"/>
            </w:tcBorders>
            <w:noWrap/>
          </w:tcPr>
          <w:p w14:paraId="40B02B8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93" w:type="dxa"/>
            <w:gridSpan w:val="2"/>
            <w:tcBorders>
              <w:top w:val="nil"/>
              <w:left w:val="nil"/>
              <w:bottom w:val="single" w:sz="4" w:space="0" w:color="auto"/>
              <w:right w:val="single" w:sz="4" w:space="0" w:color="auto"/>
            </w:tcBorders>
            <w:noWrap/>
          </w:tcPr>
          <w:p w14:paraId="4182C27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005" w:type="dxa"/>
            <w:tcBorders>
              <w:top w:val="nil"/>
              <w:left w:val="nil"/>
              <w:bottom w:val="single" w:sz="4" w:space="0" w:color="auto"/>
              <w:right w:val="single" w:sz="4" w:space="0" w:color="auto"/>
            </w:tcBorders>
            <w:noWrap/>
          </w:tcPr>
          <w:p w14:paraId="506C3D8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45" w:type="dxa"/>
            <w:gridSpan w:val="2"/>
            <w:tcBorders>
              <w:top w:val="nil"/>
              <w:left w:val="nil"/>
              <w:bottom w:val="single" w:sz="4" w:space="0" w:color="auto"/>
              <w:right w:val="single" w:sz="4" w:space="0" w:color="auto"/>
            </w:tcBorders>
            <w:noWrap/>
          </w:tcPr>
          <w:p w14:paraId="63824BF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7.6</w:t>
            </w:r>
          </w:p>
        </w:tc>
      </w:tr>
      <w:tr w:rsidR="003B315D" w:rsidRPr="00BE33FC" w14:paraId="5B6429E1"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C2D2529"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Office of the Secretary to the President</w:t>
            </w:r>
          </w:p>
        </w:tc>
        <w:tc>
          <w:tcPr>
            <w:tcW w:w="1258" w:type="dxa"/>
            <w:tcBorders>
              <w:top w:val="nil"/>
              <w:left w:val="nil"/>
              <w:bottom w:val="single" w:sz="4" w:space="0" w:color="auto"/>
              <w:right w:val="single" w:sz="4" w:space="0" w:color="auto"/>
            </w:tcBorders>
            <w:noWrap/>
          </w:tcPr>
          <w:p w14:paraId="4AF76BF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28</w:t>
            </w:r>
          </w:p>
        </w:tc>
        <w:tc>
          <w:tcPr>
            <w:tcW w:w="966" w:type="dxa"/>
            <w:gridSpan w:val="2"/>
            <w:tcBorders>
              <w:top w:val="nil"/>
              <w:left w:val="nil"/>
              <w:bottom w:val="single" w:sz="4" w:space="0" w:color="auto"/>
              <w:right w:val="single" w:sz="4" w:space="0" w:color="auto"/>
            </w:tcBorders>
            <w:noWrap/>
          </w:tcPr>
          <w:p w14:paraId="10F697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27</w:t>
            </w:r>
          </w:p>
        </w:tc>
        <w:tc>
          <w:tcPr>
            <w:tcW w:w="1023" w:type="dxa"/>
            <w:tcBorders>
              <w:top w:val="nil"/>
              <w:left w:val="nil"/>
              <w:bottom w:val="single" w:sz="4" w:space="0" w:color="auto"/>
              <w:right w:val="single" w:sz="4" w:space="0" w:color="auto"/>
            </w:tcBorders>
            <w:noWrap/>
          </w:tcPr>
          <w:p w14:paraId="5F1C64F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tcPr>
          <w:p w14:paraId="5F59A02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0C611AB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45" w:type="dxa"/>
            <w:gridSpan w:val="2"/>
            <w:tcBorders>
              <w:top w:val="nil"/>
              <w:left w:val="nil"/>
              <w:bottom w:val="single" w:sz="4" w:space="0" w:color="auto"/>
              <w:right w:val="single" w:sz="4" w:space="0" w:color="auto"/>
            </w:tcBorders>
            <w:noWrap/>
          </w:tcPr>
          <w:p w14:paraId="044B64B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5DADE6A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CA795AD"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Office of the Tax Appeals Commissioner</w:t>
            </w:r>
          </w:p>
        </w:tc>
        <w:tc>
          <w:tcPr>
            <w:tcW w:w="1258" w:type="dxa"/>
            <w:tcBorders>
              <w:top w:val="nil"/>
              <w:left w:val="nil"/>
              <w:bottom w:val="single" w:sz="4" w:space="0" w:color="auto"/>
              <w:right w:val="single" w:sz="4" w:space="0" w:color="auto"/>
            </w:tcBorders>
            <w:noWrap/>
          </w:tcPr>
          <w:p w14:paraId="3425C7C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966" w:type="dxa"/>
            <w:gridSpan w:val="2"/>
            <w:tcBorders>
              <w:top w:val="nil"/>
              <w:left w:val="nil"/>
              <w:bottom w:val="single" w:sz="4" w:space="0" w:color="auto"/>
              <w:right w:val="single" w:sz="4" w:space="0" w:color="auto"/>
            </w:tcBorders>
            <w:noWrap/>
          </w:tcPr>
          <w:p w14:paraId="286D93B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1023" w:type="dxa"/>
            <w:tcBorders>
              <w:top w:val="nil"/>
              <w:left w:val="nil"/>
              <w:bottom w:val="single" w:sz="4" w:space="0" w:color="auto"/>
              <w:right w:val="single" w:sz="4" w:space="0" w:color="auto"/>
            </w:tcBorders>
            <w:noWrap/>
          </w:tcPr>
          <w:p w14:paraId="0EC830A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tcPr>
          <w:p w14:paraId="30FECBA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39D7E23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tcPr>
          <w:p w14:paraId="2A0D5CC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7695CF8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375BD99" w14:textId="77777777" w:rsidR="003B315D" w:rsidRPr="00BE33FC" w:rsidRDefault="003B315D" w:rsidP="006D697C">
            <w:pPr>
              <w:rPr>
                <w:rFonts w:ascii="Gill Sans MT" w:hAnsi="Gill Sans MT"/>
                <w:b/>
                <w:color w:val="000000"/>
                <w:sz w:val="22"/>
                <w:szCs w:val="22"/>
                <w:lang w:eastAsia="en-IE"/>
              </w:rPr>
            </w:pPr>
            <w:r w:rsidRPr="00BE33FC">
              <w:rPr>
                <w:rFonts w:ascii="Gill Sans MT" w:hAnsi="Gill Sans MT" w:cs="Arial"/>
                <w:sz w:val="22"/>
                <w:szCs w:val="22"/>
              </w:rPr>
              <w:t>Policing Authority</w:t>
            </w:r>
          </w:p>
        </w:tc>
        <w:tc>
          <w:tcPr>
            <w:tcW w:w="1258" w:type="dxa"/>
            <w:tcBorders>
              <w:top w:val="nil"/>
              <w:left w:val="nil"/>
              <w:bottom w:val="single" w:sz="4" w:space="0" w:color="auto"/>
              <w:right w:val="single" w:sz="4" w:space="0" w:color="auto"/>
            </w:tcBorders>
            <w:noWrap/>
          </w:tcPr>
          <w:p w14:paraId="06F7943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966" w:type="dxa"/>
            <w:gridSpan w:val="2"/>
            <w:tcBorders>
              <w:top w:val="nil"/>
              <w:left w:val="nil"/>
              <w:bottom w:val="single" w:sz="4" w:space="0" w:color="auto"/>
              <w:right w:val="single" w:sz="4" w:space="0" w:color="auto"/>
            </w:tcBorders>
            <w:noWrap/>
          </w:tcPr>
          <w:p w14:paraId="62FEB32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w:t>
            </w:r>
          </w:p>
        </w:tc>
        <w:tc>
          <w:tcPr>
            <w:tcW w:w="1023" w:type="dxa"/>
            <w:tcBorders>
              <w:top w:val="nil"/>
              <w:left w:val="nil"/>
              <w:bottom w:val="single" w:sz="4" w:space="0" w:color="auto"/>
              <w:right w:val="single" w:sz="4" w:space="0" w:color="auto"/>
            </w:tcBorders>
            <w:noWrap/>
          </w:tcPr>
          <w:p w14:paraId="602C254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tcPr>
          <w:p w14:paraId="189EF88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05" w:type="dxa"/>
            <w:tcBorders>
              <w:top w:val="nil"/>
              <w:left w:val="nil"/>
              <w:bottom w:val="single" w:sz="4" w:space="0" w:color="auto"/>
              <w:right w:val="single" w:sz="4" w:space="0" w:color="auto"/>
            </w:tcBorders>
            <w:noWrap/>
          </w:tcPr>
          <w:p w14:paraId="25B0FD7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tcPr>
          <w:p w14:paraId="11F81DA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6.3</w:t>
            </w:r>
          </w:p>
        </w:tc>
      </w:tr>
      <w:tr w:rsidR="003B315D" w:rsidRPr="00BE33FC" w14:paraId="099D27B5"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C475BA9"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Property Registration Authority</w:t>
            </w:r>
          </w:p>
        </w:tc>
        <w:tc>
          <w:tcPr>
            <w:tcW w:w="1258" w:type="dxa"/>
            <w:tcBorders>
              <w:top w:val="nil"/>
              <w:left w:val="nil"/>
              <w:bottom w:val="single" w:sz="4" w:space="0" w:color="auto"/>
              <w:right w:val="single" w:sz="4" w:space="0" w:color="auto"/>
            </w:tcBorders>
            <w:noWrap/>
          </w:tcPr>
          <w:p w14:paraId="089458B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544</w:t>
            </w:r>
          </w:p>
        </w:tc>
        <w:tc>
          <w:tcPr>
            <w:tcW w:w="966" w:type="dxa"/>
            <w:gridSpan w:val="2"/>
            <w:tcBorders>
              <w:top w:val="nil"/>
              <w:left w:val="nil"/>
              <w:bottom w:val="single" w:sz="4" w:space="0" w:color="auto"/>
              <w:right w:val="single" w:sz="4" w:space="0" w:color="auto"/>
            </w:tcBorders>
            <w:noWrap/>
          </w:tcPr>
          <w:p w14:paraId="3E1BEA6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553</w:t>
            </w:r>
          </w:p>
        </w:tc>
        <w:tc>
          <w:tcPr>
            <w:tcW w:w="1023" w:type="dxa"/>
            <w:tcBorders>
              <w:top w:val="nil"/>
              <w:left w:val="nil"/>
              <w:bottom w:val="single" w:sz="4" w:space="0" w:color="auto"/>
              <w:right w:val="single" w:sz="4" w:space="0" w:color="auto"/>
            </w:tcBorders>
            <w:noWrap/>
          </w:tcPr>
          <w:p w14:paraId="4FFC324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1093" w:type="dxa"/>
            <w:gridSpan w:val="2"/>
            <w:tcBorders>
              <w:top w:val="nil"/>
              <w:left w:val="nil"/>
              <w:bottom w:val="single" w:sz="4" w:space="0" w:color="auto"/>
              <w:right w:val="single" w:sz="4" w:space="0" w:color="auto"/>
            </w:tcBorders>
            <w:noWrap/>
          </w:tcPr>
          <w:p w14:paraId="1922BFB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1005" w:type="dxa"/>
            <w:tcBorders>
              <w:top w:val="nil"/>
              <w:left w:val="nil"/>
              <w:bottom w:val="single" w:sz="4" w:space="0" w:color="auto"/>
              <w:right w:val="single" w:sz="4" w:space="0" w:color="auto"/>
            </w:tcBorders>
            <w:noWrap/>
          </w:tcPr>
          <w:p w14:paraId="6521A01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6.1</w:t>
            </w:r>
          </w:p>
        </w:tc>
        <w:tc>
          <w:tcPr>
            <w:tcW w:w="945" w:type="dxa"/>
            <w:gridSpan w:val="2"/>
            <w:tcBorders>
              <w:top w:val="nil"/>
              <w:left w:val="nil"/>
              <w:bottom w:val="single" w:sz="4" w:space="0" w:color="auto"/>
              <w:right w:val="single" w:sz="4" w:space="0" w:color="auto"/>
            </w:tcBorders>
            <w:noWrap/>
          </w:tcPr>
          <w:p w14:paraId="5607F05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w:t>
            </w:r>
          </w:p>
        </w:tc>
      </w:tr>
      <w:tr w:rsidR="003B315D" w:rsidRPr="00BE33FC" w14:paraId="1C2ECFB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D091142"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Public Appointments Service</w:t>
            </w:r>
          </w:p>
        </w:tc>
        <w:tc>
          <w:tcPr>
            <w:tcW w:w="1258" w:type="dxa"/>
            <w:tcBorders>
              <w:top w:val="nil"/>
              <w:left w:val="nil"/>
              <w:bottom w:val="single" w:sz="4" w:space="0" w:color="auto"/>
              <w:right w:val="single" w:sz="4" w:space="0" w:color="auto"/>
            </w:tcBorders>
            <w:noWrap/>
          </w:tcPr>
          <w:p w14:paraId="0FE80E4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177</w:t>
            </w:r>
          </w:p>
        </w:tc>
        <w:tc>
          <w:tcPr>
            <w:tcW w:w="966" w:type="dxa"/>
            <w:gridSpan w:val="2"/>
            <w:tcBorders>
              <w:top w:val="nil"/>
              <w:left w:val="nil"/>
              <w:bottom w:val="single" w:sz="4" w:space="0" w:color="auto"/>
              <w:right w:val="single" w:sz="4" w:space="0" w:color="auto"/>
            </w:tcBorders>
            <w:noWrap/>
          </w:tcPr>
          <w:p w14:paraId="5477C86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194</w:t>
            </w:r>
          </w:p>
        </w:tc>
        <w:tc>
          <w:tcPr>
            <w:tcW w:w="1023" w:type="dxa"/>
            <w:tcBorders>
              <w:top w:val="nil"/>
              <w:left w:val="nil"/>
              <w:bottom w:val="single" w:sz="4" w:space="0" w:color="auto"/>
              <w:right w:val="single" w:sz="4" w:space="0" w:color="auto"/>
            </w:tcBorders>
            <w:noWrap/>
          </w:tcPr>
          <w:p w14:paraId="1250DE4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093" w:type="dxa"/>
            <w:gridSpan w:val="2"/>
            <w:tcBorders>
              <w:top w:val="nil"/>
              <w:left w:val="nil"/>
              <w:bottom w:val="single" w:sz="4" w:space="0" w:color="auto"/>
              <w:right w:val="single" w:sz="4" w:space="0" w:color="auto"/>
            </w:tcBorders>
            <w:noWrap/>
          </w:tcPr>
          <w:p w14:paraId="436B499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05" w:type="dxa"/>
            <w:tcBorders>
              <w:top w:val="nil"/>
              <w:left w:val="nil"/>
              <w:bottom w:val="single" w:sz="4" w:space="0" w:color="auto"/>
              <w:right w:val="single" w:sz="4" w:space="0" w:color="auto"/>
            </w:tcBorders>
            <w:noWrap/>
          </w:tcPr>
          <w:p w14:paraId="05F307D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tcPr>
          <w:p w14:paraId="5781733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r>
      <w:tr w:rsidR="003B315D" w:rsidRPr="00BE33FC" w14:paraId="36910684"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4AE3702E"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Revenue Commissioners</w:t>
            </w:r>
          </w:p>
        </w:tc>
        <w:tc>
          <w:tcPr>
            <w:tcW w:w="1258" w:type="dxa"/>
            <w:tcBorders>
              <w:top w:val="nil"/>
              <w:left w:val="nil"/>
              <w:bottom w:val="single" w:sz="4" w:space="0" w:color="auto"/>
              <w:right w:val="single" w:sz="4" w:space="0" w:color="auto"/>
            </w:tcBorders>
            <w:noWrap/>
          </w:tcPr>
          <w:p w14:paraId="1253603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6,372</w:t>
            </w:r>
          </w:p>
        </w:tc>
        <w:tc>
          <w:tcPr>
            <w:tcW w:w="966" w:type="dxa"/>
            <w:gridSpan w:val="2"/>
            <w:tcBorders>
              <w:top w:val="nil"/>
              <w:left w:val="nil"/>
              <w:bottom w:val="single" w:sz="4" w:space="0" w:color="auto"/>
              <w:right w:val="single" w:sz="4" w:space="0" w:color="auto"/>
            </w:tcBorders>
            <w:noWrap/>
          </w:tcPr>
          <w:p w14:paraId="239FE19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6,471</w:t>
            </w:r>
          </w:p>
        </w:tc>
        <w:tc>
          <w:tcPr>
            <w:tcW w:w="1023" w:type="dxa"/>
            <w:tcBorders>
              <w:top w:val="nil"/>
              <w:left w:val="nil"/>
              <w:bottom w:val="single" w:sz="4" w:space="0" w:color="auto"/>
              <w:right w:val="single" w:sz="4" w:space="0" w:color="auto"/>
            </w:tcBorders>
            <w:noWrap/>
          </w:tcPr>
          <w:p w14:paraId="479E717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274</w:t>
            </w:r>
          </w:p>
        </w:tc>
        <w:tc>
          <w:tcPr>
            <w:tcW w:w="1093" w:type="dxa"/>
            <w:gridSpan w:val="2"/>
            <w:tcBorders>
              <w:top w:val="nil"/>
              <w:left w:val="nil"/>
              <w:bottom w:val="single" w:sz="4" w:space="0" w:color="auto"/>
              <w:right w:val="single" w:sz="4" w:space="0" w:color="auto"/>
            </w:tcBorders>
            <w:noWrap/>
          </w:tcPr>
          <w:p w14:paraId="2473B5A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301</w:t>
            </w:r>
          </w:p>
        </w:tc>
        <w:tc>
          <w:tcPr>
            <w:tcW w:w="1005" w:type="dxa"/>
            <w:tcBorders>
              <w:top w:val="nil"/>
              <w:left w:val="nil"/>
              <w:bottom w:val="single" w:sz="4" w:space="0" w:color="auto"/>
              <w:right w:val="single" w:sz="4" w:space="0" w:color="auto"/>
            </w:tcBorders>
            <w:noWrap/>
          </w:tcPr>
          <w:p w14:paraId="060B9B5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w:t>
            </w:r>
          </w:p>
        </w:tc>
        <w:tc>
          <w:tcPr>
            <w:tcW w:w="945" w:type="dxa"/>
            <w:gridSpan w:val="2"/>
            <w:tcBorders>
              <w:top w:val="nil"/>
              <w:left w:val="nil"/>
              <w:bottom w:val="single" w:sz="4" w:space="0" w:color="auto"/>
              <w:right w:val="single" w:sz="4" w:space="0" w:color="auto"/>
            </w:tcBorders>
            <w:noWrap/>
          </w:tcPr>
          <w:p w14:paraId="0652EE6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4.7</w:t>
            </w:r>
          </w:p>
        </w:tc>
      </w:tr>
      <w:tr w:rsidR="003B315D" w:rsidRPr="00BE33FC" w14:paraId="6417071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4B3BDA8"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State Examinations Commission</w:t>
            </w:r>
          </w:p>
        </w:tc>
        <w:tc>
          <w:tcPr>
            <w:tcW w:w="1258" w:type="dxa"/>
            <w:tcBorders>
              <w:top w:val="nil"/>
              <w:left w:val="nil"/>
              <w:bottom w:val="single" w:sz="4" w:space="0" w:color="auto"/>
              <w:right w:val="single" w:sz="4" w:space="0" w:color="auto"/>
            </w:tcBorders>
            <w:noWrap/>
          </w:tcPr>
          <w:p w14:paraId="2E7FCFB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159</w:t>
            </w:r>
          </w:p>
        </w:tc>
        <w:tc>
          <w:tcPr>
            <w:tcW w:w="966" w:type="dxa"/>
            <w:gridSpan w:val="2"/>
            <w:tcBorders>
              <w:top w:val="nil"/>
              <w:left w:val="nil"/>
              <w:bottom w:val="single" w:sz="4" w:space="0" w:color="auto"/>
              <w:right w:val="single" w:sz="4" w:space="0" w:color="auto"/>
            </w:tcBorders>
            <w:noWrap/>
          </w:tcPr>
          <w:p w14:paraId="785078B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161</w:t>
            </w:r>
          </w:p>
        </w:tc>
        <w:tc>
          <w:tcPr>
            <w:tcW w:w="1023" w:type="dxa"/>
            <w:tcBorders>
              <w:top w:val="nil"/>
              <w:left w:val="nil"/>
              <w:bottom w:val="single" w:sz="4" w:space="0" w:color="auto"/>
              <w:right w:val="single" w:sz="4" w:space="0" w:color="auto"/>
            </w:tcBorders>
            <w:noWrap/>
          </w:tcPr>
          <w:p w14:paraId="4234117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93" w:type="dxa"/>
            <w:gridSpan w:val="2"/>
            <w:tcBorders>
              <w:top w:val="nil"/>
              <w:left w:val="nil"/>
              <w:bottom w:val="single" w:sz="4" w:space="0" w:color="auto"/>
              <w:right w:val="single" w:sz="4" w:space="0" w:color="auto"/>
            </w:tcBorders>
            <w:noWrap/>
          </w:tcPr>
          <w:p w14:paraId="6290094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005" w:type="dxa"/>
            <w:tcBorders>
              <w:top w:val="nil"/>
              <w:left w:val="nil"/>
              <w:bottom w:val="single" w:sz="4" w:space="0" w:color="auto"/>
              <w:right w:val="single" w:sz="4" w:space="0" w:color="auto"/>
            </w:tcBorders>
            <w:noWrap/>
          </w:tcPr>
          <w:p w14:paraId="4AC0E85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945" w:type="dxa"/>
            <w:gridSpan w:val="2"/>
            <w:tcBorders>
              <w:top w:val="nil"/>
              <w:left w:val="nil"/>
              <w:bottom w:val="single" w:sz="4" w:space="0" w:color="auto"/>
              <w:right w:val="single" w:sz="4" w:space="0" w:color="auto"/>
            </w:tcBorders>
            <w:noWrap/>
          </w:tcPr>
          <w:p w14:paraId="659D7178" w14:textId="146732B6" w:rsidR="003B315D" w:rsidRPr="00BE33FC" w:rsidRDefault="003B315D" w:rsidP="007D7821">
            <w:pPr>
              <w:jc w:val="right"/>
              <w:rPr>
                <w:rFonts w:ascii="Gill Sans MT" w:hAnsi="Gill Sans MT"/>
                <w:color w:val="000000"/>
                <w:sz w:val="22"/>
                <w:szCs w:val="22"/>
                <w:lang w:eastAsia="en-IE"/>
              </w:rPr>
            </w:pPr>
            <w:r w:rsidRPr="00BE33FC">
              <w:rPr>
                <w:rFonts w:ascii="Gill Sans MT" w:hAnsi="Gill Sans MT" w:cs="Arial"/>
                <w:sz w:val="22"/>
                <w:szCs w:val="22"/>
              </w:rPr>
              <w:t>4.</w:t>
            </w:r>
            <w:r w:rsidR="000B16E1">
              <w:rPr>
                <w:rFonts w:ascii="Gill Sans MT" w:hAnsi="Gill Sans MT" w:cs="Arial"/>
                <w:sz w:val="22"/>
                <w:szCs w:val="22"/>
              </w:rPr>
              <w:t>3</w:t>
            </w:r>
          </w:p>
        </w:tc>
      </w:tr>
      <w:tr w:rsidR="003B315D" w:rsidRPr="00BE33FC" w14:paraId="6286C75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2772EC1"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The Ombudsman for Children's Office</w:t>
            </w:r>
          </w:p>
        </w:tc>
        <w:tc>
          <w:tcPr>
            <w:tcW w:w="1258" w:type="dxa"/>
            <w:tcBorders>
              <w:top w:val="nil"/>
              <w:left w:val="nil"/>
              <w:bottom w:val="single" w:sz="4" w:space="0" w:color="auto"/>
              <w:right w:val="single" w:sz="4" w:space="0" w:color="auto"/>
            </w:tcBorders>
            <w:noWrap/>
          </w:tcPr>
          <w:p w14:paraId="11498D9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966" w:type="dxa"/>
            <w:gridSpan w:val="2"/>
            <w:tcBorders>
              <w:top w:val="nil"/>
              <w:left w:val="nil"/>
              <w:bottom w:val="single" w:sz="4" w:space="0" w:color="auto"/>
              <w:right w:val="single" w:sz="4" w:space="0" w:color="auto"/>
            </w:tcBorders>
            <w:noWrap/>
          </w:tcPr>
          <w:p w14:paraId="4DC892E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23" w:type="dxa"/>
            <w:tcBorders>
              <w:top w:val="nil"/>
              <w:left w:val="nil"/>
              <w:bottom w:val="single" w:sz="4" w:space="0" w:color="auto"/>
              <w:right w:val="single" w:sz="4" w:space="0" w:color="auto"/>
            </w:tcBorders>
            <w:noWrap/>
          </w:tcPr>
          <w:p w14:paraId="22B937C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tcPr>
          <w:p w14:paraId="369CE70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3C57609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tcPr>
          <w:p w14:paraId="7F2250E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63BA06CA"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79B6159"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The Private Security Authority</w:t>
            </w:r>
          </w:p>
        </w:tc>
        <w:tc>
          <w:tcPr>
            <w:tcW w:w="1258" w:type="dxa"/>
            <w:tcBorders>
              <w:top w:val="nil"/>
              <w:left w:val="nil"/>
              <w:bottom w:val="single" w:sz="4" w:space="0" w:color="auto"/>
              <w:right w:val="single" w:sz="4" w:space="0" w:color="auto"/>
            </w:tcBorders>
            <w:noWrap/>
          </w:tcPr>
          <w:p w14:paraId="4EF28B5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w:t>
            </w:r>
          </w:p>
        </w:tc>
        <w:tc>
          <w:tcPr>
            <w:tcW w:w="966" w:type="dxa"/>
            <w:gridSpan w:val="2"/>
            <w:tcBorders>
              <w:top w:val="nil"/>
              <w:left w:val="nil"/>
              <w:bottom w:val="single" w:sz="4" w:space="0" w:color="auto"/>
              <w:right w:val="single" w:sz="4" w:space="0" w:color="auto"/>
            </w:tcBorders>
            <w:noWrap/>
          </w:tcPr>
          <w:p w14:paraId="49D96E8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w:t>
            </w:r>
          </w:p>
        </w:tc>
        <w:tc>
          <w:tcPr>
            <w:tcW w:w="1023" w:type="dxa"/>
            <w:tcBorders>
              <w:top w:val="nil"/>
              <w:left w:val="nil"/>
              <w:bottom w:val="single" w:sz="4" w:space="0" w:color="auto"/>
              <w:right w:val="single" w:sz="4" w:space="0" w:color="auto"/>
            </w:tcBorders>
            <w:noWrap/>
          </w:tcPr>
          <w:p w14:paraId="3572725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tcPr>
          <w:p w14:paraId="0299FF2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05" w:type="dxa"/>
            <w:tcBorders>
              <w:top w:val="nil"/>
              <w:left w:val="nil"/>
              <w:bottom w:val="single" w:sz="4" w:space="0" w:color="auto"/>
              <w:right w:val="single" w:sz="4" w:space="0" w:color="auto"/>
            </w:tcBorders>
            <w:noWrap/>
          </w:tcPr>
          <w:p w14:paraId="68DF2D5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945" w:type="dxa"/>
            <w:gridSpan w:val="2"/>
            <w:tcBorders>
              <w:top w:val="nil"/>
              <w:left w:val="nil"/>
              <w:bottom w:val="single" w:sz="4" w:space="0" w:color="auto"/>
              <w:right w:val="single" w:sz="4" w:space="0" w:color="auto"/>
            </w:tcBorders>
            <w:noWrap/>
          </w:tcPr>
          <w:p w14:paraId="54DAAA0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w:t>
            </w:r>
          </w:p>
        </w:tc>
      </w:tr>
      <w:tr w:rsidR="003B315D" w:rsidRPr="00BE33FC" w14:paraId="617BE574"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2A36652"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The State Laboratory</w:t>
            </w:r>
          </w:p>
        </w:tc>
        <w:tc>
          <w:tcPr>
            <w:tcW w:w="1258" w:type="dxa"/>
            <w:tcBorders>
              <w:top w:val="nil"/>
              <w:left w:val="nil"/>
              <w:bottom w:val="single" w:sz="4" w:space="0" w:color="auto"/>
              <w:right w:val="single" w:sz="4" w:space="0" w:color="auto"/>
            </w:tcBorders>
            <w:noWrap/>
          </w:tcPr>
          <w:p w14:paraId="01994A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98</w:t>
            </w:r>
          </w:p>
        </w:tc>
        <w:tc>
          <w:tcPr>
            <w:tcW w:w="966" w:type="dxa"/>
            <w:gridSpan w:val="2"/>
            <w:tcBorders>
              <w:top w:val="nil"/>
              <w:left w:val="nil"/>
              <w:bottom w:val="single" w:sz="4" w:space="0" w:color="auto"/>
              <w:right w:val="single" w:sz="4" w:space="0" w:color="auto"/>
            </w:tcBorders>
            <w:noWrap/>
          </w:tcPr>
          <w:p w14:paraId="70BAD51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96</w:t>
            </w:r>
          </w:p>
        </w:tc>
        <w:tc>
          <w:tcPr>
            <w:tcW w:w="1023" w:type="dxa"/>
            <w:tcBorders>
              <w:top w:val="nil"/>
              <w:left w:val="nil"/>
              <w:bottom w:val="single" w:sz="4" w:space="0" w:color="auto"/>
              <w:right w:val="single" w:sz="4" w:space="0" w:color="auto"/>
            </w:tcBorders>
            <w:noWrap/>
          </w:tcPr>
          <w:p w14:paraId="4A8D198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93" w:type="dxa"/>
            <w:gridSpan w:val="2"/>
            <w:tcBorders>
              <w:top w:val="nil"/>
              <w:left w:val="nil"/>
              <w:bottom w:val="single" w:sz="4" w:space="0" w:color="auto"/>
              <w:right w:val="single" w:sz="4" w:space="0" w:color="auto"/>
            </w:tcBorders>
            <w:noWrap/>
          </w:tcPr>
          <w:p w14:paraId="2218934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05" w:type="dxa"/>
            <w:tcBorders>
              <w:top w:val="nil"/>
              <w:left w:val="nil"/>
              <w:bottom w:val="single" w:sz="4" w:space="0" w:color="auto"/>
              <w:right w:val="single" w:sz="4" w:space="0" w:color="auto"/>
            </w:tcBorders>
            <w:noWrap/>
          </w:tcPr>
          <w:p w14:paraId="23D6D8B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tcPr>
          <w:p w14:paraId="0444E11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4.2</w:t>
            </w:r>
          </w:p>
        </w:tc>
      </w:tr>
      <w:tr w:rsidR="003B315D" w:rsidRPr="00BE33FC" w14:paraId="46B12FB6"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91E7286"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Valuation Office</w:t>
            </w:r>
          </w:p>
        </w:tc>
        <w:tc>
          <w:tcPr>
            <w:tcW w:w="1258" w:type="dxa"/>
            <w:tcBorders>
              <w:top w:val="nil"/>
              <w:left w:val="nil"/>
              <w:bottom w:val="single" w:sz="4" w:space="0" w:color="auto"/>
              <w:right w:val="single" w:sz="4" w:space="0" w:color="auto"/>
            </w:tcBorders>
            <w:noWrap/>
          </w:tcPr>
          <w:p w14:paraId="501C614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128</w:t>
            </w:r>
          </w:p>
        </w:tc>
        <w:tc>
          <w:tcPr>
            <w:tcW w:w="966" w:type="dxa"/>
            <w:gridSpan w:val="2"/>
            <w:tcBorders>
              <w:top w:val="nil"/>
              <w:left w:val="nil"/>
              <w:bottom w:val="single" w:sz="4" w:space="0" w:color="auto"/>
              <w:right w:val="single" w:sz="4" w:space="0" w:color="auto"/>
            </w:tcBorders>
            <w:noWrap/>
          </w:tcPr>
          <w:p w14:paraId="6BCD08D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133</w:t>
            </w:r>
          </w:p>
        </w:tc>
        <w:tc>
          <w:tcPr>
            <w:tcW w:w="1023" w:type="dxa"/>
            <w:tcBorders>
              <w:top w:val="nil"/>
              <w:left w:val="nil"/>
              <w:bottom w:val="single" w:sz="4" w:space="0" w:color="auto"/>
              <w:right w:val="single" w:sz="4" w:space="0" w:color="auto"/>
            </w:tcBorders>
            <w:noWrap/>
          </w:tcPr>
          <w:p w14:paraId="33D9A38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93" w:type="dxa"/>
            <w:gridSpan w:val="2"/>
            <w:tcBorders>
              <w:top w:val="nil"/>
              <w:left w:val="nil"/>
              <w:bottom w:val="single" w:sz="4" w:space="0" w:color="auto"/>
              <w:right w:val="single" w:sz="4" w:space="0" w:color="auto"/>
            </w:tcBorders>
            <w:noWrap/>
          </w:tcPr>
          <w:p w14:paraId="3F62861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005" w:type="dxa"/>
            <w:tcBorders>
              <w:top w:val="nil"/>
              <w:left w:val="nil"/>
              <w:bottom w:val="single" w:sz="4" w:space="0" w:color="auto"/>
              <w:right w:val="single" w:sz="4" w:space="0" w:color="auto"/>
            </w:tcBorders>
            <w:noWrap/>
          </w:tcPr>
          <w:p w14:paraId="41BE443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4.7</w:t>
            </w:r>
          </w:p>
        </w:tc>
        <w:tc>
          <w:tcPr>
            <w:tcW w:w="945" w:type="dxa"/>
            <w:gridSpan w:val="2"/>
            <w:tcBorders>
              <w:top w:val="nil"/>
              <w:left w:val="nil"/>
              <w:bottom w:val="single" w:sz="4" w:space="0" w:color="auto"/>
              <w:right w:val="single" w:sz="4" w:space="0" w:color="auto"/>
            </w:tcBorders>
            <w:noWrap/>
          </w:tcPr>
          <w:p w14:paraId="3B4AFBF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5.3</w:t>
            </w:r>
          </w:p>
        </w:tc>
      </w:tr>
      <w:tr w:rsidR="003B315D" w:rsidRPr="00BE33FC" w14:paraId="74F1DB6C" w14:textId="77777777" w:rsidTr="00B961C4">
        <w:tc>
          <w:tcPr>
            <w:tcW w:w="2424" w:type="dxa"/>
          </w:tcPr>
          <w:p w14:paraId="1680320F" w14:textId="77777777" w:rsidR="003B315D" w:rsidRPr="00BE33FC" w:rsidRDefault="003B315D" w:rsidP="006D697C">
            <w:pPr>
              <w:ind w:firstLineChars="10" w:firstLine="22"/>
              <w:rPr>
                <w:rFonts w:ascii="Gill Sans MT" w:hAnsi="Gill Sans MT"/>
                <w:b/>
                <w:sz w:val="22"/>
                <w:szCs w:val="22"/>
              </w:rPr>
            </w:pPr>
            <w:r w:rsidRPr="00BE33FC">
              <w:rPr>
                <w:rFonts w:ascii="Gill Sans MT" w:hAnsi="Gill Sans MT"/>
                <w:b/>
                <w:sz w:val="22"/>
                <w:szCs w:val="22"/>
              </w:rPr>
              <w:t>Grand Total</w:t>
            </w:r>
          </w:p>
        </w:tc>
        <w:tc>
          <w:tcPr>
            <w:tcW w:w="1258" w:type="dxa"/>
            <w:tcBorders>
              <w:top w:val="single" w:sz="4" w:space="0" w:color="auto"/>
              <w:left w:val="single" w:sz="4" w:space="0" w:color="auto"/>
              <w:bottom w:val="single" w:sz="4" w:space="0" w:color="auto"/>
              <w:right w:val="single" w:sz="4" w:space="0" w:color="auto"/>
            </w:tcBorders>
            <w:vAlign w:val="bottom"/>
          </w:tcPr>
          <w:p w14:paraId="4F0D343A"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34,307</w:t>
            </w:r>
          </w:p>
        </w:tc>
        <w:tc>
          <w:tcPr>
            <w:tcW w:w="966" w:type="dxa"/>
            <w:gridSpan w:val="2"/>
            <w:tcBorders>
              <w:top w:val="single" w:sz="4" w:space="0" w:color="auto"/>
              <w:left w:val="single" w:sz="4" w:space="0" w:color="auto"/>
              <w:bottom w:val="single" w:sz="4" w:space="0" w:color="auto"/>
              <w:right w:val="single" w:sz="4" w:space="0" w:color="auto"/>
            </w:tcBorders>
            <w:vAlign w:val="bottom"/>
          </w:tcPr>
          <w:p w14:paraId="4899798D"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35,409</w:t>
            </w:r>
          </w:p>
        </w:tc>
        <w:tc>
          <w:tcPr>
            <w:tcW w:w="1023" w:type="dxa"/>
            <w:tcBorders>
              <w:top w:val="single" w:sz="4" w:space="0" w:color="auto"/>
              <w:left w:val="single" w:sz="4" w:space="0" w:color="auto"/>
              <w:bottom w:val="single" w:sz="4" w:space="0" w:color="auto"/>
              <w:right w:val="single" w:sz="4" w:space="0" w:color="auto"/>
            </w:tcBorders>
            <w:vAlign w:val="bottom"/>
          </w:tcPr>
          <w:p w14:paraId="42D8DFF4"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1,543</w:t>
            </w:r>
          </w:p>
        </w:tc>
        <w:tc>
          <w:tcPr>
            <w:tcW w:w="1093" w:type="dxa"/>
            <w:gridSpan w:val="2"/>
            <w:tcBorders>
              <w:top w:val="single" w:sz="4" w:space="0" w:color="auto"/>
              <w:left w:val="single" w:sz="4" w:space="0" w:color="auto"/>
              <w:bottom w:val="single" w:sz="4" w:space="0" w:color="auto"/>
              <w:right w:val="single" w:sz="4" w:space="0" w:color="auto"/>
            </w:tcBorders>
            <w:vAlign w:val="bottom"/>
          </w:tcPr>
          <w:p w14:paraId="1514634B"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1,628</w:t>
            </w:r>
          </w:p>
        </w:tc>
        <w:tc>
          <w:tcPr>
            <w:tcW w:w="1005" w:type="dxa"/>
            <w:tcBorders>
              <w:top w:val="single" w:sz="4" w:space="0" w:color="auto"/>
              <w:left w:val="nil"/>
              <w:bottom w:val="single" w:sz="4" w:space="0" w:color="auto"/>
              <w:right w:val="single" w:sz="4" w:space="0" w:color="auto"/>
            </w:tcBorders>
            <w:vAlign w:val="bottom"/>
          </w:tcPr>
          <w:p w14:paraId="4A31EAF2"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4.5</w:t>
            </w:r>
          </w:p>
        </w:tc>
        <w:tc>
          <w:tcPr>
            <w:tcW w:w="945" w:type="dxa"/>
            <w:gridSpan w:val="2"/>
            <w:tcBorders>
              <w:top w:val="single" w:sz="4" w:space="0" w:color="auto"/>
              <w:left w:val="nil"/>
              <w:bottom w:val="single" w:sz="4" w:space="0" w:color="auto"/>
              <w:right w:val="single" w:sz="4" w:space="0" w:color="auto"/>
            </w:tcBorders>
            <w:vAlign w:val="bottom"/>
          </w:tcPr>
          <w:p w14:paraId="780F1051"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4.6</w:t>
            </w:r>
          </w:p>
        </w:tc>
      </w:tr>
    </w:tbl>
    <w:p w14:paraId="7D7BC2EE" w14:textId="47E33A25" w:rsidR="003B315D" w:rsidRPr="00CC4F07" w:rsidRDefault="003B315D" w:rsidP="003B315D">
      <w:pPr>
        <w:rPr>
          <w:rFonts w:ascii="Gill Sans MT" w:hAnsi="Gill Sans MT"/>
          <w:sz w:val="22"/>
          <w:szCs w:val="22"/>
        </w:rPr>
      </w:pPr>
    </w:p>
    <w:p w14:paraId="733A7DCC" w14:textId="77777777" w:rsidR="003B315D" w:rsidRPr="00CC4F07" w:rsidRDefault="003B315D">
      <w:pPr>
        <w:spacing w:after="0"/>
        <w:rPr>
          <w:rFonts w:ascii="Gill Sans MT" w:hAnsi="Gill Sans MT"/>
          <w:sz w:val="22"/>
          <w:szCs w:val="22"/>
        </w:rPr>
      </w:pPr>
      <w:r w:rsidRPr="00CC4F07">
        <w:rPr>
          <w:rFonts w:ascii="Gill Sans MT" w:hAnsi="Gill Sans MT"/>
          <w:sz w:val="22"/>
          <w:szCs w:val="22"/>
        </w:rPr>
        <w:br w:type="page"/>
      </w:r>
    </w:p>
    <w:p w14:paraId="55A97432" w14:textId="26CA586F" w:rsidR="003B315D" w:rsidRPr="00CC4F07" w:rsidRDefault="003B315D" w:rsidP="003B315D">
      <w:pPr>
        <w:rPr>
          <w:b/>
        </w:rPr>
      </w:pPr>
      <w:r w:rsidRPr="00CC4F07">
        <w:rPr>
          <w:b/>
        </w:rPr>
        <w:lastRenderedPageBreak/>
        <w:t>Department of Rural &amp; Community Development</w:t>
      </w:r>
    </w:p>
    <w:tbl>
      <w:tblPr>
        <w:tblStyle w:val="TableGrid"/>
        <w:tblW w:w="0" w:type="auto"/>
        <w:tblLook w:val="04A0" w:firstRow="1" w:lastRow="0" w:firstColumn="1" w:lastColumn="0" w:noHBand="0" w:noVBand="1"/>
        <w:tblCaption w:val="Appendix B Public bodies"/>
        <w:tblDescription w:val="Department of Rural and Community Development"/>
      </w:tblPr>
      <w:tblGrid>
        <w:gridCol w:w="2506"/>
        <w:gridCol w:w="1053"/>
        <w:gridCol w:w="350"/>
        <w:gridCol w:w="636"/>
        <w:gridCol w:w="1053"/>
        <w:gridCol w:w="830"/>
        <w:gridCol w:w="288"/>
        <w:gridCol w:w="1034"/>
        <w:gridCol w:w="718"/>
        <w:gridCol w:w="246"/>
      </w:tblGrid>
      <w:tr w:rsidR="003B315D" w:rsidRPr="00BE33FC" w14:paraId="58EA456B" w14:textId="77777777" w:rsidTr="00B961C4">
        <w:tc>
          <w:tcPr>
            <w:tcW w:w="2506" w:type="dxa"/>
          </w:tcPr>
          <w:p w14:paraId="60DB89B7"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403" w:type="dxa"/>
            <w:gridSpan w:val="2"/>
            <w:tcBorders>
              <w:right w:val="nil"/>
            </w:tcBorders>
          </w:tcPr>
          <w:p w14:paraId="613F0C5E"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xml:space="preserve">Total number of </w:t>
            </w:r>
            <w:proofErr w:type="gramStart"/>
            <w:r w:rsidRPr="00BE33FC">
              <w:rPr>
                <w:rFonts w:ascii="Gill Sans MT" w:hAnsi="Gill Sans MT"/>
                <w:b/>
                <w:sz w:val="22"/>
                <w:szCs w:val="22"/>
              </w:rPr>
              <w:t>employee</w:t>
            </w:r>
            <w:proofErr w:type="gramEnd"/>
          </w:p>
        </w:tc>
        <w:tc>
          <w:tcPr>
            <w:tcW w:w="636" w:type="dxa"/>
            <w:tcBorders>
              <w:left w:val="nil"/>
            </w:tcBorders>
          </w:tcPr>
          <w:p w14:paraId="4ACA58A6"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4FB7C4BA"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8" w:type="dxa"/>
            <w:tcBorders>
              <w:left w:val="nil"/>
            </w:tcBorders>
          </w:tcPr>
          <w:p w14:paraId="5802E70A"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026651D0"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6" w:type="dxa"/>
            <w:tcBorders>
              <w:left w:val="nil"/>
            </w:tcBorders>
          </w:tcPr>
          <w:p w14:paraId="2A5D509C" w14:textId="77777777" w:rsidR="003B315D" w:rsidRPr="00BE33FC" w:rsidRDefault="003B315D" w:rsidP="006D697C">
            <w:pPr>
              <w:rPr>
                <w:rFonts w:ascii="Gill Sans MT" w:hAnsi="Gill Sans MT"/>
                <w:b/>
                <w:sz w:val="22"/>
                <w:szCs w:val="22"/>
              </w:rPr>
            </w:pPr>
          </w:p>
        </w:tc>
      </w:tr>
      <w:tr w:rsidR="003B315D" w:rsidRPr="00BE33FC" w14:paraId="5E8D5552" w14:textId="77777777" w:rsidTr="00B961C4">
        <w:tc>
          <w:tcPr>
            <w:tcW w:w="2506" w:type="dxa"/>
          </w:tcPr>
          <w:p w14:paraId="2E75F50F" w14:textId="77777777" w:rsidR="003B315D" w:rsidRPr="00BE33FC" w:rsidRDefault="003B315D" w:rsidP="006D697C">
            <w:pPr>
              <w:rPr>
                <w:rFonts w:ascii="Gill Sans MT" w:hAnsi="Gill Sans MT"/>
                <w:b/>
                <w:sz w:val="22"/>
                <w:szCs w:val="22"/>
              </w:rPr>
            </w:pPr>
          </w:p>
        </w:tc>
        <w:tc>
          <w:tcPr>
            <w:tcW w:w="1053" w:type="dxa"/>
          </w:tcPr>
          <w:p w14:paraId="7E471C75"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091BB6CF"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0740D1E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5CC084CB"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60B35AB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5BAB880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07F2FABA" w14:textId="77777777" w:rsidTr="00441696">
        <w:trPr>
          <w:trHeight w:val="300"/>
        </w:trPr>
        <w:tc>
          <w:tcPr>
            <w:tcW w:w="2506" w:type="dxa"/>
            <w:tcBorders>
              <w:top w:val="single" w:sz="4" w:space="0" w:color="auto"/>
              <w:left w:val="single" w:sz="4" w:space="0" w:color="auto"/>
              <w:bottom w:val="single" w:sz="4" w:space="0" w:color="auto"/>
              <w:right w:val="single" w:sz="4" w:space="0" w:color="auto"/>
            </w:tcBorders>
            <w:noWrap/>
            <w:vAlign w:val="bottom"/>
            <w:hideMark/>
          </w:tcPr>
          <w:p w14:paraId="6F0F0526" w14:textId="77777777" w:rsidR="003B315D" w:rsidRPr="00BE33FC" w:rsidRDefault="003B315D" w:rsidP="006D697C">
            <w:pPr>
              <w:spacing w:line="240" w:lineRule="auto"/>
              <w:ind w:firstLineChars="10" w:firstLine="22"/>
              <w:rPr>
                <w:rFonts w:ascii="Gill Sans MT" w:hAnsi="Gill Sans MT"/>
                <w:b/>
                <w:color w:val="000000"/>
                <w:sz w:val="22"/>
                <w:szCs w:val="22"/>
                <w:lang w:eastAsia="en-IE"/>
              </w:rPr>
            </w:pPr>
            <w:r w:rsidRPr="00BE33FC">
              <w:rPr>
                <w:rFonts w:ascii="Gill Sans MT" w:hAnsi="Gill Sans MT" w:cs="Arial"/>
                <w:sz w:val="22"/>
                <w:szCs w:val="22"/>
              </w:rPr>
              <w:t>Irish Water Safety</w:t>
            </w:r>
          </w:p>
        </w:tc>
        <w:tc>
          <w:tcPr>
            <w:tcW w:w="1053" w:type="dxa"/>
            <w:tcBorders>
              <w:top w:val="single" w:sz="4" w:space="0" w:color="auto"/>
              <w:left w:val="nil"/>
              <w:bottom w:val="single" w:sz="4" w:space="0" w:color="auto"/>
              <w:right w:val="single" w:sz="4" w:space="0" w:color="auto"/>
            </w:tcBorders>
            <w:noWrap/>
            <w:hideMark/>
          </w:tcPr>
          <w:p w14:paraId="2E45854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986" w:type="dxa"/>
            <w:gridSpan w:val="2"/>
            <w:tcBorders>
              <w:top w:val="single" w:sz="4" w:space="0" w:color="auto"/>
              <w:left w:val="nil"/>
              <w:bottom w:val="single" w:sz="4" w:space="0" w:color="auto"/>
              <w:right w:val="single" w:sz="4" w:space="0" w:color="auto"/>
            </w:tcBorders>
            <w:noWrap/>
            <w:hideMark/>
          </w:tcPr>
          <w:p w14:paraId="3C15F19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53" w:type="dxa"/>
            <w:tcBorders>
              <w:top w:val="single" w:sz="4" w:space="0" w:color="auto"/>
              <w:left w:val="nil"/>
              <w:bottom w:val="single" w:sz="4" w:space="0" w:color="auto"/>
              <w:right w:val="single" w:sz="4" w:space="0" w:color="auto"/>
            </w:tcBorders>
            <w:noWrap/>
            <w:hideMark/>
          </w:tcPr>
          <w:p w14:paraId="30E22C0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8" w:type="dxa"/>
            <w:gridSpan w:val="2"/>
            <w:tcBorders>
              <w:top w:val="single" w:sz="4" w:space="0" w:color="auto"/>
              <w:left w:val="nil"/>
              <w:bottom w:val="single" w:sz="4" w:space="0" w:color="auto"/>
              <w:right w:val="single" w:sz="4" w:space="0" w:color="auto"/>
            </w:tcBorders>
            <w:noWrap/>
            <w:hideMark/>
          </w:tcPr>
          <w:p w14:paraId="6FC02A9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4" w:type="dxa"/>
            <w:tcBorders>
              <w:top w:val="single" w:sz="4" w:space="0" w:color="auto"/>
              <w:left w:val="nil"/>
              <w:bottom w:val="single" w:sz="4" w:space="0" w:color="auto"/>
              <w:right w:val="single" w:sz="4" w:space="0" w:color="auto"/>
            </w:tcBorders>
            <w:noWrap/>
            <w:hideMark/>
          </w:tcPr>
          <w:p w14:paraId="3A2F9E9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64" w:type="dxa"/>
            <w:gridSpan w:val="2"/>
            <w:tcBorders>
              <w:top w:val="single" w:sz="4" w:space="0" w:color="auto"/>
              <w:left w:val="nil"/>
              <w:bottom w:val="single" w:sz="4" w:space="0" w:color="auto"/>
              <w:right w:val="single" w:sz="4" w:space="0" w:color="auto"/>
            </w:tcBorders>
            <w:noWrap/>
            <w:hideMark/>
          </w:tcPr>
          <w:p w14:paraId="4FE4649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12.5</w:t>
            </w:r>
          </w:p>
        </w:tc>
      </w:tr>
      <w:tr w:rsidR="003B315D" w:rsidRPr="00BE33FC" w14:paraId="54108050"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hideMark/>
          </w:tcPr>
          <w:p w14:paraId="0F896234" w14:textId="77777777" w:rsidR="003B315D" w:rsidRPr="00BE33FC" w:rsidRDefault="003B315D" w:rsidP="006D697C">
            <w:pPr>
              <w:ind w:firstLineChars="10" w:firstLine="22"/>
              <w:rPr>
                <w:rFonts w:ascii="Gill Sans MT" w:hAnsi="Gill Sans MT"/>
                <w:b/>
                <w:color w:val="000000"/>
                <w:sz w:val="22"/>
                <w:szCs w:val="22"/>
                <w:lang w:eastAsia="en-IE"/>
              </w:rPr>
            </w:pPr>
            <w:r w:rsidRPr="00BE33FC">
              <w:rPr>
                <w:rFonts w:ascii="Gill Sans MT" w:hAnsi="Gill Sans MT" w:cs="Arial"/>
                <w:sz w:val="22"/>
                <w:szCs w:val="22"/>
              </w:rPr>
              <w:t>Western Development Commission</w:t>
            </w:r>
          </w:p>
        </w:tc>
        <w:tc>
          <w:tcPr>
            <w:tcW w:w="1053" w:type="dxa"/>
            <w:tcBorders>
              <w:top w:val="nil"/>
              <w:left w:val="nil"/>
              <w:bottom w:val="single" w:sz="4" w:space="0" w:color="auto"/>
              <w:right w:val="single" w:sz="4" w:space="0" w:color="auto"/>
            </w:tcBorders>
            <w:noWrap/>
            <w:hideMark/>
          </w:tcPr>
          <w:p w14:paraId="248913F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986" w:type="dxa"/>
            <w:gridSpan w:val="2"/>
            <w:tcBorders>
              <w:top w:val="nil"/>
              <w:left w:val="nil"/>
              <w:bottom w:val="single" w:sz="4" w:space="0" w:color="auto"/>
              <w:right w:val="single" w:sz="4" w:space="0" w:color="auto"/>
            </w:tcBorders>
            <w:noWrap/>
            <w:hideMark/>
          </w:tcPr>
          <w:p w14:paraId="39CF077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15</w:t>
            </w:r>
          </w:p>
        </w:tc>
        <w:tc>
          <w:tcPr>
            <w:tcW w:w="1053" w:type="dxa"/>
            <w:tcBorders>
              <w:top w:val="nil"/>
              <w:left w:val="nil"/>
              <w:bottom w:val="single" w:sz="4" w:space="0" w:color="auto"/>
              <w:right w:val="single" w:sz="4" w:space="0" w:color="auto"/>
            </w:tcBorders>
            <w:noWrap/>
            <w:hideMark/>
          </w:tcPr>
          <w:p w14:paraId="565DAD2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hideMark/>
          </w:tcPr>
          <w:p w14:paraId="62C7A97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hideMark/>
          </w:tcPr>
          <w:p w14:paraId="20BD62A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64" w:type="dxa"/>
            <w:gridSpan w:val="2"/>
            <w:tcBorders>
              <w:top w:val="nil"/>
              <w:left w:val="nil"/>
              <w:bottom w:val="single" w:sz="4" w:space="0" w:color="auto"/>
              <w:right w:val="single" w:sz="4" w:space="0" w:color="auto"/>
            </w:tcBorders>
            <w:noWrap/>
            <w:hideMark/>
          </w:tcPr>
          <w:p w14:paraId="1C7F208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2E5553AA" w14:textId="77777777" w:rsidTr="00441696">
        <w:tc>
          <w:tcPr>
            <w:tcW w:w="2506" w:type="dxa"/>
          </w:tcPr>
          <w:p w14:paraId="181754A8" w14:textId="77777777" w:rsidR="003B315D" w:rsidRPr="00BE33FC" w:rsidRDefault="003B315D" w:rsidP="006D697C">
            <w:pPr>
              <w:ind w:firstLineChars="10" w:firstLine="22"/>
              <w:rPr>
                <w:rFonts w:ascii="Gill Sans MT" w:hAnsi="Gill Sans MT"/>
                <w:b/>
                <w:sz w:val="22"/>
                <w:szCs w:val="22"/>
              </w:rPr>
            </w:pPr>
            <w:r w:rsidRPr="00BE33FC">
              <w:rPr>
                <w:rFonts w:ascii="Gill Sans MT" w:hAnsi="Gill Sans MT"/>
                <w:b/>
                <w:sz w:val="22"/>
                <w:szCs w:val="22"/>
              </w:rPr>
              <w:t>Grand Total</w:t>
            </w:r>
          </w:p>
        </w:tc>
        <w:tc>
          <w:tcPr>
            <w:tcW w:w="1053" w:type="dxa"/>
            <w:tcBorders>
              <w:top w:val="single" w:sz="4" w:space="0" w:color="auto"/>
              <w:left w:val="single" w:sz="4" w:space="0" w:color="auto"/>
              <w:bottom w:val="single" w:sz="4" w:space="0" w:color="auto"/>
              <w:right w:val="single" w:sz="4" w:space="0" w:color="auto"/>
            </w:tcBorders>
          </w:tcPr>
          <w:p w14:paraId="52177178" w14:textId="77777777" w:rsidR="003B315D" w:rsidRPr="00BE33FC" w:rsidRDefault="003B315D" w:rsidP="00441696">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21</w:t>
            </w:r>
          </w:p>
        </w:tc>
        <w:tc>
          <w:tcPr>
            <w:tcW w:w="986" w:type="dxa"/>
            <w:gridSpan w:val="2"/>
            <w:tcBorders>
              <w:top w:val="single" w:sz="4" w:space="0" w:color="auto"/>
              <w:left w:val="single" w:sz="4" w:space="0" w:color="auto"/>
              <w:bottom w:val="single" w:sz="4" w:space="0" w:color="auto"/>
              <w:right w:val="single" w:sz="4" w:space="0" w:color="auto"/>
            </w:tcBorders>
          </w:tcPr>
          <w:p w14:paraId="6868EA86" w14:textId="77777777" w:rsidR="003B315D" w:rsidRPr="00BE33FC" w:rsidRDefault="003B315D" w:rsidP="00441696">
            <w:pPr>
              <w:jc w:val="right"/>
              <w:rPr>
                <w:rFonts w:ascii="Gill Sans MT" w:hAnsi="Gill Sans MT"/>
                <w:b/>
                <w:bCs/>
                <w:color w:val="000000"/>
                <w:sz w:val="22"/>
                <w:szCs w:val="22"/>
              </w:rPr>
            </w:pPr>
            <w:r w:rsidRPr="00BE33FC">
              <w:rPr>
                <w:rFonts w:ascii="Gill Sans MT" w:hAnsi="Gill Sans MT" w:cs="Arial"/>
                <w:b/>
                <w:bCs/>
                <w:color w:val="000000"/>
                <w:sz w:val="22"/>
                <w:szCs w:val="22"/>
              </w:rPr>
              <w:t>23</w:t>
            </w:r>
          </w:p>
        </w:tc>
        <w:tc>
          <w:tcPr>
            <w:tcW w:w="1053" w:type="dxa"/>
            <w:tcBorders>
              <w:top w:val="single" w:sz="4" w:space="0" w:color="auto"/>
              <w:left w:val="single" w:sz="4" w:space="0" w:color="auto"/>
              <w:bottom w:val="single" w:sz="4" w:space="0" w:color="auto"/>
              <w:right w:val="single" w:sz="4" w:space="0" w:color="auto"/>
            </w:tcBorders>
          </w:tcPr>
          <w:p w14:paraId="1BFA0008" w14:textId="77777777" w:rsidR="003B315D" w:rsidRPr="00BE33FC" w:rsidRDefault="003B315D" w:rsidP="00441696">
            <w:pPr>
              <w:jc w:val="right"/>
              <w:rPr>
                <w:rFonts w:ascii="Gill Sans MT" w:hAnsi="Gill Sans MT"/>
                <w:b/>
                <w:bCs/>
                <w:color w:val="000000"/>
                <w:sz w:val="22"/>
                <w:szCs w:val="22"/>
              </w:rPr>
            </w:pPr>
            <w:r w:rsidRPr="00BE33FC">
              <w:rPr>
                <w:rFonts w:ascii="Gill Sans MT" w:hAnsi="Gill Sans MT" w:cs="Arial"/>
                <w:b/>
                <w:bCs/>
                <w:color w:val="000000"/>
                <w:sz w:val="22"/>
                <w:szCs w:val="22"/>
              </w:rPr>
              <w:t>0</w:t>
            </w:r>
          </w:p>
        </w:tc>
        <w:tc>
          <w:tcPr>
            <w:tcW w:w="1118" w:type="dxa"/>
            <w:gridSpan w:val="2"/>
            <w:tcBorders>
              <w:top w:val="single" w:sz="4" w:space="0" w:color="auto"/>
              <w:left w:val="single" w:sz="4" w:space="0" w:color="auto"/>
              <w:bottom w:val="single" w:sz="4" w:space="0" w:color="auto"/>
              <w:right w:val="single" w:sz="4" w:space="0" w:color="auto"/>
            </w:tcBorders>
          </w:tcPr>
          <w:p w14:paraId="60DFF537" w14:textId="77777777" w:rsidR="003B315D" w:rsidRPr="00BE33FC" w:rsidRDefault="003B315D" w:rsidP="00441696">
            <w:pPr>
              <w:jc w:val="right"/>
              <w:rPr>
                <w:rFonts w:ascii="Gill Sans MT" w:hAnsi="Gill Sans MT"/>
                <w:b/>
                <w:bCs/>
                <w:color w:val="000000"/>
                <w:sz w:val="22"/>
                <w:szCs w:val="22"/>
              </w:rPr>
            </w:pPr>
            <w:r w:rsidRPr="00BE33FC">
              <w:rPr>
                <w:rFonts w:ascii="Gill Sans MT" w:hAnsi="Gill Sans MT" w:cs="Arial"/>
                <w:b/>
                <w:bCs/>
                <w:color w:val="000000"/>
                <w:sz w:val="22"/>
                <w:szCs w:val="22"/>
              </w:rPr>
              <w:t>1</w:t>
            </w:r>
          </w:p>
        </w:tc>
        <w:tc>
          <w:tcPr>
            <w:tcW w:w="1034" w:type="dxa"/>
            <w:tcBorders>
              <w:top w:val="single" w:sz="4" w:space="0" w:color="auto"/>
              <w:left w:val="nil"/>
              <w:bottom w:val="single" w:sz="4" w:space="0" w:color="auto"/>
              <w:right w:val="single" w:sz="4" w:space="0" w:color="auto"/>
            </w:tcBorders>
          </w:tcPr>
          <w:p w14:paraId="0ACF35AC" w14:textId="77777777" w:rsidR="003B315D" w:rsidRPr="00BE33FC" w:rsidRDefault="003B315D" w:rsidP="00441696">
            <w:pPr>
              <w:jc w:val="right"/>
              <w:rPr>
                <w:rFonts w:ascii="Gill Sans MT" w:hAnsi="Gill Sans MT"/>
                <w:color w:val="000000"/>
                <w:sz w:val="22"/>
                <w:szCs w:val="22"/>
              </w:rPr>
            </w:pPr>
            <w:r w:rsidRPr="00BE33FC">
              <w:rPr>
                <w:rFonts w:ascii="Gill Sans MT" w:hAnsi="Gill Sans MT" w:cs="Arial"/>
                <w:b/>
                <w:bCs/>
                <w:sz w:val="22"/>
                <w:szCs w:val="22"/>
              </w:rPr>
              <w:t>0.0</w:t>
            </w:r>
          </w:p>
        </w:tc>
        <w:tc>
          <w:tcPr>
            <w:tcW w:w="964" w:type="dxa"/>
            <w:gridSpan w:val="2"/>
            <w:tcBorders>
              <w:top w:val="single" w:sz="4" w:space="0" w:color="auto"/>
              <w:left w:val="nil"/>
              <w:bottom w:val="single" w:sz="4" w:space="0" w:color="auto"/>
              <w:right w:val="single" w:sz="4" w:space="0" w:color="auto"/>
            </w:tcBorders>
          </w:tcPr>
          <w:p w14:paraId="4A4AB02C" w14:textId="77777777" w:rsidR="003B315D" w:rsidRPr="00BE33FC" w:rsidRDefault="003B315D" w:rsidP="00441696">
            <w:pPr>
              <w:jc w:val="right"/>
              <w:rPr>
                <w:rFonts w:ascii="Gill Sans MT" w:hAnsi="Gill Sans MT" w:cs="Arial"/>
                <w:b/>
                <w:bCs/>
                <w:sz w:val="22"/>
                <w:szCs w:val="22"/>
              </w:rPr>
            </w:pPr>
            <w:r w:rsidRPr="00BE33FC">
              <w:rPr>
                <w:rFonts w:ascii="Gill Sans MT" w:hAnsi="Gill Sans MT" w:cs="Arial"/>
                <w:b/>
                <w:bCs/>
                <w:sz w:val="22"/>
                <w:szCs w:val="22"/>
              </w:rPr>
              <w:t>4.3</w:t>
            </w:r>
          </w:p>
        </w:tc>
      </w:tr>
    </w:tbl>
    <w:p w14:paraId="1A7765C5" w14:textId="77777777" w:rsidR="003B315D" w:rsidRPr="00CC4F07" w:rsidRDefault="003B315D" w:rsidP="003B315D">
      <w:pPr>
        <w:rPr>
          <w:b/>
        </w:rPr>
      </w:pPr>
    </w:p>
    <w:p w14:paraId="7187F534" w14:textId="77777777" w:rsidR="003B315D" w:rsidRPr="00CC4F07" w:rsidRDefault="003B315D" w:rsidP="003B315D">
      <w:pPr>
        <w:rPr>
          <w:b/>
        </w:rPr>
      </w:pPr>
      <w:r w:rsidRPr="00CC4F07">
        <w:rPr>
          <w:b/>
        </w:rPr>
        <w:t>Department of the Taoiseach</w:t>
      </w:r>
    </w:p>
    <w:tbl>
      <w:tblPr>
        <w:tblStyle w:val="TableGrid"/>
        <w:tblpPr w:leftFromText="180" w:rightFromText="180" w:vertAnchor="text" w:horzAnchor="margin" w:tblpY="-24"/>
        <w:tblW w:w="0" w:type="auto"/>
        <w:tblLook w:val="04A0" w:firstRow="1" w:lastRow="0" w:firstColumn="1" w:lastColumn="0" w:noHBand="0" w:noVBand="1"/>
        <w:tblCaption w:val="Appendix B Public bodies"/>
        <w:tblDescription w:val="Department of the Taoiseach"/>
      </w:tblPr>
      <w:tblGrid>
        <w:gridCol w:w="2506"/>
        <w:gridCol w:w="1053"/>
        <w:gridCol w:w="350"/>
        <w:gridCol w:w="636"/>
        <w:gridCol w:w="1053"/>
        <w:gridCol w:w="830"/>
        <w:gridCol w:w="288"/>
        <w:gridCol w:w="1034"/>
        <w:gridCol w:w="718"/>
        <w:gridCol w:w="246"/>
      </w:tblGrid>
      <w:tr w:rsidR="003B315D" w:rsidRPr="00BE33FC" w14:paraId="5DF7BD5F" w14:textId="77777777" w:rsidTr="00B961C4">
        <w:tc>
          <w:tcPr>
            <w:tcW w:w="2506" w:type="dxa"/>
          </w:tcPr>
          <w:p w14:paraId="07D6C667"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Public Body</w:t>
            </w:r>
          </w:p>
        </w:tc>
        <w:tc>
          <w:tcPr>
            <w:tcW w:w="1403" w:type="dxa"/>
            <w:gridSpan w:val="2"/>
            <w:tcBorders>
              <w:right w:val="nil"/>
            </w:tcBorders>
          </w:tcPr>
          <w:p w14:paraId="5586104B"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Total number of employees</w:t>
            </w:r>
          </w:p>
        </w:tc>
        <w:tc>
          <w:tcPr>
            <w:tcW w:w="636" w:type="dxa"/>
            <w:tcBorders>
              <w:left w:val="nil"/>
            </w:tcBorders>
          </w:tcPr>
          <w:p w14:paraId="132BF3E7"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1838928D"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Number employees with disabilities</w:t>
            </w:r>
          </w:p>
        </w:tc>
        <w:tc>
          <w:tcPr>
            <w:tcW w:w="288" w:type="dxa"/>
            <w:tcBorders>
              <w:left w:val="nil"/>
            </w:tcBorders>
          </w:tcPr>
          <w:p w14:paraId="4D5AF673"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35AD81B4" w14:textId="77777777" w:rsidR="003B315D" w:rsidRPr="00BE33FC" w:rsidRDefault="003B315D" w:rsidP="006D697C">
            <w:pPr>
              <w:rPr>
                <w:rFonts w:ascii="Gill Sans MT" w:hAnsi="Gill Sans MT"/>
                <w:b/>
                <w:sz w:val="22"/>
                <w:szCs w:val="22"/>
              </w:rPr>
            </w:pPr>
            <w:r w:rsidRPr="00BE33FC">
              <w:rPr>
                <w:rFonts w:ascii="Gill Sans MT" w:hAnsi="Gill Sans MT"/>
                <w:b/>
                <w:sz w:val="22"/>
                <w:szCs w:val="22"/>
              </w:rPr>
              <w:t>% workforce with disabilities</w:t>
            </w:r>
          </w:p>
        </w:tc>
        <w:tc>
          <w:tcPr>
            <w:tcW w:w="246" w:type="dxa"/>
            <w:tcBorders>
              <w:left w:val="nil"/>
            </w:tcBorders>
          </w:tcPr>
          <w:p w14:paraId="5C55ADC1" w14:textId="77777777" w:rsidR="003B315D" w:rsidRPr="00BE33FC" w:rsidRDefault="003B315D" w:rsidP="006D697C">
            <w:pPr>
              <w:rPr>
                <w:rFonts w:ascii="Gill Sans MT" w:hAnsi="Gill Sans MT"/>
                <w:b/>
                <w:sz w:val="22"/>
                <w:szCs w:val="22"/>
              </w:rPr>
            </w:pPr>
          </w:p>
        </w:tc>
      </w:tr>
      <w:tr w:rsidR="003B315D" w:rsidRPr="00BE33FC" w14:paraId="670C0DCB" w14:textId="77777777" w:rsidTr="00B961C4">
        <w:tc>
          <w:tcPr>
            <w:tcW w:w="2506" w:type="dxa"/>
          </w:tcPr>
          <w:p w14:paraId="0428D3CF" w14:textId="77777777" w:rsidR="003B315D" w:rsidRPr="00BE33FC" w:rsidRDefault="003B315D" w:rsidP="006D697C">
            <w:pPr>
              <w:rPr>
                <w:rFonts w:ascii="Gill Sans MT" w:hAnsi="Gill Sans MT"/>
                <w:b/>
                <w:sz w:val="22"/>
                <w:szCs w:val="22"/>
              </w:rPr>
            </w:pPr>
          </w:p>
        </w:tc>
        <w:tc>
          <w:tcPr>
            <w:tcW w:w="1053" w:type="dxa"/>
          </w:tcPr>
          <w:p w14:paraId="2D526E1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4E5528B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3406CFB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045B68E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41D48CC9"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1229C23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75FBB9A7" w14:textId="77777777" w:rsidTr="00441696">
        <w:trPr>
          <w:trHeight w:val="300"/>
        </w:trPr>
        <w:tc>
          <w:tcPr>
            <w:tcW w:w="2506" w:type="dxa"/>
            <w:noWrap/>
            <w:hideMark/>
          </w:tcPr>
          <w:p w14:paraId="547A1AD5"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olor w:val="000000"/>
                <w:sz w:val="22"/>
                <w:szCs w:val="22"/>
                <w:lang w:eastAsia="en-IE"/>
              </w:rPr>
              <w:t>National Economic and Social Development Office</w:t>
            </w:r>
          </w:p>
        </w:tc>
        <w:tc>
          <w:tcPr>
            <w:tcW w:w="1053" w:type="dxa"/>
            <w:tcBorders>
              <w:top w:val="single" w:sz="4" w:space="0" w:color="auto"/>
              <w:left w:val="single" w:sz="4" w:space="0" w:color="auto"/>
              <w:bottom w:val="single" w:sz="4" w:space="0" w:color="auto"/>
              <w:right w:val="single" w:sz="4" w:space="0" w:color="auto"/>
            </w:tcBorders>
            <w:noWrap/>
            <w:hideMark/>
          </w:tcPr>
          <w:p w14:paraId="6B64416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986" w:type="dxa"/>
            <w:gridSpan w:val="2"/>
            <w:tcBorders>
              <w:top w:val="single" w:sz="4" w:space="0" w:color="auto"/>
              <w:left w:val="nil"/>
              <w:bottom w:val="single" w:sz="4" w:space="0" w:color="auto"/>
              <w:right w:val="single" w:sz="4" w:space="0" w:color="auto"/>
            </w:tcBorders>
            <w:noWrap/>
            <w:hideMark/>
          </w:tcPr>
          <w:p w14:paraId="002E1F6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053" w:type="dxa"/>
            <w:tcBorders>
              <w:top w:val="single" w:sz="4" w:space="0" w:color="auto"/>
              <w:left w:val="nil"/>
              <w:bottom w:val="single" w:sz="4" w:space="0" w:color="auto"/>
              <w:right w:val="single" w:sz="4" w:space="0" w:color="auto"/>
            </w:tcBorders>
            <w:noWrap/>
            <w:hideMark/>
          </w:tcPr>
          <w:p w14:paraId="0478812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8" w:type="dxa"/>
            <w:gridSpan w:val="2"/>
            <w:tcBorders>
              <w:top w:val="single" w:sz="4" w:space="0" w:color="auto"/>
              <w:left w:val="nil"/>
              <w:bottom w:val="single" w:sz="4" w:space="0" w:color="auto"/>
              <w:right w:val="single" w:sz="4" w:space="0" w:color="auto"/>
            </w:tcBorders>
            <w:noWrap/>
            <w:hideMark/>
          </w:tcPr>
          <w:p w14:paraId="1DFE6B0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4" w:type="dxa"/>
            <w:tcBorders>
              <w:top w:val="single" w:sz="4" w:space="0" w:color="auto"/>
              <w:left w:val="nil"/>
              <w:bottom w:val="single" w:sz="4" w:space="0" w:color="auto"/>
              <w:right w:val="single" w:sz="4" w:space="0" w:color="auto"/>
            </w:tcBorders>
            <w:noWrap/>
            <w:hideMark/>
          </w:tcPr>
          <w:p w14:paraId="445C37C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5.9</w:t>
            </w:r>
          </w:p>
        </w:tc>
        <w:tc>
          <w:tcPr>
            <w:tcW w:w="964" w:type="dxa"/>
            <w:gridSpan w:val="2"/>
            <w:tcBorders>
              <w:top w:val="single" w:sz="4" w:space="0" w:color="auto"/>
              <w:left w:val="nil"/>
              <w:bottom w:val="single" w:sz="4" w:space="0" w:color="auto"/>
              <w:right w:val="single" w:sz="4" w:space="0" w:color="auto"/>
            </w:tcBorders>
            <w:noWrap/>
            <w:hideMark/>
          </w:tcPr>
          <w:p w14:paraId="20D3BCB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5.9</w:t>
            </w:r>
          </w:p>
        </w:tc>
      </w:tr>
      <w:tr w:rsidR="003B315D" w:rsidRPr="00BE33FC" w14:paraId="22D0FE03" w14:textId="77777777" w:rsidTr="00B961C4">
        <w:tc>
          <w:tcPr>
            <w:tcW w:w="2506" w:type="dxa"/>
          </w:tcPr>
          <w:p w14:paraId="550E4190" w14:textId="77777777" w:rsidR="003B315D" w:rsidRPr="00BE33FC" w:rsidRDefault="003B315D" w:rsidP="006D697C">
            <w:pPr>
              <w:ind w:firstLineChars="10" w:firstLine="22"/>
              <w:rPr>
                <w:rFonts w:ascii="Gill Sans MT" w:hAnsi="Gill Sans MT"/>
                <w:b/>
                <w:sz w:val="22"/>
                <w:szCs w:val="22"/>
              </w:rPr>
            </w:pPr>
            <w:r w:rsidRPr="00BE33FC">
              <w:rPr>
                <w:rFonts w:ascii="Gill Sans MT" w:hAnsi="Gill Sans MT"/>
                <w:b/>
                <w:sz w:val="22"/>
                <w:szCs w:val="22"/>
              </w:rPr>
              <w:t>Grand Total</w:t>
            </w:r>
          </w:p>
        </w:tc>
        <w:tc>
          <w:tcPr>
            <w:tcW w:w="1053" w:type="dxa"/>
            <w:tcBorders>
              <w:top w:val="single" w:sz="4" w:space="0" w:color="auto"/>
              <w:left w:val="single" w:sz="4" w:space="0" w:color="auto"/>
              <w:bottom w:val="single" w:sz="4" w:space="0" w:color="auto"/>
              <w:right w:val="single" w:sz="4" w:space="0" w:color="auto"/>
            </w:tcBorders>
            <w:vAlign w:val="bottom"/>
          </w:tcPr>
          <w:p w14:paraId="1EF621EF"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17</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63808186"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17</w:t>
            </w:r>
          </w:p>
        </w:tc>
        <w:tc>
          <w:tcPr>
            <w:tcW w:w="1053" w:type="dxa"/>
            <w:tcBorders>
              <w:top w:val="single" w:sz="4" w:space="0" w:color="auto"/>
              <w:left w:val="single" w:sz="4" w:space="0" w:color="auto"/>
              <w:bottom w:val="single" w:sz="4" w:space="0" w:color="auto"/>
              <w:right w:val="single" w:sz="4" w:space="0" w:color="auto"/>
            </w:tcBorders>
            <w:vAlign w:val="bottom"/>
          </w:tcPr>
          <w:p w14:paraId="53F5D841"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19762901"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w:t>
            </w:r>
          </w:p>
        </w:tc>
        <w:tc>
          <w:tcPr>
            <w:tcW w:w="1034" w:type="dxa"/>
            <w:tcBorders>
              <w:top w:val="single" w:sz="4" w:space="0" w:color="auto"/>
              <w:left w:val="nil"/>
              <w:bottom w:val="single" w:sz="4" w:space="0" w:color="auto"/>
              <w:right w:val="single" w:sz="4" w:space="0" w:color="auto"/>
            </w:tcBorders>
            <w:vAlign w:val="bottom"/>
          </w:tcPr>
          <w:p w14:paraId="650FDAB6"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5.9</w:t>
            </w:r>
          </w:p>
        </w:tc>
        <w:tc>
          <w:tcPr>
            <w:tcW w:w="964" w:type="dxa"/>
            <w:gridSpan w:val="2"/>
            <w:tcBorders>
              <w:top w:val="single" w:sz="4" w:space="0" w:color="auto"/>
              <w:left w:val="nil"/>
              <w:bottom w:val="single" w:sz="4" w:space="0" w:color="auto"/>
              <w:right w:val="single" w:sz="4" w:space="0" w:color="auto"/>
            </w:tcBorders>
            <w:vAlign w:val="bottom"/>
          </w:tcPr>
          <w:p w14:paraId="2C465FAB"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5.9</w:t>
            </w:r>
          </w:p>
        </w:tc>
      </w:tr>
    </w:tbl>
    <w:p w14:paraId="46AD793A" w14:textId="77777777" w:rsidR="003B315D" w:rsidRPr="00CC4F07" w:rsidRDefault="003B315D" w:rsidP="003B315D"/>
    <w:p w14:paraId="0EB6FE4E" w14:textId="7B2600CF" w:rsidR="003B315D" w:rsidRPr="00CC4F07" w:rsidRDefault="003B315D" w:rsidP="003B315D">
      <w:pPr>
        <w:rPr>
          <w:b/>
        </w:rPr>
      </w:pPr>
      <w:r w:rsidRPr="00CC4F07">
        <w:rPr>
          <w:b/>
        </w:rPr>
        <w:t>Department of Transport, Tourism &amp; Sport</w:t>
      </w:r>
    </w:p>
    <w:tbl>
      <w:tblPr>
        <w:tblStyle w:val="TableGrid"/>
        <w:tblW w:w="8926" w:type="dxa"/>
        <w:tblLook w:val="0420" w:firstRow="1" w:lastRow="0" w:firstColumn="0" w:lastColumn="0" w:noHBand="0" w:noVBand="1"/>
        <w:tblCaption w:val="Appendix B Public bodies"/>
        <w:tblDescription w:val="Department of Transport, Tourism and Sport"/>
      </w:tblPr>
      <w:tblGrid>
        <w:gridCol w:w="2506"/>
        <w:gridCol w:w="1053"/>
        <w:gridCol w:w="350"/>
        <w:gridCol w:w="636"/>
        <w:gridCol w:w="1053"/>
        <w:gridCol w:w="830"/>
        <w:gridCol w:w="288"/>
        <w:gridCol w:w="1034"/>
        <w:gridCol w:w="718"/>
        <w:gridCol w:w="458"/>
      </w:tblGrid>
      <w:tr w:rsidR="003B315D" w:rsidRPr="00246AF6" w14:paraId="77B6104F" w14:textId="77777777" w:rsidTr="00B961C4">
        <w:trPr>
          <w:tblHeader/>
        </w:trPr>
        <w:tc>
          <w:tcPr>
            <w:tcW w:w="2506" w:type="dxa"/>
          </w:tcPr>
          <w:p w14:paraId="1D46B667" w14:textId="77777777" w:rsidR="003B315D" w:rsidRPr="00246AF6" w:rsidRDefault="003B315D" w:rsidP="006D697C">
            <w:pPr>
              <w:rPr>
                <w:rFonts w:ascii="Gill Sans MT" w:hAnsi="Gill Sans MT"/>
                <w:b/>
                <w:sz w:val="22"/>
                <w:szCs w:val="22"/>
              </w:rPr>
            </w:pPr>
            <w:r w:rsidRPr="00246AF6">
              <w:rPr>
                <w:rFonts w:ascii="Gill Sans MT" w:hAnsi="Gill Sans MT"/>
                <w:b/>
                <w:sz w:val="22"/>
                <w:szCs w:val="22"/>
              </w:rPr>
              <w:t>Public Body</w:t>
            </w:r>
          </w:p>
        </w:tc>
        <w:tc>
          <w:tcPr>
            <w:tcW w:w="1403" w:type="dxa"/>
            <w:gridSpan w:val="2"/>
            <w:tcBorders>
              <w:right w:val="nil"/>
            </w:tcBorders>
          </w:tcPr>
          <w:p w14:paraId="3CD04C82" w14:textId="77777777" w:rsidR="003B315D" w:rsidRPr="00246AF6" w:rsidRDefault="003B315D" w:rsidP="006D697C">
            <w:pPr>
              <w:rPr>
                <w:rFonts w:ascii="Gill Sans MT" w:hAnsi="Gill Sans MT"/>
                <w:b/>
                <w:sz w:val="22"/>
                <w:szCs w:val="22"/>
              </w:rPr>
            </w:pPr>
            <w:r w:rsidRPr="00246AF6">
              <w:rPr>
                <w:rFonts w:ascii="Gill Sans MT" w:hAnsi="Gill Sans MT"/>
                <w:b/>
                <w:sz w:val="22"/>
                <w:szCs w:val="22"/>
              </w:rPr>
              <w:t>Total number of employees</w:t>
            </w:r>
          </w:p>
        </w:tc>
        <w:tc>
          <w:tcPr>
            <w:tcW w:w="636" w:type="dxa"/>
            <w:tcBorders>
              <w:left w:val="nil"/>
            </w:tcBorders>
          </w:tcPr>
          <w:p w14:paraId="1E13EED2" w14:textId="77777777" w:rsidR="003B315D" w:rsidRPr="00246AF6" w:rsidRDefault="003B315D" w:rsidP="006D697C">
            <w:pPr>
              <w:rPr>
                <w:rFonts w:ascii="Gill Sans MT" w:hAnsi="Gill Sans MT"/>
                <w:b/>
                <w:sz w:val="22"/>
                <w:szCs w:val="22"/>
              </w:rPr>
            </w:pPr>
          </w:p>
        </w:tc>
        <w:tc>
          <w:tcPr>
            <w:tcW w:w="1883" w:type="dxa"/>
            <w:gridSpan w:val="2"/>
            <w:tcBorders>
              <w:right w:val="nil"/>
            </w:tcBorders>
          </w:tcPr>
          <w:p w14:paraId="7DBDAEB9" w14:textId="77777777" w:rsidR="003B315D" w:rsidRPr="00246AF6" w:rsidRDefault="003B315D" w:rsidP="006D697C">
            <w:pPr>
              <w:rPr>
                <w:rFonts w:ascii="Gill Sans MT" w:hAnsi="Gill Sans MT"/>
                <w:b/>
                <w:sz w:val="22"/>
                <w:szCs w:val="22"/>
              </w:rPr>
            </w:pPr>
            <w:r w:rsidRPr="00246AF6">
              <w:rPr>
                <w:rFonts w:ascii="Gill Sans MT" w:hAnsi="Gill Sans MT"/>
                <w:b/>
                <w:sz w:val="22"/>
                <w:szCs w:val="22"/>
              </w:rPr>
              <w:t>Number employees with disabilities</w:t>
            </w:r>
          </w:p>
        </w:tc>
        <w:tc>
          <w:tcPr>
            <w:tcW w:w="288" w:type="dxa"/>
            <w:tcBorders>
              <w:left w:val="nil"/>
            </w:tcBorders>
          </w:tcPr>
          <w:p w14:paraId="70E4F780" w14:textId="77777777" w:rsidR="003B315D" w:rsidRPr="00246AF6" w:rsidRDefault="003B315D" w:rsidP="006D697C">
            <w:pPr>
              <w:rPr>
                <w:rFonts w:ascii="Gill Sans MT" w:hAnsi="Gill Sans MT"/>
                <w:b/>
                <w:sz w:val="22"/>
                <w:szCs w:val="22"/>
              </w:rPr>
            </w:pPr>
          </w:p>
        </w:tc>
        <w:tc>
          <w:tcPr>
            <w:tcW w:w="1752" w:type="dxa"/>
            <w:gridSpan w:val="2"/>
            <w:tcBorders>
              <w:right w:val="nil"/>
            </w:tcBorders>
          </w:tcPr>
          <w:p w14:paraId="1AF7D2ED" w14:textId="77777777" w:rsidR="003B315D" w:rsidRPr="00246AF6" w:rsidRDefault="003B315D" w:rsidP="006D697C">
            <w:pPr>
              <w:rPr>
                <w:rFonts w:ascii="Gill Sans MT" w:hAnsi="Gill Sans MT"/>
                <w:b/>
                <w:sz w:val="22"/>
                <w:szCs w:val="22"/>
              </w:rPr>
            </w:pPr>
            <w:r w:rsidRPr="00246AF6">
              <w:rPr>
                <w:rFonts w:ascii="Gill Sans MT" w:hAnsi="Gill Sans MT"/>
                <w:b/>
                <w:sz w:val="22"/>
                <w:szCs w:val="22"/>
              </w:rPr>
              <w:t>% workforce with disabilities</w:t>
            </w:r>
          </w:p>
        </w:tc>
        <w:tc>
          <w:tcPr>
            <w:tcW w:w="458" w:type="dxa"/>
            <w:tcBorders>
              <w:left w:val="nil"/>
            </w:tcBorders>
          </w:tcPr>
          <w:p w14:paraId="30639774" w14:textId="77777777" w:rsidR="003B315D" w:rsidRPr="00246AF6" w:rsidRDefault="003B315D" w:rsidP="006D697C">
            <w:pPr>
              <w:rPr>
                <w:rFonts w:ascii="Gill Sans MT" w:hAnsi="Gill Sans MT"/>
                <w:b/>
                <w:sz w:val="22"/>
                <w:szCs w:val="22"/>
              </w:rPr>
            </w:pPr>
          </w:p>
        </w:tc>
      </w:tr>
      <w:tr w:rsidR="003B315D" w:rsidRPr="00246AF6" w14:paraId="434B2CA2" w14:textId="77777777" w:rsidTr="00B961C4">
        <w:trPr>
          <w:tblHeader/>
        </w:trPr>
        <w:tc>
          <w:tcPr>
            <w:tcW w:w="2506" w:type="dxa"/>
          </w:tcPr>
          <w:p w14:paraId="1E9C985E" w14:textId="77777777" w:rsidR="003B315D" w:rsidRPr="00246AF6" w:rsidRDefault="003B315D" w:rsidP="006D697C">
            <w:pPr>
              <w:rPr>
                <w:rFonts w:ascii="Gill Sans MT" w:hAnsi="Gill Sans MT"/>
                <w:b/>
                <w:sz w:val="22"/>
                <w:szCs w:val="22"/>
              </w:rPr>
            </w:pPr>
          </w:p>
        </w:tc>
        <w:tc>
          <w:tcPr>
            <w:tcW w:w="1053" w:type="dxa"/>
          </w:tcPr>
          <w:p w14:paraId="788E16C0" w14:textId="77777777" w:rsidR="003B315D" w:rsidRPr="00246AF6" w:rsidRDefault="003B315D" w:rsidP="006D697C">
            <w:pPr>
              <w:jc w:val="right"/>
              <w:rPr>
                <w:rFonts w:ascii="Gill Sans MT" w:hAnsi="Gill Sans MT"/>
                <w:b/>
                <w:sz w:val="22"/>
                <w:szCs w:val="22"/>
              </w:rPr>
            </w:pPr>
            <w:r w:rsidRPr="00246AF6">
              <w:rPr>
                <w:rFonts w:ascii="Gill Sans MT" w:hAnsi="Gill Sans MT"/>
                <w:b/>
                <w:sz w:val="22"/>
                <w:szCs w:val="22"/>
              </w:rPr>
              <w:t>2017</w:t>
            </w:r>
          </w:p>
        </w:tc>
        <w:tc>
          <w:tcPr>
            <w:tcW w:w="986" w:type="dxa"/>
            <w:gridSpan w:val="2"/>
          </w:tcPr>
          <w:p w14:paraId="7E0BC453" w14:textId="77777777" w:rsidR="003B315D" w:rsidRPr="00246AF6" w:rsidRDefault="003B315D" w:rsidP="006D697C">
            <w:pPr>
              <w:jc w:val="right"/>
              <w:rPr>
                <w:rFonts w:ascii="Gill Sans MT" w:hAnsi="Gill Sans MT"/>
                <w:b/>
                <w:sz w:val="22"/>
                <w:szCs w:val="22"/>
              </w:rPr>
            </w:pPr>
            <w:r w:rsidRPr="00246AF6">
              <w:rPr>
                <w:rFonts w:ascii="Gill Sans MT" w:hAnsi="Gill Sans MT"/>
                <w:b/>
                <w:sz w:val="22"/>
                <w:szCs w:val="22"/>
              </w:rPr>
              <w:t>2018</w:t>
            </w:r>
          </w:p>
        </w:tc>
        <w:tc>
          <w:tcPr>
            <w:tcW w:w="1053" w:type="dxa"/>
          </w:tcPr>
          <w:p w14:paraId="247798AB" w14:textId="77777777" w:rsidR="003B315D" w:rsidRPr="00246AF6" w:rsidRDefault="003B315D" w:rsidP="006D697C">
            <w:pPr>
              <w:jc w:val="right"/>
              <w:rPr>
                <w:rFonts w:ascii="Gill Sans MT" w:hAnsi="Gill Sans MT"/>
                <w:b/>
                <w:sz w:val="22"/>
                <w:szCs w:val="22"/>
              </w:rPr>
            </w:pPr>
            <w:r w:rsidRPr="00246AF6">
              <w:rPr>
                <w:rFonts w:ascii="Gill Sans MT" w:hAnsi="Gill Sans MT"/>
                <w:b/>
                <w:sz w:val="22"/>
                <w:szCs w:val="22"/>
              </w:rPr>
              <w:t>2017</w:t>
            </w:r>
          </w:p>
        </w:tc>
        <w:tc>
          <w:tcPr>
            <w:tcW w:w="1118" w:type="dxa"/>
            <w:gridSpan w:val="2"/>
          </w:tcPr>
          <w:p w14:paraId="1B289CFC" w14:textId="77777777" w:rsidR="003B315D" w:rsidRPr="00246AF6" w:rsidRDefault="003B315D" w:rsidP="006D697C">
            <w:pPr>
              <w:jc w:val="right"/>
              <w:rPr>
                <w:rFonts w:ascii="Gill Sans MT" w:hAnsi="Gill Sans MT"/>
                <w:b/>
                <w:sz w:val="22"/>
                <w:szCs w:val="22"/>
              </w:rPr>
            </w:pPr>
            <w:r w:rsidRPr="00246AF6">
              <w:rPr>
                <w:rFonts w:ascii="Gill Sans MT" w:hAnsi="Gill Sans MT"/>
                <w:b/>
                <w:sz w:val="22"/>
                <w:szCs w:val="22"/>
              </w:rPr>
              <w:t>2018</w:t>
            </w:r>
          </w:p>
        </w:tc>
        <w:tc>
          <w:tcPr>
            <w:tcW w:w="1034" w:type="dxa"/>
          </w:tcPr>
          <w:p w14:paraId="001B2041" w14:textId="77777777" w:rsidR="003B315D" w:rsidRPr="00246AF6" w:rsidRDefault="003B315D" w:rsidP="006D697C">
            <w:pPr>
              <w:jc w:val="right"/>
              <w:rPr>
                <w:rFonts w:ascii="Gill Sans MT" w:hAnsi="Gill Sans MT"/>
                <w:b/>
                <w:sz w:val="22"/>
                <w:szCs w:val="22"/>
              </w:rPr>
            </w:pPr>
            <w:r w:rsidRPr="00246AF6">
              <w:rPr>
                <w:rFonts w:ascii="Gill Sans MT" w:hAnsi="Gill Sans MT"/>
                <w:b/>
                <w:sz w:val="22"/>
                <w:szCs w:val="22"/>
              </w:rPr>
              <w:t>2017</w:t>
            </w:r>
          </w:p>
        </w:tc>
        <w:tc>
          <w:tcPr>
            <w:tcW w:w="1176" w:type="dxa"/>
            <w:gridSpan w:val="2"/>
          </w:tcPr>
          <w:p w14:paraId="2BB113A3" w14:textId="77777777" w:rsidR="003B315D" w:rsidRPr="00246AF6" w:rsidRDefault="003B315D" w:rsidP="006D697C">
            <w:pPr>
              <w:jc w:val="right"/>
              <w:rPr>
                <w:rFonts w:ascii="Gill Sans MT" w:hAnsi="Gill Sans MT"/>
                <w:b/>
                <w:sz w:val="22"/>
                <w:szCs w:val="22"/>
              </w:rPr>
            </w:pPr>
            <w:r w:rsidRPr="00246AF6">
              <w:rPr>
                <w:rFonts w:ascii="Gill Sans MT" w:hAnsi="Gill Sans MT"/>
                <w:b/>
                <w:sz w:val="22"/>
                <w:szCs w:val="22"/>
              </w:rPr>
              <w:t>2018</w:t>
            </w:r>
          </w:p>
        </w:tc>
      </w:tr>
      <w:tr w:rsidR="003B315D" w:rsidRPr="00246AF6" w14:paraId="60E92E4E" w14:textId="77777777" w:rsidTr="00441696">
        <w:trPr>
          <w:trHeight w:val="300"/>
        </w:trPr>
        <w:tc>
          <w:tcPr>
            <w:tcW w:w="2506" w:type="dxa"/>
            <w:tcBorders>
              <w:top w:val="single" w:sz="4" w:space="0" w:color="auto"/>
              <w:left w:val="single" w:sz="4" w:space="0" w:color="auto"/>
              <w:bottom w:val="single" w:sz="4" w:space="0" w:color="auto"/>
              <w:right w:val="single" w:sz="4" w:space="0" w:color="auto"/>
            </w:tcBorders>
            <w:noWrap/>
            <w:vAlign w:val="bottom"/>
          </w:tcPr>
          <w:p w14:paraId="35FC119A"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Bus Éireann</w:t>
            </w:r>
          </w:p>
        </w:tc>
        <w:tc>
          <w:tcPr>
            <w:tcW w:w="1053" w:type="dxa"/>
            <w:tcBorders>
              <w:top w:val="single" w:sz="4" w:space="0" w:color="auto"/>
              <w:left w:val="nil"/>
              <w:bottom w:val="single" w:sz="4" w:space="0" w:color="auto"/>
              <w:right w:val="single" w:sz="4" w:space="0" w:color="auto"/>
            </w:tcBorders>
            <w:noWrap/>
          </w:tcPr>
          <w:p w14:paraId="223C171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2,446</w:t>
            </w:r>
          </w:p>
        </w:tc>
        <w:tc>
          <w:tcPr>
            <w:tcW w:w="986" w:type="dxa"/>
            <w:gridSpan w:val="2"/>
            <w:tcBorders>
              <w:top w:val="single" w:sz="4" w:space="0" w:color="auto"/>
              <w:left w:val="nil"/>
              <w:bottom w:val="single" w:sz="4" w:space="0" w:color="auto"/>
              <w:right w:val="single" w:sz="4" w:space="0" w:color="auto"/>
            </w:tcBorders>
            <w:noWrap/>
          </w:tcPr>
          <w:p w14:paraId="764F8906"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2,668</w:t>
            </w:r>
          </w:p>
        </w:tc>
        <w:tc>
          <w:tcPr>
            <w:tcW w:w="1053" w:type="dxa"/>
            <w:tcBorders>
              <w:top w:val="single" w:sz="4" w:space="0" w:color="auto"/>
              <w:left w:val="nil"/>
              <w:bottom w:val="single" w:sz="4" w:space="0" w:color="auto"/>
              <w:right w:val="single" w:sz="4" w:space="0" w:color="auto"/>
            </w:tcBorders>
            <w:noWrap/>
          </w:tcPr>
          <w:p w14:paraId="6448B50C"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98</w:t>
            </w:r>
          </w:p>
        </w:tc>
        <w:tc>
          <w:tcPr>
            <w:tcW w:w="1118" w:type="dxa"/>
            <w:gridSpan w:val="2"/>
            <w:tcBorders>
              <w:top w:val="single" w:sz="4" w:space="0" w:color="auto"/>
              <w:left w:val="nil"/>
              <w:bottom w:val="single" w:sz="4" w:space="0" w:color="auto"/>
              <w:right w:val="single" w:sz="4" w:space="0" w:color="auto"/>
            </w:tcBorders>
            <w:noWrap/>
          </w:tcPr>
          <w:p w14:paraId="54566F97"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106</w:t>
            </w:r>
          </w:p>
        </w:tc>
        <w:tc>
          <w:tcPr>
            <w:tcW w:w="1034" w:type="dxa"/>
            <w:tcBorders>
              <w:top w:val="single" w:sz="4" w:space="0" w:color="auto"/>
              <w:left w:val="nil"/>
              <w:bottom w:val="single" w:sz="4" w:space="0" w:color="auto"/>
              <w:right w:val="single" w:sz="4" w:space="0" w:color="auto"/>
            </w:tcBorders>
            <w:noWrap/>
          </w:tcPr>
          <w:p w14:paraId="1303D2B8" w14:textId="77777777" w:rsidR="003B315D" w:rsidRPr="00246AF6" w:rsidRDefault="003B315D" w:rsidP="006D697C">
            <w:pPr>
              <w:jc w:val="right"/>
              <w:rPr>
                <w:rFonts w:ascii="Gill Sans MT" w:hAnsi="Gill Sans MT" w:cs="Arial"/>
                <w:bCs/>
                <w:sz w:val="22"/>
                <w:szCs w:val="22"/>
                <w:lang w:eastAsia="en-IE"/>
              </w:rPr>
            </w:pPr>
            <w:r w:rsidRPr="00246AF6">
              <w:rPr>
                <w:rFonts w:ascii="Gill Sans MT" w:hAnsi="Gill Sans MT" w:cs="Arial"/>
                <w:sz w:val="22"/>
                <w:szCs w:val="22"/>
              </w:rPr>
              <w:t>4.0</w:t>
            </w:r>
          </w:p>
        </w:tc>
        <w:tc>
          <w:tcPr>
            <w:tcW w:w="1176" w:type="dxa"/>
            <w:gridSpan w:val="2"/>
            <w:tcBorders>
              <w:top w:val="single" w:sz="4" w:space="0" w:color="auto"/>
              <w:left w:val="nil"/>
              <w:bottom w:val="single" w:sz="4" w:space="0" w:color="auto"/>
              <w:right w:val="single" w:sz="4" w:space="0" w:color="auto"/>
            </w:tcBorders>
            <w:noWrap/>
          </w:tcPr>
          <w:p w14:paraId="14B78EAD" w14:textId="77777777" w:rsidR="003B315D" w:rsidRPr="00246AF6" w:rsidRDefault="003B315D" w:rsidP="006D697C">
            <w:pPr>
              <w:jc w:val="right"/>
              <w:rPr>
                <w:rFonts w:ascii="Gill Sans MT" w:hAnsi="Gill Sans MT" w:cs="Arial"/>
                <w:bCs/>
                <w:sz w:val="22"/>
                <w:szCs w:val="22"/>
                <w:lang w:eastAsia="en-IE"/>
              </w:rPr>
            </w:pPr>
            <w:r w:rsidRPr="00246AF6">
              <w:rPr>
                <w:rFonts w:ascii="Gill Sans MT" w:hAnsi="Gill Sans MT" w:cs="Arial"/>
                <w:sz w:val="22"/>
                <w:szCs w:val="22"/>
              </w:rPr>
              <w:t>4.0</w:t>
            </w:r>
          </w:p>
        </w:tc>
      </w:tr>
      <w:tr w:rsidR="003B315D" w:rsidRPr="00246AF6" w14:paraId="785F7011"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6CA24DA9"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Commission for Aviation Regulation</w:t>
            </w:r>
          </w:p>
        </w:tc>
        <w:tc>
          <w:tcPr>
            <w:tcW w:w="1053" w:type="dxa"/>
            <w:tcBorders>
              <w:top w:val="nil"/>
              <w:left w:val="nil"/>
              <w:bottom w:val="single" w:sz="4" w:space="0" w:color="auto"/>
              <w:right w:val="single" w:sz="4" w:space="0" w:color="auto"/>
            </w:tcBorders>
            <w:noWrap/>
          </w:tcPr>
          <w:p w14:paraId="298A38BE"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18</w:t>
            </w:r>
          </w:p>
        </w:tc>
        <w:tc>
          <w:tcPr>
            <w:tcW w:w="986" w:type="dxa"/>
            <w:gridSpan w:val="2"/>
            <w:tcBorders>
              <w:top w:val="nil"/>
              <w:left w:val="nil"/>
              <w:bottom w:val="single" w:sz="4" w:space="0" w:color="auto"/>
              <w:right w:val="single" w:sz="4" w:space="0" w:color="auto"/>
            </w:tcBorders>
            <w:noWrap/>
          </w:tcPr>
          <w:p w14:paraId="36AF9DA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18</w:t>
            </w:r>
          </w:p>
        </w:tc>
        <w:tc>
          <w:tcPr>
            <w:tcW w:w="1053" w:type="dxa"/>
            <w:tcBorders>
              <w:top w:val="nil"/>
              <w:left w:val="nil"/>
              <w:bottom w:val="single" w:sz="4" w:space="0" w:color="auto"/>
              <w:right w:val="single" w:sz="4" w:space="0" w:color="auto"/>
            </w:tcBorders>
            <w:noWrap/>
          </w:tcPr>
          <w:p w14:paraId="0A40C8B9"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tcPr>
          <w:p w14:paraId="726110A2"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tcPr>
          <w:p w14:paraId="10C8163C"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0.0</w:t>
            </w:r>
          </w:p>
        </w:tc>
        <w:tc>
          <w:tcPr>
            <w:tcW w:w="1176" w:type="dxa"/>
            <w:gridSpan w:val="2"/>
            <w:tcBorders>
              <w:top w:val="nil"/>
              <w:left w:val="nil"/>
              <w:bottom w:val="single" w:sz="4" w:space="0" w:color="auto"/>
              <w:right w:val="single" w:sz="4" w:space="0" w:color="auto"/>
            </w:tcBorders>
            <w:noWrap/>
          </w:tcPr>
          <w:p w14:paraId="6709A72E"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0.0</w:t>
            </w:r>
          </w:p>
        </w:tc>
      </w:tr>
      <w:tr w:rsidR="003B315D" w:rsidRPr="00246AF6" w14:paraId="26B4CDB8"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005B2CA6"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lastRenderedPageBreak/>
              <w:t>Commission for Railway Regulation</w:t>
            </w:r>
          </w:p>
        </w:tc>
        <w:tc>
          <w:tcPr>
            <w:tcW w:w="1053" w:type="dxa"/>
            <w:tcBorders>
              <w:top w:val="nil"/>
              <w:left w:val="nil"/>
              <w:bottom w:val="single" w:sz="4" w:space="0" w:color="auto"/>
              <w:right w:val="single" w:sz="4" w:space="0" w:color="auto"/>
            </w:tcBorders>
            <w:noWrap/>
          </w:tcPr>
          <w:p w14:paraId="44CC8225"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16</w:t>
            </w:r>
          </w:p>
        </w:tc>
        <w:tc>
          <w:tcPr>
            <w:tcW w:w="986" w:type="dxa"/>
            <w:gridSpan w:val="2"/>
            <w:tcBorders>
              <w:top w:val="nil"/>
              <w:left w:val="nil"/>
              <w:bottom w:val="single" w:sz="4" w:space="0" w:color="auto"/>
              <w:right w:val="single" w:sz="4" w:space="0" w:color="auto"/>
            </w:tcBorders>
            <w:noWrap/>
          </w:tcPr>
          <w:p w14:paraId="74A994D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16</w:t>
            </w:r>
          </w:p>
        </w:tc>
        <w:tc>
          <w:tcPr>
            <w:tcW w:w="1053" w:type="dxa"/>
            <w:tcBorders>
              <w:top w:val="nil"/>
              <w:left w:val="nil"/>
              <w:bottom w:val="single" w:sz="4" w:space="0" w:color="auto"/>
              <w:right w:val="single" w:sz="4" w:space="0" w:color="auto"/>
            </w:tcBorders>
            <w:noWrap/>
          </w:tcPr>
          <w:p w14:paraId="28C0DF31"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tcPr>
          <w:p w14:paraId="0A3F2CD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tcPr>
          <w:p w14:paraId="34A856B3"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0.0</w:t>
            </w:r>
          </w:p>
        </w:tc>
        <w:tc>
          <w:tcPr>
            <w:tcW w:w="1176" w:type="dxa"/>
            <w:gridSpan w:val="2"/>
            <w:tcBorders>
              <w:top w:val="nil"/>
              <w:left w:val="nil"/>
              <w:bottom w:val="single" w:sz="4" w:space="0" w:color="auto"/>
              <w:right w:val="single" w:sz="4" w:space="0" w:color="auto"/>
            </w:tcBorders>
            <w:noWrap/>
          </w:tcPr>
          <w:p w14:paraId="3912F103"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0.0</w:t>
            </w:r>
          </w:p>
        </w:tc>
      </w:tr>
      <w:tr w:rsidR="003B315D" w:rsidRPr="00246AF6" w14:paraId="6663E962"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0144C638" w14:textId="77777777" w:rsidR="003B315D" w:rsidRPr="00246AF6" w:rsidRDefault="003B315D" w:rsidP="006D697C">
            <w:pPr>
              <w:rPr>
                <w:rFonts w:ascii="Gill Sans MT" w:hAnsi="Gill Sans MT"/>
                <w:color w:val="000000"/>
                <w:sz w:val="22"/>
                <w:szCs w:val="22"/>
                <w:lang w:eastAsia="en-IE"/>
              </w:rPr>
            </w:pPr>
            <w:proofErr w:type="spellStart"/>
            <w:r w:rsidRPr="00246AF6">
              <w:rPr>
                <w:rFonts w:ascii="Gill Sans MT" w:hAnsi="Gill Sans MT" w:cs="Arial"/>
                <w:sz w:val="22"/>
                <w:szCs w:val="22"/>
              </w:rPr>
              <w:t>Córas</w:t>
            </w:r>
            <w:proofErr w:type="spellEnd"/>
            <w:r w:rsidRPr="00246AF6">
              <w:rPr>
                <w:rFonts w:ascii="Gill Sans MT" w:hAnsi="Gill Sans MT" w:cs="Arial"/>
                <w:sz w:val="22"/>
                <w:szCs w:val="22"/>
              </w:rPr>
              <w:t xml:space="preserve"> </w:t>
            </w:r>
            <w:proofErr w:type="spellStart"/>
            <w:r w:rsidRPr="00246AF6">
              <w:rPr>
                <w:rFonts w:ascii="Gill Sans MT" w:hAnsi="Gill Sans MT" w:cs="Arial"/>
                <w:sz w:val="22"/>
                <w:szCs w:val="22"/>
              </w:rPr>
              <w:t>Iompair</w:t>
            </w:r>
            <w:proofErr w:type="spellEnd"/>
            <w:r w:rsidRPr="00246AF6">
              <w:rPr>
                <w:rFonts w:ascii="Gill Sans MT" w:hAnsi="Gill Sans MT" w:cs="Arial"/>
                <w:sz w:val="22"/>
                <w:szCs w:val="22"/>
              </w:rPr>
              <w:t xml:space="preserve"> Éireann</w:t>
            </w:r>
          </w:p>
        </w:tc>
        <w:tc>
          <w:tcPr>
            <w:tcW w:w="1053" w:type="dxa"/>
            <w:tcBorders>
              <w:top w:val="nil"/>
              <w:left w:val="nil"/>
              <w:bottom w:val="single" w:sz="4" w:space="0" w:color="auto"/>
              <w:right w:val="single" w:sz="4" w:space="0" w:color="auto"/>
            </w:tcBorders>
            <w:noWrap/>
          </w:tcPr>
          <w:p w14:paraId="4674F290"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193</w:t>
            </w:r>
          </w:p>
        </w:tc>
        <w:tc>
          <w:tcPr>
            <w:tcW w:w="986" w:type="dxa"/>
            <w:gridSpan w:val="2"/>
            <w:tcBorders>
              <w:top w:val="nil"/>
              <w:left w:val="nil"/>
              <w:bottom w:val="single" w:sz="4" w:space="0" w:color="auto"/>
              <w:right w:val="single" w:sz="4" w:space="0" w:color="auto"/>
            </w:tcBorders>
            <w:noWrap/>
          </w:tcPr>
          <w:p w14:paraId="0F8A5C34"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202</w:t>
            </w:r>
          </w:p>
        </w:tc>
        <w:tc>
          <w:tcPr>
            <w:tcW w:w="1053" w:type="dxa"/>
            <w:tcBorders>
              <w:top w:val="nil"/>
              <w:left w:val="nil"/>
              <w:bottom w:val="single" w:sz="4" w:space="0" w:color="auto"/>
              <w:right w:val="single" w:sz="4" w:space="0" w:color="auto"/>
            </w:tcBorders>
            <w:noWrap/>
          </w:tcPr>
          <w:p w14:paraId="49FFE652"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7</w:t>
            </w:r>
          </w:p>
        </w:tc>
        <w:tc>
          <w:tcPr>
            <w:tcW w:w="1118" w:type="dxa"/>
            <w:gridSpan w:val="2"/>
            <w:tcBorders>
              <w:top w:val="nil"/>
              <w:left w:val="nil"/>
              <w:bottom w:val="single" w:sz="4" w:space="0" w:color="auto"/>
              <w:right w:val="single" w:sz="4" w:space="0" w:color="auto"/>
            </w:tcBorders>
            <w:noWrap/>
          </w:tcPr>
          <w:p w14:paraId="7933B0C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7</w:t>
            </w:r>
          </w:p>
        </w:tc>
        <w:tc>
          <w:tcPr>
            <w:tcW w:w="1034" w:type="dxa"/>
            <w:tcBorders>
              <w:top w:val="nil"/>
              <w:left w:val="nil"/>
              <w:bottom w:val="single" w:sz="4" w:space="0" w:color="auto"/>
              <w:right w:val="single" w:sz="4" w:space="0" w:color="auto"/>
            </w:tcBorders>
            <w:noWrap/>
          </w:tcPr>
          <w:p w14:paraId="4F12A095"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3.6</w:t>
            </w:r>
          </w:p>
        </w:tc>
        <w:tc>
          <w:tcPr>
            <w:tcW w:w="1176" w:type="dxa"/>
            <w:gridSpan w:val="2"/>
            <w:tcBorders>
              <w:top w:val="nil"/>
              <w:left w:val="nil"/>
              <w:bottom w:val="single" w:sz="4" w:space="0" w:color="auto"/>
              <w:right w:val="single" w:sz="4" w:space="0" w:color="auto"/>
            </w:tcBorders>
            <w:noWrap/>
          </w:tcPr>
          <w:p w14:paraId="18A75490"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3.5</w:t>
            </w:r>
          </w:p>
        </w:tc>
      </w:tr>
      <w:tr w:rsidR="003B315D" w:rsidRPr="00246AF6" w14:paraId="6D50F09B"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21FD42F9" w14:textId="77777777" w:rsidR="003B315D" w:rsidRPr="00246AF6" w:rsidRDefault="003B315D" w:rsidP="006D697C">
            <w:pPr>
              <w:rPr>
                <w:rFonts w:ascii="Gill Sans MT" w:hAnsi="Gill Sans MT"/>
                <w:color w:val="000000"/>
                <w:sz w:val="22"/>
                <w:szCs w:val="22"/>
                <w:lang w:eastAsia="en-IE"/>
              </w:rPr>
            </w:pPr>
            <w:proofErr w:type="spellStart"/>
            <w:r w:rsidRPr="00246AF6">
              <w:rPr>
                <w:rFonts w:ascii="Gill Sans MT" w:hAnsi="Gill Sans MT" w:cs="Arial"/>
                <w:sz w:val="22"/>
                <w:szCs w:val="22"/>
              </w:rPr>
              <w:t>daa</w:t>
            </w:r>
            <w:proofErr w:type="spellEnd"/>
            <w:r w:rsidRPr="00246AF6">
              <w:rPr>
                <w:rFonts w:ascii="Gill Sans MT" w:hAnsi="Gill Sans MT" w:cs="Arial"/>
                <w:sz w:val="22"/>
                <w:szCs w:val="22"/>
              </w:rPr>
              <w:t xml:space="preserve"> plc</w:t>
            </w:r>
          </w:p>
        </w:tc>
        <w:tc>
          <w:tcPr>
            <w:tcW w:w="1053" w:type="dxa"/>
            <w:tcBorders>
              <w:top w:val="nil"/>
              <w:left w:val="nil"/>
              <w:bottom w:val="single" w:sz="4" w:space="0" w:color="auto"/>
              <w:right w:val="single" w:sz="4" w:space="0" w:color="auto"/>
            </w:tcBorders>
            <w:noWrap/>
          </w:tcPr>
          <w:p w14:paraId="0BFF134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3,294</w:t>
            </w:r>
          </w:p>
        </w:tc>
        <w:tc>
          <w:tcPr>
            <w:tcW w:w="986" w:type="dxa"/>
            <w:gridSpan w:val="2"/>
            <w:tcBorders>
              <w:top w:val="nil"/>
              <w:left w:val="nil"/>
              <w:bottom w:val="single" w:sz="4" w:space="0" w:color="auto"/>
              <w:right w:val="single" w:sz="4" w:space="0" w:color="auto"/>
            </w:tcBorders>
            <w:noWrap/>
          </w:tcPr>
          <w:p w14:paraId="5393C6A3"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3,483</w:t>
            </w:r>
          </w:p>
        </w:tc>
        <w:tc>
          <w:tcPr>
            <w:tcW w:w="1053" w:type="dxa"/>
            <w:tcBorders>
              <w:top w:val="nil"/>
              <w:left w:val="nil"/>
              <w:bottom w:val="single" w:sz="4" w:space="0" w:color="auto"/>
              <w:right w:val="single" w:sz="4" w:space="0" w:color="auto"/>
            </w:tcBorders>
            <w:noWrap/>
          </w:tcPr>
          <w:p w14:paraId="6738435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156</w:t>
            </w:r>
          </w:p>
        </w:tc>
        <w:tc>
          <w:tcPr>
            <w:tcW w:w="1118" w:type="dxa"/>
            <w:gridSpan w:val="2"/>
            <w:tcBorders>
              <w:top w:val="nil"/>
              <w:left w:val="nil"/>
              <w:bottom w:val="single" w:sz="4" w:space="0" w:color="auto"/>
              <w:right w:val="single" w:sz="4" w:space="0" w:color="auto"/>
            </w:tcBorders>
            <w:noWrap/>
          </w:tcPr>
          <w:p w14:paraId="747D330E"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156</w:t>
            </w:r>
          </w:p>
        </w:tc>
        <w:tc>
          <w:tcPr>
            <w:tcW w:w="1034" w:type="dxa"/>
            <w:tcBorders>
              <w:top w:val="nil"/>
              <w:left w:val="nil"/>
              <w:bottom w:val="single" w:sz="4" w:space="0" w:color="auto"/>
              <w:right w:val="single" w:sz="4" w:space="0" w:color="auto"/>
            </w:tcBorders>
            <w:noWrap/>
          </w:tcPr>
          <w:p w14:paraId="021C8BFD"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4.7</w:t>
            </w:r>
          </w:p>
        </w:tc>
        <w:tc>
          <w:tcPr>
            <w:tcW w:w="1176" w:type="dxa"/>
            <w:gridSpan w:val="2"/>
            <w:tcBorders>
              <w:top w:val="nil"/>
              <w:left w:val="nil"/>
              <w:bottom w:val="single" w:sz="4" w:space="0" w:color="auto"/>
              <w:right w:val="single" w:sz="4" w:space="0" w:color="auto"/>
            </w:tcBorders>
            <w:noWrap/>
          </w:tcPr>
          <w:p w14:paraId="1C330B9B"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4.5</w:t>
            </w:r>
          </w:p>
        </w:tc>
      </w:tr>
      <w:tr w:rsidR="003B315D" w:rsidRPr="00246AF6" w14:paraId="0A2A1CA8"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552B5D19" w14:textId="77777777" w:rsidR="003B315D" w:rsidRPr="00246AF6" w:rsidRDefault="003B315D" w:rsidP="00246AF6">
            <w:pPr>
              <w:rPr>
                <w:rFonts w:ascii="Gill Sans MT" w:hAnsi="Gill Sans MT"/>
                <w:b/>
                <w:color w:val="000000"/>
                <w:sz w:val="22"/>
                <w:szCs w:val="22"/>
                <w:lang w:eastAsia="en-IE"/>
              </w:rPr>
            </w:pPr>
            <w:r w:rsidRPr="00246AF6">
              <w:rPr>
                <w:rFonts w:ascii="Gill Sans MT" w:hAnsi="Gill Sans MT" w:cs="Arial"/>
                <w:sz w:val="22"/>
                <w:szCs w:val="22"/>
              </w:rPr>
              <w:t>Dublin Bus</w:t>
            </w:r>
          </w:p>
        </w:tc>
        <w:tc>
          <w:tcPr>
            <w:tcW w:w="1053" w:type="dxa"/>
            <w:tcBorders>
              <w:top w:val="nil"/>
              <w:left w:val="nil"/>
              <w:bottom w:val="single" w:sz="4" w:space="0" w:color="auto"/>
              <w:right w:val="single" w:sz="4" w:space="0" w:color="auto"/>
            </w:tcBorders>
            <w:noWrap/>
          </w:tcPr>
          <w:p w14:paraId="7B9F6C68" w14:textId="77777777" w:rsidR="003B315D" w:rsidRPr="00246AF6" w:rsidRDefault="003B315D" w:rsidP="00246AF6">
            <w:pPr>
              <w:jc w:val="right"/>
              <w:rPr>
                <w:rFonts w:ascii="Gill Sans MT" w:hAnsi="Gill Sans MT"/>
                <w:color w:val="000000"/>
                <w:sz w:val="22"/>
                <w:szCs w:val="22"/>
                <w:lang w:eastAsia="en-IE"/>
              </w:rPr>
            </w:pPr>
            <w:r w:rsidRPr="00246AF6">
              <w:rPr>
                <w:rFonts w:ascii="Gill Sans MT" w:hAnsi="Gill Sans MT" w:cs="Arial"/>
                <w:sz w:val="22"/>
                <w:szCs w:val="22"/>
              </w:rPr>
              <w:t>3,469</w:t>
            </w:r>
          </w:p>
        </w:tc>
        <w:tc>
          <w:tcPr>
            <w:tcW w:w="986" w:type="dxa"/>
            <w:gridSpan w:val="2"/>
            <w:tcBorders>
              <w:top w:val="nil"/>
              <w:left w:val="nil"/>
              <w:bottom w:val="single" w:sz="4" w:space="0" w:color="auto"/>
              <w:right w:val="single" w:sz="4" w:space="0" w:color="auto"/>
            </w:tcBorders>
            <w:noWrap/>
          </w:tcPr>
          <w:p w14:paraId="2E0EDA4D" w14:textId="77777777" w:rsidR="003B315D" w:rsidRPr="00246AF6" w:rsidRDefault="003B315D" w:rsidP="00246AF6">
            <w:pPr>
              <w:jc w:val="right"/>
              <w:rPr>
                <w:rFonts w:ascii="Gill Sans MT" w:hAnsi="Gill Sans MT"/>
                <w:color w:val="000000"/>
                <w:sz w:val="22"/>
                <w:szCs w:val="22"/>
                <w:lang w:eastAsia="en-IE"/>
              </w:rPr>
            </w:pPr>
            <w:r w:rsidRPr="00246AF6">
              <w:rPr>
                <w:rFonts w:ascii="Gill Sans MT" w:hAnsi="Gill Sans MT" w:cs="Arial"/>
                <w:sz w:val="22"/>
                <w:szCs w:val="22"/>
              </w:rPr>
              <w:t>3,430</w:t>
            </w:r>
          </w:p>
        </w:tc>
        <w:tc>
          <w:tcPr>
            <w:tcW w:w="1053" w:type="dxa"/>
            <w:tcBorders>
              <w:top w:val="nil"/>
              <w:left w:val="nil"/>
              <w:bottom w:val="single" w:sz="4" w:space="0" w:color="auto"/>
              <w:right w:val="single" w:sz="4" w:space="0" w:color="auto"/>
            </w:tcBorders>
            <w:noWrap/>
          </w:tcPr>
          <w:p w14:paraId="0AD99404" w14:textId="77777777" w:rsidR="003B315D" w:rsidRPr="00246AF6" w:rsidRDefault="003B315D" w:rsidP="00246AF6">
            <w:pPr>
              <w:jc w:val="right"/>
              <w:rPr>
                <w:rFonts w:ascii="Gill Sans MT" w:hAnsi="Gill Sans MT"/>
                <w:color w:val="000000"/>
                <w:sz w:val="22"/>
                <w:szCs w:val="22"/>
                <w:lang w:eastAsia="en-IE"/>
              </w:rPr>
            </w:pPr>
            <w:r w:rsidRPr="00246AF6">
              <w:rPr>
                <w:rFonts w:ascii="Gill Sans MT" w:hAnsi="Gill Sans MT" w:cs="Arial"/>
                <w:sz w:val="22"/>
                <w:szCs w:val="22"/>
              </w:rPr>
              <w:t>172</w:t>
            </w:r>
          </w:p>
        </w:tc>
        <w:tc>
          <w:tcPr>
            <w:tcW w:w="1118" w:type="dxa"/>
            <w:gridSpan w:val="2"/>
            <w:tcBorders>
              <w:top w:val="nil"/>
              <w:left w:val="nil"/>
              <w:bottom w:val="single" w:sz="4" w:space="0" w:color="auto"/>
              <w:right w:val="single" w:sz="4" w:space="0" w:color="auto"/>
            </w:tcBorders>
            <w:noWrap/>
          </w:tcPr>
          <w:p w14:paraId="58102156" w14:textId="77777777" w:rsidR="003B315D" w:rsidRPr="00246AF6" w:rsidRDefault="003B315D" w:rsidP="00246AF6">
            <w:pPr>
              <w:jc w:val="right"/>
              <w:rPr>
                <w:rFonts w:ascii="Gill Sans MT" w:hAnsi="Gill Sans MT"/>
                <w:color w:val="000000"/>
                <w:sz w:val="22"/>
                <w:szCs w:val="22"/>
                <w:lang w:eastAsia="en-IE"/>
              </w:rPr>
            </w:pPr>
            <w:r w:rsidRPr="00246AF6">
              <w:rPr>
                <w:rFonts w:ascii="Gill Sans MT" w:hAnsi="Gill Sans MT" w:cs="Arial"/>
                <w:sz w:val="22"/>
                <w:szCs w:val="22"/>
              </w:rPr>
              <w:t>173</w:t>
            </w:r>
          </w:p>
        </w:tc>
        <w:tc>
          <w:tcPr>
            <w:tcW w:w="1034" w:type="dxa"/>
            <w:tcBorders>
              <w:top w:val="nil"/>
              <w:left w:val="nil"/>
              <w:bottom w:val="single" w:sz="4" w:space="0" w:color="auto"/>
              <w:right w:val="single" w:sz="4" w:space="0" w:color="auto"/>
            </w:tcBorders>
            <w:noWrap/>
          </w:tcPr>
          <w:p w14:paraId="7DDBCFCF" w14:textId="77777777" w:rsidR="003B315D" w:rsidRPr="00246AF6" w:rsidRDefault="003B315D" w:rsidP="00246AF6">
            <w:pPr>
              <w:jc w:val="right"/>
              <w:rPr>
                <w:rFonts w:ascii="Gill Sans MT" w:hAnsi="Gill Sans MT" w:cs="Arial"/>
                <w:sz w:val="22"/>
                <w:szCs w:val="22"/>
                <w:lang w:eastAsia="en-IE"/>
              </w:rPr>
            </w:pPr>
            <w:r w:rsidRPr="00246AF6">
              <w:rPr>
                <w:rFonts w:ascii="Gill Sans MT" w:hAnsi="Gill Sans MT" w:cs="Arial"/>
                <w:sz w:val="22"/>
                <w:szCs w:val="22"/>
              </w:rPr>
              <w:t>5.0</w:t>
            </w:r>
          </w:p>
        </w:tc>
        <w:tc>
          <w:tcPr>
            <w:tcW w:w="1176" w:type="dxa"/>
            <w:gridSpan w:val="2"/>
            <w:tcBorders>
              <w:top w:val="nil"/>
              <w:left w:val="nil"/>
              <w:bottom w:val="single" w:sz="4" w:space="0" w:color="auto"/>
              <w:right w:val="single" w:sz="4" w:space="0" w:color="auto"/>
            </w:tcBorders>
            <w:noWrap/>
          </w:tcPr>
          <w:p w14:paraId="74C023CB" w14:textId="77777777" w:rsidR="003B315D" w:rsidRPr="00246AF6" w:rsidRDefault="003B315D" w:rsidP="00246AF6">
            <w:pPr>
              <w:jc w:val="right"/>
              <w:rPr>
                <w:rFonts w:ascii="Gill Sans MT" w:hAnsi="Gill Sans MT" w:cs="Arial"/>
                <w:sz w:val="22"/>
                <w:szCs w:val="22"/>
                <w:lang w:eastAsia="en-IE"/>
              </w:rPr>
            </w:pPr>
            <w:r w:rsidRPr="00246AF6">
              <w:rPr>
                <w:rFonts w:ascii="Gill Sans MT" w:hAnsi="Gill Sans MT" w:cs="Arial"/>
                <w:sz w:val="22"/>
                <w:szCs w:val="22"/>
              </w:rPr>
              <w:t>5.0</w:t>
            </w:r>
          </w:p>
        </w:tc>
      </w:tr>
      <w:tr w:rsidR="003B315D" w:rsidRPr="00246AF6" w14:paraId="401CCCE5"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0C9A20E4"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Dublin Port Company</w:t>
            </w:r>
          </w:p>
        </w:tc>
        <w:tc>
          <w:tcPr>
            <w:tcW w:w="1053" w:type="dxa"/>
            <w:tcBorders>
              <w:top w:val="nil"/>
              <w:left w:val="nil"/>
              <w:bottom w:val="single" w:sz="4" w:space="0" w:color="auto"/>
              <w:right w:val="single" w:sz="4" w:space="0" w:color="auto"/>
            </w:tcBorders>
            <w:noWrap/>
          </w:tcPr>
          <w:p w14:paraId="0FEC85B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153</w:t>
            </w:r>
          </w:p>
        </w:tc>
        <w:tc>
          <w:tcPr>
            <w:tcW w:w="986" w:type="dxa"/>
            <w:gridSpan w:val="2"/>
            <w:tcBorders>
              <w:top w:val="nil"/>
              <w:left w:val="nil"/>
              <w:bottom w:val="single" w:sz="4" w:space="0" w:color="auto"/>
              <w:right w:val="single" w:sz="4" w:space="0" w:color="auto"/>
            </w:tcBorders>
            <w:noWrap/>
          </w:tcPr>
          <w:p w14:paraId="7FD2DB33"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167</w:t>
            </w:r>
          </w:p>
        </w:tc>
        <w:tc>
          <w:tcPr>
            <w:tcW w:w="1053" w:type="dxa"/>
            <w:tcBorders>
              <w:top w:val="nil"/>
              <w:left w:val="nil"/>
              <w:bottom w:val="single" w:sz="4" w:space="0" w:color="auto"/>
              <w:right w:val="single" w:sz="4" w:space="0" w:color="auto"/>
            </w:tcBorders>
            <w:noWrap/>
          </w:tcPr>
          <w:p w14:paraId="5730414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12</w:t>
            </w:r>
          </w:p>
        </w:tc>
        <w:tc>
          <w:tcPr>
            <w:tcW w:w="1118" w:type="dxa"/>
            <w:gridSpan w:val="2"/>
            <w:tcBorders>
              <w:top w:val="nil"/>
              <w:left w:val="nil"/>
              <w:bottom w:val="single" w:sz="4" w:space="0" w:color="auto"/>
              <w:right w:val="single" w:sz="4" w:space="0" w:color="auto"/>
            </w:tcBorders>
            <w:noWrap/>
          </w:tcPr>
          <w:p w14:paraId="7145A732"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10</w:t>
            </w:r>
          </w:p>
        </w:tc>
        <w:tc>
          <w:tcPr>
            <w:tcW w:w="1034" w:type="dxa"/>
            <w:tcBorders>
              <w:top w:val="nil"/>
              <w:left w:val="nil"/>
              <w:bottom w:val="single" w:sz="4" w:space="0" w:color="auto"/>
              <w:right w:val="single" w:sz="4" w:space="0" w:color="auto"/>
            </w:tcBorders>
            <w:noWrap/>
          </w:tcPr>
          <w:p w14:paraId="182C17E9" w14:textId="77777777" w:rsidR="003B315D" w:rsidRPr="00246AF6" w:rsidRDefault="003B315D" w:rsidP="006D697C">
            <w:pPr>
              <w:jc w:val="right"/>
              <w:rPr>
                <w:rFonts w:ascii="Gill Sans MT" w:hAnsi="Gill Sans MT" w:cs="Arial"/>
                <w:color w:val="000000"/>
                <w:sz w:val="22"/>
                <w:szCs w:val="22"/>
                <w:lang w:eastAsia="en-IE"/>
              </w:rPr>
            </w:pPr>
            <w:r w:rsidRPr="00246AF6">
              <w:rPr>
                <w:rFonts w:ascii="Gill Sans MT" w:hAnsi="Gill Sans MT" w:cs="Arial"/>
                <w:sz w:val="22"/>
                <w:szCs w:val="22"/>
              </w:rPr>
              <w:t>7.8</w:t>
            </w:r>
          </w:p>
        </w:tc>
        <w:tc>
          <w:tcPr>
            <w:tcW w:w="1176" w:type="dxa"/>
            <w:gridSpan w:val="2"/>
            <w:tcBorders>
              <w:top w:val="nil"/>
              <w:left w:val="nil"/>
              <w:bottom w:val="single" w:sz="4" w:space="0" w:color="auto"/>
              <w:right w:val="single" w:sz="4" w:space="0" w:color="auto"/>
            </w:tcBorders>
            <w:noWrap/>
          </w:tcPr>
          <w:p w14:paraId="6E9E0B1A" w14:textId="77777777" w:rsidR="003B315D" w:rsidRPr="00246AF6" w:rsidRDefault="003B315D" w:rsidP="006D697C">
            <w:pPr>
              <w:jc w:val="right"/>
              <w:rPr>
                <w:rFonts w:ascii="Gill Sans MT" w:hAnsi="Gill Sans MT" w:cs="Arial"/>
                <w:color w:val="000000"/>
                <w:sz w:val="22"/>
                <w:szCs w:val="22"/>
                <w:lang w:eastAsia="en-IE"/>
              </w:rPr>
            </w:pPr>
            <w:r w:rsidRPr="00246AF6">
              <w:rPr>
                <w:rFonts w:ascii="Gill Sans MT" w:hAnsi="Gill Sans MT" w:cs="Arial"/>
                <w:sz w:val="22"/>
                <w:szCs w:val="22"/>
              </w:rPr>
              <w:t>6.0</w:t>
            </w:r>
          </w:p>
        </w:tc>
      </w:tr>
      <w:tr w:rsidR="003B315D" w:rsidRPr="00246AF6" w14:paraId="23EF6CC2"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2BED4F20" w14:textId="01E3E255"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Dun Laoghaire Harbour Company</w:t>
            </w:r>
            <w:r w:rsidR="0020009F" w:rsidRPr="00246AF6">
              <w:rPr>
                <w:rFonts w:ascii="Gill Sans MT" w:hAnsi="Gill Sans MT" w:cs="Arial"/>
                <w:sz w:val="22"/>
                <w:szCs w:val="22"/>
              </w:rPr>
              <w:t xml:space="preserve"> </w:t>
            </w:r>
            <w:r w:rsidR="0020009F" w:rsidRPr="00246AF6">
              <w:rPr>
                <w:rFonts w:ascii="Gill Sans MT" w:hAnsi="Gill Sans MT"/>
                <w:b/>
                <w:color w:val="000000"/>
                <w:sz w:val="22"/>
                <w:szCs w:val="22"/>
                <w:lang w:eastAsia="en-IE"/>
              </w:rPr>
              <w:t>See section 2.2 in the report for 2018 data)</w:t>
            </w:r>
          </w:p>
        </w:tc>
        <w:tc>
          <w:tcPr>
            <w:tcW w:w="1053" w:type="dxa"/>
            <w:tcBorders>
              <w:top w:val="nil"/>
              <w:left w:val="nil"/>
              <w:bottom w:val="single" w:sz="4" w:space="0" w:color="auto"/>
              <w:right w:val="single" w:sz="4" w:space="0" w:color="auto"/>
            </w:tcBorders>
            <w:noWrap/>
          </w:tcPr>
          <w:p w14:paraId="4A01419C"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21</w:t>
            </w:r>
          </w:p>
        </w:tc>
        <w:tc>
          <w:tcPr>
            <w:tcW w:w="986" w:type="dxa"/>
            <w:gridSpan w:val="2"/>
            <w:tcBorders>
              <w:top w:val="nil"/>
              <w:left w:val="nil"/>
              <w:bottom w:val="single" w:sz="4" w:space="0" w:color="auto"/>
              <w:right w:val="single" w:sz="4" w:space="0" w:color="auto"/>
            </w:tcBorders>
            <w:noWrap/>
          </w:tcPr>
          <w:p w14:paraId="2D3EE659"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 </w:t>
            </w:r>
          </w:p>
        </w:tc>
        <w:tc>
          <w:tcPr>
            <w:tcW w:w="1053" w:type="dxa"/>
            <w:tcBorders>
              <w:top w:val="nil"/>
              <w:left w:val="nil"/>
              <w:bottom w:val="single" w:sz="4" w:space="0" w:color="auto"/>
              <w:right w:val="single" w:sz="4" w:space="0" w:color="auto"/>
            </w:tcBorders>
            <w:noWrap/>
          </w:tcPr>
          <w:p w14:paraId="6117B4A7"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w:t>
            </w:r>
          </w:p>
        </w:tc>
        <w:tc>
          <w:tcPr>
            <w:tcW w:w="1118" w:type="dxa"/>
            <w:gridSpan w:val="2"/>
            <w:tcBorders>
              <w:top w:val="nil"/>
              <w:left w:val="nil"/>
              <w:bottom w:val="single" w:sz="4" w:space="0" w:color="auto"/>
              <w:right w:val="single" w:sz="4" w:space="0" w:color="auto"/>
            </w:tcBorders>
            <w:noWrap/>
          </w:tcPr>
          <w:p w14:paraId="657A6014"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 </w:t>
            </w:r>
          </w:p>
        </w:tc>
        <w:tc>
          <w:tcPr>
            <w:tcW w:w="1034" w:type="dxa"/>
            <w:tcBorders>
              <w:top w:val="nil"/>
              <w:left w:val="nil"/>
              <w:bottom w:val="single" w:sz="4" w:space="0" w:color="auto"/>
              <w:right w:val="single" w:sz="4" w:space="0" w:color="auto"/>
            </w:tcBorders>
            <w:noWrap/>
          </w:tcPr>
          <w:p w14:paraId="22C4D14F"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4.8</w:t>
            </w:r>
          </w:p>
        </w:tc>
        <w:tc>
          <w:tcPr>
            <w:tcW w:w="1176" w:type="dxa"/>
            <w:gridSpan w:val="2"/>
            <w:tcBorders>
              <w:top w:val="nil"/>
              <w:left w:val="nil"/>
              <w:bottom w:val="single" w:sz="4" w:space="0" w:color="auto"/>
              <w:right w:val="single" w:sz="4" w:space="0" w:color="auto"/>
            </w:tcBorders>
            <w:noWrap/>
          </w:tcPr>
          <w:p w14:paraId="739E88B5"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 </w:t>
            </w:r>
          </w:p>
        </w:tc>
      </w:tr>
      <w:tr w:rsidR="003B315D" w:rsidRPr="00246AF6" w14:paraId="05DEE4A4"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332C229F"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 xml:space="preserve">Fáilte Ireland </w:t>
            </w:r>
          </w:p>
        </w:tc>
        <w:tc>
          <w:tcPr>
            <w:tcW w:w="1053" w:type="dxa"/>
            <w:tcBorders>
              <w:top w:val="nil"/>
              <w:left w:val="nil"/>
              <w:bottom w:val="single" w:sz="4" w:space="0" w:color="auto"/>
              <w:right w:val="single" w:sz="4" w:space="0" w:color="auto"/>
            </w:tcBorders>
            <w:noWrap/>
          </w:tcPr>
          <w:p w14:paraId="3F3906E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312</w:t>
            </w:r>
          </w:p>
        </w:tc>
        <w:tc>
          <w:tcPr>
            <w:tcW w:w="986" w:type="dxa"/>
            <w:gridSpan w:val="2"/>
            <w:tcBorders>
              <w:top w:val="nil"/>
              <w:left w:val="nil"/>
              <w:bottom w:val="single" w:sz="4" w:space="0" w:color="auto"/>
              <w:right w:val="single" w:sz="4" w:space="0" w:color="auto"/>
            </w:tcBorders>
            <w:noWrap/>
          </w:tcPr>
          <w:p w14:paraId="09CB91C9"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357</w:t>
            </w:r>
          </w:p>
        </w:tc>
        <w:tc>
          <w:tcPr>
            <w:tcW w:w="1053" w:type="dxa"/>
            <w:tcBorders>
              <w:top w:val="nil"/>
              <w:left w:val="nil"/>
              <w:bottom w:val="single" w:sz="4" w:space="0" w:color="auto"/>
              <w:right w:val="single" w:sz="4" w:space="0" w:color="auto"/>
            </w:tcBorders>
            <w:noWrap/>
          </w:tcPr>
          <w:p w14:paraId="61A47DC5"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19</w:t>
            </w:r>
          </w:p>
        </w:tc>
        <w:tc>
          <w:tcPr>
            <w:tcW w:w="1118" w:type="dxa"/>
            <w:gridSpan w:val="2"/>
            <w:tcBorders>
              <w:top w:val="nil"/>
              <w:left w:val="nil"/>
              <w:bottom w:val="single" w:sz="4" w:space="0" w:color="auto"/>
              <w:right w:val="single" w:sz="4" w:space="0" w:color="auto"/>
            </w:tcBorders>
            <w:noWrap/>
          </w:tcPr>
          <w:p w14:paraId="7E79DFC8"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18</w:t>
            </w:r>
          </w:p>
        </w:tc>
        <w:tc>
          <w:tcPr>
            <w:tcW w:w="1034" w:type="dxa"/>
            <w:tcBorders>
              <w:top w:val="nil"/>
              <w:left w:val="nil"/>
              <w:bottom w:val="single" w:sz="4" w:space="0" w:color="auto"/>
              <w:right w:val="single" w:sz="4" w:space="0" w:color="auto"/>
            </w:tcBorders>
            <w:noWrap/>
          </w:tcPr>
          <w:p w14:paraId="248AE71B"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6.1</w:t>
            </w:r>
          </w:p>
        </w:tc>
        <w:tc>
          <w:tcPr>
            <w:tcW w:w="1176" w:type="dxa"/>
            <w:gridSpan w:val="2"/>
            <w:tcBorders>
              <w:top w:val="nil"/>
              <w:left w:val="nil"/>
              <w:bottom w:val="single" w:sz="4" w:space="0" w:color="auto"/>
              <w:right w:val="single" w:sz="4" w:space="0" w:color="auto"/>
            </w:tcBorders>
            <w:noWrap/>
          </w:tcPr>
          <w:p w14:paraId="7FD0BC90"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5.0</w:t>
            </w:r>
          </w:p>
        </w:tc>
      </w:tr>
      <w:tr w:rsidR="003B315D" w:rsidRPr="00246AF6" w14:paraId="089E102C"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52F612A9"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Galway Harbour Company</w:t>
            </w:r>
          </w:p>
        </w:tc>
        <w:tc>
          <w:tcPr>
            <w:tcW w:w="1053" w:type="dxa"/>
            <w:tcBorders>
              <w:top w:val="nil"/>
              <w:left w:val="nil"/>
              <w:bottom w:val="single" w:sz="4" w:space="0" w:color="auto"/>
              <w:right w:val="single" w:sz="4" w:space="0" w:color="auto"/>
            </w:tcBorders>
            <w:noWrap/>
          </w:tcPr>
          <w:p w14:paraId="4536C83E"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14</w:t>
            </w:r>
          </w:p>
        </w:tc>
        <w:tc>
          <w:tcPr>
            <w:tcW w:w="986" w:type="dxa"/>
            <w:gridSpan w:val="2"/>
            <w:tcBorders>
              <w:top w:val="nil"/>
              <w:left w:val="nil"/>
              <w:bottom w:val="single" w:sz="4" w:space="0" w:color="auto"/>
              <w:right w:val="single" w:sz="4" w:space="0" w:color="auto"/>
            </w:tcBorders>
            <w:noWrap/>
          </w:tcPr>
          <w:p w14:paraId="61ACCD1C"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15</w:t>
            </w:r>
          </w:p>
        </w:tc>
        <w:tc>
          <w:tcPr>
            <w:tcW w:w="1053" w:type="dxa"/>
            <w:tcBorders>
              <w:top w:val="nil"/>
              <w:left w:val="nil"/>
              <w:bottom w:val="single" w:sz="4" w:space="0" w:color="auto"/>
              <w:right w:val="single" w:sz="4" w:space="0" w:color="auto"/>
            </w:tcBorders>
            <w:noWrap/>
          </w:tcPr>
          <w:p w14:paraId="3D459C2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tcPr>
          <w:p w14:paraId="3284CDC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tcPr>
          <w:p w14:paraId="2BD80372" w14:textId="77777777" w:rsidR="003B315D" w:rsidRPr="00246AF6" w:rsidRDefault="003B315D" w:rsidP="006D697C">
            <w:pPr>
              <w:jc w:val="right"/>
              <w:rPr>
                <w:rFonts w:ascii="Gill Sans MT" w:hAnsi="Gill Sans MT" w:cs="Arial"/>
                <w:color w:val="000000"/>
                <w:sz w:val="22"/>
                <w:szCs w:val="22"/>
                <w:lang w:eastAsia="en-IE"/>
              </w:rPr>
            </w:pPr>
            <w:r w:rsidRPr="00246AF6">
              <w:rPr>
                <w:rFonts w:ascii="Gill Sans MT" w:hAnsi="Gill Sans MT" w:cs="Arial"/>
                <w:sz w:val="22"/>
                <w:szCs w:val="22"/>
              </w:rPr>
              <w:t>0.0</w:t>
            </w:r>
          </w:p>
        </w:tc>
        <w:tc>
          <w:tcPr>
            <w:tcW w:w="1176" w:type="dxa"/>
            <w:gridSpan w:val="2"/>
            <w:tcBorders>
              <w:top w:val="nil"/>
              <w:left w:val="nil"/>
              <w:bottom w:val="single" w:sz="4" w:space="0" w:color="auto"/>
              <w:right w:val="single" w:sz="4" w:space="0" w:color="auto"/>
            </w:tcBorders>
            <w:noWrap/>
          </w:tcPr>
          <w:p w14:paraId="1908FB51" w14:textId="77777777" w:rsidR="003B315D" w:rsidRPr="00246AF6" w:rsidRDefault="003B315D" w:rsidP="006D697C">
            <w:pPr>
              <w:jc w:val="right"/>
              <w:rPr>
                <w:rFonts w:ascii="Gill Sans MT" w:hAnsi="Gill Sans MT" w:cs="Arial"/>
                <w:color w:val="000000"/>
                <w:sz w:val="22"/>
                <w:szCs w:val="22"/>
                <w:lang w:eastAsia="en-IE"/>
              </w:rPr>
            </w:pPr>
            <w:r w:rsidRPr="00246AF6">
              <w:rPr>
                <w:rFonts w:ascii="Gill Sans MT" w:hAnsi="Gill Sans MT" w:cs="Arial"/>
                <w:sz w:val="22"/>
                <w:szCs w:val="22"/>
              </w:rPr>
              <w:t>0.0</w:t>
            </w:r>
          </w:p>
        </w:tc>
      </w:tr>
      <w:tr w:rsidR="003B315D" w:rsidRPr="00246AF6" w14:paraId="3E6D5D14"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32DF0EE0"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Iarnród Éireann</w:t>
            </w:r>
          </w:p>
        </w:tc>
        <w:tc>
          <w:tcPr>
            <w:tcW w:w="1053" w:type="dxa"/>
            <w:tcBorders>
              <w:top w:val="nil"/>
              <w:left w:val="nil"/>
              <w:bottom w:val="single" w:sz="4" w:space="0" w:color="auto"/>
              <w:right w:val="single" w:sz="4" w:space="0" w:color="auto"/>
            </w:tcBorders>
            <w:noWrap/>
          </w:tcPr>
          <w:p w14:paraId="324A6544"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3,761</w:t>
            </w:r>
          </w:p>
        </w:tc>
        <w:tc>
          <w:tcPr>
            <w:tcW w:w="986" w:type="dxa"/>
            <w:gridSpan w:val="2"/>
            <w:tcBorders>
              <w:top w:val="nil"/>
              <w:left w:val="nil"/>
              <w:bottom w:val="single" w:sz="4" w:space="0" w:color="auto"/>
              <w:right w:val="single" w:sz="4" w:space="0" w:color="auto"/>
            </w:tcBorders>
            <w:noWrap/>
          </w:tcPr>
          <w:p w14:paraId="6B1BBCE3"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3,831</w:t>
            </w:r>
          </w:p>
        </w:tc>
        <w:tc>
          <w:tcPr>
            <w:tcW w:w="1053" w:type="dxa"/>
            <w:tcBorders>
              <w:top w:val="nil"/>
              <w:left w:val="nil"/>
              <w:bottom w:val="single" w:sz="4" w:space="0" w:color="auto"/>
              <w:right w:val="single" w:sz="4" w:space="0" w:color="auto"/>
            </w:tcBorders>
            <w:noWrap/>
          </w:tcPr>
          <w:p w14:paraId="222A52D8"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139</w:t>
            </w:r>
          </w:p>
        </w:tc>
        <w:tc>
          <w:tcPr>
            <w:tcW w:w="1118" w:type="dxa"/>
            <w:gridSpan w:val="2"/>
            <w:tcBorders>
              <w:top w:val="nil"/>
              <w:left w:val="nil"/>
              <w:bottom w:val="single" w:sz="4" w:space="0" w:color="auto"/>
              <w:right w:val="single" w:sz="4" w:space="0" w:color="auto"/>
            </w:tcBorders>
            <w:noWrap/>
          </w:tcPr>
          <w:p w14:paraId="4CB8DE0B"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149</w:t>
            </w:r>
          </w:p>
        </w:tc>
        <w:tc>
          <w:tcPr>
            <w:tcW w:w="1034" w:type="dxa"/>
            <w:tcBorders>
              <w:top w:val="nil"/>
              <w:left w:val="nil"/>
              <w:bottom w:val="single" w:sz="4" w:space="0" w:color="auto"/>
              <w:right w:val="single" w:sz="4" w:space="0" w:color="auto"/>
            </w:tcBorders>
            <w:noWrap/>
          </w:tcPr>
          <w:p w14:paraId="6B2B20F6"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3.7</w:t>
            </w:r>
          </w:p>
        </w:tc>
        <w:tc>
          <w:tcPr>
            <w:tcW w:w="1176" w:type="dxa"/>
            <w:gridSpan w:val="2"/>
            <w:tcBorders>
              <w:top w:val="nil"/>
              <w:left w:val="nil"/>
              <w:bottom w:val="single" w:sz="4" w:space="0" w:color="auto"/>
              <w:right w:val="single" w:sz="4" w:space="0" w:color="auto"/>
            </w:tcBorders>
            <w:noWrap/>
          </w:tcPr>
          <w:p w14:paraId="709C7CD1"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3.9</w:t>
            </w:r>
          </w:p>
        </w:tc>
      </w:tr>
      <w:tr w:rsidR="003B315D" w:rsidRPr="00246AF6" w14:paraId="2D53C24D"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0498AB8D"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Irish Aviation Authority</w:t>
            </w:r>
          </w:p>
        </w:tc>
        <w:tc>
          <w:tcPr>
            <w:tcW w:w="1053" w:type="dxa"/>
            <w:tcBorders>
              <w:top w:val="nil"/>
              <w:left w:val="nil"/>
              <w:bottom w:val="single" w:sz="4" w:space="0" w:color="auto"/>
              <w:right w:val="single" w:sz="4" w:space="0" w:color="auto"/>
            </w:tcBorders>
            <w:noWrap/>
          </w:tcPr>
          <w:p w14:paraId="6FF9E72F"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663</w:t>
            </w:r>
          </w:p>
        </w:tc>
        <w:tc>
          <w:tcPr>
            <w:tcW w:w="986" w:type="dxa"/>
            <w:gridSpan w:val="2"/>
            <w:tcBorders>
              <w:top w:val="nil"/>
              <w:left w:val="nil"/>
              <w:bottom w:val="single" w:sz="4" w:space="0" w:color="auto"/>
              <w:right w:val="single" w:sz="4" w:space="0" w:color="auto"/>
            </w:tcBorders>
            <w:noWrap/>
          </w:tcPr>
          <w:p w14:paraId="6126E14B"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699</w:t>
            </w:r>
          </w:p>
        </w:tc>
        <w:tc>
          <w:tcPr>
            <w:tcW w:w="1053" w:type="dxa"/>
            <w:tcBorders>
              <w:top w:val="nil"/>
              <w:left w:val="nil"/>
              <w:bottom w:val="single" w:sz="4" w:space="0" w:color="auto"/>
              <w:right w:val="single" w:sz="4" w:space="0" w:color="auto"/>
            </w:tcBorders>
            <w:noWrap/>
          </w:tcPr>
          <w:p w14:paraId="2B9DF7C1"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25</w:t>
            </w:r>
          </w:p>
        </w:tc>
        <w:tc>
          <w:tcPr>
            <w:tcW w:w="1118" w:type="dxa"/>
            <w:gridSpan w:val="2"/>
            <w:tcBorders>
              <w:top w:val="nil"/>
              <w:left w:val="nil"/>
              <w:bottom w:val="single" w:sz="4" w:space="0" w:color="auto"/>
              <w:right w:val="single" w:sz="4" w:space="0" w:color="auto"/>
            </w:tcBorders>
            <w:noWrap/>
          </w:tcPr>
          <w:p w14:paraId="6636641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25</w:t>
            </w:r>
          </w:p>
        </w:tc>
        <w:tc>
          <w:tcPr>
            <w:tcW w:w="1034" w:type="dxa"/>
            <w:tcBorders>
              <w:top w:val="nil"/>
              <w:left w:val="nil"/>
              <w:bottom w:val="single" w:sz="4" w:space="0" w:color="auto"/>
              <w:right w:val="single" w:sz="4" w:space="0" w:color="auto"/>
            </w:tcBorders>
            <w:noWrap/>
          </w:tcPr>
          <w:p w14:paraId="4FAB341A"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3.8</w:t>
            </w:r>
          </w:p>
        </w:tc>
        <w:tc>
          <w:tcPr>
            <w:tcW w:w="1176" w:type="dxa"/>
            <w:gridSpan w:val="2"/>
            <w:tcBorders>
              <w:top w:val="nil"/>
              <w:left w:val="nil"/>
              <w:bottom w:val="single" w:sz="4" w:space="0" w:color="auto"/>
              <w:right w:val="single" w:sz="4" w:space="0" w:color="auto"/>
            </w:tcBorders>
            <w:noWrap/>
          </w:tcPr>
          <w:p w14:paraId="75FAB08B"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3.6</w:t>
            </w:r>
          </w:p>
        </w:tc>
      </w:tr>
      <w:tr w:rsidR="003B315D" w:rsidRPr="00246AF6" w14:paraId="62820BB7"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0151DCEB"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 xml:space="preserve">National Transport Authority </w:t>
            </w:r>
          </w:p>
        </w:tc>
        <w:tc>
          <w:tcPr>
            <w:tcW w:w="1053" w:type="dxa"/>
            <w:tcBorders>
              <w:top w:val="nil"/>
              <w:left w:val="nil"/>
              <w:bottom w:val="single" w:sz="4" w:space="0" w:color="auto"/>
              <w:right w:val="single" w:sz="4" w:space="0" w:color="auto"/>
            </w:tcBorders>
            <w:noWrap/>
          </w:tcPr>
          <w:p w14:paraId="3C94C7C9"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83</w:t>
            </w:r>
          </w:p>
        </w:tc>
        <w:tc>
          <w:tcPr>
            <w:tcW w:w="986" w:type="dxa"/>
            <w:gridSpan w:val="2"/>
            <w:tcBorders>
              <w:top w:val="nil"/>
              <w:left w:val="nil"/>
              <w:bottom w:val="single" w:sz="4" w:space="0" w:color="auto"/>
              <w:right w:val="single" w:sz="4" w:space="0" w:color="auto"/>
            </w:tcBorders>
            <w:noWrap/>
          </w:tcPr>
          <w:p w14:paraId="32C14E80"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99</w:t>
            </w:r>
          </w:p>
        </w:tc>
        <w:tc>
          <w:tcPr>
            <w:tcW w:w="1053" w:type="dxa"/>
            <w:tcBorders>
              <w:top w:val="nil"/>
              <w:left w:val="nil"/>
              <w:bottom w:val="single" w:sz="4" w:space="0" w:color="auto"/>
              <w:right w:val="single" w:sz="4" w:space="0" w:color="auto"/>
            </w:tcBorders>
            <w:noWrap/>
          </w:tcPr>
          <w:p w14:paraId="3CED59B2"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w:t>
            </w:r>
          </w:p>
        </w:tc>
        <w:tc>
          <w:tcPr>
            <w:tcW w:w="1118" w:type="dxa"/>
            <w:gridSpan w:val="2"/>
            <w:tcBorders>
              <w:top w:val="nil"/>
              <w:left w:val="nil"/>
              <w:bottom w:val="single" w:sz="4" w:space="0" w:color="auto"/>
              <w:right w:val="single" w:sz="4" w:space="0" w:color="auto"/>
            </w:tcBorders>
            <w:noWrap/>
          </w:tcPr>
          <w:p w14:paraId="7896C94B"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6</w:t>
            </w:r>
          </w:p>
        </w:tc>
        <w:tc>
          <w:tcPr>
            <w:tcW w:w="1034" w:type="dxa"/>
            <w:tcBorders>
              <w:top w:val="nil"/>
              <w:left w:val="nil"/>
              <w:bottom w:val="single" w:sz="4" w:space="0" w:color="auto"/>
              <w:right w:val="single" w:sz="4" w:space="0" w:color="auto"/>
            </w:tcBorders>
            <w:noWrap/>
          </w:tcPr>
          <w:p w14:paraId="4BB534F6"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3.6</w:t>
            </w:r>
          </w:p>
        </w:tc>
        <w:tc>
          <w:tcPr>
            <w:tcW w:w="1176" w:type="dxa"/>
            <w:gridSpan w:val="2"/>
            <w:tcBorders>
              <w:top w:val="nil"/>
              <w:left w:val="nil"/>
              <w:bottom w:val="single" w:sz="4" w:space="0" w:color="auto"/>
              <w:right w:val="single" w:sz="4" w:space="0" w:color="auto"/>
            </w:tcBorders>
            <w:noWrap/>
          </w:tcPr>
          <w:p w14:paraId="01BD9ECF" w14:textId="77777777" w:rsidR="003B315D" w:rsidRPr="00246AF6" w:rsidRDefault="003B315D" w:rsidP="006D697C">
            <w:pPr>
              <w:ind w:firstLineChars="100" w:firstLine="220"/>
              <w:jc w:val="right"/>
              <w:rPr>
                <w:rFonts w:ascii="Gill Sans MT" w:hAnsi="Gill Sans MT" w:cs="Arial"/>
                <w:sz w:val="22"/>
                <w:szCs w:val="22"/>
                <w:lang w:eastAsia="en-IE"/>
              </w:rPr>
            </w:pPr>
            <w:r w:rsidRPr="00246AF6">
              <w:rPr>
                <w:rFonts w:ascii="Gill Sans MT" w:hAnsi="Gill Sans MT" w:cs="Arial"/>
                <w:sz w:val="22"/>
                <w:szCs w:val="22"/>
              </w:rPr>
              <w:t>6.1</w:t>
            </w:r>
          </w:p>
        </w:tc>
      </w:tr>
      <w:tr w:rsidR="003B315D" w:rsidRPr="00246AF6" w14:paraId="4EFA5BCB"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3208653E"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New Ross Port Company</w:t>
            </w:r>
          </w:p>
        </w:tc>
        <w:tc>
          <w:tcPr>
            <w:tcW w:w="1053" w:type="dxa"/>
            <w:tcBorders>
              <w:top w:val="nil"/>
              <w:left w:val="nil"/>
              <w:bottom w:val="single" w:sz="4" w:space="0" w:color="auto"/>
              <w:right w:val="single" w:sz="4" w:space="0" w:color="auto"/>
            </w:tcBorders>
            <w:noWrap/>
          </w:tcPr>
          <w:p w14:paraId="0720CC60"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w:t>
            </w:r>
          </w:p>
        </w:tc>
        <w:tc>
          <w:tcPr>
            <w:tcW w:w="986" w:type="dxa"/>
            <w:gridSpan w:val="2"/>
            <w:tcBorders>
              <w:top w:val="nil"/>
              <w:left w:val="nil"/>
              <w:bottom w:val="single" w:sz="4" w:space="0" w:color="auto"/>
              <w:right w:val="single" w:sz="4" w:space="0" w:color="auto"/>
            </w:tcBorders>
            <w:noWrap/>
          </w:tcPr>
          <w:p w14:paraId="104D31FB"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w:t>
            </w:r>
          </w:p>
        </w:tc>
        <w:tc>
          <w:tcPr>
            <w:tcW w:w="1053" w:type="dxa"/>
            <w:tcBorders>
              <w:top w:val="nil"/>
              <w:left w:val="nil"/>
              <w:bottom w:val="single" w:sz="4" w:space="0" w:color="auto"/>
              <w:right w:val="single" w:sz="4" w:space="0" w:color="auto"/>
            </w:tcBorders>
            <w:noWrap/>
          </w:tcPr>
          <w:p w14:paraId="7C831903"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tcPr>
          <w:p w14:paraId="4C637616"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tcPr>
          <w:p w14:paraId="1EB5F659"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0.0</w:t>
            </w:r>
          </w:p>
        </w:tc>
        <w:tc>
          <w:tcPr>
            <w:tcW w:w="1176" w:type="dxa"/>
            <w:gridSpan w:val="2"/>
            <w:tcBorders>
              <w:top w:val="nil"/>
              <w:left w:val="nil"/>
              <w:bottom w:val="single" w:sz="4" w:space="0" w:color="auto"/>
              <w:right w:val="single" w:sz="4" w:space="0" w:color="auto"/>
            </w:tcBorders>
            <w:noWrap/>
          </w:tcPr>
          <w:p w14:paraId="45B86B54"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0.0</w:t>
            </w:r>
          </w:p>
        </w:tc>
      </w:tr>
      <w:tr w:rsidR="003B315D" w:rsidRPr="00246AF6" w14:paraId="7CB1B9FF"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75A05242"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Port of Cork Company</w:t>
            </w:r>
          </w:p>
        </w:tc>
        <w:tc>
          <w:tcPr>
            <w:tcW w:w="1053" w:type="dxa"/>
            <w:tcBorders>
              <w:top w:val="nil"/>
              <w:left w:val="nil"/>
              <w:bottom w:val="single" w:sz="4" w:space="0" w:color="auto"/>
              <w:right w:val="single" w:sz="4" w:space="0" w:color="auto"/>
            </w:tcBorders>
            <w:noWrap/>
          </w:tcPr>
          <w:p w14:paraId="2280B42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134</w:t>
            </w:r>
          </w:p>
        </w:tc>
        <w:tc>
          <w:tcPr>
            <w:tcW w:w="986" w:type="dxa"/>
            <w:gridSpan w:val="2"/>
            <w:tcBorders>
              <w:top w:val="nil"/>
              <w:left w:val="nil"/>
              <w:bottom w:val="single" w:sz="4" w:space="0" w:color="auto"/>
              <w:right w:val="single" w:sz="4" w:space="0" w:color="auto"/>
            </w:tcBorders>
            <w:noWrap/>
          </w:tcPr>
          <w:p w14:paraId="3E8CE21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144</w:t>
            </w:r>
          </w:p>
        </w:tc>
        <w:tc>
          <w:tcPr>
            <w:tcW w:w="1053" w:type="dxa"/>
            <w:tcBorders>
              <w:top w:val="nil"/>
              <w:left w:val="nil"/>
              <w:bottom w:val="single" w:sz="4" w:space="0" w:color="auto"/>
              <w:right w:val="single" w:sz="4" w:space="0" w:color="auto"/>
            </w:tcBorders>
            <w:noWrap/>
          </w:tcPr>
          <w:p w14:paraId="3DCB3C1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w:t>
            </w:r>
          </w:p>
        </w:tc>
        <w:tc>
          <w:tcPr>
            <w:tcW w:w="1118" w:type="dxa"/>
            <w:gridSpan w:val="2"/>
            <w:tcBorders>
              <w:top w:val="nil"/>
              <w:left w:val="nil"/>
              <w:bottom w:val="single" w:sz="4" w:space="0" w:color="auto"/>
              <w:right w:val="single" w:sz="4" w:space="0" w:color="auto"/>
            </w:tcBorders>
            <w:noWrap/>
          </w:tcPr>
          <w:p w14:paraId="38CE0C9C"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5</w:t>
            </w:r>
          </w:p>
        </w:tc>
        <w:tc>
          <w:tcPr>
            <w:tcW w:w="1034" w:type="dxa"/>
            <w:tcBorders>
              <w:top w:val="nil"/>
              <w:left w:val="nil"/>
              <w:bottom w:val="single" w:sz="4" w:space="0" w:color="auto"/>
              <w:right w:val="single" w:sz="4" w:space="0" w:color="auto"/>
            </w:tcBorders>
            <w:noWrap/>
          </w:tcPr>
          <w:p w14:paraId="53C6A1F9"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3.0</w:t>
            </w:r>
          </w:p>
        </w:tc>
        <w:tc>
          <w:tcPr>
            <w:tcW w:w="1176" w:type="dxa"/>
            <w:gridSpan w:val="2"/>
            <w:tcBorders>
              <w:top w:val="nil"/>
              <w:left w:val="nil"/>
              <w:bottom w:val="single" w:sz="4" w:space="0" w:color="auto"/>
              <w:right w:val="single" w:sz="4" w:space="0" w:color="auto"/>
            </w:tcBorders>
            <w:noWrap/>
          </w:tcPr>
          <w:p w14:paraId="0640BD7B"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3.5</w:t>
            </w:r>
          </w:p>
        </w:tc>
      </w:tr>
      <w:tr w:rsidR="003B315D" w:rsidRPr="00246AF6" w14:paraId="258251AA"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4939732F"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Port of Waterford Company</w:t>
            </w:r>
          </w:p>
        </w:tc>
        <w:tc>
          <w:tcPr>
            <w:tcW w:w="1053" w:type="dxa"/>
            <w:tcBorders>
              <w:top w:val="nil"/>
              <w:left w:val="nil"/>
              <w:bottom w:val="single" w:sz="4" w:space="0" w:color="auto"/>
              <w:right w:val="single" w:sz="4" w:space="0" w:color="auto"/>
            </w:tcBorders>
            <w:noWrap/>
          </w:tcPr>
          <w:p w14:paraId="3C049C2E"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35</w:t>
            </w:r>
          </w:p>
        </w:tc>
        <w:tc>
          <w:tcPr>
            <w:tcW w:w="986" w:type="dxa"/>
            <w:gridSpan w:val="2"/>
            <w:tcBorders>
              <w:top w:val="nil"/>
              <w:left w:val="nil"/>
              <w:bottom w:val="single" w:sz="4" w:space="0" w:color="auto"/>
              <w:right w:val="single" w:sz="4" w:space="0" w:color="auto"/>
            </w:tcBorders>
            <w:noWrap/>
          </w:tcPr>
          <w:p w14:paraId="17E85CD7"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38</w:t>
            </w:r>
          </w:p>
        </w:tc>
        <w:tc>
          <w:tcPr>
            <w:tcW w:w="1053" w:type="dxa"/>
            <w:tcBorders>
              <w:top w:val="nil"/>
              <w:left w:val="nil"/>
              <w:bottom w:val="single" w:sz="4" w:space="0" w:color="auto"/>
              <w:right w:val="single" w:sz="4" w:space="0" w:color="auto"/>
            </w:tcBorders>
            <w:noWrap/>
          </w:tcPr>
          <w:p w14:paraId="483E6C90"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w:t>
            </w:r>
          </w:p>
        </w:tc>
        <w:tc>
          <w:tcPr>
            <w:tcW w:w="1118" w:type="dxa"/>
            <w:gridSpan w:val="2"/>
            <w:tcBorders>
              <w:top w:val="nil"/>
              <w:left w:val="nil"/>
              <w:bottom w:val="single" w:sz="4" w:space="0" w:color="auto"/>
              <w:right w:val="single" w:sz="4" w:space="0" w:color="auto"/>
            </w:tcBorders>
            <w:noWrap/>
          </w:tcPr>
          <w:p w14:paraId="1DD79C98"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w:t>
            </w:r>
          </w:p>
        </w:tc>
        <w:tc>
          <w:tcPr>
            <w:tcW w:w="1034" w:type="dxa"/>
            <w:tcBorders>
              <w:top w:val="nil"/>
              <w:left w:val="nil"/>
              <w:bottom w:val="single" w:sz="4" w:space="0" w:color="auto"/>
              <w:right w:val="single" w:sz="4" w:space="0" w:color="auto"/>
            </w:tcBorders>
            <w:noWrap/>
          </w:tcPr>
          <w:p w14:paraId="739F233F"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5.7</w:t>
            </w:r>
          </w:p>
        </w:tc>
        <w:tc>
          <w:tcPr>
            <w:tcW w:w="1176" w:type="dxa"/>
            <w:gridSpan w:val="2"/>
            <w:tcBorders>
              <w:top w:val="nil"/>
              <w:left w:val="nil"/>
              <w:bottom w:val="single" w:sz="4" w:space="0" w:color="auto"/>
              <w:right w:val="single" w:sz="4" w:space="0" w:color="auto"/>
            </w:tcBorders>
            <w:noWrap/>
          </w:tcPr>
          <w:p w14:paraId="3B181249"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7.9</w:t>
            </w:r>
          </w:p>
        </w:tc>
      </w:tr>
      <w:tr w:rsidR="003B315D" w:rsidRPr="00246AF6" w14:paraId="071B2191"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1383A3C1"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Road Safety Authority</w:t>
            </w:r>
          </w:p>
        </w:tc>
        <w:tc>
          <w:tcPr>
            <w:tcW w:w="1053" w:type="dxa"/>
            <w:tcBorders>
              <w:top w:val="nil"/>
              <w:left w:val="nil"/>
              <w:bottom w:val="single" w:sz="4" w:space="0" w:color="auto"/>
              <w:right w:val="single" w:sz="4" w:space="0" w:color="auto"/>
            </w:tcBorders>
            <w:noWrap/>
          </w:tcPr>
          <w:p w14:paraId="3C2DD10B"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344</w:t>
            </w:r>
          </w:p>
        </w:tc>
        <w:tc>
          <w:tcPr>
            <w:tcW w:w="986" w:type="dxa"/>
            <w:gridSpan w:val="2"/>
            <w:tcBorders>
              <w:top w:val="nil"/>
              <w:left w:val="nil"/>
              <w:bottom w:val="single" w:sz="4" w:space="0" w:color="auto"/>
              <w:right w:val="single" w:sz="4" w:space="0" w:color="auto"/>
            </w:tcBorders>
            <w:noWrap/>
          </w:tcPr>
          <w:p w14:paraId="44B97A19"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389</w:t>
            </w:r>
          </w:p>
        </w:tc>
        <w:tc>
          <w:tcPr>
            <w:tcW w:w="1053" w:type="dxa"/>
            <w:tcBorders>
              <w:top w:val="nil"/>
              <w:left w:val="nil"/>
              <w:bottom w:val="single" w:sz="4" w:space="0" w:color="auto"/>
              <w:right w:val="single" w:sz="4" w:space="0" w:color="auto"/>
            </w:tcBorders>
            <w:noWrap/>
          </w:tcPr>
          <w:p w14:paraId="1A8DE887"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20</w:t>
            </w:r>
          </w:p>
        </w:tc>
        <w:tc>
          <w:tcPr>
            <w:tcW w:w="1118" w:type="dxa"/>
            <w:gridSpan w:val="2"/>
            <w:tcBorders>
              <w:top w:val="nil"/>
              <w:left w:val="nil"/>
              <w:bottom w:val="single" w:sz="4" w:space="0" w:color="auto"/>
              <w:right w:val="single" w:sz="4" w:space="0" w:color="auto"/>
            </w:tcBorders>
            <w:noWrap/>
          </w:tcPr>
          <w:p w14:paraId="511E358B"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18</w:t>
            </w:r>
          </w:p>
        </w:tc>
        <w:tc>
          <w:tcPr>
            <w:tcW w:w="1034" w:type="dxa"/>
            <w:tcBorders>
              <w:top w:val="nil"/>
              <w:left w:val="nil"/>
              <w:bottom w:val="single" w:sz="4" w:space="0" w:color="auto"/>
              <w:right w:val="single" w:sz="4" w:space="0" w:color="auto"/>
            </w:tcBorders>
            <w:noWrap/>
          </w:tcPr>
          <w:p w14:paraId="0EF8FFAC"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5.8</w:t>
            </w:r>
          </w:p>
        </w:tc>
        <w:tc>
          <w:tcPr>
            <w:tcW w:w="1176" w:type="dxa"/>
            <w:gridSpan w:val="2"/>
            <w:tcBorders>
              <w:top w:val="nil"/>
              <w:left w:val="nil"/>
              <w:bottom w:val="single" w:sz="4" w:space="0" w:color="auto"/>
              <w:right w:val="single" w:sz="4" w:space="0" w:color="auto"/>
            </w:tcBorders>
            <w:noWrap/>
          </w:tcPr>
          <w:p w14:paraId="01752BBA" w14:textId="77777777" w:rsidR="003B315D" w:rsidRPr="00246AF6" w:rsidRDefault="003B315D" w:rsidP="006D697C">
            <w:pPr>
              <w:ind w:firstLineChars="200" w:firstLine="440"/>
              <w:jc w:val="right"/>
              <w:rPr>
                <w:rFonts w:ascii="Gill Sans MT" w:hAnsi="Gill Sans MT" w:cs="Arial"/>
                <w:sz w:val="22"/>
                <w:szCs w:val="22"/>
                <w:lang w:eastAsia="en-IE"/>
              </w:rPr>
            </w:pPr>
            <w:r w:rsidRPr="00246AF6">
              <w:rPr>
                <w:rFonts w:ascii="Gill Sans MT" w:hAnsi="Gill Sans MT" w:cs="Arial"/>
                <w:sz w:val="22"/>
                <w:szCs w:val="22"/>
              </w:rPr>
              <w:t>4.6</w:t>
            </w:r>
          </w:p>
        </w:tc>
      </w:tr>
      <w:tr w:rsidR="003B315D" w:rsidRPr="00246AF6" w14:paraId="33DA3B9D"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36E3647C"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lastRenderedPageBreak/>
              <w:t xml:space="preserve">Shannon Foynes Port Company </w:t>
            </w:r>
          </w:p>
        </w:tc>
        <w:tc>
          <w:tcPr>
            <w:tcW w:w="1053" w:type="dxa"/>
            <w:tcBorders>
              <w:top w:val="nil"/>
              <w:left w:val="nil"/>
              <w:bottom w:val="single" w:sz="4" w:space="0" w:color="auto"/>
              <w:right w:val="single" w:sz="4" w:space="0" w:color="auto"/>
            </w:tcBorders>
            <w:noWrap/>
          </w:tcPr>
          <w:p w14:paraId="4C92BFD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60</w:t>
            </w:r>
          </w:p>
        </w:tc>
        <w:tc>
          <w:tcPr>
            <w:tcW w:w="986" w:type="dxa"/>
            <w:gridSpan w:val="2"/>
            <w:tcBorders>
              <w:top w:val="nil"/>
              <w:left w:val="nil"/>
              <w:bottom w:val="single" w:sz="4" w:space="0" w:color="auto"/>
              <w:right w:val="single" w:sz="4" w:space="0" w:color="auto"/>
            </w:tcBorders>
            <w:noWrap/>
          </w:tcPr>
          <w:p w14:paraId="34D6E56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61</w:t>
            </w:r>
          </w:p>
        </w:tc>
        <w:tc>
          <w:tcPr>
            <w:tcW w:w="1053" w:type="dxa"/>
            <w:tcBorders>
              <w:top w:val="nil"/>
              <w:left w:val="nil"/>
              <w:bottom w:val="single" w:sz="4" w:space="0" w:color="auto"/>
              <w:right w:val="single" w:sz="4" w:space="0" w:color="auto"/>
            </w:tcBorders>
            <w:noWrap/>
          </w:tcPr>
          <w:p w14:paraId="332BD778"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w:t>
            </w:r>
          </w:p>
        </w:tc>
        <w:tc>
          <w:tcPr>
            <w:tcW w:w="1118" w:type="dxa"/>
            <w:gridSpan w:val="2"/>
            <w:tcBorders>
              <w:top w:val="nil"/>
              <w:left w:val="nil"/>
              <w:bottom w:val="single" w:sz="4" w:space="0" w:color="auto"/>
              <w:right w:val="single" w:sz="4" w:space="0" w:color="auto"/>
            </w:tcBorders>
            <w:noWrap/>
          </w:tcPr>
          <w:p w14:paraId="33F5E6C5"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w:t>
            </w:r>
          </w:p>
        </w:tc>
        <w:tc>
          <w:tcPr>
            <w:tcW w:w="1034" w:type="dxa"/>
            <w:tcBorders>
              <w:top w:val="nil"/>
              <w:left w:val="nil"/>
              <w:bottom w:val="single" w:sz="4" w:space="0" w:color="auto"/>
              <w:right w:val="single" w:sz="4" w:space="0" w:color="auto"/>
            </w:tcBorders>
            <w:noWrap/>
          </w:tcPr>
          <w:p w14:paraId="7BA2D4AD"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3.3</w:t>
            </w:r>
          </w:p>
        </w:tc>
        <w:tc>
          <w:tcPr>
            <w:tcW w:w="1176" w:type="dxa"/>
            <w:gridSpan w:val="2"/>
            <w:tcBorders>
              <w:top w:val="nil"/>
              <w:left w:val="nil"/>
              <w:bottom w:val="single" w:sz="4" w:space="0" w:color="auto"/>
              <w:right w:val="single" w:sz="4" w:space="0" w:color="auto"/>
            </w:tcBorders>
            <w:noWrap/>
          </w:tcPr>
          <w:p w14:paraId="30C5EB22"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3.3</w:t>
            </w:r>
          </w:p>
        </w:tc>
      </w:tr>
      <w:tr w:rsidR="003B315D" w:rsidRPr="00246AF6" w14:paraId="7F5FA676"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562DBBB8"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Shannon Group plc</w:t>
            </w:r>
          </w:p>
        </w:tc>
        <w:tc>
          <w:tcPr>
            <w:tcW w:w="1053" w:type="dxa"/>
            <w:tcBorders>
              <w:top w:val="nil"/>
              <w:left w:val="nil"/>
              <w:bottom w:val="single" w:sz="4" w:space="0" w:color="auto"/>
              <w:right w:val="single" w:sz="4" w:space="0" w:color="auto"/>
            </w:tcBorders>
            <w:noWrap/>
          </w:tcPr>
          <w:p w14:paraId="338758D6"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460</w:t>
            </w:r>
          </w:p>
        </w:tc>
        <w:tc>
          <w:tcPr>
            <w:tcW w:w="986" w:type="dxa"/>
            <w:gridSpan w:val="2"/>
            <w:tcBorders>
              <w:top w:val="nil"/>
              <w:left w:val="nil"/>
              <w:bottom w:val="single" w:sz="4" w:space="0" w:color="auto"/>
              <w:right w:val="single" w:sz="4" w:space="0" w:color="auto"/>
            </w:tcBorders>
            <w:noWrap/>
          </w:tcPr>
          <w:p w14:paraId="6A67DF28"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450</w:t>
            </w:r>
          </w:p>
        </w:tc>
        <w:tc>
          <w:tcPr>
            <w:tcW w:w="1053" w:type="dxa"/>
            <w:tcBorders>
              <w:top w:val="nil"/>
              <w:left w:val="nil"/>
              <w:bottom w:val="single" w:sz="4" w:space="0" w:color="auto"/>
              <w:right w:val="single" w:sz="4" w:space="0" w:color="auto"/>
            </w:tcBorders>
            <w:noWrap/>
          </w:tcPr>
          <w:p w14:paraId="2DE9046F"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16</w:t>
            </w:r>
          </w:p>
        </w:tc>
        <w:tc>
          <w:tcPr>
            <w:tcW w:w="1118" w:type="dxa"/>
            <w:gridSpan w:val="2"/>
            <w:tcBorders>
              <w:top w:val="nil"/>
              <w:left w:val="nil"/>
              <w:bottom w:val="single" w:sz="4" w:space="0" w:color="auto"/>
              <w:right w:val="single" w:sz="4" w:space="0" w:color="auto"/>
            </w:tcBorders>
            <w:noWrap/>
          </w:tcPr>
          <w:p w14:paraId="5F5BD650"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16</w:t>
            </w:r>
          </w:p>
        </w:tc>
        <w:tc>
          <w:tcPr>
            <w:tcW w:w="1034" w:type="dxa"/>
            <w:tcBorders>
              <w:top w:val="nil"/>
              <w:left w:val="nil"/>
              <w:bottom w:val="single" w:sz="4" w:space="0" w:color="auto"/>
              <w:right w:val="single" w:sz="4" w:space="0" w:color="auto"/>
            </w:tcBorders>
            <w:noWrap/>
          </w:tcPr>
          <w:p w14:paraId="6139998C"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3.5</w:t>
            </w:r>
          </w:p>
        </w:tc>
        <w:tc>
          <w:tcPr>
            <w:tcW w:w="1176" w:type="dxa"/>
            <w:gridSpan w:val="2"/>
            <w:tcBorders>
              <w:top w:val="nil"/>
              <w:left w:val="nil"/>
              <w:bottom w:val="single" w:sz="4" w:space="0" w:color="auto"/>
              <w:right w:val="single" w:sz="4" w:space="0" w:color="auto"/>
            </w:tcBorders>
            <w:noWrap/>
          </w:tcPr>
          <w:p w14:paraId="79C46B92"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3.6</w:t>
            </w:r>
          </w:p>
        </w:tc>
      </w:tr>
      <w:tr w:rsidR="003B315D" w:rsidRPr="00246AF6" w14:paraId="44E29D0F"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138208C3"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Sport Ireland</w:t>
            </w:r>
          </w:p>
        </w:tc>
        <w:tc>
          <w:tcPr>
            <w:tcW w:w="1053" w:type="dxa"/>
            <w:tcBorders>
              <w:top w:val="nil"/>
              <w:left w:val="nil"/>
              <w:bottom w:val="single" w:sz="4" w:space="0" w:color="auto"/>
              <w:right w:val="single" w:sz="4" w:space="0" w:color="auto"/>
            </w:tcBorders>
            <w:noWrap/>
          </w:tcPr>
          <w:p w14:paraId="7E96D91C"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38</w:t>
            </w:r>
          </w:p>
        </w:tc>
        <w:tc>
          <w:tcPr>
            <w:tcW w:w="986" w:type="dxa"/>
            <w:gridSpan w:val="2"/>
            <w:tcBorders>
              <w:top w:val="nil"/>
              <w:left w:val="nil"/>
              <w:bottom w:val="single" w:sz="4" w:space="0" w:color="auto"/>
              <w:right w:val="single" w:sz="4" w:space="0" w:color="auto"/>
            </w:tcBorders>
            <w:noWrap/>
          </w:tcPr>
          <w:p w14:paraId="7C13F0D1"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40</w:t>
            </w:r>
          </w:p>
        </w:tc>
        <w:tc>
          <w:tcPr>
            <w:tcW w:w="1053" w:type="dxa"/>
            <w:tcBorders>
              <w:top w:val="nil"/>
              <w:left w:val="nil"/>
              <w:bottom w:val="single" w:sz="4" w:space="0" w:color="auto"/>
              <w:right w:val="single" w:sz="4" w:space="0" w:color="auto"/>
            </w:tcBorders>
            <w:noWrap/>
          </w:tcPr>
          <w:p w14:paraId="240A86A0"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w:t>
            </w:r>
          </w:p>
        </w:tc>
        <w:tc>
          <w:tcPr>
            <w:tcW w:w="1118" w:type="dxa"/>
            <w:gridSpan w:val="2"/>
            <w:tcBorders>
              <w:top w:val="nil"/>
              <w:left w:val="nil"/>
              <w:bottom w:val="single" w:sz="4" w:space="0" w:color="auto"/>
              <w:right w:val="single" w:sz="4" w:space="0" w:color="auto"/>
            </w:tcBorders>
            <w:noWrap/>
          </w:tcPr>
          <w:p w14:paraId="42DB75F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w:t>
            </w:r>
          </w:p>
        </w:tc>
        <w:tc>
          <w:tcPr>
            <w:tcW w:w="1034" w:type="dxa"/>
            <w:tcBorders>
              <w:top w:val="nil"/>
              <w:left w:val="nil"/>
              <w:bottom w:val="single" w:sz="4" w:space="0" w:color="auto"/>
              <w:right w:val="single" w:sz="4" w:space="0" w:color="auto"/>
            </w:tcBorders>
            <w:noWrap/>
          </w:tcPr>
          <w:p w14:paraId="7849C717"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7.9</w:t>
            </w:r>
          </w:p>
        </w:tc>
        <w:tc>
          <w:tcPr>
            <w:tcW w:w="1176" w:type="dxa"/>
            <w:gridSpan w:val="2"/>
            <w:tcBorders>
              <w:top w:val="nil"/>
              <w:left w:val="nil"/>
              <w:bottom w:val="single" w:sz="4" w:space="0" w:color="auto"/>
              <w:right w:val="single" w:sz="4" w:space="0" w:color="auto"/>
            </w:tcBorders>
            <w:noWrap/>
          </w:tcPr>
          <w:p w14:paraId="4167C44D"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5.0</w:t>
            </w:r>
          </w:p>
        </w:tc>
      </w:tr>
      <w:tr w:rsidR="003B315D" w:rsidRPr="00246AF6" w14:paraId="14A6E44A"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44B00F2E"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Tourism Ireland</w:t>
            </w:r>
          </w:p>
        </w:tc>
        <w:tc>
          <w:tcPr>
            <w:tcW w:w="1053" w:type="dxa"/>
            <w:tcBorders>
              <w:top w:val="nil"/>
              <w:left w:val="nil"/>
              <w:bottom w:val="single" w:sz="4" w:space="0" w:color="auto"/>
              <w:right w:val="single" w:sz="4" w:space="0" w:color="auto"/>
            </w:tcBorders>
            <w:noWrap/>
          </w:tcPr>
          <w:p w14:paraId="31434389"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44</w:t>
            </w:r>
          </w:p>
        </w:tc>
        <w:tc>
          <w:tcPr>
            <w:tcW w:w="986" w:type="dxa"/>
            <w:gridSpan w:val="2"/>
            <w:tcBorders>
              <w:top w:val="nil"/>
              <w:left w:val="nil"/>
              <w:bottom w:val="single" w:sz="4" w:space="0" w:color="auto"/>
              <w:right w:val="single" w:sz="4" w:space="0" w:color="auto"/>
            </w:tcBorders>
            <w:noWrap/>
          </w:tcPr>
          <w:p w14:paraId="7C82A0D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44</w:t>
            </w:r>
          </w:p>
        </w:tc>
        <w:tc>
          <w:tcPr>
            <w:tcW w:w="1053" w:type="dxa"/>
            <w:tcBorders>
              <w:top w:val="nil"/>
              <w:left w:val="nil"/>
              <w:bottom w:val="single" w:sz="4" w:space="0" w:color="auto"/>
              <w:right w:val="single" w:sz="4" w:space="0" w:color="auto"/>
            </w:tcBorders>
            <w:noWrap/>
          </w:tcPr>
          <w:p w14:paraId="3A61D357"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w:t>
            </w:r>
          </w:p>
        </w:tc>
        <w:tc>
          <w:tcPr>
            <w:tcW w:w="1118" w:type="dxa"/>
            <w:gridSpan w:val="2"/>
            <w:tcBorders>
              <w:top w:val="nil"/>
              <w:left w:val="nil"/>
              <w:bottom w:val="single" w:sz="4" w:space="0" w:color="auto"/>
              <w:right w:val="single" w:sz="4" w:space="0" w:color="auto"/>
            </w:tcBorders>
            <w:noWrap/>
          </w:tcPr>
          <w:p w14:paraId="55F58C18"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w:t>
            </w:r>
          </w:p>
        </w:tc>
        <w:tc>
          <w:tcPr>
            <w:tcW w:w="1034" w:type="dxa"/>
            <w:tcBorders>
              <w:top w:val="nil"/>
              <w:left w:val="nil"/>
              <w:bottom w:val="single" w:sz="4" w:space="0" w:color="auto"/>
              <w:right w:val="single" w:sz="4" w:space="0" w:color="auto"/>
            </w:tcBorders>
            <w:noWrap/>
          </w:tcPr>
          <w:p w14:paraId="480C463E"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4.5</w:t>
            </w:r>
          </w:p>
        </w:tc>
        <w:tc>
          <w:tcPr>
            <w:tcW w:w="1176" w:type="dxa"/>
            <w:gridSpan w:val="2"/>
            <w:tcBorders>
              <w:top w:val="nil"/>
              <w:left w:val="nil"/>
              <w:bottom w:val="single" w:sz="4" w:space="0" w:color="auto"/>
              <w:right w:val="single" w:sz="4" w:space="0" w:color="auto"/>
            </w:tcBorders>
            <w:noWrap/>
          </w:tcPr>
          <w:p w14:paraId="19EF83FB" w14:textId="5E878E3E" w:rsidR="003B315D" w:rsidRPr="00246AF6" w:rsidRDefault="003B315D" w:rsidP="007D7821">
            <w:pPr>
              <w:jc w:val="right"/>
              <w:rPr>
                <w:rFonts w:ascii="Gill Sans MT" w:hAnsi="Gill Sans MT" w:cs="Arial"/>
                <w:sz w:val="22"/>
                <w:szCs w:val="22"/>
                <w:lang w:eastAsia="en-IE"/>
              </w:rPr>
            </w:pPr>
            <w:r w:rsidRPr="00246AF6">
              <w:rPr>
                <w:rFonts w:ascii="Gill Sans MT" w:hAnsi="Gill Sans MT" w:cs="Arial"/>
                <w:sz w:val="22"/>
                <w:szCs w:val="22"/>
              </w:rPr>
              <w:t>4.</w:t>
            </w:r>
            <w:r w:rsidR="000B16E1">
              <w:rPr>
                <w:rFonts w:ascii="Gill Sans MT" w:hAnsi="Gill Sans MT" w:cs="Arial"/>
                <w:sz w:val="22"/>
                <w:szCs w:val="22"/>
              </w:rPr>
              <w:t>5</w:t>
            </w:r>
          </w:p>
        </w:tc>
      </w:tr>
      <w:tr w:rsidR="003B315D" w:rsidRPr="00246AF6" w14:paraId="76E5A8CE"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6190B5E2"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Transport Infrastructure Ireland</w:t>
            </w:r>
          </w:p>
        </w:tc>
        <w:tc>
          <w:tcPr>
            <w:tcW w:w="1053" w:type="dxa"/>
            <w:tcBorders>
              <w:top w:val="nil"/>
              <w:left w:val="nil"/>
              <w:bottom w:val="single" w:sz="4" w:space="0" w:color="auto"/>
              <w:right w:val="single" w:sz="4" w:space="0" w:color="auto"/>
            </w:tcBorders>
            <w:noWrap/>
          </w:tcPr>
          <w:p w14:paraId="079E987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257</w:t>
            </w:r>
          </w:p>
        </w:tc>
        <w:tc>
          <w:tcPr>
            <w:tcW w:w="986" w:type="dxa"/>
            <w:gridSpan w:val="2"/>
            <w:tcBorders>
              <w:top w:val="nil"/>
              <w:left w:val="nil"/>
              <w:bottom w:val="single" w:sz="4" w:space="0" w:color="auto"/>
              <w:right w:val="single" w:sz="4" w:space="0" w:color="auto"/>
            </w:tcBorders>
            <w:noWrap/>
          </w:tcPr>
          <w:p w14:paraId="6A4CB0C6"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254</w:t>
            </w:r>
          </w:p>
        </w:tc>
        <w:tc>
          <w:tcPr>
            <w:tcW w:w="1053" w:type="dxa"/>
            <w:tcBorders>
              <w:top w:val="nil"/>
              <w:left w:val="nil"/>
              <w:bottom w:val="single" w:sz="4" w:space="0" w:color="auto"/>
              <w:right w:val="single" w:sz="4" w:space="0" w:color="auto"/>
            </w:tcBorders>
            <w:noWrap/>
          </w:tcPr>
          <w:p w14:paraId="1B269311"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11</w:t>
            </w:r>
          </w:p>
        </w:tc>
        <w:tc>
          <w:tcPr>
            <w:tcW w:w="1118" w:type="dxa"/>
            <w:gridSpan w:val="2"/>
            <w:tcBorders>
              <w:top w:val="nil"/>
              <w:left w:val="nil"/>
              <w:bottom w:val="single" w:sz="4" w:space="0" w:color="auto"/>
              <w:right w:val="single" w:sz="4" w:space="0" w:color="auto"/>
            </w:tcBorders>
            <w:noWrap/>
          </w:tcPr>
          <w:p w14:paraId="31E4C5AC"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11</w:t>
            </w:r>
          </w:p>
        </w:tc>
        <w:tc>
          <w:tcPr>
            <w:tcW w:w="1034" w:type="dxa"/>
            <w:tcBorders>
              <w:top w:val="nil"/>
              <w:left w:val="nil"/>
              <w:bottom w:val="single" w:sz="4" w:space="0" w:color="auto"/>
              <w:right w:val="single" w:sz="4" w:space="0" w:color="auto"/>
            </w:tcBorders>
            <w:noWrap/>
          </w:tcPr>
          <w:p w14:paraId="308030CD"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4.3</w:t>
            </w:r>
          </w:p>
        </w:tc>
        <w:tc>
          <w:tcPr>
            <w:tcW w:w="1176" w:type="dxa"/>
            <w:gridSpan w:val="2"/>
            <w:tcBorders>
              <w:top w:val="nil"/>
              <w:left w:val="nil"/>
              <w:bottom w:val="single" w:sz="4" w:space="0" w:color="auto"/>
              <w:right w:val="single" w:sz="4" w:space="0" w:color="auto"/>
            </w:tcBorders>
            <w:noWrap/>
          </w:tcPr>
          <w:p w14:paraId="40DCEFBB"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4.3</w:t>
            </w:r>
          </w:p>
        </w:tc>
      </w:tr>
      <w:tr w:rsidR="003B315D" w:rsidRPr="00246AF6" w14:paraId="76FE9FFD" w14:textId="77777777" w:rsidTr="00B961C4">
        <w:tc>
          <w:tcPr>
            <w:tcW w:w="2506" w:type="dxa"/>
          </w:tcPr>
          <w:p w14:paraId="6389D8CD" w14:textId="77777777" w:rsidR="003B315D" w:rsidRPr="00246AF6" w:rsidRDefault="003B315D" w:rsidP="006D697C">
            <w:pPr>
              <w:ind w:firstLineChars="10" w:firstLine="22"/>
              <w:rPr>
                <w:rFonts w:ascii="Gill Sans MT" w:hAnsi="Gill Sans MT"/>
                <w:b/>
                <w:sz w:val="22"/>
                <w:szCs w:val="22"/>
              </w:rPr>
            </w:pPr>
            <w:r w:rsidRPr="00246AF6">
              <w:rPr>
                <w:rFonts w:ascii="Gill Sans MT" w:hAnsi="Gill Sans MT"/>
                <w:b/>
                <w:sz w:val="22"/>
                <w:szCs w:val="22"/>
              </w:rPr>
              <w:t>Grand Total</w:t>
            </w:r>
          </w:p>
        </w:tc>
        <w:tc>
          <w:tcPr>
            <w:tcW w:w="1053" w:type="dxa"/>
            <w:tcBorders>
              <w:top w:val="single" w:sz="4" w:space="0" w:color="auto"/>
              <w:left w:val="single" w:sz="4" w:space="0" w:color="auto"/>
              <w:bottom w:val="single" w:sz="4" w:space="0" w:color="auto"/>
              <w:right w:val="single" w:sz="4" w:space="0" w:color="auto"/>
            </w:tcBorders>
            <w:vAlign w:val="bottom"/>
          </w:tcPr>
          <w:p w14:paraId="3A4F14F4" w14:textId="77777777" w:rsidR="003B315D" w:rsidRPr="00246AF6" w:rsidRDefault="003B315D" w:rsidP="006D697C">
            <w:pPr>
              <w:jc w:val="right"/>
              <w:rPr>
                <w:rFonts w:ascii="Gill Sans MT" w:hAnsi="Gill Sans MT"/>
                <w:b/>
                <w:bCs/>
                <w:color w:val="000000"/>
                <w:sz w:val="22"/>
                <w:szCs w:val="22"/>
                <w:lang w:eastAsia="en-IE"/>
              </w:rPr>
            </w:pPr>
            <w:r w:rsidRPr="00246AF6">
              <w:rPr>
                <w:rFonts w:ascii="Gill Sans MT" w:hAnsi="Gill Sans MT" w:cs="Arial"/>
                <w:b/>
                <w:bCs/>
                <w:color w:val="000000"/>
                <w:sz w:val="22"/>
                <w:szCs w:val="22"/>
              </w:rPr>
              <w:t>15,819</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06E39E60" w14:textId="77777777" w:rsidR="003B315D" w:rsidRPr="00246AF6" w:rsidRDefault="003B315D" w:rsidP="006D697C">
            <w:pPr>
              <w:jc w:val="right"/>
              <w:rPr>
                <w:rFonts w:ascii="Gill Sans MT" w:hAnsi="Gill Sans MT"/>
                <w:b/>
                <w:bCs/>
                <w:color w:val="000000"/>
                <w:sz w:val="22"/>
                <w:szCs w:val="22"/>
              </w:rPr>
            </w:pPr>
            <w:r w:rsidRPr="00246AF6">
              <w:rPr>
                <w:rFonts w:ascii="Gill Sans MT" w:hAnsi="Gill Sans MT" w:cs="Arial"/>
                <w:b/>
                <w:bCs/>
                <w:color w:val="000000"/>
                <w:sz w:val="22"/>
                <w:szCs w:val="22"/>
              </w:rPr>
              <w:t>16,409</w:t>
            </w:r>
          </w:p>
        </w:tc>
        <w:tc>
          <w:tcPr>
            <w:tcW w:w="1053" w:type="dxa"/>
            <w:tcBorders>
              <w:top w:val="single" w:sz="4" w:space="0" w:color="auto"/>
              <w:left w:val="single" w:sz="4" w:space="0" w:color="auto"/>
              <w:bottom w:val="single" w:sz="4" w:space="0" w:color="auto"/>
              <w:right w:val="single" w:sz="4" w:space="0" w:color="auto"/>
            </w:tcBorders>
            <w:vAlign w:val="bottom"/>
          </w:tcPr>
          <w:p w14:paraId="653F7229" w14:textId="77777777" w:rsidR="003B315D" w:rsidRPr="00246AF6" w:rsidRDefault="003B315D" w:rsidP="006D697C">
            <w:pPr>
              <w:jc w:val="right"/>
              <w:rPr>
                <w:rFonts w:ascii="Gill Sans MT" w:hAnsi="Gill Sans MT"/>
                <w:b/>
                <w:bCs/>
                <w:color w:val="000000"/>
                <w:sz w:val="22"/>
                <w:szCs w:val="22"/>
              </w:rPr>
            </w:pPr>
            <w:r w:rsidRPr="00246AF6">
              <w:rPr>
                <w:rFonts w:ascii="Gill Sans MT" w:hAnsi="Gill Sans MT" w:cs="Arial"/>
                <w:b/>
                <w:bCs/>
                <w:color w:val="000000"/>
                <w:sz w:val="22"/>
                <w:szCs w:val="22"/>
              </w:rPr>
              <w:t>692</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4E0B6BF4" w14:textId="77777777" w:rsidR="003B315D" w:rsidRPr="00246AF6" w:rsidRDefault="003B315D" w:rsidP="006D697C">
            <w:pPr>
              <w:jc w:val="right"/>
              <w:rPr>
                <w:rFonts w:ascii="Gill Sans MT" w:hAnsi="Gill Sans MT"/>
                <w:b/>
                <w:bCs/>
                <w:color w:val="000000"/>
                <w:sz w:val="22"/>
                <w:szCs w:val="22"/>
              </w:rPr>
            </w:pPr>
            <w:r w:rsidRPr="00246AF6">
              <w:rPr>
                <w:rFonts w:ascii="Gill Sans MT" w:hAnsi="Gill Sans MT" w:cs="Arial"/>
                <w:b/>
                <w:bCs/>
                <w:color w:val="000000"/>
                <w:sz w:val="22"/>
                <w:szCs w:val="22"/>
              </w:rPr>
              <w:t>709</w:t>
            </w:r>
          </w:p>
        </w:tc>
        <w:tc>
          <w:tcPr>
            <w:tcW w:w="1034" w:type="dxa"/>
            <w:tcBorders>
              <w:top w:val="single" w:sz="4" w:space="0" w:color="auto"/>
              <w:left w:val="nil"/>
              <w:bottom w:val="single" w:sz="4" w:space="0" w:color="auto"/>
              <w:right w:val="single" w:sz="4" w:space="0" w:color="auto"/>
            </w:tcBorders>
            <w:vAlign w:val="bottom"/>
          </w:tcPr>
          <w:p w14:paraId="27396069" w14:textId="77777777" w:rsidR="003B315D" w:rsidRPr="00246AF6" w:rsidRDefault="003B315D" w:rsidP="006D697C">
            <w:pPr>
              <w:jc w:val="right"/>
              <w:rPr>
                <w:rFonts w:ascii="Gill Sans MT" w:hAnsi="Gill Sans MT"/>
                <w:b/>
                <w:color w:val="000000"/>
                <w:sz w:val="22"/>
                <w:szCs w:val="22"/>
              </w:rPr>
            </w:pPr>
            <w:r w:rsidRPr="00246AF6">
              <w:rPr>
                <w:rFonts w:ascii="Gill Sans MT" w:hAnsi="Gill Sans MT" w:cs="Arial"/>
                <w:b/>
                <w:bCs/>
                <w:sz w:val="22"/>
                <w:szCs w:val="22"/>
              </w:rPr>
              <w:t>4.4</w:t>
            </w:r>
          </w:p>
        </w:tc>
        <w:tc>
          <w:tcPr>
            <w:tcW w:w="1176" w:type="dxa"/>
            <w:gridSpan w:val="2"/>
            <w:tcBorders>
              <w:top w:val="single" w:sz="4" w:space="0" w:color="auto"/>
              <w:left w:val="nil"/>
              <w:bottom w:val="single" w:sz="4" w:space="0" w:color="auto"/>
              <w:right w:val="single" w:sz="4" w:space="0" w:color="auto"/>
            </w:tcBorders>
            <w:vAlign w:val="bottom"/>
          </w:tcPr>
          <w:p w14:paraId="5F345DC8" w14:textId="77777777" w:rsidR="003B315D" w:rsidRPr="00246AF6" w:rsidRDefault="003B315D" w:rsidP="006D697C">
            <w:pPr>
              <w:jc w:val="right"/>
              <w:rPr>
                <w:rFonts w:ascii="Gill Sans MT" w:hAnsi="Gill Sans MT"/>
                <w:b/>
                <w:color w:val="000000"/>
                <w:sz w:val="22"/>
                <w:szCs w:val="22"/>
              </w:rPr>
            </w:pPr>
            <w:r w:rsidRPr="00246AF6">
              <w:rPr>
                <w:rFonts w:ascii="Gill Sans MT" w:hAnsi="Gill Sans MT" w:cs="Arial"/>
                <w:b/>
                <w:bCs/>
                <w:sz w:val="22"/>
                <w:szCs w:val="22"/>
              </w:rPr>
              <w:t>4.3</w:t>
            </w:r>
          </w:p>
        </w:tc>
      </w:tr>
    </w:tbl>
    <w:p w14:paraId="214CA10D" w14:textId="2669BF6F" w:rsidR="003B315D" w:rsidRPr="00CC4F07" w:rsidRDefault="003B315D" w:rsidP="003B315D">
      <w:pPr>
        <w:rPr>
          <w:rFonts w:ascii="Gill Sans MT" w:hAnsi="Gill Sans MT"/>
          <w:sz w:val="22"/>
          <w:szCs w:val="22"/>
        </w:rPr>
      </w:pPr>
    </w:p>
    <w:p w14:paraId="41E1DCFE" w14:textId="77777777" w:rsidR="003B315D" w:rsidRPr="00CC4F07" w:rsidRDefault="003B315D">
      <w:pPr>
        <w:spacing w:after="0"/>
        <w:rPr>
          <w:rFonts w:ascii="Gill Sans MT" w:hAnsi="Gill Sans MT"/>
          <w:sz w:val="22"/>
          <w:szCs w:val="22"/>
        </w:rPr>
      </w:pPr>
      <w:r w:rsidRPr="00CC4F07">
        <w:rPr>
          <w:rFonts w:ascii="Gill Sans MT" w:hAnsi="Gill Sans MT"/>
          <w:sz w:val="22"/>
          <w:szCs w:val="22"/>
        </w:rPr>
        <w:br w:type="page"/>
      </w:r>
    </w:p>
    <w:p w14:paraId="56993BE0" w14:textId="1133D7DD" w:rsidR="00933FBD" w:rsidRPr="00605447" w:rsidRDefault="00933FBD" w:rsidP="00605447">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color w:val="CC3399"/>
          <w:sz w:val="56"/>
          <w:szCs w:val="56"/>
        </w:rPr>
      </w:pPr>
      <w:bookmarkStart w:id="60" w:name="_Toc498585847"/>
      <w:bookmarkStart w:id="61" w:name="_Toc18680262"/>
      <w:r w:rsidRPr="00605447">
        <w:rPr>
          <w:rFonts w:ascii="Rockwell" w:hAnsi="Rockwell"/>
          <w:color w:val="CC3399"/>
          <w:sz w:val="56"/>
          <w:szCs w:val="56"/>
        </w:rPr>
        <w:lastRenderedPageBreak/>
        <w:t>Appendix C – Employee’s census response rates 201</w:t>
      </w:r>
      <w:bookmarkEnd w:id="60"/>
      <w:r w:rsidR="003B315D" w:rsidRPr="00605447">
        <w:rPr>
          <w:rFonts w:ascii="Rockwell" w:hAnsi="Rockwell"/>
          <w:color w:val="CC3399"/>
          <w:sz w:val="56"/>
          <w:szCs w:val="56"/>
        </w:rPr>
        <w:t>8</w:t>
      </w:r>
      <w:bookmarkEnd w:id="61"/>
    </w:p>
    <w:p w14:paraId="0CECE100" w14:textId="28CDE317" w:rsidR="006D4CF7" w:rsidRPr="00CC4F07" w:rsidRDefault="006D4CF7" w:rsidP="00933FBD">
      <w:pPr>
        <w:rPr>
          <w:rFonts w:ascii="Gill Sans MT" w:hAnsi="Gill Sans MT"/>
          <w:b/>
          <w:sz w:val="22"/>
          <w:szCs w:val="22"/>
        </w:rPr>
      </w:pPr>
      <w:r w:rsidRPr="00CC4F07">
        <w:rPr>
          <w:rFonts w:ascii="Gill Sans MT" w:hAnsi="Gill Sans MT"/>
          <w:b/>
          <w:sz w:val="22"/>
          <w:szCs w:val="22"/>
        </w:rPr>
        <w:t xml:space="preserve">Some public bodies carry out a staff census every year while other public bodies do not. The table here lists the public </w:t>
      </w:r>
      <w:r w:rsidR="007779F3" w:rsidRPr="00CC4F07">
        <w:rPr>
          <w:rFonts w:ascii="Gill Sans MT" w:hAnsi="Gill Sans MT"/>
          <w:b/>
          <w:sz w:val="22"/>
          <w:szCs w:val="22"/>
        </w:rPr>
        <w:t>bodies that</w:t>
      </w:r>
      <w:r w:rsidRPr="00CC4F07">
        <w:rPr>
          <w:rFonts w:ascii="Gill Sans MT" w:hAnsi="Gill Sans MT"/>
          <w:b/>
          <w:sz w:val="22"/>
          <w:szCs w:val="22"/>
        </w:rPr>
        <w:t xml:space="preserve"> carried out a staff census in 2018 and the percentage of employees in each of these public bodies that responded to the </w:t>
      </w:r>
      <w:r w:rsidR="00CC4F07">
        <w:rPr>
          <w:rFonts w:ascii="Gill Sans MT" w:hAnsi="Gill Sans MT"/>
          <w:b/>
          <w:sz w:val="22"/>
          <w:szCs w:val="22"/>
        </w:rPr>
        <w:t xml:space="preserve">staff </w:t>
      </w:r>
      <w:r w:rsidRPr="00CC4F07">
        <w:rPr>
          <w:rFonts w:ascii="Gill Sans MT" w:hAnsi="Gill Sans MT"/>
          <w:b/>
          <w:sz w:val="22"/>
          <w:szCs w:val="22"/>
        </w:rPr>
        <w:t>census</w:t>
      </w:r>
      <w:r w:rsidR="004865F3">
        <w:rPr>
          <w:rFonts w:ascii="Gill Sans MT" w:hAnsi="Gill Sans MT"/>
          <w:b/>
          <w:sz w:val="22"/>
          <w:szCs w:val="22"/>
        </w:rPr>
        <w:t>.</w:t>
      </w:r>
      <w:r w:rsidRPr="00CC4F07">
        <w:rPr>
          <w:rFonts w:ascii="Gill Sans MT" w:hAnsi="Gill Sans MT"/>
          <w:b/>
          <w:sz w:val="22"/>
          <w:szCs w:val="22"/>
        </w:rPr>
        <w:t xml:space="preserve">  </w:t>
      </w:r>
    </w:p>
    <w:tbl>
      <w:tblPr>
        <w:tblStyle w:val="TableGrid"/>
        <w:tblW w:w="10456" w:type="dxa"/>
        <w:tblInd w:w="-871" w:type="dxa"/>
        <w:tblLook w:val="04A0" w:firstRow="1" w:lastRow="0" w:firstColumn="1" w:lastColumn="0" w:noHBand="0" w:noVBand="1"/>
        <w:tblCaption w:val="Appendix C - Employees census response rates 2017"/>
        <w:tblDescription w:val="Appendix C - Employees census response rates 2017"/>
      </w:tblPr>
      <w:tblGrid>
        <w:gridCol w:w="5228"/>
        <w:gridCol w:w="5228"/>
      </w:tblGrid>
      <w:tr w:rsidR="003B315D" w:rsidRPr="00605447" w14:paraId="12DD8876" w14:textId="77777777" w:rsidTr="00B961C4">
        <w:trPr>
          <w:trHeight w:val="300"/>
          <w:tblHeader/>
        </w:trPr>
        <w:tc>
          <w:tcPr>
            <w:tcW w:w="5228" w:type="dxa"/>
            <w:noWrap/>
            <w:hideMark/>
          </w:tcPr>
          <w:p w14:paraId="0E3FC44E" w14:textId="77777777" w:rsidR="003B315D" w:rsidRPr="00605447" w:rsidRDefault="003B315D" w:rsidP="006D697C">
            <w:pPr>
              <w:rPr>
                <w:rFonts w:ascii="Gill Sans MT" w:hAnsi="Gill Sans MT" w:cs="Arial"/>
                <w:b/>
                <w:color w:val="000000" w:themeColor="text1"/>
                <w:sz w:val="22"/>
                <w:szCs w:val="22"/>
                <w:lang w:eastAsia="en-IE"/>
              </w:rPr>
            </w:pPr>
            <w:r w:rsidRPr="00605447">
              <w:rPr>
                <w:rFonts w:ascii="Gill Sans MT" w:hAnsi="Gill Sans MT" w:cs="Arial"/>
                <w:b/>
                <w:color w:val="000000" w:themeColor="text1"/>
                <w:sz w:val="22"/>
                <w:szCs w:val="22"/>
                <w:lang w:eastAsia="en-IE"/>
              </w:rPr>
              <w:t>Public Body</w:t>
            </w:r>
          </w:p>
        </w:tc>
        <w:tc>
          <w:tcPr>
            <w:tcW w:w="5228" w:type="dxa"/>
            <w:noWrap/>
            <w:hideMark/>
          </w:tcPr>
          <w:p w14:paraId="3F5AA0F4" w14:textId="77777777" w:rsidR="003B315D" w:rsidRPr="00605447" w:rsidRDefault="003B315D" w:rsidP="006D697C">
            <w:pPr>
              <w:rPr>
                <w:rFonts w:ascii="Gill Sans MT" w:hAnsi="Gill Sans MT" w:cs="Arial"/>
                <w:b/>
                <w:color w:val="000000" w:themeColor="text1"/>
                <w:sz w:val="22"/>
                <w:szCs w:val="22"/>
                <w:lang w:eastAsia="en-IE"/>
              </w:rPr>
            </w:pPr>
            <w:r w:rsidRPr="00605447">
              <w:rPr>
                <w:rFonts w:ascii="Gill Sans MT" w:hAnsi="Gill Sans MT" w:cs="Arial"/>
                <w:b/>
                <w:color w:val="000000" w:themeColor="text1"/>
                <w:sz w:val="22"/>
                <w:szCs w:val="22"/>
                <w:lang w:eastAsia="en-IE"/>
              </w:rPr>
              <w:t>% response</w:t>
            </w:r>
          </w:p>
        </w:tc>
      </w:tr>
      <w:tr w:rsidR="003B315D" w:rsidRPr="00605447" w14:paraId="57059287" w14:textId="77777777" w:rsidTr="00B961C4">
        <w:trPr>
          <w:trHeight w:val="255"/>
        </w:trPr>
        <w:tc>
          <w:tcPr>
            <w:tcW w:w="5228" w:type="dxa"/>
            <w:noWrap/>
            <w:vAlign w:val="bottom"/>
          </w:tcPr>
          <w:p w14:paraId="57C8C5D9"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Adoption Authority of Ireland</w:t>
            </w:r>
          </w:p>
        </w:tc>
        <w:tc>
          <w:tcPr>
            <w:tcW w:w="5228" w:type="dxa"/>
            <w:noWrap/>
            <w:vAlign w:val="bottom"/>
          </w:tcPr>
          <w:p w14:paraId="4C5AEB66"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46.4%</w:t>
            </w:r>
          </w:p>
        </w:tc>
      </w:tr>
      <w:tr w:rsidR="003B315D" w:rsidRPr="00605447" w14:paraId="7EB03A15" w14:textId="77777777" w:rsidTr="00B961C4">
        <w:trPr>
          <w:trHeight w:val="255"/>
        </w:trPr>
        <w:tc>
          <w:tcPr>
            <w:tcW w:w="5228" w:type="dxa"/>
            <w:noWrap/>
            <w:vAlign w:val="bottom"/>
          </w:tcPr>
          <w:p w14:paraId="0BD3232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An Bord Pleanála</w:t>
            </w:r>
          </w:p>
        </w:tc>
        <w:tc>
          <w:tcPr>
            <w:tcW w:w="5228" w:type="dxa"/>
            <w:noWrap/>
            <w:vAlign w:val="bottom"/>
          </w:tcPr>
          <w:p w14:paraId="3DF86E67"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52.0%</w:t>
            </w:r>
          </w:p>
        </w:tc>
      </w:tr>
      <w:tr w:rsidR="003B315D" w:rsidRPr="00605447" w14:paraId="58E149C5" w14:textId="77777777" w:rsidTr="00B961C4">
        <w:trPr>
          <w:trHeight w:val="255"/>
        </w:trPr>
        <w:tc>
          <w:tcPr>
            <w:tcW w:w="5228" w:type="dxa"/>
            <w:noWrap/>
            <w:vAlign w:val="bottom"/>
          </w:tcPr>
          <w:p w14:paraId="49B14192"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Bord Bia</w:t>
            </w:r>
          </w:p>
        </w:tc>
        <w:tc>
          <w:tcPr>
            <w:tcW w:w="5228" w:type="dxa"/>
            <w:noWrap/>
            <w:vAlign w:val="bottom"/>
          </w:tcPr>
          <w:p w14:paraId="302D6751"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62.2%</w:t>
            </w:r>
          </w:p>
        </w:tc>
      </w:tr>
      <w:tr w:rsidR="003B315D" w:rsidRPr="00605447" w14:paraId="0DC1E268" w14:textId="77777777" w:rsidTr="00B961C4">
        <w:trPr>
          <w:trHeight w:val="255"/>
        </w:trPr>
        <w:tc>
          <w:tcPr>
            <w:tcW w:w="5228" w:type="dxa"/>
            <w:noWrap/>
            <w:vAlign w:val="bottom"/>
          </w:tcPr>
          <w:p w14:paraId="55D7DF02"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 xml:space="preserve">Bord </w:t>
            </w:r>
            <w:proofErr w:type="spellStart"/>
            <w:r w:rsidRPr="00605447">
              <w:rPr>
                <w:rFonts w:ascii="Gill Sans MT" w:hAnsi="Gill Sans MT" w:cs="Arial"/>
                <w:sz w:val="22"/>
                <w:szCs w:val="22"/>
              </w:rPr>
              <w:t>na</w:t>
            </w:r>
            <w:proofErr w:type="spellEnd"/>
            <w:r w:rsidRPr="00605447">
              <w:rPr>
                <w:rFonts w:ascii="Gill Sans MT" w:hAnsi="Gill Sans MT" w:cs="Arial"/>
                <w:sz w:val="22"/>
                <w:szCs w:val="22"/>
              </w:rPr>
              <w:t xml:space="preserve"> </w:t>
            </w:r>
            <w:proofErr w:type="spellStart"/>
            <w:r w:rsidRPr="00605447">
              <w:rPr>
                <w:rFonts w:ascii="Gill Sans MT" w:hAnsi="Gill Sans MT" w:cs="Arial"/>
                <w:sz w:val="22"/>
                <w:szCs w:val="22"/>
              </w:rPr>
              <w:t>gCon</w:t>
            </w:r>
            <w:proofErr w:type="spellEnd"/>
          </w:p>
        </w:tc>
        <w:tc>
          <w:tcPr>
            <w:tcW w:w="5228" w:type="dxa"/>
            <w:noWrap/>
            <w:vAlign w:val="bottom"/>
          </w:tcPr>
          <w:p w14:paraId="559344C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21.9%</w:t>
            </w:r>
          </w:p>
        </w:tc>
      </w:tr>
      <w:tr w:rsidR="003B315D" w:rsidRPr="00605447" w14:paraId="2BE3F806" w14:textId="77777777" w:rsidTr="00B961C4">
        <w:trPr>
          <w:trHeight w:val="255"/>
        </w:trPr>
        <w:tc>
          <w:tcPr>
            <w:tcW w:w="5228" w:type="dxa"/>
            <w:noWrap/>
            <w:vAlign w:val="bottom"/>
          </w:tcPr>
          <w:p w14:paraId="6217630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Broadcasting Authority of Ireland</w:t>
            </w:r>
          </w:p>
        </w:tc>
        <w:tc>
          <w:tcPr>
            <w:tcW w:w="5228" w:type="dxa"/>
            <w:noWrap/>
            <w:vAlign w:val="bottom"/>
          </w:tcPr>
          <w:p w14:paraId="363F0D0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73.3%</w:t>
            </w:r>
          </w:p>
        </w:tc>
      </w:tr>
      <w:tr w:rsidR="003B315D" w:rsidRPr="00605447" w14:paraId="39908863" w14:textId="77777777" w:rsidTr="00B961C4">
        <w:trPr>
          <w:trHeight w:val="255"/>
        </w:trPr>
        <w:tc>
          <w:tcPr>
            <w:tcW w:w="5228" w:type="dxa"/>
            <w:noWrap/>
            <w:vAlign w:val="bottom"/>
          </w:tcPr>
          <w:p w14:paraId="63AECB47"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Bus Éireann</w:t>
            </w:r>
          </w:p>
        </w:tc>
        <w:tc>
          <w:tcPr>
            <w:tcW w:w="5228" w:type="dxa"/>
            <w:noWrap/>
            <w:vAlign w:val="bottom"/>
          </w:tcPr>
          <w:p w14:paraId="43B95F79"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7.9%</w:t>
            </w:r>
          </w:p>
        </w:tc>
      </w:tr>
      <w:tr w:rsidR="003B315D" w:rsidRPr="00605447" w14:paraId="115B2F9E" w14:textId="77777777" w:rsidTr="00B961C4">
        <w:trPr>
          <w:trHeight w:val="255"/>
        </w:trPr>
        <w:tc>
          <w:tcPr>
            <w:tcW w:w="5228" w:type="dxa"/>
            <w:noWrap/>
            <w:vAlign w:val="bottom"/>
          </w:tcPr>
          <w:p w14:paraId="78CD1939"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Carlow County Council</w:t>
            </w:r>
          </w:p>
        </w:tc>
        <w:tc>
          <w:tcPr>
            <w:tcW w:w="5228" w:type="dxa"/>
            <w:noWrap/>
            <w:vAlign w:val="bottom"/>
          </w:tcPr>
          <w:p w14:paraId="6F4DA90C"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60.0%</w:t>
            </w:r>
          </w:p>
        </w:tc>
      </w:tr>
      <w:tr w:rsidR="003B315D" w:rsidRPr="00605447" w14:paraId="1DE3F809" w14:textId="77777777" w:rsidTr="00B961C4">
        <w:trPr>
          <w:trHeight w:val="255"/>
        </w:trPr>
        <w:tc>
          <w:tcPr>
            <w:tcW w:w="5228" w:type="dxa"/>
            <w:noWrap/>
            <w:vAlign w:val="bottom"/>
          </w:tcPr>
          <w:p w14:paraId="723E766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Chief State Solicitor's Office</w:t>
            </w:r>
          </w:p>
        </w:tc>
        <w:tc>
          <w:tcPr>
            <w:tcW w:w="5228" w:type="dxa"/>
            <w:noWrap/>
            <w:vAlign w:val="bottom"/>
          </w:tcPr>
          <w:p w14:paraId="6151E5A6"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49.8%</w:t>
            </w:r>
          </w:p>
        </w:tc>
      </w:tr>
      <w:tr w:rsidR="003B315D" w:rsidRPr="00605447" w14:paraId="3E1A9E33" w14:textId="77777777" w:rsidTr="00B961C4">
        <w:trPr>
          <w:trHeight w:val="255"/>
        </w:trPr>
        <w:tc>
          <w:tcPr>
            <w:tcW w:w="5228" w:type="dxa"/>
            <w:noWrap/>
            <w:vAlign w:val="bottom"/>
          </w:tcPr>
          <w:p w14:paraId="4DAF25DE"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Child and Family Agency (TUSLA)</w:t>
            </w:r>
          </w:p>
        </w:tc>
        <w:tc>
          <w:tcPr>
            <w:tcW w:w="5228" w:type="dxa"/>
            <w:noWrap/>
            <w:vAlign w:val="bottom"/>
          </w:tcPr>
          <w:p w14:paraId="534CA31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18.0%</w:t>
            </w:r>
          </w:p>
        </w:tc>
      </w:tr>
      <w:tr w:rsidR="003B315D" w:rsidRPr="00605447" w14:paraId="1E4D296E" w14:textId="77777777" w:rsidTr="00B961C4">
        <w:trPr>
          <w:trHeight w:val="255"/>
        </w:trPr>
        <w:tc>
          <w:tcPr>
            <w:tcW w:w="5228" w:type="dxa"/>
            <w:noWrap/>
            <w:vAlign w:val="bottom"/>
          </w:tcPr>
          <w:p w14:paraId="1E33DE60"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Clare County Council</w:t>
            </w:r>
          </w:p>
        </w:tc>
        <w:tc>
          <w:tcPr>
            <w:tcW w:w="5228" w:type="dxa"/>
            <w:noWrap/>
            <w:vAlign w:val="bottom"/>
          </w:tcPr>
          <w:p w14:paraId="46E6C62B"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58.0%</w:t>
            </w:r>
          </w:p>
        </w:tc>
      </w:tr>
      <w:tr w:rsidR="003B315D" w:rsidRPr="00605447" w14:paraId="650A7F83" w14:textId="77777777" w:rsidTr="00B961C4">
        <w:trPr>
          <w:trHeight w:val="255"/>
        </w:trPr>
        <w:tc>
          <w:tcPr>
            <w:tcW w:w="5228" w:type="dxa"/>
            <w:noWrap/>
            <w:vAlign w:val="bottom"/>
          </w:tcPr>
          <w:p w14:paraId="113B113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Coillte</w:t>
            </w:r>
          </w:p>
        </w:tc>
        <w:tc>
          <w:tcPr>
            <w:tcW w:w="5228" w:type="dxa"/>
            <w:noWrap/>
            <w:vAlign w:val="bottom"/>
          </w:tcPr>
          <w:p w14:paraId="221043EC"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51.6%</w:t>
            </w:r>
          </w:p>
        </w:tc>
      </w:tr>
      <w:tr w:rsidR="003B315D" w:rsidRPr="00605447" w14:paraId="5F02E3B7" w14:textId="77777777" w:rsidTr="00B961C4">
        <w:trPr>
          <w:trHeight w:val="255"/>
        </w:trPr>
        <w:tc>
          <w:tcPr>
            <w:tcW w:w="5228" w:type="dxa"/>
            <w:noWrap/>
            <w:vAlign w:val="bottom"/>
          </w:tcPr>
          <w:p w14:paraId="5ECAA911"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Commission for Railway Regulation</w:t>
            </w:r>
          </w:p>
        </w:tc>
        <w:tc>
          <w:tcPr>
            <w:tcW w:w="5228" w:type="dxa"/>
            <w:noWrap/>
            <w:vAlign w:val="bottom"/>
          </w:tcPr>
          <w:p w14:paraId="1FC4E145"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30C6858E" w14:textId="77777777" w:rsidTr="00B961C4">
        <w:trPr>
          <w:trHeight w:val="255"/>
        </w:trPr>
        <w:tc>
          <w:tcPr>
            <w:tcW w:w="5228" w:type="dxa"/>
            <w:noWrap/>
            <w:vAlign w:val="bottom"/>
          </w:tcPr>
          <w:p w14:paraId="0CE6C08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Commission for Regulation of Utilities (CRU)</w:t>
            </w:r>
          </w:p>
        </w:tc>
        <w:tc>
          <w:tcPr>
            <w:tcW w:w="5228" w:type="dxa"/>
            <w:noWrap/>
            <w:vAlign w:val="bottom"/>
          </w:tcPr>
          <w:p w14:paraId="0B755EE7" w14:textId="10F86AD2" w:rsidR="003B315D" w:rsidRPr="00605447" w:rsidRDefault="003B315D" w:rsidP="007D7821">
            <w:pPr>
              <w:jc w:val="right"/>
              <w:rPr>
                <w:rFonts w:ascii="Gill Sans MT" w:hAnsi="Gill Sans MT" w:cs="Arial"/>
                <w:sz w:val="22"/>
                <w:szCs w:val="22"/>
                <w:lang w:eastAsia="en-IE"/>
              </w:rPr>
            </w:pPr>
            <w:r w:rsidRPr="00605447">
              <w:rPr>
                <w:rFonts w:ascii="Gill Sans MT" w:hAnsi="Gill Sans MT" w:cs="Arial"/>
                <w:sz w:val="22"/>
                <w:szCs w:val="22"/>
              </w:rPr>
              <w:t>65.</w:t>
            </w:r>
            <w:r w:rsidR="007D7821" w:rsidRPr="00605447">
              <w:rPr>
                <w:rFonts w:ascii="Gill Sans MT" w:hAnsi="Gill Sans MT" w:cs="Arial"/>
                <w:sz w:val="22"/>
                <w:szCs w:val="22"/>
              </w:rPr>
              <w:t>4</w:t>
            </w:r>
            <w:r w:rsidRPr="00605447">
              <w:rPr>
                <w:rFonts w:ascii="Gill Sans MT" w:hAnsi="Gill Sans MT" w:cs="Arial"/>
                <w:sz w:val="22"/>
                <w:szCs w:val="22"/>
              </w:rPr>
              <w:t>%</w:t>
            </w:r>
          </w:p>
        </w:tc>
      </w:tr>
      <w:tr w:rsidR="003B315D" w:rsidRPr="00605447" w14:paraId="6AEAAEE5" w14:textId="77777777" w:rsidTr="00B961C4">
        <w:trPr>
          <w:trHeight w:val="255"/>
        </w:trPr>
        <w:tc>
          <w:tcPr>
            <w:tcW w:w="5228" w:type="dxa"/>
            <w:noWrap/>
            <w:vAlign w:val="bottom"/>
          </w:tcPr>
          <w:p w14:paraId="4AFE76EC"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 xml:space="preserve">Cork County Council </w:t>
            </w:r>
          </w:p>
        </w:tc>
        <w:tc>
          <w:tcPr>
            <w:tcW w:w="5228" w:type="dxa"/>
            <w:noWrap/>
            <w:vAlign w:val="bottom"/>
          </w:tcPr>
          <w:p w14:paraId="1F25098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41.9%</w:t>
            </w:r>
          </w:p>
        </w:tc>
      </w:tr>
      <w:tr w:rsidR="003B315D" w:rsidRPr="00605447" w14:paraId="12019E4E" w14:textId="77777777" w:rsidTr="00B961C4">
        <w:trPr>
          <w:trHeight w:val="255"/>
        </w:trPr>
        <w:tc>
          <w:tcPr>
            <w:tcW w:w="5228" w:type="dxa"/>
            <w:noWrap/>
            <w:vAlign w:val="bottom"/>
          </w:tcPr>
          <w:p w14:paraId="48446BE5" w14:textId="77777777" w:rsidR="003B315D" w:rsidRPr="00605447" w:rsidRDefault="003B315D" w:rsidP="006D697C">
            <w:pPr>
              <w:rPr>
                <w:rFonts w:ascii="Gill Sans MT" w:hAnsi="Gill Sans MT" w:cs="Arial"/>
                <w:sz w:val="22"/>
                <w:szCs w:val="22"/>
                <w:lang w:eastAsia="en-IE"/>
              </w:rPr>
            </w:pPr>
            <w:proofErr w:type="spellStart"/>
            <w:r w:rsidRPr="00605447">
              <w:rPr>
                <w:rFonts w:ascii="Gill Sans MT" w:hAnsi="Gill Sans MT" w:cs="Arial"/>
                <w:sz w:val="22"/>
                <w:szCs w:val="22"/>
              </w:rPr>
              <w:t>daa</w:t>
            </w:r>
            <w:proofErr w:type="spellEnd"/>
            <w:r w:rsidRPr="00605447">
              <w:rPr>
                <w:rFonts w:ascii="Gill Sans MT" w:hAnsi="Gill Sans MT" w:cs="Arial"/>
                <w:sz w:val="22"/>
                <w:szCs w:val="22"/>
              </w:rPr>
              <w:t xml:space="preserve"> plc</w:t>
            </w:r>
          </w:p>
        </w:tc>
        <w:tc>
          <w:tcPr>
            <w:tcW w:w="5228" w:type="dxa"/>
            <w:noWrap/>
            <w:vAlign w:val="bottom"/>
          </w:tcPr>
          <w:p w14:paraId="03EC0ED4"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57.3%</w:t>
            </w:r>
          </w:p>
        </w:tc>
      </w:tr>
      <w:tr w:rsidR="003B315D" w:rsidRPr="00605447" w14:paraId="79478ED7" w14:textId="77777777" w:rsidTr="00B961C4">
        <w:trPr>
          <w:trHeight w:val="255"/>
        </w:trPr>
        <w:tc>
          <w:tcPr>
            <w:tcW w:w="5228" w:type="dxa"/>
            <w:noWrap/>
            <w:vAlign w:val="bottom"/>
          </w:tcPr>
          <w:p w14:paraId="6322CE2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Data Protection Commissioner</w:t>
            </w:r>
          </w:p>
        </w:tc>
        <w:tc>
          <w:tcPr>
            <w:tcW w:w="5228" w:type="dxa"/>
            <w:noWrap/>
            <w:vAlign w:val="bottom"/>
          </w:tcPr>
          <w:p w14:paraId="494BBABC"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40.5%</w:t>
            </w:r>
          </w:p>
        </w:tc>
      </w:tr>
      <w:tr w:rsidR="003B315D" w:rsidRPr="00605447" w14:paraId="135672E3" w14:textId="77777777" w:rsidTr="00B961C4">
        <w:trPr>
          <w:trHeight w:val="255"/>
        </w:trPr>
        <w:tc>
          <w:tcPr>
            <w:tcW w:w="5228" w:type="dxa"/>
            <w:noWrap/>
            <w:vAlign w:val="bottom"/>
          </w:tcPr>
          <w:p w14:paraId="493FD86C"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Department of Culture, Heritage &amp; the Gaeltacht</w:t>
            </w:r>
          </w:p>
        </w:tc>
        <w:tc>
          <w:tcPr>
            <w:tcW w:w="5228" w:type="dxa"/>
            <w:noWrap/>
            <w:vAlign w:val="bottom"/>
          </w:tcPr>
          <w:p w14:paraId="315E8D10"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22.1%</w:t>
            </w:r>
          </w:p>
        </w:tc>
      </w:tr>
      <w:tr w:rsidR="003B315D" w:rsidRPr="00605447" w14:paraId="0CD0EF41" w14:textId="77777777" w:rsidTr="00B961C4">
        <w:trPr>
          <w:trHeight w:val="255"/>
        </w:trPr>
        <w:tc>
          <w:tcPr>
            <w:tcW w:w="5228" w:type="dxa"/>
            <w:noWrap/>
            <w:vAlign w:val="bottom"/>
          </w:tcPr>
          <w:p w14:paraId="76821A4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lastRenderedPageBreak/>
              <w:t>Department of Defence - Civilian Employees</w:t>
            </w:r>
          </w:p>
        </w:tc>
        <w:tc>
          <w:tcPr>
            <w:tcW w:w="5228" w:type="dxa"/>
            <w:noWrap/>
            <w:vAlign w:val="bottom"/>
          </w:tcPr>
          <w:p w14:paraId="7837B969"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68.9%</w:t>
            </w:r>
          </w:p>
        </w:tc>
      </w:tr>
      <w:tr w:rsidR="003B315D" w:rsidRPr="00605447" w14:paraId="7D181E8C" w14:textId="77777777" w:rsidTr="00B961C4">
        <w:trPr>
          <w:trHeight w:val="255"/>
        </w:trPr>
        <w:tc>
          <w:tcPr>
            <w:tcW w:w="5228" w:type="dxa"/>
            <w:noWrap/>
            <w:vAlign w:val="bottom"/>
          </w:tcPr>
          <w:p w14:paraId="467738B3"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Department of Finance</w:t>
            </w:r>
          </w:p>
        </w:tc>
        <w:tc>
          <w:tcPr>
            <w:tcW w:w="5228" w:type="dxa"/>
            <w:noWrap/>
            <w:vAlign w:val="bottom"/>
          </w:tcPr>
          <w:p w14:paraId="66C70BAF"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4.1%</w:t>
            </w:r>
          </w:p>
        </w:tc>
      </w:tr>
      <w:tr w:rsidR="003B315D" w:rsidRPr="00605447" w14:paraId="51B12885" w14:textId="77777777" w:rsidTr="00B961C4">
        <w:trPr>
          <w:trHeight w:val="255"/>
        </w:trPr>
        <w:tc>
          <w:tcPr>
            <w:tcW w:w="5228" w:type="dxa"/>
            <w:noWrap/>
            <w:vAlign w:val="bottom"/>
          </w:tcPr>
          <w:p w14:paraId="2158E93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Department of Health</w:t>
            </w:r>
          </w:p>
        </w:tc>
        <w:tc>
          <w:tcPr>
            <w:tcW w:w="5228" w:type="dxa"/>
            <w:noWrap/>
            <w:vAlign w:val="bottom"/>
          </w:tcPr>
          <w:p w14:paraId="6AF8466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80.3%</w:t>
            </w:r>
          </w:p>
        </w:tc>
      </w:tr>
      <w:tr w:rsidR="003B315D" w:rsidRPr="00605447" w14:paraId="3AE36167" w14:textId="77777777" w:rsidTr="00B961C4">
        <w:trPr>
          <w:trHeight w:val="255"/>
        </w:trPr>
        <w:tc>
          <w:tcPr>
            <w:tcW w:w="5228" w:type="dxa"/>
            <w:noWrap/>
            <w:vAlign w:val="bottom"/>
          </w:tcPr>
          <w:p w14:paraId="146C472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Department of Justice &amp; Equality</w:t>
            </w:r>
          </w:p>
        </w:tc>
        <w:tc>
          <w:tcPr>
            <w:tcW w:w="5228" w:type="dxa"/>
            <w:noWrap/>
            <w:vAlign w:val="bottom"/>
          </w:tcPr>
          <w:p w14:paraId="18F2EFB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60.6%</w:t>
            </w:r>
          </w:p>
        </w:tc>
      </w:tr>
      <w:tr w:rsidR="003B315D" w:rsidRPr="00605447" w14:paraId="03C02D44" w14:textId="77777777" w:rsidTr="00B961C4">
        <w:trPr>
          <w:trHeight w:val="255"/>
        </w:trPr>
        <w:tc>
          <w:tcPr>
            <w:tcW w:w="5228" w:type="dxa"/>
            <w:noWrap/>
            <w:vAlign w:val="bottom"/>
          </w:tcPr>
          <w:p w14:paraId="401C740D"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Department of Public Expenditure &amp; Reform</w:t>
            </w:r>
          </w:p>
        </w:tc>
        <w:tc>
          <w:tcPr>
            <w:tcW w:w="5228" w:type="dxa"/>
            <w:noWrap/>
            <w:vAlign w:val="bottom"/>
          </w:tcPr>
          <w:p w14:paraId="1E9CE314"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19.9%</w:t>
            </w:r>
          </w:p>
        </w:tc>
      </w:tr>
      <w:tr w:rsidR="003B315D" w:rsidRPr="00605447" w14:paraId="742735D7" w14:textId="77777777" w:rsidTr="00B961C4">
        <w:trPr>
          <w:trHeight w:val="255"/>
        </w:trPr>
        <w:tc>
          <w:tcPr>
            <w:tcW w:w="5228" w:type="dxa"/>
            <w:noWrap/>
            <w:vAlign w:val="bottom"/>
          </w:tcPr>
          <w:p w14:paraId="7E95499D"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 xml:space="preserve">Department of </w:t>
            </w:r>
            <w:proofErr w:type="gramStart"/>
            <w:r w:rsidRPr="00605447">
              <w:rPr>
                <w:rFonts w:ascii="Gill Sans MT" w:hAnsi="Gill Sans MT" w:cs="Arial"/>
                <w:sz w:val="22"/>
                <w:szCs w:val="22"/>
              </w:rPr>
              <w:t>Rural  Community</w:t>
            </w:r>
            <w:proofErr w:type="gramEnd"/>
            <w:r w:rsidRPr="00605447">
              <w:rPr>
                <w:rFonts w:ascii="Gill Sans MT" w:hAnsi="Gill Sans MT" w:cs="Arial"/>
                <w:sz w:val="22"/>
                <w:szCs w:val="22"/>
              </w:rPr>
              <w:t xml:space="preserve"> Development</w:t>
            </w:r>
          </w:p>
        </w:tc>
        <w:tc>
          <w:tcPr>
            <w:tcW w:w="5228" w:type="dxa"/>
            <w:noWrap/>
            <w:vAlign w:val="bottom"/>
          </w:tcPr>
          <w:p w14:paraId="403609E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60.7%</w:t>
            </w:r>
          </w:p>
        </w:tc>
      </w:tr>
      <w:tr w:rsidR="003B315D" w:rsidRPr="00605447" w14:paraId="5C0C82CD" w14:textId="77777777" w:rsidTr="00B961C4">
        <w:trPr>
          <w:trHeight w:val="255"/>
        </w:trPr>
        <w:tc>
          <w:tcPr>
            <w:tcW w:w="5228" w:type="dxa"/>
            <w:noWrap/>
            <w:vAlign w:val="bottom"/>
          </w:tcPr>
          <w:p w14:paraId="1F495F29"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Dublin City Council</w:t>
            </w:r>
          </w:p>
        </w:tc>
        <w:tc>
          <w:tcPr>
            <w:tcW w:w="5228" w:type="dxa"/>
            <w:noWrap/>
            <w:vAlign w:val="bottom"/>
          </w:tcPr>
          <w:p w14:paraId="5CD46AA7"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38.3%</w:t>
            </w:r>
          </w:p>
        </w:tc>
      </w:tr>
      <w:tr w:rsidR="003B315D" w:rsidRPr="00605447" w14:paraId="2601BF89" w14:textId="77777777" w:rsidTr="00B961C4">
        <w:trPr>
          <w:trHeight w:val="255"/>
        </w:trPr>
        <w:tc>
          <w:tcPr>
            <w:tcW w:w="5228" w:type="dxa"/>
            <w:noWrap/>
            <w:vAlign w:val="bottom"/>
          </w:tcPr>
          <w:p w14:paraId="6702CF2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Dublin Port Company</w:t>
            </w:r>
          </w:p>
        </w:tc>
        <w:tc>
          <w:tcPr>
            <w:tcW w:w="5228" w:type="dxa"/>
            <w:noWrap/>
            <w:vAlign w:val="bottom"/>
          </w:tcPr>
          <w:p w14:paraId="71D225D1"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45.5%</w:t>
            </w:r>
          </w:p>
        </w:tc>
      </w:tr>
      <w:tr w:rsidR="003B315D" w:rsidRPr="00605447" w14:paraId="24D23368" w14:textId="77777777" w:rsidTr="00B961C4">
        <w:trPr>
          <w:trHeight w:val="255"/>
        </w:trPr>
        <w:tc>
          <w:tcPr>
            <w:tcW w:w="5228" w:type="dxa"/>
            <w:noWrap/>
            <w:vAlign w:val="bottom"/>
          </w:tcPr>
          <w:p w14:paraId="2C1DA0F2"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Dún Laoghaire Institute of Art, Design &amp; Technology</w:t>
            </w:r>
          </w:p>
        </w:tc>
        <w:tc>
          <w:tcPr>
            <w:tcW w:w="5228" w:type="dxa"/>
            <w:noWrap/>
            <w:vAlign w:val="bottom"/>
          </w:tcPr>
          <w:p w14:paraId="07B423E8"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29.6%</w:t>
            </w:r>
          </w:p>
        </w:tc>
      </w:tr>
      <w:tr w:rsidR="003B315D" w:rsidRPr="00605447" w14:paraId="313121F6" w14:textId="77777777" w:rsidTr="00B961C4">
        <w:trPr>
          <w:trHeight w:val="255"/>
        </w:trPr>
        <w:tc>
          <w:tcPr>
            <w:tcW w:w="5228" w:type="dxa"/>
            <w:noWrap/>
            <w:vAlign w:val="bottom"/>
          </w:tcPr>
          <w:p w14:paraId="2F0AD222"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Eastern &amp; Midland Regional Assembly</w:t>
            </w:r>
          </w:p>
        </w:tc>
        <w:tc>
          <w:tcPr>
            <w:tcW w:w="5228" w:type="dxa"/>
            <w:noWrap/>
            <w:vAlign w:val="bottom"/>
          </w:tcPr>
          <w:p w14:paraId="4D2C226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76.5%</w:t>
            </w:r>
          </w:p>
        </w:tc>
      </w:tr>
      <w:tr w:rsidR="003B315D" w:rsidRPr="00605447" w14:paraId="3C27C2C5" w14:textId="77777777" w:rsidTr="00B961C4">
        <w:trPr>
          <w:trHeight w:val="255"/>
        </w:trPr>
        <w:tc>
          <w:tcPr>
            <w:tcW w:w="5228" w:type="dxa"/>
            <w:noWrap/>
            <w:vAlign w:val="bottom"/>
          </w:tcPr>
          <w:p w14:paraId="44F0B1F5"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Environmental Protection Agency</w:t>
            </w:r>
          </w:p>
        </w:tc>
        <w:tc>
          <w:tcPr>
            <w:tcW w:w="5228" w:type="dxa"/>
            <w:noWrap/>
            <w:vAlign w:val="bottom"/>
          </w:tcPr>
          <w:p w14:paraId="60E7EAC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0.7%</w:t>
            </w:r>
          </w:p>
        </w:tc>
      </w:tr>
      <w:tr w:rsidR="003B315D" w:rsidRPr="00605447" w14:paraId="6993DEE0" w14:textId="77777777" w:rsidTr="00B961C4">
        <w:trPr>
          <w:trHeight w:val="255"/>
        </w:trPr>
        <w:tc>
          <w:tcPr>
            <w:tcW w:w="5228" w:type="dxa"/>
            <w:noWrap/>
            <w:vAlign w:val="bottom"/>
          </w:tcPr>
          <w:p w14:paraId="5C67C28D"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Fáilte Ireland</w:t>
            </w:r>
          </w:p>
        </w:tc>
        <w:tc>
          <w:tcPr>
            <w:tcW w:w="5228" w:type="dxa"/>
            <w:noWrap/>
            <w:vAlign w:val="bottom"/>
          </w:tcPr>
          <w:p w14:paraId="139F83E7"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51.3%</w:t>
            </w:r>
          </w:p>
        </w:tc>
      </w:tr>
      <w:tr w:rsidR="003B315D" w:rsidRPr="00605447" w14:paraId="1802E3D3" w14:textId="77777777" w:rsidTr="00B961C4">
        <w:trPr>
          <w:trHeight w:val="255"/>
        </w:trPr>
        <w:tc>
          <w:tcPr>
            <w:tcW w:w="5228" w:type="dxa"/>
            <w:noWrap/>
            <w:vAlign w:val="bottom"/>
          </w:tcPr>
          <w:p w14:paraId="68DA2CC9" w14:textId="77777777" w:rsidR="003B315D" w:rsidRPr="00605447" w:rsidRDefault="003B315D" w:rsidP="006D697C">
            <w:pPr>
              <w:rPr>
                <w:rFonts w:ascii="Gill Sans MT" w:hAnsi="Gill Sans MT" w:cs="Arial"/>
                <w:sz w:val="22"/>
                <w:szCs w:val="22"/>
                <w:lang w:eastAsia="en-IE"/>
              </w:rPr>
            </w:pPr>
            <w:proofErr w:type="spellStart"/>
            <w:r w:rsidRPr="00605447">
              <w:rPr>
                <w:rFonts w:ascii="Gill Sans MT" w:hAnsi="Gill Sans MT" w:cs="Arial"/>
                <w:sz w:val="22"/>
                <w:szCs w:val="22"/>
              </w:rPr>
              <w:t>Forás</w:t>
            </w:r>
            <w:proofErr w:type="spellEnd"/>
            <w:r w:rsidRPr="00605447">
              <w:rPr>
                <w:rFonts w:ascii="Gill Sans MT" w:hAnsi="Gill Sans MT" w:cs="Arial"/>
                <w:sz w:val="22"/>
                <w:szCs w:val="22"/>
              </w:rPr>
              <w:t xml:space="preserve"> Na </w:t>
            </w:r>
            <w:proofErr w:type="spellStart"/>
            <w:r w:rsidRPr="00605447">
              <w:rPr>
                <w:rFonts w:ascii="Gill Sans MT" w:hAnsi="Gill Sans MT" w:cs="Arial"/>
                <w:sz w:val="22"/>
                <w:szCs w:val="22"/>
              </w:rPr>
              <w:t>Gaeilge</w:t>
            </w:r>
            <w:proofErr w:type="spellEnd"/>
          </w:p>
        </w:tc>
        <w:tc>
          <w:tcPr>
            <w:tcW w:w="5228" w:type="dxa"/>
            <w:noWrap/>
            <w:vAlign w:val="bottom"/>
          </w:tcPr>
          <w:p w14:paraId="14F50D10"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75.0%</w:t>
            </w:r>
          </w:p>
        </w:tc>
      </w:tr>
      <w:tr w:rsidR="003B315D" w:rsidRPr="00605447" w14:paraId="5144767E" w14:textId="77777777" w:rsidTr="00B961C4">
        <w:trPr>
          <w:trHeight w:val="255"/>
        </w:trPr>
        <w:tc>
          <w:tcPr>
            <w:tcW w:w="5228" w:type="dxa"/>
            <w:noWrap/>
            <w:vAlign w:val="bottom"/>
          </w:tcPr>
          <w:p w14:paraId="41EAD44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Garda Inspectorate</w:t>
            </w:r>
          </w:p>
        </w:tc>
        <w:tc>
          <w:tcPr>
            <w:tcW w:w="5228" w:type="dxa"/>
            <w:noWrap/>
            <w:vAlign w:val="bottom"/>
          </w:tcPr>
          <w:p w14:paraId="68DF156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45.5%</w:t>
            </w:r>
          </w:p>
        </w:tc>
      </w:tr>
      <w:tr w:rsidR="003B315D" w:rsidRPr="00605447" w14:paraId="085F559E" w14:textId="77777777" w:rsidTr="00B961C4">
        <w:trPr>
          <w:trHeight w:val="255"/>
        </w:trPr>
        <w:tc>
          <w:tcPr>
            <w:tcW w:w="5228" w:type="dxa"/>
            <w:noWrap/>
            <w:vAlign w:val="bottom"/>
          </w:tcPr>
          <w:p w14:paraId="4A829F75"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 xml:space="preserve">Health Insurance Authority </w:t>
            </w:r>
          </w:p>
        </w:tc>
        <w:tc>
          <w:tcPr>
            <w:tcW w:w="5228" w:type="dxa"/>
            <w:noWrap/>
            <w:vAlign w:val="bottom"/>
          </w:tcPr>
          <w:p w14:paraId="102C239F"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15F1DA0F" w14:textId="77777777" w:rsidTr="00B961C4">
        <w:trPr>
          <w:trHeight w:val="255"/>
        </w:trPr>
        <w:tc>
          <w:tcPr>
            <w:tcW w:w="5228" w:type="dxa"/>
            <w:noWrap/>
            <w:vAlign w:val="bottom"/>
          </w:tcPr>
          <w:p w14:paraId="4C64537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Health Service Executive</w:t>
            </w:r>
          </w:p>
        </w:tc>
        <w:tc>
          <w:tcPr>
            <w:tcW w:w="5228" w:type="dxa"/>
            <w:noWrap/>
            <w:vAlign w:val="bottom"/>
          </w:tcPr>
          <w:p w14:paraId="3FE381A8"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22.3%</w:t>
            </w:r>
          </w:p>
        </w:tc>
      </w:tr>
      <w:tr w:rsidR="003B315D" w:rsidRPr="00605447" w14:paraId="52ACDC8B" w14:textId="77777777" w:rsidTr="00B961C4">
        <w:trPr>
          <w:trHeight w:val="255"/>
        </w:trPr>
        <w:tc>
          <w:tcPr>
            <w:tcW w:w="5228" w:type="dxa"/>
            <w:noWrap/>
            <w:vAlign w:val="bottom"/>
          </w:tcPr>
          <w:p w14:paraId="7A47249F"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Heritage Council</w:t>
            </w:r>
          </w:p>
        </w:tc>
        <w:tc>
          <w:tcPr>
            <w:tcW w:w="5228" w:type="dxa"/>
            <w:noWrap/>
            <w:vAlign w:val="bottom"/>
          </w:tcPr>
          <w:p w14:paraId="1654EA4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93.3%</w:t>
            </w:r>
          </w:p>
        </w:tc>
      </w:tr>
      <w:tr w:rsidR="003B315D" w:rsidRPr="00605447" w14:paraId="7B6CC531" w14:textId="77777777" w:rsidTr="00B961C4">
        <w:trPr>
          <w:trHeight w:val="255"/>
        </w:trPr>
        <w:tc>
          <w:tcPr>
            <w:tcW w:w="5228" w:type="dxa"/>
            <w:noWrap/>
            <w:vAlign w:val="bottom"/>
          </w:tcPr>
          <w:p w14:paraId="4C959B29"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Horse Racing Ireland</w:t>
            </w:r>
          </w:p>
        </w:tc>
        <w:tc>
          <w:tcPr>
            <w:tcW w:w="5228" w:type="dxa"/>
            <w:noWrap/>
            <w:vAlign w:val="bottom"/>
          </w:tcPr>
          <w:p w14:paraId="226E457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4.0%</w:t>
            </w:r>
          </w:p>
        </w:tc>
      </w:tr>
      <w:tr w:rsidR="003B315D" w:rsidRPr="00605447" w14:paraId="7A0EBE76" w14:textId="77777777" w:rsidTr="00B961C4">
        <w:trPr>
          <w:trHeight w:val="255"/>
        </w:trPr>
        <w:tc>
          <w:tcPr>
            <w:tcW w:w="5228" w:type="dxa"/>
            <w:noWrap/>
            <w:vAlign w:val="bottom"/>
          </w:tcPr>
          <w:p w14:paraId="16D5E183"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Houses of the Oireachtas</w:t>
            </w:r>
          </w:p>
        </w:tc>
        <w:tc>
          <w:tcPr>
            <w:tcW w:w="5228" w:type="dxa"/>
            <w:noWrap/>
            <w:vAlign w:val="bottom"/>
          </w:tcPr>
          <w:p w14:paraId="26392A0B"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6.0%</w:t>
            </w:r>
          </w:p>
        </w:tc>
      </w:tr>
      <w:tr w:rsidR="003B315D" w:rsidRPr="00605447" w14:paraId="76E0FB86" w14:textId="77777777" w:rsidTr="00B961C4">
        <w:trPr>
          <w:trHeight w:val="255"/>
        </w:trPr>
        <w:tc>
          <w:tcPr>
            <w:tcW w:w="5228" w:type="dxa"/>
            <w:noWrap/>
            <w:vAlign w:val="bottom"/>
          </w:tcPr>
          <w:p w14:paraId="22ADA63C"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Housing &amp; Sustainable Communities Agency</w:t>
            </w:r>
          </w:p>
        </w:tc>
        <w:tc>
          <w:tcPr>
            <w:tcW w:w="5228" w:type="dxa"/>
            <w:noWrap/>
            <w:vAlign w:val="bottom"/>
          </w:tcPr>
          <w:p w14:paraId="7ACF1EE4"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95.7%</w:t>
            </w:r>
          </w:p>
        </w:tc>
      </w:tr>
      <w:tr w:rsidR="003B315D" w:rsidRPr="00605447" w14:paraId="34EDC66F" w14:textId="77777777" w:rsidTr="00B961C4">
        <w:trPr>
          <w:trHeight w:val="255"/>
        </w:trPr>
        <w:tc>
          <w:tcPr>
            <w:tcW w:w="5228" w:type="dxa"/>
            <w:noWrap/>
            <w:vAlign w:val="bottom"/>
          </w:tcPr>
          <w:p w14:paraId="301E36B2"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Housing Finance Agency</w:t>
            </w:r>
          </w:p>
        </w:tc>
        <w:tc>
          <w:tcPr>
            <w:tcW w:w="5228" w:type="dxa"/>
            <w:noWrap/>
            <w:vAlign w:val="bottom"/>
          </w:tcPr>
          <w:p w14:paraId="12251D9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69299D10" w14:textId="77777777" w:rsidTr="00B961C4">
        <w:trPr>
          <w:trHeight w:val="255"/>
        </w:trPr>
        <w:tc>
          <w:tcPr>
            <w:tcW w:w="5228" w:type="dxa"/>
            <w:noWrap/>
            <w:vAlign w:val="bottom"/>
          </w:tcPr>
          <w:p w14:paraId="20E2653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IDA Ireland</w:t>
            </w:r>
          </w:p>
        </w:tc>
        <w:tc>
          <w:tcPr>
            <w:tcW w:w="5228" w:type="dxa"/>
            <w:noWrap/>
            <w:vAlign w:val="bottom"/>
          </w:tcPr>
          <w:p w14:paraId="2851E778"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36.4%</w:t>
            </w:r>
          </w:p>
        </w:tc>
      </w:tr>
      <w:tr w:rsidR="003B315D" w:rsidRPr="00605447" w14:paraId="3D1DD623" w14:textId="77777777" w:rsidTr="00B961C4">
        <w:trPr>
          <w:trHeight w:val="255"/>
        </w:trPr>
        <w:tc>
          <w:tcPr>
            <w:tcW w:w="5228" w:type="dxa"/>
            <w:noWrap/>
            <w:vAlign w:val="bottom"/>
          </w:tcPr>
          <w:p w14:paraId="7C7B7109"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lastRenderedPageBreak/>
              <w:t>Insolvency Service of Ireland</w:t>
            </w:r>
          </w:p>
        </w:tc>
        <w:tc>
          <w:tcPr>
            <w:tcW w:w="5228" w:type="dxa"/>
            <w:noWrap/>
            <w:vAlign w:val="bottom"/>
          </w:tcPr>
          <w:p w14:paraId="26AC5AA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24.7%</w:t>
            </w:r>
          </w:p>
        </w:tc>
      </w:tr>
      <w:tr w:rsidR="003B315D" w:rsidRPr="00605447" w14:paraId="5FF60A62" w14:textId="77777777" w:rsidTr="00B961C4">
        <w:trPr>
          <w:trHeight w:val="255"/>
        </w:trPr>
        <w:tc>
          <w:tcPr>
            <w:tcW w:w="5228" w:type="dxa"/>
            <w:noWrap/>
            <w:vAlign w:val="bottom"/>
          </w:tcPr>
          <w:p w14:paraId="3CACDC06"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International Protection Appeals Tribunal</w:t>
            </w:r>
          </w:p>
        </w:tc>
        <w:tc>
          <w:tcPr>
            <w:tcW w:w="5228" w:type="dxa"/>
            <w:noWrap/>
            <w:vAlign w:val="bottom"/>
          </w:tcPr>
          <w:p w14:paraId="4E81ADD1"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45.2%</w:t>
            </w:r>
          </w:p>
        </w:tc>
      </w:tr>
      <w:tr w:rsidR="003B315D" w:rsidRPr="00605447" w14:paraId="7E9BF2A2" w14:textId="77777777" w:rsidTr="00B961C4">
        <w:trPr>
          <w:trHeight w:val="255"/>
        </w:trPr>
        <w:tc>
          <w:tcPr>
            <w:tcW w:w="5228" w:type="dxa"/>
            <w:noWrap/>
            <w:vAlign w:val="bottom"/>
          </w:tcPr>
          <w:p w14:paraId="7CF93B2C"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International Protection Office</w:t>
            </w:r>
          </w:p>
        </w:tc>
        <w:tc>
          <w:tcPr>
            <w:tcW w:w="5228" w:type="dxa"/>
            <w:noWrap/>
            <w:vAlign w:val="bottom"/>
          </w:tcPr>
          <w:p w14:paraId="00600492"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53.2%</w:t>
            </w:r>
          </w:p>
        </w:tc>
      </w:tr>
      <w:tr w:rsidR="003B315D" w:rsidRPr="00605447" w14:paraId="29C8F224" w14:textId="77777777" w:rsidTr="00B961C4">
        <w:trPr>
          <w:trHeight w:val="255"/>
        </w:trPr>
        <w:tc>
          <w:tcPr>
            <w:tcW w:w="5228" w:type="dxa"/>
            <w:noWrap/>
            <w:vAlign w:val="bottom"/>
          </w:tcPr>
          <w:p w14:paraId="3FB82764"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Irish Film Classification Office</w:t>
            </w:r>
          </w:p>
        </w:tc>
        <w:tc>
          <w:tcPr>
            <w:tcW w:w="5228" w:type="dxa"/>
            <w:noWrap/>
            <w:vAlign w:val="bottom"/>
          </w:tcPr>
          <w:p w14:paraId="16CBF6D4"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57.1%</w:t>
            </w:r>
          </w:p>
        </w:tc>
      </w:tr>
      <w:tr w:rsidR="003B315D" w:rsidRPr="00605447" w14:paraId="018576E3" w14:textId="77777777" w:rsidTr="00B961C4">
        <w:trPr>
          <w:trHeight w:val="255"/>
        </w:trPr>
        <w:tc>
          <w:tcPr>
            <w:tcW w:w="5228" w:type="dxa"/>
            <w:noWrap/>
            <w:vAlign w:val="bottom"/>
          </w:tcPr>
          <w:p w14:paraId="1CFE21BA"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Irish Museum of Modern Art (IMMA)</w:t>
            </w:r>
          </w:p>
        </w:tc>
        <w:tc>
          <w:tcPr>
            <w:tcW w:w="5228" w:type="dxa"/>
            <w:noWrap/>
            <w:vAlign w:val="bottom"/>
          </w:tcPr>
          <w:p w14:paraId="5C609D75"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62.6%</w:t>
            </w:r>
          </w:p>
        </w:tc>
      </w:tr>
      <w:tr w:rsidR="003B315D" w:rsidRPr="00605447" w14:paraId="2F155F29" w14:textId="77777777" w:rsidTr="00B961C4">
        <w:trPr>
          <w:trHeight w:val="255"/>
        </w:trPr>
        <w:tc>
          <w:tcPr>
            <w:tcW w:w="5228" w:type="dxa"/>
            <w:noWrap/>
            <w:vAlign w:val="bottom"/>
          </w:tcPr>
          <w:p w14:paraId="782E8CB9"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Irish National Stud</w:t>
            </w:r>
          </w:p>
        </w:tc>
        <w:tc>
          <w:tcPr>
            <w:tcW w:w="5228" w:type="dxa"/>
            <w:noWrap/>
            <w:vAlign w:val="bottom"/>
          </w:tcPr>
          <w:p w14:paraId="2CD98022"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34.0%</w:t>
            </w:r>
          </w:p>
        </w:tc>
      </w:tr>
      <w:tr w:rsidR="003B315D" w:rsidRPr="00605447" w14:paraId="277A2B0E" w14:textId="77777777" w:rsidTr="00B961C4">
        <w:trPr>
          <w:trHeight w:val="255"/>
        </w:trPr>
        <w:tc>
          <w:tcPr>
            <w:tcW w:w="5228" w:type="dxa"/>
            <w:noWrap/>
            <w:vAlign w:val="bottom"/>
          </w:tcPr>
          <w:p w14:paraId="61F07452"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Irish Water Safety</w:t>
            </w:r>
          </w:p>
        </w:tc>
        <w:tc>
          <w:tcPr>
            <w:tcW w:w="5228" w:type="dxa"/>
            <w:noWrap/>
            <w:vAlign w:val="bottom"/>
          </w:tcPr>
          <w:p w14:paraId="60AB521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729157CC" w14:textId="77777777" w:rsidTr="00B961C4">
        <w:trPr>
          <w:trHeight w:val="255"/>
        </w:trPr>
        <w:tc>
          <w:tcPr>
            <w:tcW w:w="5228" w:type="dxa"/>
            <w:noWrap/>
            <w:vAlign w:val="bottom"/>
          </w:tcPr>
          <w:p w14:paraId="14D28FF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IT Blanchardstown</w:t>
            </w:r>
          </w:p>
        </w:tc>
        <w:tc>
          <w:tcPr>
            <w:tcW w:w="5228" w:type="dxa"/>
            <w:noWrap/>
            <w:vAlign w:val="bottom"/>
          </w:tcPr>
          <w:p w14:paraId="6CEA4621"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27.1%</w:t>
            </w:r>
          </w:p>
        </w:tc>
      </w:tr>
      <w:tr w:rsidR="003B315D" w:rsidRPr="00605447" w14:paraId="3773979C" w14:textId="77777777" w:rsidTr="00B961C4">
        <w:trPr>
          <w:trHeight w:val="255"/>
        </w:trPr>
        <w:tc>
          <w:tcPr>
            <w:tcW w:w="5228" w:type="dxa"/>
            <w:noWrap/>
            <w:vAlign w:val="bottom"/>
          </w:tcPr>
          <w:p w14:paraId="4CE2180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IT Carlow</w:t>
            </w:r>
          </w:p>
        </w:tc>
        <w:tc>
          <w:tcPr>
            <w:tcW w:w="5228" w:type="dxa"/>
            <w:noWrap/>
            <w:vAlign w:val="bottom"/>
          </w:tcPr>
          <w:p w14:paraId="18C0CC8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40.5%</w:t>
            </w:r>
          </w:p>
        </w:tc>
      </w:tr>
      <w:tr w:rsidR="003B315D" w:rsidRPr="00605447" w14:paraId="75954601" w14:textId="77777777" w:rsidTr="00B961C4">
        <w:trPr>
          <w:trHeight w:val="255"/>
        </w:trPr>
        <w:tc>
          <w:tcPr>
            <w:tcW w:w="5228" w:type="dxa"/>
            <w:noWrap/>
            <w:vAlign w:val="bottom"/>
          </w:tcPr>
          <w:p w14:paraId="688C0E77"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IT Dundalk</w:t>
            </w:r>
          </w:p>
        </w:tc>
        <w:tc>
          <w:tcPr>
            <w:tcW w:w="5228" w:type="dxa"/>
            <w:noWrap/>
            <w:vAlign w:val="bottom"/>
          </w:tcPr>
          <w:p w14:paraId="6013E06B" w14:textId="2526B423" w:rsidR="003B315D" w:rsidRPr="00605447" w:rsidRDefault="003B315D" w:rsidP="008C2800">
            <w:pPr>
              <w:jc w:val="right"/>
              <w:rPr>
                <w:rFonts w:ascii="Gill Sans MT" w:hAnsi="Gill Sans MT" w:cs="Arial"/>
                <w:sz w:val="22"/>
                <w:szCs w:val="22"/>
                <w:lang w:eastAsia="en-IE"/>
              </w:rPr>
            </w:pPr>
            <w:r w:rsidRPr="00605447">
              <w:rPr>
                <w:rFonts w:ascii="Gill Sans MT" w:hAnsi="Gill Sans MT" w:cs="Arial"/>
                <w:sz w:val="22"/>
                <w:szCs w:val="22"/>
              </w:rPr>
              <w:t>63.</w:t>
            </w:r>
            <w:r w:rsidR="008C2800" w:rsidRPr="00605447">
              <w:rPr>
                <w:rFonts w:ascii="Gill Sans MT" w:hAnsi="Gill Sans MT" w:cs="Arial"/>
                <w:sz w:val="22"/>
                <w:szCs w:val="22"/>
              </w:rPr>
              <w:t>3</w:t>
            </w:r>
            <w:r w:rsidRPr="00605447">
              <w:rPr>
                <w:rFonts w:ascii="Gill Sans MT" w:hAnsi="Gill Sans MT" w:cs="Arial"/>
                <w:sz w:val="22"/>
                <w:szCs w:val="22"/>
              </w:rPr>
              <w:t>%</w:t>
            </w:r>
          </w:p>
        </w:tc>
      </w:tr>
      <w:tr w:rsidR="003B315D" w:rsidRPr="00605447" w14:paraId="535B41E4" w14:textId="77777777" w:rsidTr="00B961C4">
        <w:trPr>
          <w:trHeight w:val="255"/>
        </w:trPr>
        <w:tc>
          <w:tcPr>
            <w:tcW w:w="5228" w:type="dxa"/>
            <w:noWrap/>
            <w:vAlign w:val="bottom"/>
          </w:tcPr>
          <w:p w14:paraId="7AAB8C1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 xml:space="preserve">IT Limerick </w:t>
            </w:r>
          </w:p>
        </w:tc>
        <w:tc>
          <w:tcPr>
            <w:tcW w:w="5228" w:type="dxa"/>
            <w:noWrap/>
            <w:vAlign w:val="bottom"/>
          </w:tcPr>
          <w:p w14:paraId="222A7F1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21.1%</w:t>
            </w:r>
          </w:p>
        </w:tc>
      </w:tr>
      <w:tr w:rsidR="003B315D" w:rsidRPr="00605447" w14:paraId="564771D4" w14:textId="77777777" w:rsidTr="00B961C4">
        <w:trPr>
          <w:trHeight w:val="255"/>
        </w:trPr>
        <w:tc>
          <w:tcPr>
            <w:tcW w:w="5228" w:type="dxa"/>
            <w:noWrap/>
            <w:vAlign w:val="bottom"/>
          </w:tcPr>
          <w:p w14:paraId="6EFBB72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Law Reform Commission</w:t>
            </w:r>
          </w:p>
        </w:tc>
        <w:tc>
          <w:tcPr>
            <w:tcW w:w="5228" w:type="dxa"/>
            <w:noWrap/>
            <w:vAlign w:val="bottom"/>
          </w:tcPr>
          <w:p w14:paraId="49AEE9A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623586AA" w14:textId="77777777" w:rsidTr="00B961C4">
        <w:trPr>
          <w:trHeight w:val="255"/>
        </w:trPr>
        <w:tc>
          <w:tcPr>
            <w:tcW w:w="5228" w:type="dxa"/>
            <w:noWrap/>
            <w:vAlign w:val="bottom"/>
          </w:tcPr>
          <w:p w14:paraId="0DE6C602" w14:textId="77777777" w:rsidR="003B315D" w:rsidRPr="00605447" w:rsidRDefault="003B315D" w:rsidP="006D697C">
            <w:pPr>
              <w:rPr>
                <w:rFonts w:ascii="Gill Sans MT" w:hAnsi="Gill Sans MT" w:cs="Arial"/>
                <w:sz w:val="22"/>
                <w:szCs w:val="22"/>
                <w:lang w:eastAsia="en-IE"/>
              </w:rPr>
            </w:pPr>
            <w:proofErr w:type="spellStart"/>
            <w:r w:rsidRPr="00605447">
              <w:rPr>
                <w:rFonts w:ascii="Gill Sans MT" w:hAnsi="Gill Sans MT" w:cs="Arial"/>
                <w:sz w:val="22"/>
                <w:szCs w:val="22"/>
              </w:rPr>
              <w:t>Leargas</w:t>
            </w:r>
            <w:proofErr w:type="spellEnd"/>
          </w:p>
        </w:tc>
        <w:tc>
          <w:tcPr>
            <w:tcW w:w="5228" w:type="dxa"/>
            <w:noWrap/>
            <w:vAlign w:val="bottom"/>
          </w:tcPr>
          <w:p w14:paraId="6946F518"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56.4%</w:t>
            </w:r>
          </w:p>
        </w:tc>
      </w:tr>
      <w:tr w:rsidR="003B315D" w:rsidRPr="00605447" w14:paraId="3F611919" w14:textId="77777777" w:rsidTr="00B961C4">
        <w:trPr>
          <w:trHeight w:val="255"/>
        </w:trPr>
        <w:tc>
          <w:tcPr>
            <w:tcW w:w="5228" w:type="dxa"/>
            <w:noWrap/>
            <w:vAlign w:val="bottom"/>
          </w:tcPr>
          <w:p w14:paraId="3A7C05A5"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Legal Aid Board</w:t>
            </w:r>
          </w:p>
        </w:tc>
        <w:tc>
          <w:tcPr>
            <w:tcW w:w="5228" w:type="dxa"/>
            <w:noWrap/>
            <w:vAlign w:val="bottom"/>
          </w:tcPr>
          <w:p w14:paraId="42F15545" w14:textId="58D95EE2" w:rsidR="003B315D" w:rsidRPr="00605447" w:rsidRDefault="003B315D" w:rsidP="008C2800">
            <w:pPr>
              <w:jc w:val="right"/>
              <w:rPr>
                <w:rFonts w:ascii="Gill Sans MT" w:hAnsi="Gill Sans MT" w:cs="Arial"/>
                <w:sz w:val="22"/>
                <w:szCs w:val="22"/>
                <w:lang w:eastAsia="en-IE"/>
              </w:rPr>
            </w:pPr>
            <w:r w:rsidRPr="00605447">
              <w:rPr>
                <w:rFonts w:ascii="Gill Sans MT" w:hAnsi="Gill Sans MT" w:cs="Arial"/>
                <w:sz w:val="22"/>
                <w:szCs w:val="22"/>
              </w:rPr>
              <w:t>51.</w:t>
            </w:r>
            <w:r w:rsidR="008C2800" w:rsidRPr="00605447">
              <w:rPr>
                <w:rFonts w:ascii="Gill Sans MT" w:hAnsi="Gill Sans MT" w:cs="Arial"/>
                <w:sz w:val="22"/>
                <w:szCs w:val="22"/>
              </w:rPr>
              <w:t>5</w:t>
            </w:r>
            <w:r w:rsidRPr="00605447">
              <w:rPr>
                <w:rFonts w:ascii="Gill Sans MT" w:hAnsi="Gill Sans MT" w:cs="Arial"/>
                <w:sz w:val="22"/>
                <w:szCs w:val="22"/>
              </w:rPr>
              <w:t>%</w:t>
            </w:r>
          </w:p>
        </w:tc>
      </w:tr>
      <w:tr w:rsidR="003B315D" w:rsidRPr="00605447" w14:paraId="47E5E899" w14:textId="77777777" w:rsidTr="00B961C4">
        <w:trPr>
          <w:trHeight w:val="255"/>
        </w:trPr>
        <w:tc>
          <w:tcPr>
            <w:tcW w:w="5228" w:type="dxa"/>
            <w:noWrap/>
            <w:vAlign w:val="bottom"/>
          </w:tcPr>
          <w:p w14:paraId="0B0CB68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Leitrim County Council</w:t>
            </w:r>
          </w:p>
        </w:tc>
        <w:tc>
          <w:tcPr>
            <w:tcW w:w="5228" w:type="dxa"/>
            <w:noWrap/>
            <w:vAlign w:val="bottom"/>
          </w:tcPr>
          <w:p w14:paraId="01C3998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79.5%</w:t>
            </w:r>
          </w:p>
        </w:tc>
      </w:tr>
      <w:tr w:rsidR="003B315D" w:rsidRPr="00605447" w14:paraId="139CCF08" w14:textId="77777777" w:rsidTr="00B961C4">
        <w:trPr>
          <w:trHeight w:val="255"/>
        </w:trPr>
        <w:tc>
          <w:tcPr>
            <w:tcW w:w="5228" w:type="dxa"/>
            <w:noWrap/>
            <w:vAlign w:val="bottom"/>
          </w:tcPr>
          <w:p w14:paraId="5A190887"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Leopardstown Park Hospital</w:t>
            </w:r>
          </w:p>
        </w:tc>
        <w:tc>
          <w:tcPr>
            <w:tcW w:w="5228" w:type="dxa"/>
            <w:noWrap/>
            <w:vAlign w:val="bottom"/>
          </w:tcPr>
          <w:p w14:paraId="0D6916D0"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99.2%</w:t>
            </w:r>
          </w:p>
        </w:tc>
      </w:tr>
      <w:tr w:rsidR="003B315D" w:rsidRPr="00605447" w14:paraId="036CC6E2" w14:textId="77777777" w:rsidTr="00B961C4">
        <w:trPr>
          <w:trHeight w:val="255"/>
        </w:trPr>
        <w:tc>
          <w:tcPr>
            <w:tcW w:w="5228" w:type="dxa"/>
            <w:noWrap/>
            <w:vAlign w:val="bottom"/>
          </w:tcPr>
          <w:p w14:paraId="01BF127E"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Limerick City &amp; County Council</w:t>
            </w:r>
          </w:p>
        </w:tc>
        <w:tc>
          <w:tcPr>
            <w:tcW w:w="5228" w:type="dxa"/>
            <w:noWrap/>
            <w:vAlign w:val="bottom"/>
          </w:tcPr>
          <w:p w14:paraId="1A35222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37.1%</w:t>
            </w:r>
          </w:p>
        </w:tc>
      </w:tr>
      <w:tr w:rsidR="003B315D" w:rsidRPr="00605447" w14:paraId="2E375DEC" w14:textId="77777777" w:rsidTr="00B961C4">
        <w:trPr>
          <w:trHeight w:val="255"/>
        </w:trPr>
        <w:tc>
          <w:tcPr>
            <w:tcW w:w="5228" w:type="dxa"/>
            <w:noWrap/>
            <w:vAlign w:val="bottom"/>
          </w:tcPr>
          <w:p w14:paraId="7F168EDC"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Local Government Management Agency</w:t>
            </w:r>
          </w:p>
        </w:tc>
        <w:tc>
          <w:tcPr>
            <w:tcW w:w="5228" w:type="dxa"/>
            <w:noWrap/>
            <w:vAlign w:val="bottom"/>
          </w:tcPr>
          <w:p w14:paraId="1F73880F"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94.7%</w:t>
            </w:r>
          </w:p>
        </w:tc>
      </w:tr>
      <w:tr w:rsidR="003B315D" w:rsidRPr="00605447" w14:paraId="0D8EB258" w14:textId="77777777" w:rsidTr="00B961C4">
        <w:trPr>
          <w:trHeight w:val="255"/>
        </w:trPr>
        <w:tc>
          <w:tcPr>
            <w:tcW w:w="5228" w:type="dxa"/>
            <w:noWrap/>
            <w:vAlign w:val="bottom"/>
          </w:tcPr>
          <w:p w14:paraId="1D1B0299"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Marine Institute</w:t>
            </w:r>
          </w:p>
        </w:tc>
        <w:tc>
          <w:tcPr>
            <w:tcW w:w="5228" w:type="dxa"/>
            <w:noWrap/>
            <w:vAlign w:val="bottom"/>
          </w:tcPr>
          <w:p w14:paraId="303F7595"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81.8%</w:t>
            </w:r>
          </w:p>
        </w:tc>
      </w:tr>
      <w:tr w:rsidR="003B315D" w:rsidRPr="00605447" w14:paraId="7D7A7F91" w14:textId="77777777" w:rsidTr="00B961C4">
        <w:trPr>
          <w:trHeight w:val="255"/>
        </w:trPr>
        <w:tc>
          <w:tcPr>
            <w:tcW w:w="5228" w:type="dxa"/>
            <w:noWrap/>
            <w:vAlign w:val="bottom"/>
          </w:tcPr>
          <w:p w14:paraId="365C8BF2"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Medical Council</w:t>
            </w:r>
          </w:p>
        </w:tc>
        <w:tc>
          <w:tcPr>
            <w:tcW w:w="5228" w:type="dxa"/>
            <w:noWrap/>
            <w:vAlign w:val="bottom"/>
          </w:tcPr>
          <w:p w14:paraId="1771A2A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80.0%</w:t>
            </w:r>
          </w:p>
        </w:tc>
      </w:tr>
      <w:tr w:rsidR="003B315D" w:rsidRPr="00605447" w14:paraId="1669656B" w14:textId="77777777" w:rsidTr="00B961C4">
        <w:trPr>
          <w:trHeight w:val="255"/>
        </w:trPr>
        <w:tc>
          <w:tcPr>
            <w:tcW w:w="5228" w:type="dxa"/>
            <w:noWrap/>
            <w:vAlign w:val="bottom"/>
          </w:tcPr>
          <w:p w14:paraId="5F7CCAC5"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Mental Health Commission</w:t>
            </w:r>
          </w:p>
        </w:tc>
        <w:tc>
          <w:tcPr>
            <w:tcW w:w="5228" w:type="dxa"/>
            <w:noWrap/>
            <w:vAlign w:val="bottom"/>
          </w:tcPr>
          <w:p w14:paraId="517BD36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82.4%</w:t>
            </w:r>
          </w:p>
        </w:tc>
      </w:tr>
      <w:tr w:rsidR="003B315D" w:rsidRPr="00605447" w14:paraId="48F7F52A" w14:textId="77777777" w:rsidTr="00B961C4">
        <w:trPr>
          <w:trHeight w:val="255"/>
        </w:trPr>
        <w:tc>
          <w:tcPr>
            <w:tcW w:w="5228" w:type="dxa"/>
            <w:noWrap/>
            <w:vAlign w:val="bottom"/>
          </w:tcPr>
          <w:p w14:paraId="6464754A"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Monaghan County Council</w:t>
            </w:r>
          </w:p>
        </w:tc>
        <w:tc>
          <w:tcPr>
            <w:tcW w:w="5228" w:type="dxa"/>
            <w:noWrap/>
            <w:vAlign w:val="bottom"/>
          </w:tcPr>
          <w:p w14:paraId="7CF4734B"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33.7%</w:t>
            </w:r>
          </w:p>
        </w:tc>
      </w:tr>
      <w:tr w:rsidR="003B315D" w:rsidRPr="00605447" w14:paraId="62BEAA85" w14:textId="77777777" w:rsidTr="00B961C4">
        <w:trPr>
          <w:trHeight w:val="255"/>
        </w:trPr>
        <w:tc>
          <w:tcPr>
            <w:tcW w:w="5228" w:type="dxa"/>
            <w:noWrap/>
            <w:vAlign w:val="bottom"/>
          </w:tcPr>
          <w:p w14:paraId="6B851BE7"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lastRenderedPageBreak/>
              <w:t>National Cancer Registry Ireland</w:t>
            </w:r>
          </w:p>
        </w:tc>
        <w:tc>
          <w:tcPr>
            <w:tcW w:w="5228" w:type="dxa"/>
            <w:noWrap/>
            <w:vAlign w:val="bottom"/>
          </w:tcPr>
          <w:p w14:paraId="6C8C7057"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80.0%</w:t>
            </w:r>
          </w:p>
        </w:tc>
      </w:tr>
      <w:tr w:rsidR="003B315D" w:rsidRPr="00605447" w14:paraId="6C24152B" w14:textId="77777777" w:rsidTr="00B961C4">
        <w:trPr>
          <w:trHeight w:val="255"/>
        </w:trPr>
        <w:tc>
          <w:tcPr>
            <w:tcW w:w="5228" w:type="dxa"/>
            <w:noWrap/>
            <w:vAlign w:val="bottom"/>
          </w:tcPr>
          <w:p w14:paraId="47A0A654"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National Economic and Social Development Office</w:t>
            </w:r>
          </w:p>
        </w:tc>
        <w:tc>
          <w:tcPr>
            <w:tcW w:w="5228" w:type="dxa"/>
            <w:noWrap/>
            <w:vAlign w:val="bottom"/>
          </w:tcPr>
          <w:p w14:paraId="7919C19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661CCA9E" w14:textId="77777777" w:rsidTr="00B961C4">
        <w:trPr>
          <w:trHeight w:val="255"/>
        </w:trPr>
        <w:tc>
          <w:tcPr>
            <w:tcW w:w="5228" w:type="dxa"/>
            <w:noWrap/>
            <w:vAlign w:val="bottom"/>
          </w:tcPr>
          <w:p w14:paraId="3F4CFAB2"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National Library of Ireland</w:t>
            </w:r>
          </w:p>
        </w:tc>
        <w:tc>
          <w:tcPr>
            <w:tcW w:w="5228" w:type="dxa"/>
            <w:noWrap/>
            <w:vAlign w:val="bottom"/>
          </w:tcPr>
          <w:p w14:paraId="073A640C"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73.3%</w:t>
            </w:r>
          </w:p>
        </w:tc>
      </w:tr>
      <w:tr w:rsidR="003B315D" w:rsidRPr="00605447" w14:paraId="65F405FD" w14:textId="77777777" w:rsidTr="00B961C4">
        <w:trPr>
          <w:trHeight w:val="255"/>
        </w:trPr>
        <w:tc>
          <w:tcPr>
            <w:tcW w:w="5228" w:type="dxa"/>
            <w:noWrap/>
            <w:vAlign w:val="bottom"/>
          </w:tcPr>
          <w:p w14:paraId="7995FA51"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National Milk Agency</w:t>
            </w:r>
          </w:p>
        </w:tc>
        <w:tc>
          <w:tcPr>
            <w:tcW w:w="5228" w:type="dxa"/>
            <w:noWrap/>
            <w:vAlign w:val="bottom"/>
          </w:tcPr>
          <w:p w14:paraId="09B0FD59"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0A8FE58E" w14:textId="77777777" w:rsidTr="00B961C4">
        <w:trPr>
          <w:trHeight w:val="255"/>
        </w:trPr>
        <w:tc>
          <w:tcPr>
            <w:tcW w:w="5228" w:type="dxa"/>
            <w:noWrap/>
            <w:vAlign w:val="bottom"/>
          </w:tcPr>
          <w:p w14:paraId="5D969FC3"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National Property Services Regulatory Authority</w:t>
            </w:r>
          </w:p>
        </w:tc>
        <w:tc>
          <w:tcPr>
            <w:tcW w:w="5228" w:type="dxa"/>
            <w:noWrap/>
            <w:vAlign w:val="bottom"/>
          </w:tcPr>
          <w:p w14:paraId="767BE868"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58.6%</w:t>
            </w:r>
          </w:p>
        </w:tc>
      </w:tr>
      <w:tr w:rsidR="003B315D" w:rsidRPr="00605447" w14:paraId="04391601" w14:textId="77777777" w:rsidTr="00B961C4">
        <w:trPr>
          <w:trHeight w:val="255"/>
        </w:trPr>
        <w:tc>
          <w:tcPr>
            <w:tcW w:w="5228" w:type="dxa"/>
            <w:noWrap/>
            <w:vAlign w:val="bottom"/>
          </w:tcPr>
          <w:p w14:paraId="4D66312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National Shared Services Office</w:t>
            </w:r>
          </w:p>
        </w:tc>
        <w:tc>
          <w:tcPr>
            <w:tcW w:w="5228" w:type="dxa"/>
            <w:noWrap/>
            <w:vAlign w:val="bottom"/>
          </w:tcPr>
          <w:p w14:paraId="6478AAB0"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28.8%</w:t>
            </w:r>
          </w:p>
        </w:tc>
      </w:tr>
      <w:tr w:rsidR="003B315D" w:rsidRPr="00605447" w14:paraId="4B584574" w14:textId="77777777" w:rsidTr="00B961C4">
        <w:trPr>
          <w:trHeight w:val="255"/>
        </w:trPr>
        <w:tc>
          <w:tcPr>
            <w:tcW w:w="5228" w:type="dxa"/>
            <w:noWrap/>
            <w:vAlign w:val="bottom"/>
          </w:tcPr>
          <w:p w14:paraId="1D0DE5B4"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National Standards Authority of Ireland (NSAI)</w:t>
            </w:r>
          </w:p>
        </w:tc>
        <w:tc>
          <w:tcPr>
            <w:tcW w:w="5228" w:type="dxa"/>
            <w:noWrap/>
            <w:vAlign w:val="bottom"/>
          </w:tcPr>
          <w:p w14:paraId="3931ECD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43.8%</w:t>
            </w:r>
          </w:p>
        </w:tc>
      </w:tr>
      <w:tr w:rsidR="003B315D" w:rsidRPr="00605447" w14:paraId="0AB704BE" w14:textId="77777777" w:rsidTr="00B961C4">
        <w:trPr>
          <w:trHeight w:val="255"/>
        </w:trPr>
        <w:tc>
          <w:tcPr>
            <w:tcW w:w="5228" w:type="dxa"/>
            <w:noWrap/>
            <w:vAlign w:val="bottom"/>
          </w:tcPr>
          <w:p w14:paraId="146D6050"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National Transport Authority</w:t>
            </w:r>
          </w:p>
        </w:tc>
        <w:tc>
          <w:tcPr>
            <w:tcW w:w="5228" w:type="dxa"/>
            <w:noWrap/>
            <w:vAlign w:val="bottom"/>
          </w:tcPr>
          <w:p w14:paraId="4314A97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62.6%</w:t>
            </w:r>
          </w:p>
        </w:tc>
      </w:tr>
      <w:tr w:rsidR="003B315D" w:rsidRPr="00605447" w14:paraId="0FBDFB3E" w14:textId="77777777" w:rsidTr="00B961C4">
        <w:trPr>
          <w:trHeight w:val="255"/>
        </w:trPr>
        <w:tc>
          <w:tcPr>
            <w:tcW w:w="5228" w:type="dxa"/>
            <w:noWrap/>
            <w:vAlign w:val="bottom"/>
          </w:tcPr>
          <w:p w14:paraId="2A3DA8D1"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National Treatment Purchase Fund</w:t>
            </w:r>
          </w:p>
        </w:tc>
        <w:tc>
          <w:tcPr>
            <w:tcW w:w="5228" w:type="dxa"/>
            <w:noWrap/>
            <w:vAlign w:val="bottom"/>
          </w:tcPr>
          <w:p w14:paraId="1A8231D2"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67.9%</w:t>
            </w:r>
          </w:p>
        </w:tc>
      </w:tr>
      <w:tr w:rsidR="003B315D" w:rsidRPr="00605447" w14:paraId="359E8E1F" w14:textId="77777777" w:rsidTr="00B961C4">
        <w:trPr>
          <w:trHeight w:val="255"/>
        </w:trPr>
        <w:tc>
          <w:tcPr>
            <w:tcW w:w="5228" w:type="dxa"/>
            <w:noWrap/>
            <w:vAlign w:val="bottom"/>
          </w:tcPr>
          <w:p w14:paraId="065C249C"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Northern &amp; Western Regional Assembly</w:t>
            </w:r>
          </w:p>
        </w:tc>
        <w:tc>
          <w:tcPr>
            <w:tcW w:w="5228" w:type="dxa"/>
            <w:noWrap/>
            <w:vAlign w:val="bottom"/>
          </w:tcPr>
          <w:p w14:paraId="17F53929"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73.7%</w:t>
            </w:r>
          </w:p>
        </w:tc>
      </w:tr>
      <w:tr w:rsidR="003B315D" w:rsidRPr="00605447" w14:paraId="5B00587B" w14:textId="77777777" w:rsidTr="00B961C4">
        <w:trPr>
          <w:trHeight w:val="255"/>
        </w:trPr>
        <w:tc>
          <w:tcPr>
            <w:tcW w:w="5228" w:type="dxa"/>
            <w:noWrap/>
            <w:vAlign w:val="bottom"/>
          </w:tcPr>
          <w:p w14:paraId="1EBF05E5"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Office of Government Procurement</w:t>
            </w:r>
          </w:p>
        </w:tc>
        <w:tc>
          <w:tcPr>
            <w:tcW w:w="5228" w:type="dxa"/>
            <w:noWrap/>
            <w:vAlign w:val="bottom"/>
          </w:tcPr>
          <w:p w14:paraId="2151D25F" w14:textId="2619D879" w:rsidR="003B315D" w:rsidRPr="00605447" w:rsidRDefault="003B315D" w:rsidP="008C2800">
            <w:pPr>
              <w:jc w:val="right"/>
              <w:rPr>
                <w:rFonts w:ascii="Gill Sans MT" w:hAnsi="Gill Sans MT" w:cs="Arial"/>
                <w:sz w:val="22"/>
                <w:szCs w:val="22"/>
                <w:lang w:eastAsia="en-IE"/>
              </w:rPr>
            </w:pPr>
            <w:r w:rsidRPr="00605447">
              <w:rPr>
                <w:rFonts w:ascii="Gill Sans MT" w:hAnsi="Gill Sans MT" w:cs="Arial"/>
                <w:sz w:val="22"/>
                <w:szCs w:val="22"/>
              </w:rPr>
              <w:t>72.</w:t>
            </w:r>
            <w:r w:rsidR="008C2800" w:rsidRPr="00605447">
              <w:rPr>
                <w:rFonts w:ascii="Gill Sans MT" w:hAnsi="Gill Sans MT" w:cs="Arial"/>
                <w:sz w:val="22"/>
                <w:szCs w:val="22"/>
              </w:rPr>
              <w:t>7</w:t>
            </w:r>
            <w:r w:rsidRPr="00605447">
              <w:rPr>
                <w:rFonts w:ascii="Gill Sans MT" w:hAnsi="Gill Sans MT" w:cs="Arial"/>
                <w:sz w:val="22"/>
                <w:szCs w:val="22"/>
              </w:rPr>
              <w:t>%</w:t>
            </w:r>
          </w:p>
        </w:tc>
      </w:tr>
      <w:tr w:rsidR="003B315D" w:rsidRPr="00605447" w14:paraId="30568812" w14:textId="77777777" w:rsidTr="00B961C4">
        <w:trPr>
          <w:trHeight w:val="255"/>
        </w:trPr>
        <w:tc>
          <w:tcPr>
            <w:tcW w:w="5228" w:type="dxa"/>
            <w:noWrap/>
            <w:vAlign w:val="bottom"/>
          </w:tcPr>
          <w:p w14:paraId="374F5BF2"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Office of the Attorney General</w:t>
            </w:r>
          </w:p>
        </w:tc>
        <w:tc>
          <w:tcPr>
            <w:tcW w:w="5228" w:type="dxa"/>
            <w:noWrap/>
            <w:vAlign w:val="bottom"/>
          </w:tcPr>
          <w:p w14:paraId="7A873704"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94.7%</w:t>
            </w:r>
          </w:p>
        </w:tc>
      </w:tr>
      <w:tr w:rsidR="003B315D" w:rsidRPr="00605447" w14:paraId="16AB2AB6" w14:textId="77777777" w:rsidTr="00B961C4">
        <w:trPr>
          <w:trHeight w:val="255"/>
        </w:trPr>
        <w:tc>
          <w:tcPr>
            <w:tcW w:w="5228" w:type="dxa"/>
            <w:noWrap/>
            <w:vAlign w:val="bottom"/>
          </w:tcPr>
          <w:p w14:paraId="02AED882"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Office of the Director of Public Prosecutions</w:t>
            </w:r>
          </w:p>
        </w:tc>
        <w:tc>
          <w:tcPr>
            <w:tcW w:w="5228" w:type="dxa"/>
            <w:noWrap/>
            <w:vAlign w:val="bottom"/>
          </w:tcPr>
          <w:p w14:paraId="08B4AF06" w14:textId="489261AA" w:rsidR="003B315D" w:rsidRPr="00605447" w:rsidRDefault="003B315D" w:rsidP="008C2800">
            <w:pPr>
              <w:jc w:val="right"/>
              <w:rPr>
                <w:rFonts w:ascii="Gill Sans MT" w:hAnsi="Gill Sans MT" w:cs="Arial"/>
                <w:sz w:val="22"/>
                <w:szCs w:val="22"/>
                <w:lang w:eastAsia="en-IE"/>
              </w:rPr>
            </w:pPr>
            <w:r w:rsidRPr="00605447">
              <w:rPr>
                <w:rFonts w:ascii="Gill Sans MT" w:hAnsi="Gill Sans MT" w:cs="Arial"/>
                <w:sz w:val="22"/>
                <w:szCs w:val="22"/>
              </w:rPr>
              <w:t>19.</w:t>
            </w:r>
            <w:r w:rsidR="008C2800" w:rsidRPr="00605447">
              <w:rPr>
                <w:rFonts w:ascii="Gill Sans MT" w:hAnsi="Gill Sans MT" w:cs="Arial"/>
                <w:sz w:val="22"/>
                <w:szCs w:val="22"/>
              </w:rPr>
              <w:t>3</w:t>
            </w:r>
            <w:r w:rsidRPr="00605447">
              <w:rPr>
                <w:rFonts w:ascii="Gill Sans MT" w:hAnsi="Gill Sans MT" w:cs="Arial"/>
                <w:sz w:val="22"/>
                <w:szCs w:val="22"/>
              </w:rPr>
              <w:t>%</w:t>
            </w:r>
          </w:p>
        </w:tc>
      </w:tr>
      <w:tr w:rsidR="003B315D" w:rsidRPr="00605447" w14:paraId="0BC8C0D5" w14:textId="77777777" w:rsidTr="00B961C4">
        <w:trPr>
          <w:trHeight w:val="255"/>
        </w:trPr>
        <w:tc>
          <w:tcPr>
            <w:tcW w:w="5228" w:type="dxa"/>
            <w:noWrap/>
            <w:vAlign w:val="bottom"/>
          </w:tcPr>
          <w:p w14:paraId="3F92550F"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Office of the Ombudsman</w:t>
            </w:r>
          </w:p>
        </w:tc>
        <w:tc>
          <w:tcPr>
            <w:tcW w:w="5228" w:type="dxa"/>
            <w:noWrap/>
            <w:vAlign w:val="bottom"/>
          </w:tcPr>
          <w:p w14:paraId="6BD5FFF1"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61.8%</w:t>
            </w:r>
          </w:p>
        </w:tc>
      </w:tr>
      <w:tr w:rsidR="003B315D" w:rsidRPr="00605447" w14:paraId="560F1792" w14:textId="77777777" w:rsidTr="00B961C4">
        <w:trPr>
          <w:trHeight w:val="255"/>
        </w:trPr>
        <w:tc>
          <w:tcPr>
            <w:tcW w:w="5228" w:type="dxa"/>
            <w:noWrap/>
            <w:vAlign w:val="bottom"/>
          </w:tcPr>
          <w:p w14:paraId="2F9A5DA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Office of the Tax Appeals Commissioner</w:t>
            </w:r>
          </w:p>
        </w:tc>
        <w:tc>
          <w:tcPr>
            <w:tcW w:w="5228" w:type="dxa"/>
            <w:noWrap/>
            <w:vAlign w:val="bottom"/>
          </w:tcPr>
          <w:p w14:paraId="5007CB4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5A646B3F" w14:textId="77777777" w:rsidTr="00B961C4">
        <w:trPr>
          <w:trHeight w:val="255"/>
        </w:trPr>
        <w:tc>
          <w:tcPr>
            <w:tcW w:w="5228" w:type="dxa"/>
            <w:noWrap/>
            <w:vAlign w:val="bottom"/>
          </w:tcPr>
          <w:p w14:paraId="1C082AA3"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Pharmaceutical Society of Ireland</w:t>
            </w:r>
          </w:p>
        </w:tc>
        <w:tc>
          <w:tcPr>
            <w:tcW w:w="5228" w:type="dxa"/>
            <w:noWrap/>
            <w:vAlign w:val="bottom"/>
          </w:tcPr>
          <w:p w14:paraId="00586697"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89.7%</w:t>
            </w:r>
          </w:p>
        </w:tc>
      </w:tr>
      <w:tr w:rsidR="003B315D" w:rsidRPr="00605447" w14:paraId="19A5BE90" w14:textId="77777777" w:rsidTr="00B961C4">
        <w:trPr>
          <w:trHeight w:val="255"/>
        </w:trPr>
        <w:tc>
          <w:tcPr>
            <w:tcW w:w="5228" w:type="dxa"/>
            <w:noWrap/>
            <w:vAlign w:val="bottom"/>
          </w:tcPr>
          <w:p w14:paraId="59733929"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Public Appointments Service</w:t>
            </w:r>
          </w:p>
        </w:tc>
        <w:tc>
          <w:tcPr>
            <w:tcW w:w="5228" w:type="dxa"/>
            <w:noWrap/>
            <w:vAlign w:val="bottom"/>
          </w:tcPr>
          <w:p w14:paraId="3464C9F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49.0%</w:t>
            </w:r>
          </w:p>
        </w:tc>
      </w:tr>
      <w:tr w:rsidR="003B315D" w:rsidRPr="00605447" w14:paraId="10F58BC7" w14:textId="77777777" w:rsidTr="00B961C4">
        <w:trPr>
          <w:trHeight w:val="255"/>
        </w:trPr>
        <w:tc>
          <w:tcPr>
            <w:tcW w:w="5228" w:type="dxa"/>
            <w:noWrap/>
            <w:vAlign w:val="bottom"/>
          </w:tcPr>
          <w:p w14:paraId="068C5104"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Science Foundation Ireland</w:t>
            </w:r>
          </w:p>
        </w:tc>
        <w:tc>
          <w:tcPr>
            <w:tcW w:w="5228" w:type="dxa"/>
            <w:noWrap/>
            <w:vAlign w:val="bottom"/>
          </w:tcPr>
          <w:p w14:paraId="500CAA7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64.4%</w:t>
            </w:r>
          </w:p>
        </w:tc>
      </w:tr>
      <w:tr w:rsidR="003B315D" w:rsidRPr="00605447" w14:paraId="48D98DFD" w14:textId="77777777" w:rsidTr="00B961C4">
        <w:trPr>
          <w:trHeight w:val="255"/>
        </w:trPr>
        <w:tc>
          <w:tcPr>
            <w:tcW w:w="5228" w:type="dxa"/>
            <w:noWrap/>
            <w:vAlign w:val="bottom"/>
          </w:tcPr>
          <w:p w14:paraId="37000944"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Screen Ireland</w:t>
            </w:r>
          </w:p>
        </w:tc>
        <w:tc>
          <w:tcPr>
            <w:tcW w:w="5228" w:type="dxa"/>
            <w:noWrap/>
            <w:vAlign w:val="bottom"/>
          </w:tcPr>
          <w:p w14:paraId="1770437B"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06BEB9C6" w14:textId="77777777" w:rsidTr="00B961C4">
        <w:trPr>
          <w:trHeight w:val="255"/>
        </w:trPr>
        <w:tc>
          <w:tcPr>
            <w:tcW w:w="5228" w:type="dxa"/>
            <w:noWrap/>
            <w:vAlign w:val="bottom"/>
          </w:tcPr>
          <w:p w14:paraId="5D29079D"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Southern Regional Assembly</w:t>
            </w:r>
          </w:p>
        </w:tc>
        <w:tc>
          <w:tcPr>
            <w:tcW w:w="5228" w:type="dxa"/>
            <w:noWrap/>
            <w:vAlign w:val="bottom"/>
          </w:tcPr>
          <w:p w14:paraId="0A15F0AC"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4256D830" w14:textId="77777777" w:rsidTr="00B961C4">
        <w:trPr>
          <w:trHeight w:val="255"/>
        </w:trPr>
        <w:tc>
          <w:tcPr>
            <w:tcW w:w="5228" w:type="dxa"/>
            <w:noWrap/>
            <w:vAlign w:val="bottom"/>
          </w:tcPr>
          <w:p w14:paraId="5DE998C0" w14:textId="6F777229"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Sustaina</w:t>
            </w:r>
            <w:r w:rsidR="00605447" w:rsidRPr="00605447">
              <w:rPr>
                <w:rFonts w:ascii="Gill Sans MT" w:hAnsi="Gill Sans MT" w:cs="Arial"/>
                <w:sz w:val="22"/>
                <w:szCs w:val="22"/>
              </w:rPr>
              <w:t>ble Energy Authority of Ireland</w:t>
            </w:r>
          </w:p>
        </w:tc>
        <w:tc>
          <w:tcPr>
            <w:tcW w:w="5228" w:type="dxa"/>
            <w:noWrap/>
            <w:vAlign w:val="bottom"/>
          </w:tcPr>
          <w:p w14:paraId="6595E3F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78.9%</w:t>
            </w:r>
          </w:p>
        </w:tc>
      </w:tr>
      <w:tr w:rsidR="003B315D" w:rsidRPr="00605447" w14:paraId="0571E1DD" w14:textId="77777777" w:rsidTr="00B961C4">
        <w:trPr>
          <w:trHeight w:val="255"/>
        </w:trPr>
        <w:tc>
          <w:tcPr>
            <w:tcW w:w="5228" w:type="dxa"/>
            <w:noWrap/>
            <w:vAlign w:val="bottom"/>
          </w:tcPr>
          <w:p w14:paraId="18B08D65" w14:textId="7DC323F0" w:rsidR="003B315D" w:rsidRPr="00605447" w:rsidRDefault="00605447" w:rsidP="006D697C">
            <w:pPr>
              <w:rPr>
                <w:rFonts w:ascii="Gill Sans MT" w:hAnsi="Gill Sans MT" w:cs="Arial"/>
                <w:sz w:val="22"/>
                <w:szCs w:val="22"/>
                <w:lang w:eastAsia="en-IE"/>
              </w:rPr>
            </w:pPr>
            <w:r w:rsidRPr="00605447">
              <w:rPr>
                <w:rFonts w:ascii="Gill Sans MT" w:hAnsi="Gill Sans MT" w:cs="Arial"/>
                <w:sz w:val="22"/>
                <w:szCs w:val="22"/>
              </w:rPr>
              <w:t>Teagasc</w:t>
            </w:r>
          </w:p>
        </w:tc>
        <w:tc>
          <w:tcPr>
            <w:tcW w:w="5228" w:type="dxa"/>
            <w:noWrap/>
            <w:vAlign w:val="bottom"/>
          </w:tcPr>
          <w:p w14:paraId="482D1B01"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43.4%</w:t>
            </w:r>
          </w:p>
        </w:tc>
      </w:tr>
      <w:tr w:rsidR="003B315D" w:rsidRPr="00605447" w14:paraId="485CEA41" w14:textId="77777777" w:rsidTr="00B961C4">
        <w:trPr>
          <w:trHeight w:val="255"/>
        </w:trPr>
        <w:tc>
          <w:tcPr>
            <w:tcW w:w="5228" w:type="dxa"/>
            <w:noWrap/>
            <w:vAlign w:val="bottom"/>
          </w:tcPr>
          <w:p w14:paraId="7CF28F5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lastRenderedPageBreak/>
              <w:t>TG4</w:t>
            </w:r>
          </w:p>
        </w:tc>
        <w:tc>
          <w:tcPr>
            <w:tcW w:w="5228" w:type="dxa"/>
            <w:noWrap/>
            <w:vAlign w:val="bottom"/>
          </w:tcPr>
          <w:p w14:paraId="00729F7B"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86.4%</w:t>
            </w:r>
          </w:p>
        </w:tc>
      </w:tr>
      <w:tr w:rsidR="003B315D" w:rsidRPr="00605447" w14:paraId="01CDD768" w14:textId="77777777" w:rsidTr="00B961C4">
        <w:trPr>
          <w:trHeight w:val="255"/>
        </w:trPr>
        <w:tc>
          <w:tcPr>
            <w:tcW w:w="5228" w:type="dxa"/>
            <w:noWrap/>
            <w:vAlign w:val="bottom"/>
          </w:tcPr>
          <w:p w14:paraId="2F939EC6"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The Digital Hub</w:t>
            </w:r>
          </w:p>
        </w:tc>
        <w:tc>
          <w:tcPr>
            <w:tcW w:w="5228" w:type="dxa"/>
            <w:noWrap/>
            <w:vAlign w:val="bottom"/>
          </w:tcPr>
          <w:p w14:paraId="4D3EEB18"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90.0%</w:t>
            </w:r>
          </w:p>
        </w:tc>
      </w:tr>
      <w:tr w:rsidR="003B315D" w:rsidRPr="00605447" w14:paraId="19079237" w14:textId="77777777" w:rsidTr="00B961C4">
        <w:trPr>
          <w:trHeight w:val="255"/>
        </w:trPr>
        <w:tc>
          <w:tcPr>
            <w:tcW w:w="5228" w:type="dxa"/>
            <w:noWrap/>
            <w:vAlign w:val="bottom"/>
          </w:tcPr>
          <w:p w14:paraId="50CD628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The Pensions Authority</w:t>
            </w:r>
          </w:p>
        </w:tc>
        <w:tc>
          <w:tcPr>
            <w:tcW w:w="5228" w:type="dxa"/>
            <w:noWrap/>
            <w:vAlign w:val="bottom"/>
          </w:tcPr>
          <w:p w14:paraId="7249EC9F"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70.8%</w:t>
            </w:r>
          </w:p>
        </w:tc>
      </w:tr>
      <w:tr w:rsidR="003B315D" w:rsidRPr="00605447" w14:paraId="4998D366" w14:textId="77777777" w:rsidTr="00B961C4">
        <w:trPr>
          <w:trHeight w:val="255"/>
        </w:trPr>
        <w:tc>
          <w:tcPr>
            <w:tcW w:w="5228" w:type="dxa"/>
            <w:noWrap/>
            <w:vAlign w:val="bottom"/>
          </w:tcPr>
          <w:p w14:paraId="52810499"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The Private Security Authority</w:t>
            </w:r>
          </w:p>
        </w:tc>
        <w:tc>
          <w:tcPr>
            <w:tcW w:w="5228" w:type="dxa"/>
            <w:noWrap/>
            <w:vAlign w:val="bottom"/>
          </w:tcPr>
          <w:p w14:paraId="3A9A3966"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81.4%</w:t>
            </w:r>
          </w:p>
        </w:tc>
      </w:tr>
      <w:tr w:rsidR="003B315D" w:rsidRPr="00605447" w14:paraId="16B08EE9" w14:textId="77777777" w:rsidTr="00B961C4">
        <w:trPr>
          <w:trHeight w:val="255"/>
        </w:trPr>
        <w:tc>
          <w:tcPr>
            <w:tcW w:w="5228" w:type="dxa"/>
            <w:noWrap/>
            <w:vAlign w:val="bottom"/>
          </w:tcPr>
          <w:p w14:paraId="06F2C5A0"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Tipperary County Council</w:t>
            </w:r>
          </w:p>
        </w:tc>
        <w:tc>
          <w:tcPr>
            <w:tcW w:w="5228" w:type="dxa"/>
            <w:noWrap/>
            <w:vAlign w:val="bottom"/>
          </w:tcPr>
          <w:p w14:paraId="2A944F3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97.0%</w:t>
            </w:r>
          </w:p>
        </w:tc>
      </w:tr>
      <w:tr w:rsidR="003B315D" w:rsidRPr="00605447" w14:paraId="58462457" w14:textId="77777777" w:rsidTr="00B961C4">
        <w:trPr>
          <w:trHeight w:val="255"/>
        </w:trPr>
        <w:tc>
          <w:tcPr>
            <w:tcW w:w="5228" w:type="dxa"/>
            <w:noWrap/>
            <w:vAlign w:val="bottom"/>
          </w:tcPr>
          <w:p w14:paraId="0E673985"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Tourism Ireland</w:t>
            </w:r>
          </w:p>
        </w:tc>
        <w:tc>
          <w:tcPr>
            <w:tcW w:w="5228" w:type="dxa"/>
            <w:noWrap/>
            <w:vAlign w:val="bottom"/>
          </w:tcPr>
          <w:p w14:paraId="291651A0"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2602CAF8" w14:textId="77777777" w:rsidTr="00B961C4">
        <w:trPr>
          <w:trHeight w:val="255"/>
        </w:trPr>
        <w:tc>
          <w:tcPr>
            <w:tcW w:w="5228" w:type="dxa"/>
            <w:noWrap/>
            <w:vAlign w:val="bottom"/>
          </w:tcPr>
          <w:p w14:paraId="15ED06CF"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Valuation Office</w:t>
            </w:r>
          </w:p>
        </w:tc>
        <w:tc>
          <w:tcPr>
            <w:tcW w:w="5228" w:type="dxa"/>
            <w:noWrap/>
            <w:vAlign w:val="bottom"/>
          </w:tcPr>
          <w:p w14:paraId="412AE79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60.9%</w:t>
            </w:r>
          </w:p>
        </w:tc>
      </w:tr>
      <w:tr w:rsidR="003B315D" w:rsidRPr="00605447" w14:paraId="4AD4555D" w14:textId="77777777" w:rsidTr="00B961C4">
        <w:trPr>
          <w:trHeight w:val="255"/>
        </w:trPr>
        <w:tc>
          <w:tcPr>
            <w:tcW w:w="5228" w:type="dxa"/>
            <w:noWrap/>
            <w:vAlign w:val="bottom"/>
          </w:tcPr>
          <w:p w14:paraId="54315A65"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Voluntary Health Insurance Board</w:t>
            </w:r>
          </w:p>
        </w:tc>
        <w:tc>
          <w:tcPr>
            <w:tcW w:w="5228" w:type="dxa"/>
            <w:noWrap/>
            <w:vAlign w:val="bottom"/>
          </w:tcPr>
          <w:p w14:paraId="0465A76B"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90.4%</w:t>
            </w:r>
          </w:p>
        </w:tc>
      </w:tr>
      <w:tr w:rsidR="003B315D" w:rsidRPr="00605447" w14:paraId="7FE097AC" w14:textId="77777777" w:rsidTr="00B961C4">
        <w:trPr>
          <w:trHeight w:val="255"/>
        </w:trPr>
        <w:tc>
          <w:tcPr>
            <w:tcW w:w="5228" w:type="dxa"/>
            <w:noWrap/>
            <w:vAlign w:val="bottom"/>
          </w:tcPr>
          <w:p w14:paraId="4EDBB20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Waterford City &amp; County Council</w:t>
            </w:r>
          </w:p>
        </w:tc>
        <w:tc>
          <w:tcPr>
            <w:tcW w:w="5228" w:type="dxa"/>
            <w:noWrap/>
            <w:vAlign w:val="bottom"/>
          </w:tcPr>
          <w:p w14:paraId="5D4A20F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27.7%</w:t>
            </w:r>
          </w:p>
        </w:tc>
      </w:tr>
      <w:tr w:rsidR="003B315D" w:rsidRPr="00605447" w14:paraId="48552ABD" w14:textId="77777777" w:rsidTr="00B961C4">
        <w:trPr>
          <w:trHeight w:val="255"/>
        </w:trPr>
        <w:tc>
          <w:tcPr>
            <w:tcW w:w="5228" w:type="dxa"/>
            <w:noWrap/>
            <w:vAlign w:val="bottom"/>
          </w:tcPr>
          <w:p w14:paraId="662794CC"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Western Development Commission</w:t>
            </w:r>
          </w:p>
        </w:tc>
        <w:tc>
          <w:tcPr>
            <w:tcW w:w="5228" w:type="dxa"/>
            <w:noWrap/>
            <w:vAlign w:val="bottom"/>
          </w:tcPr>
          <w:p w14:paraId="178444E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40.0%</w:t>
            </w:r>
          </w:p>
        </w:tc>
      </w:tr>
    </w:tbl>
    <w:p w14:paraId="4E7B37CA" w14:textId="05F0A5F5" w:rsidR="00C571CE" w:rsidRPr="00CC4F07" w:rsidRDefault="00933FBD" w:rsidP="00F53C61">
      <w:pPr>
        <w:spacing w:after="0"/>
        <w:rPr>
          <w:b/>
        </w:rPr>
        <w:sectPr w:rsidR="00C571CE" w:rsidRPr="00CC4F07" w:rsidSect="00933FBD">
          <w:pgSz w:w="12240" w:h="15840"/>
          <w:pgMar w:top="1418" w:right="1758" w:bottom="1418" w:left="1758" w:header="709" w:footer="709" w:gutter="0"/>
          <w:cols w:space="708"/>
          <w:docGrid w:linePitch="360"/>
        </w:sectPr>
      </w:pPr>
      <w:r w:rsidRPr="00CC4F07">
        <w:rPr>
          <w:rFonts w:ascii="Gill Sans MT" w:hAnsi="Gill Sans MT"/>
          <w:sz w:val="20"/>
          <w:szCs w:val="20"/>
        </w:rPr>
        <w:br w:type="page"/>
      </w:r>
    </w:p>
    <w:p w14:paraId="6CF6ED78" w14:textId="6305DF39" w:rsidR="00933FBD" w:rsidRPr="00CC4F07" w:rsidRDefault="00933FBD" w:rsidP="00933FBD"/>
    <w:p w14:paraId="65027FB6" w14:textId="7351666B" w:rsidR="00933FBD" w:rsidRPr="00CC4F07" w:rsidRDefault="000227F0" w:rsidP="00933FBD">
      <w:pPr>
        <w:rPr>
          <w:rFonts w:ascii="Rockwell" w:hAnsi="Rockwell"/>
        </w:rPr>
      </w:pPr>
      <w:r w:rsidRPr="00CC4F07">
        <w:rPr>
          <w:rFonts w:ascii="Rockwell" w:hAnsi="Rockwell"/>
          <w:noProof/>
          <w:lang w:eastAsia="en-IE"/>
        </w:rPr>
        <w:drawing>
          <wp:inline distT="0" distB="0" distL="0" distR="0" wp14:anchorId="57189084" wp14:editId="26A1217C">
            <wp:extent cx="1173737" cy="485775"/>
            <wp:effectExtent l="0" t="0" r="7620" b="0"/>
            <wp:docPr id="11" name="Picture 11" descr="NDA logo" title="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3737" cy="485775"/>
                    </a:xfrm>
                    <a:prstGeom prst="rect">
                      <a:avLst/>
                    </a:prstGeom>
                    <a:noFill/>
                  </pic:spPr>
                </pic:pic>
              </a:graphicData>
            </a:graphic>
          </wp:inline>
        </w:drawing>
      </w:r>
    </w:p>
    <w:p w14:paraId="58AF594A" w14:textId="162734BE" w:rsidR="00933FBD" w:rsidRPr="00CC4F07" w:rsidRDefault="00933FBD" w:rsidP="00933FBD">
      <w:pPr>
        <w:rPr>
          <w:rFonts w:ascii="Rockwell" w:hAnsi="Rockwell"/>
        </w:rPr>
      </w:pPr>
    </w:p>
    <w:p w14:paraId="5A015D40" w14:textId="20ACB3F2" w:rsidR="00933FBD" w:rsidRPr="00CC4F07" w:rsidRDefault="00933FBD" w:rsidP="00933FBD">
      <w:pPr>
        <w:rPr>
          <w:rFonts w:ascii="Rockwell" w:hAnsi="Rockwell"/>
          <w:b/>
        </w:rPr>
      </w:pPr>
      <w:r w:rsidRPr="00CC4F07">
        <w:rPr>
          <w:rFonts w:ascii="Rockwell" w:hAnsi="Rockwell"/>
          <w:b/>
        </w:rPr>
        <w:t>National Disability Authority</w:t>
      </w:r>
    </w:p>
    <w:p w14:paraId="01633346" w14:textId="77777777" w:rsidR="00933FBD" w:rsidRPr="00CC4F07" w:rsidRDefault="00933FBD" w:rsidP="00933FBD">
      <w:pPr>
        <w:rPr>
          <w:rFonts w:ascii="Rockwell" w:hAnsi="Rockwell"/>
        </w:rPr>
      </w:pPr>
      <w:r w:rsidRPr="00CC4F07">
        <w:rPr>
          <w:rFonts w:ascii="Rockwell" w:hAnsi="Rockwell"/>
        </w:rPr>
        <w:t>25 Clyde Road, Dublin 4</w:t>
      </w:r>
    </w:p>
    <w:p w14:paraId="55B2C1CC" w14:textId="77777777" w:rsidR="00933FBD" w:rsidRPr="00CC4F07" w:rsidRDefault="00933FBD" w:rsidP="00933FBD">
      <w:pPr>
        <w:rPr>
          <w:rFonts w:ascii="Rockwell" w:hAnsi="Rockwell"/>
        </w:rPr>
      </w:pPr>
      <w:r w:rsidRPr="00CC4F07">
        <w:rPr>
          <w:rFonts w:ascii="Rockwell" w:hAnsi="Rockwell"/>
          <w:b/>
        </w:rPr>
        <w:t>Telephone</w:t>
      </w:r>
      <w:r w:rsidRPr="00CC4F07">
        <w:rPr>
          <w:rFonts w:ascii="Rockwell" w:hAnsi="Rockwell"/>
        </w:rPr>
        <w:t>: (01) 608 0400</w:t>
      </w:r>
    </w:p>
    <w:p w14:paraId="45C17FE2" w14:textId="2BB1292F" w:rsidR="00933FBD" w:rsidRPr="00CC4F07" w:rsidRDefault="00933FBD" w:rsidP="00933FBD">
      <w:pPr>
        <w:rPr>
          <w:rFonts w:ascii="Rockwell" w:hAnsi="Rockwell"/>
        </w:rPr>
      </w:pPr>
      <w:r w:rsidRPr="00CC4F07">
        <w:rPr>
          <w:rFonts w:ascii="Rockwell" w:hAnsi="Rockwell"/>
          <w:b/>
        </w:rPr>
        <w:t>Fax</w:t>
      </w:r>
      <w:r w:rsidRPr="00CC4F07">
        <w:rPr>
          <w:rFonts w:ascii="Rockwell" w:hAnsi="Rockwell"/>
        </w:rPr>
        <w:t>: (01) 660 9935</w:t>
      </w:r>
    </w:p>
    <w:p w14:paraId="3F9D364D" w14:textId="0B2A479C" w:rsidR="00933FBD" w:rsidRPr="00CC4F07" w:rsidRDefault="00933FBD" w:rsidP="00933FBD">
      <w:pPr>
        <w:rPr>
          <w:rFonts w:ascii="Rockwell" w:hAnsi="Rockwell"/>
          <w:b/>
        </w:rPr>
      </w:pPr>
      <w:hyperlink r:id="rId13" w:history="1">
        <w:r w:rsidRPr="00CC4F07">
          <w:rPr>
            <w:rStyle w:val="Hyperlink"/>
            <w:rFonts w:ascii="Rockwell" w:hAnsi="Rockwell"/>
            <w:b/>
          </w:rPr>
          <w:t>www.nda.ie</w:t>
        </w:r>
      </w:hyperlink>
    </w:p>
    <w:p w14:paraId="33700BDD" w14:textId="2F16DDDE" w:rsidR="00912D4C" w:rsidRPr="00605447" w:rsidRDefault="001330A5" w:rsidP="00605447">
      <w:pPr>
        <w:spacing w:before="4920"/>
        <w:rPr>
          <w:rFonts w:ascii="Rockwell" w:hAnsi="Rockwell"/>
          <w:b/>
          <w:bCs/>
          <w:color w:val="000000" w:themeColor="text1"/>
          <w:sz w:val="32"/>
          <w:szCs w:val="32"/>
        </w:rPr>
      </w:pPr>
      <w:r w:rsidRPr="00CC4F07">
        <w:rPr>
          <w:rFonts w:ascii="Rockwell" w:hAnsi="Rockwell"/>
          <w:b/>
          <w:bCs/>
          <w:color w:val="000000" w:themeColor="text1"/>
          <w:sz w:val="32"/>
          <w:szCs w:val="32"/>
        </w:rPr>
        <w:t xml:space="preserve">National Disability Authority is the statutory body providing independent and evidence informed advice on disability policy and practice to the </w:t>
      </w:r>
      <w:proofErr w:type="gramStart"/>
      <w:r w:rsidRPr="00CC4F07">
        <w:rPr>
          <w:rFonts w:ascii="Rockwell" w:hAnsi="Rockwell"/>
          <w:b/>
          <w:bCs/>
          <w:color w:val="000000" w:themeColor="text1"/>
          <w:sz w:val="32"/>
          <w:szCs w:val="32"/>
        </w:rPr>
        <w:t>Government, and</w:t>
      </w:r>
      <w:proofErr w:type="gramEnd"/>
      <w:r w:rsidRPr="00CC4F07">
        <w:rPr>
          <w:rFonts w:ascii="Rockwell" w:hAnsi="Rockwell"/>
          <w:b/>
          <w:bCs/>
          <w:color w:val="000000" w:themeColor="text1"/>
          <w:sz w:val="32"/>
          <w:szCs w:val="32"/>
        </w:rPr>
        <w:t xml:space="preserve"> promoting Universal Design in Ireland.</w:t>
      </w:r>
    </w:p>
    <w:sectPr w:rsidR="00912D4C" w:rsidRPr="00605447" w:rsidSect="000227F0">
      <w:pgSz w:w="12240" w:h="15840"/>
      <w:pgMar w:top="1418" w:right="1758" w:bottom="1418" w:left="175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8"/>
    </wne:keymap>
    <wne:keymap wne:kcmPrimary="0232">
      <wne:acd wne:acdName="acd9"/>
    </wne:keymap>
    <wne:keymap wne:kcmPrimary="0233">
      <wne:acd wne:acdName="acd10"/>
    </wne:keymap>
    <wne:keymap wne:kcmPrimary="0234">
      <wne:acd wne:acdName="acd11"/>
    </wne:keymap>
    <wne:keymap wne:kcmPrimary="0237">
      <wne:acd wne:acdName="acd4"/>
    </wne:keymap>
    <wne:keymap wne:kcmPrimary="0239">
      <wne:acd wne:acdName="acd6"/>
    </wne:keymap>
    <wne:keymap wne:kcmPrimary="0337">
      <wne:acd wne:acdName="acd5"/>
    </wne:keymap>
    <wne:keymap wne:kcmPrimary="0338">
      <wne:acd wne:acdName="acd3"/>
    </wne:keymap>
    <wne:keymap wne:kcmPrimary="0339">
      <wne:acd wne:acdName="acd7"/>
    </wne:keymap>
    <wne:keymap wne:kcmPrimary="034C">
      <wne:acd wne:acdName="acd2"/>
    </wne:keymap>
    <wne:keymap wne:kcmPrimary="034E">
      <wne:acd wne:acdName="acd0"/>
    </wne:keymap>
    <wne:keymap wne:kcmPrimary="0648">
      <wne:acd wne:acdName="acd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rgValue="AQAAAAAA" wne:acdName="acd0" wne:fciIndexBasedOn="0065"/>
    <wne:acd wne:argValue="AQAAAEwA" wne:acdName="acd1" wne:fciIndexBasedOn="0065"/>
    <wne:acd wne:argValue="AQAAADAA" wne:acdName="acd2" wne:fciIndexBasedOn="0065"/>
    <wne:acd wne:argValue="AQAAADYA" wne:acdName="acd3" wne:fciIndexBasedOn="0065"/>
    <wne:acd wne:argValue="AQAAAEQA" wne:acdName="acd4" wne:fciIndexBasedOn="0065"/>
    <wne:acd wne:argValue="AQAAAEUA" wne:acdName="acd5" wne:fciIndexBasedOn="0065"/>
    <wne:acd wne:argValue="AQAAADEA" wne:acdName="acd6" wne:fciIndexBasedOn="0065"/>
    <wne:acd wne:argValue="AQAAADoA" wne:acdName="acd7" wne:fciIndexBasedOn="0065"/>
    <wne:acd wne:argValue="AQAAAAEA" wne:acdName="acd8" wne:fciIndexBasedOn="0065"/>
    <wne:acd wne:argValue="AQAAAAIA" wne:acdName="acd9" wne:fciIndexBasedOn="0065"/>
    <wne:acd wne:argValue="AQAAAAMA" wne:acdName="acd10" wne:fciIndexBasedOn="0065"/>
    <wne:acd wne:argValue="AQAAAAQA" wne:acdName="acd1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B35D" w14:textId="77777777" w:rsidR="00DC4B4E" w:rsidRDefault="00DC4B4E">
      <w:r>
        <w:separator/>
      </w:r>
    </w:p>
  </w:endnote>
  <w:endnote w:type="continuationSeparator" w:id="0">
    <w:p w14:paraId="0E1FE8BC" w14:textId="77777777" w:rsidR="00DC4B4E" w:rsidRDefault="00DC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4FC7" w14:textId="77777777" w:rsidR="00DC4B4E" w:rsidRDefault="00DC4B4E" w:rsidP="005F1ACE">
    <w:pPr>
      <w:pStyle w:val="Foot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65443"/>
      <w:docPartObj>
        <w:docPartGallery w:val="Page Numbers (Bottom of Page)"/>
        <w:docPartUnique/>
      </w:docPartObj>
    </w:sdtPr>
    <w:sdtEndPr/>
    <w:sdtContent>
      <w:p w14:paraId="4FBC7FA5" w14:textId="13F98EE2" w:rsidR="00DC4B4E" w:rsidRDefault="00DC4B4E">
        <w:pPr>
          <w:pStyle w:val="Footer"/>
          <w:jc w:val="right"/>
        </w:pPr>
        <w:r w:rsidRPr="00221914">
          <w:rPr>
            <w:b/>
            <w:sz w:val="24"/>
            <w:szCs w:val="24"/>
          </w:rPr>
          <w:fldChar w:fldCharType="begin"/>
        </w:r>
        <w:r w:rsidRPr="00221914">
          <w:rPr>
            <w:b/>
            <w:sz w:val="24"/>
            <w:szCs w:val="24"/>
          </w:rPr>
          <w:instrText xml:space="preserve"> PAGE   \* MERGEFORMAT </w:instrText>
        </w:r>
        <w:r w:rsidRPr="00221914">
          <w:rPr>
            <w:b/>
            <w:sz w:val="24"/>
            <w:szCs w:val="24"/>
          </w:rPr>
          <w:fldChar w:fldCharType="separate"/>
        </w:r>
        <w:r w:rsidR="00691B39">
          <w:rPr>
            <w:b/>
            <w:noProof/>
            <w:sz w:val="24"/>
            <w:szCs w:val="24"/>
          </w:rPr>
          <w:t>19</w:t>
        </w:r>
        <w:r w:rsidRPr="00221914">
          <w:rPr>
            <w:b/>
            <w:sz w:val="24"/>
            <w:szCs w:val="24"/>
          </w:rPr>
          <w:fldChar w:fldCharType="end"/>
        </w:r>
      </w:p>
    </w:sdtContent>
  </w:sdt>
  <w:p w14:paraId="0D79C851" w14:textId="77777777" w:rsidR="00DC4B4E" w:rsidRDefault="00DC4B4E" w:rsidP="005F1AC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1B84" w14:textId="77777777" w:rsidR="00DC4B4E" w:rsidRDefault="00DC4B4E">
      <w:r>
        <w:separator/>
      </w:r>
    </w:p>
  </w:footnote>
  <w:footnote w:type="continuationSeparator" w:id="0">
    <w:p w14:paraId="3164D17C" w14:textId="77777777" w:rsidR="00DC4B4E" w:rsidRDefault="00DC4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9C0E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66C1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D048E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219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48F8E4"/>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0" w15:restartNumberingAfterBreak="0">
    <w:nsid w:val="048A55B0"/>
    <w:multiLevelType w:val="hybridMultilevel"/>
    <w:tmpl w:val="09EE7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A5F7F70"/>
    <w:multiLevelType w:val="multilevel"/>
    <w:tmpl w:val="A56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900D9"/>
    <w:multiLevelType w:val="hybridMultilevel"/>
    <w:tmpl w:val="6FEE9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87E4960"/>
    <w:multiLevelType w:val="hybridMultilevel"/>
    <w:tmpl w:val="34CA7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8ED62C2"/>
    <w:multiLevelType w:val="hybridMultilevel"/>
    <w:tmpl w:val="2766F2FE"/>
    <w:lvl w:ilvl="0" w:tplc="B04E373A">
      <w:start w:val="3"/>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3606520"/>
    <w:multiLevelType w:val="hybridMultilevel"/>
    <w:tmpl w:val="3BE4015C"/>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472599"/>
    <w:multiLevelType w:val="hybridMultilevel"/>
    <w:tmpl w:val="2BFE1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7006070"/>
    <w:multiLevelType w:val="hybridMultilevel"/>
    <w:tmpl w:val="01825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8770C45"/>
    <w:multiLevelType w:val="hybridMultilevel"/>
    <w:tmpl w:val="ACFE2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76369C"/>
    <w:multiLevelType w:val="hybridMultilevel"/>
    <w:tmpl w:val="6D5A7FC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822361F"/>
    <w:multiLevelType w:val="hybridMultilevel"/>
    <w:tmpl w:val="F598659E"/>
    <w:lvl w:ilvl="0" w:tplc="B78029B0">
      <w:start w:val="1"/>
      <w:numFmt w:val="bullet"/>
      <w:lvlText w:val="•"/>
      <w:lvlJc w:val="left"/>
      <w:pPr>
        <w:tabs>
          <w:tab w:val="num" w:pos="720"/>
        </w:tabs>
        <w:ind w:left="720" w:hanging="360"/>
      </w:pPr>
      <w:rPr>
        <w:rFonts w:ascii="Times New Roman" w:hAnsi="Times New Roman" w:hint="default"/>
      </w:rPr>
    </w:lvl>
    <w:lvl w:ilvl="1" w:tplc="8D3CB6EA" w:tentative="1">
      <w:start w:val="1"/>
      <w:numFmt w:val="bullet"/>
      <w:lvlText w:val="•"/>
      <w:lvlJc w:val="left"/>
      <w:pPr>
        <w:tabs>
          <w:tab w:val="num" w:pos="1440"/>
        </w:tabs>
        <w:ind w:left="1440" w:hanging="360"/>
      </w:pPr>
      <w:rPr>
        <w:rFonts w:ascii="Times New Roman" w:hAnsi="Times New Roman" w:hint="default"/>
      </w:rPr>
    </w:lvl>
    <w:lvl w:ilvl="2" w:tplc="E036F1E8" w:tentative="1">
      <w:start w:val="1"/>
      <w:numFmt w:val="bullet"/>
      <w:lvlText w:val="•"/>
      <w:lvlJc w:val="left"/>
      <w:pPr>
        <w:tabs>
          <w:tab w:val="num" w:pos="2160"/>
        </w:tabs>
        <w:ind w:left="2160" w:hanging="360"/>
      </w:pPr>
      <w:rPr>
        <w:rFonts w:ascii="Times New Roman" w:hAnsi="Times New Roman" w:hint="default"/>
      </w:rPr>
    </w:lvl>
    <w:lvl w:ilvl="3" w:tplc="130E7810" w:tentative="1">
      <w:start w:val="1"/>
      <w:numFmt w:val="bullet"/>
      <w:lvlText w:val="•"/>
      <w:lvlJc w:val="left"/>
      <w:pPr>
        <w:tabs>
          <w:tab w:val="num" w:pos="2880"/>
        </w:tabs>
        <w:ind w:left="2880" w:hanging="360"/>
      </w:pPr>
      <w:rPr>
        <w:rFonts w:ascii="Times New Roman" w:hAnsi="Times New Roman" w:hint="default"/>
      </w:rPr>
    </w:lvl>
    <w:lvl w:ilvl="4" w:tplc="7048096C" w:tentative="1">
      <w:start w:val="1"/>
      <w:numFmt w:val="bullet"/>
      <w:lvlText w:val="•"/>
      <w:lvlJc w:val="left"/>
      <w:pPr>
        <w:tabs>
          <w:tab w:val="num" w:pos="3600"/>
        </w:tabs>
        <w:ind w:left="3600" w:hanging="360"/>
      </w:pPr>
      <w:rPr>
        <w:rFonts w:ascii="Times New Roman" w:hAnsi="Times New Roman" w:hint="default"/>
      </w:rPr>
    </w:lvl>
    <w:lvl w:ilvl="5" w:tplc="F474A87A" w:tentative="1">
      <w:start w:val="1"/>
      <w:numFmt w:val="bullet"/>
      <w:lvlText w:val="•"/>
      <w:lvlJc w:val="left"/>
      <w:pPr>
        <w:tabs>
          <w:tab w:val="num" w:pos="4320"/>
        </w:tabs>
        <w:ind w:left="4320" w:hanging="360"/>
      </w:pPr>
      <w:rPr>
        <w:rFonts w:ascii="Times New Roman" w:hAnsi="Times New Roman" w:hint="default"/>
      </w:rPr>
    </w:lvl>
    <w:lvl w:ilvl="6" w:tplc="FC36284C" w:tentative="1">
      <w:start w:val="1"/>
      <w:numFmt w:val="bullet"/>
      <w:lvlText w:val="•"/>
      <w:lvlJc w:val="left"/>
      <w:pPr>
        <w:tabs>
          <w:tab w:val="num" w:pos="5040"/>
        </w:tabs>
        <w:ind w:left="5040" w:hanging="360"/>
      </w:pPr>
      <w:rPr>
        <w:rFonts w:ascii="Times New Roman" w:hAnsi="Times New Roman" w:hint="default"/>
      </w:rPr>
    </w:lvl>
    <w:lvl w:ilvl="7" w:tplc="4920C364" w:tentative="1">
      <w:start w:val="1"/>
      <w:numFmt w:val="bullet"/>
      <w:lvlText w:val="•"/>
      <w:lvlJc w:val="left"/>
      <w:pPr>
        <w:tabs>
          <w:tab w:val="num" w:pos="5760"/>
        </w:tabs>
        <w:ind w:left="5760" w:hanging="360"/>
      </w:pPr>
      <w:rPr>
        <w:rFonts w:ascii="Times New Roman" w:hAnsi="Times New Roman" w:hint="default"/>
      </w:rPr>
    </w:lvl>
    <w:lvl w:ilvl="8" w:tplc="844E305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52E3561"/>
    <w:multiLevelType w:val="hybridMultilevel"/>
    <w:tmpl w:val="3286C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6F03B0A"/>
    <w:multiLevelType w:val="hybridMultilevel"/>
    <w:tmpl w:val="5224B534"/>
    <w:lvl w:ilvl="0" w:tplc="26E47992">
      <w:start w:val="1"/>
      <w:numFmt w:val="bullet"/>
      <w:lvlText w:val="•"/>
      <w:lvlJc w:val="left"/>
      <w:pPr>
        <w:tabs>
          <w:tab w:val="num" w:pos="720"/>
        </w:tabs>
        <w:ind w:left="720" w:hanging="360"/>
      </w:pPr>
      <w:rPr>
        <w:rFonts w:ascii="Times New Roman" w:hAnsi="Times New Roman" w:hint="default"/>
      </w:rPr>
    </w:lvl>
    <w:lvl w:ilvl="1" w:tplc="721C1810" w:tentative="1">
      <w:start w:val="1"/>
      <w:numFmt w:val="bullet"/>
      <w:lvlText w:val="•"/>
      <w:lvlJc w:val="left"/>
      <w:pPr>
        <w:tabs>
          <w:tab w:val="num" w:pos="1440"/>
        </w:tabs>
        <w:ind w:left="1440" w:hanging="360"/>
      </w:pPr>
      <w:rPr>
        <w:rFonts w:ascii="Times New Roman" w:hAnsi="Times New Roman" w:hint="default"/>
      </w:rPr>
    </w:lvl>
    <w:lvl w:ilvl="2" w:tplc="8BAE3E9E" w:tentative="1">
      <w:start w:val="1"/>
      <w:numFmt w:val="bullet"/>
      <w:lvlText w:val="•"/>
      <w:lvlJc w:val="left"/>
      <w:pPr>
        <w:tabs>
          <w:tab w:val="num" w:pos="2160"/>
        </w:tabs>
        <w:ind w:left="2160" w:hanging="360"/>
      </w:pPr>
      <w:rPr>
        <w:rFonts w:ascii="Times New Roman" w:hAnsi="Times New Roman" w:hint="default"/>
      </w:rPr>
    </w:lvl>
    <w:lvl w:ilvl="3" w:tplc="B038FF6C" w:tentative="1">
      <w:start w:val="1"/>
      <w:numFmt w:val="bullet"/>
      <w:lvlText w:val="•"/>
      <w:lvlJc w:val="left"/>
      <w:pPr>
        <w:tabs>
          <w:tab w:val="num" w:pos="2880"/>
        </w:tabs>
        <w:ind w:left="2880" w:hanging="360"/>
      </w:pPr>
      <w:rPr>
        <w:rFonts w:ascii="Times New Roman" w:hAnsi="Times New Roman" w:hint="default"/>
      </w:rPr>
    </w:lvl>
    <w:lvl w:ilvl="4" w:tplc="604E2AA2" w:tentative="1">
      <w:start w:val="1"/>
      <w:numFmt w:val="bullet"/>
      <w:lvlText w:val="•"/>
      <w:lvlJc w:val="left"/>
      <w:pPr>
        <w:tabs>
          <w:tab w:val="num" w:pos="3600"/>
        </w:tabs>
        <w:ind w:left="3600" w:hanging="360"/>
      </w:pPr>
      <w:rPr>
        <w:rFonts w:ascii="Times New Roman" w:hAnsi="Times New Roman" w:hint="default"/>
      </w:rPr>
    </w:lvl>
    <w:lvl w:ilvl="5" w:tplc="D436D78E" w:tentative="1">
      <w:start w:val="1"/>
      <w:numFmt w:val="bullet"/>
      <w:lvlText w:val="•"/>
      <w:lvlJc w:val="left"/>
      <w:pPr>
        <w:tabs>
          <w:tab w:val="num" w:pos="4320"/>
        </w:tabs>
        <w:ind w:left="4320" w:hanging="360"/>
      </w:pPr>
      <w:rPr>
        <w:rFonts w:ascii="Times New Roman" w:hAnsi="Times New Roman" w:hint="default"/>
      </w:rPr>
    </w:lvl>
    <w:lvl w:ilvl="6" w:tplc="FBF0D75C" w:tentative="1">
      <w:start w:val="1"/>
      <w:numFmt w:val="bullet"/>
      <w:lvlText w:val="•"/>
      <w:lvlJc w:val="left"/>
      <w:pPr>
        <w:tabs>
          <w:tab w:val="num" w:pos="5040"/>
        </w:tabs>
        <w:ind w:left="5040" w:hanging="360"/>
      </w:pPr>
      <w:rPr>
        <w:rFonts w:ascii="Times New Roman" w:hAnsi="Times New Roman" w:hint="default"/>
      </w:rPr>
    </w:lvl>
    <w:lvl w:ilvl="7" w:tplc="9B00DAEC" w:tentative="1">
      <w:start w:val="1"/>
      <w:numFmt w:val="bullet"/>
      <w:lvlText w:val="•"/>
      <w:lvlJc w:val="left"/>
      <w:pPr>
        <w:tabs>
          <w:tab w:val="num" w:pos="5760"/>
        </w:tabs>
        <w:ind w:left="5760" w:hanging="360"/>
      </w:pPr>
      <w:rPr>
        <w:rFonts w:ascii="Times New Roman" w:hAnsi="Times New Roman" w:hint="default"/>
      </w:rPr>
    </w:lvl>
    <w:lvl w:ilvl="8" w:tplc="2118F24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9574727"/>
    <w:multiLevelType w:val="hybridMultilevel"/>
    <w:tmpl w:val="7B1EA94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EE26A15"/>
    <w:multiLevelType w:val="hybridMultilevel"/>
    <w:tmpl w:val="FFA652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E3FE1"/>
    <w:multiLevelType w:val="hybridMultilevel"/>
    <w:tmpl w:val="D9D45010"/>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60769E"/>
    <w:multiLevelType w:val="hybridMultilevel"/>
    <w:tmpl w:val="BEFC7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7F6375"/>
    <w:multiLevelType w:val="hybridMultilevel"/>
    <w:tmpl w:val="B1A473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D7F6966"/>
    <w:multiLevelType w:val="hybridMultilevel"/>
    <w:tmpl w:val="071E5672"/>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EF45234"/>
    <w:multiLevelType w:val="hybridMultilevel"/>
    <w:tmpl w:val="C2FA73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70250088">
    <w:abstractNumId w:val="9"/>
  </w:num>
  <w:num w:numId="2" w16cid:durableId="1231623764">
    <w:abstractNumId w:val="9"/>
  </w:num>
  <w:num w:numId="3" w16cid:durableId="1178427209">
    <w:abstractNumId w:val="7"/>
  </w:num>
  <w:num w:numId="4" w16cid:durableId="182600287">
    <w:abstractNumId w:val="7"/>
  </w:num>
  <w:num w:numId="5" w16cid:durableId="2089881494">
    <w:abstractNumId w:val="6"/>
  </w:num>
  <w:num w:numId="6" w16cid:durableId="753207865">
    <w:abstractNumId w:val="6"/>
  </w:num>
  <w:num w:numId="7" w16cid:durableId="1027758498">
    <w:abstractNumId w:val="8"/>
  </w:num>
  <w:num w:numId="8" w16cid:durableId="132989488">
    <w:abstractNumId w:val="8"/>
  </w:num>
  <w:num w:numId="9" w16cid:durableId="111941113">
    <w:abstractNumId w:val="3"/>
  </w:num>
  <w:num w:numId="10" w16cid:durableId="2095399075">
    <w:abstractNumId w:val="3"/>
  </w:num>
  <w:num w:numId="11" w16cid:durableId="237057827">
    <w:abstractNumId w:val="2"/>
  </w:num>
  <w:num w:numId="12" w16cid:durableId="1561087287">
    <w:abstractNumId w:val="2"/>
  </w:num>
  <w:num w:numId="13" w16cid:durableId="174853562">
    <w:abstractNumId w:val="5"/>
  </w:num>
  <w:num w:numId="14" w16cid:durableId="157618100">
    <w:abstractNumId w:val="4"/>
  </w:num>
  <w:num w:numId="15" w16cid:durableId="419452866">
    <w:abstractNumId w:val="1"/>
  </w:num>
  <w:num w:numId="16" w16cid:durableId="1139685237">
    <w:abstractNumId w:val="0"/>
  </w:num>
  <w:num w:numId="17" w16cid:durableId="1969621709">
    <w:abstractNumId w:val="21"/>
  </w:num>
  <w:num w:numId="18" w16cid:durableId="463276701">
    <w:abstractNumId w:val="15"/>
  </w:num>
  <w:num w:numId="19" w16cid:durableId="118913862">
    <w:abstractNumId w:val="9"/>
  </w:num>
  <w:num w:numId="20" w16cid:durableId="892501250">
    <w:abstractNumId w:val="9"/>
  </w:num>
  <w:num w:numId="21" w16cid:durableId="1269584288">
    <w:abstractNumId w:val="9"/>
  </w:num>
  <w:num w:numId="22" w16cid:durableId="1002659662">
    <w:abstractNumId w:val="9"/>
  </w:num>
  <w:num w:numId="23" w16cid:durableId="448472735">
    <w:abstractNumId w:val="9"/>
  </w:num>
  <w:num w:numId="24" w16cid:durableId="1574970335">
    <w:abstractNumId w:val="9"/>
  </w:num>
  <w:num w:numId="25" w16cid:durableId="860389349">
    <w:abstractNumId w:val="9"/>
  </w:num>
  <w:num w:numId="26" w16cid:durableId="1594631947">
    <w:abstractNumId w:val="9"/>
  </w:num>
  <w:num w:numId="27" w16cid:durableId="1653555357">
    <w:abstractNumId w:val="25"/>
  </w:num>
  <w:num w:numId="28" w16cid:durableId="2111271479">
    <w:abstractNumId w:val="28"/>
  </w:num>
  <w:num w:numId="29" w16cid:durableId="1939169115">
    <w:abstractNumId w:val="29"/>
  </w:num>
  <w:num w:numId="30" w16cid:durableId="1424035527">
    <w:abstractNumId w:val="12"/>
  </w:num>
  <w:num w:numId="31" w16cid:durableId="508372706">
    <w:abstractNumId w:val="24"/>
  </w:num>
  <w:num w:numId="32" w16cid:durableId="504323984">
    <w:abstractNumId w:val="17"/>
  </w:num>
  <w:num w:numId="33" w16cid:durableId="1683048518">
    <w:abstractNumId w:val="18"/>
  </w:num>
  <w:num w:numId="34" w16cid:durableId="1531338883">
    <w:abstractNumId w:val="23"/>
  </w:num>
  <w:num w:numId="35" w16cid:durableId="1656177189">
    <w:abstractNumId w:val="19"/>
  </w:num>
  <w:num w:numId="36" w16cid:durableId="310793057">
    <w:abstractNumId w:val="16"/>
  </w:num>
  <w:num w:numId="37" w16cid:durableId="870343847">
    <w:abstractNumId w:val="22"/>
  </w:num>
  <w:num w:numId="38" w16cid:durableId="1147475239">
    <w:abstractNumId w:val="20"/>
  </w:num>
  <w:num w:numId="39" w16cid:durableId="1833907761">
    <w:abstractNumId w:val="26"/>
  </w:num>
  <w:num w:numId="40" w16cid:durableId="1389186913">
    <w:abstractNumId w:val="11"/>
  </w:num>
  <w:num w:numId="41" w16cid:durableId="245575501">
    <w:abstractNumId w:val="13"/>
  </w:num>
  <w:num w:numId="42" w16cid:durableId="1039861111">
    <w:abstractNumId w:val="14"/>
  </w:num>
  <w:num w:numId="43" w16cid:durableId="434520975">
    <w:abstractNumId w:val="10"/>
  </w:num>
  <w:num w:numId="44" w16cid:durableId="875030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3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C9"/>
    <w:rsid w:val="00001132"/>
    <w:rsid w:val="00007D55"/>
    <w:rsid w:val="0001149E"/>
    <w:rsid w:val="00013F6D"/>
    <w:rsid w:val="000227F0"/>
    <w:rsid w:val="00025200"/>
    <w:rsid w:val="00043876"/>
    <w:rsid w:val="00050DFA"/>
    <w:rsid w:val="00055418"/>
    <w:rsid w:val="00056990"/>
    <w:rsid w:val="000634E4"/>
    <w:rsid w:val="0006407A"/>
    <w:rsid w:val="0006583B"/>
    <w:rsid w:val="00070D40"/>
    <w:rsid w:val="000741D5"/>
    <w:rsid w:val="0009204C"/>
    <w:rsid w:val="000957D0"/>
    <w:rsid w:val="000A182C"/>
    <w:rsid w:val="000A31D6"/>
    <w:rsid w:val="000B16E1"/>
    <w:rsid w:val="000B1AD1"/>
    <w:rsid w:val="000C167D"/>
    <w:rsid w:val="000C187A"/>
    <w:rsid w:val="000C2311"/>
    <w:rsid w:val="000C3324"/>
    <w:rsid w:val="000C4189"/>
    <w:rsid w:val="000C5DEB"/>
    <w:rsid w:val="000C746D"/>
    <w:rsid w:val="000D355F"/>
    <w:rsid w:val="000E2E39"/>
    <w:rsid w:val="000F5FAE"/>
    <w:rsid w:val="001004DA"/>
    <w:rsid w:val="0011058A"/>
    <w:rsid w:val="00117C5F"/>
    <w:rsid w:val="00127864"/>
    <w:rsid w:val="00131DE0"/>
    <w:rsid w:val="001330A5"/>
    <w:rsid w:val="0013443C"/>
    <w:rsid w:val="00135148"/>
    <w:rsid w:val="0013755B"/>
    <w:rsid w:val="001404F3"/>
    <w:rsid w:val="00151E7E"/>
    <w:rsid w:val="001601A7"/>
    <w:rsid w:val="0016023C"/>
    <w:rsid w:val="0016181A"/>
    <w:rsid w:val="00163452"/>
    <w:rsid w:val="00163E3E"/>
    <w:rsid w:val="001656EF"/>
    <w:rsid w:val="00167FB4"/>
    <w:rsid w:val="0017149F"/>
    <w:rsid w:val="00175D02"/>
    <w:rsid w:val="00181FE6"/>
    <w:rsid w:val="00192687"/>
    <w:rsid w:val="00195D48"/>
    <w:rsid w:val="00197829"/>
    <w:rsid w:val="001A141D"/>
    <w:rsid w:val="001A397F"/>
    <w:rsid w:val="001A5687"/>
    <w:rsid w:val="001B4716"/>
    <w:rsid w:val="001B7FD1"/>
    <w:rsid w:val="001C13DD"/>
    <w:rsid w:val="001C2025"/>
    <w:rsid w:val="001C3694"/>
    <w:rsid w:val="001C46A1"/>
    <w:rsid w:val="001C57BF"/>
    <w:rsid w:val="001C699B"/>
    <w:rsid w:val="001E2A94"/>
    <w:rsid w:val="001F0D22"/>
    <w:rsid w:val="001F3C45"/>
    <w:rsid w:val="0020009F"/>
    <w:rsid w:val="00200FB0"/>
    <w:rsid w:val="0020529F"/>
    <w:rsid w:val="00215F9C"/>
    <w:rsid w:val="002172AC"/>
    <w:rsid w:val="00220F14"/>
    <w:rsid w:val="00221914"/>
    <w:rsid w:val="0022688F"/>
    <w:rsid w:val="00227660"/>
    <w:rsid w:val="00232005"/>
    <w:rsid w:val="00236244"/>
    <w:rsid w:val="0024037C"/>
    <w:rsid w:val="00243479"/>
    <w:rsid w:val="00246AF6"/>
    <w:rsid w:val="0026506B"/>
    <w:rsid w:val="00265A74"/>
    <w:rsid w:val="00285CDC"/>
    <w:rsid w:val="0028750A"/>
    <w:rsid w:val="0028760E"/>
    <w:rsid w:val="00287B8E"/>
    <w:rsid w:val="002920D6"/>
    <w:rsid w:val="002A4856"/>
    <w:rsid w:val="002A6A44"/>
    <w:rsid w:val="002A6CB0"/>
    <w:rsid w:val="002B02DC"/>
    <w:rsid w:val="002B2671"/>
    <w:rsid w:val="002B40E2"/>
    <w:rsid w:val="002B6DC5"/>
    <w:rsid w:val="002C425C"/>
    <w:rsid w:val="002D100B"/>
    <w:rsid w:val="002D4CDD"/>
    <w:rsid w:val="002E5047"/>
    <w:rsid w:val="002F4A38"/>
    <w:rsid w:val="00301706"/>
    <w:rsid w:val="00302ECD"/>
    <w:rsid w:val="0030475A"/>
    <w:rsid w:val="00310802"/>
    <w:rsid w:val="0032118D"/>
    <w:rsid w:val="00323406"/>
    <w:rsid w:val="003315A5"/>
    <w:rsid w:val="003344BB"/>
    <w:rsid w:val="0033532B"/>
    <w:rsid w:val="003360CC"/>
    <w:rsid w:val="00343931"/>
    <w:rsid w:val="00347D16"/>
    <w:rsid w:val="00351528"/>
    <w:rsid w:val="003520CA"/>
    <w:rsid w:val="00353113"/>
    <w:rsid w:val="0035615E"/>
    <w:rsid w:val="003564FD"/>
    <w:rsid w:val="00362212"/>
    <w:rsid w:val="00366087"/>
    <w:rsid w:val="003663D2"/>
    <w:rsid w:val="00377641"/>
    <w:rsid w:val="00380CE7"/>
    <w:rsid w:val="00385995"/>
    <w:rsid w:val="00386B09"/>
    <w:rsid w:val="003920B1"/>
    <w:rsid w:val="003A432F"/>
    <w:rsid w:val="003A4476"/>
    <w:rsid w:val="003A44C8"/>
    <w:rsid w:val="003B10EC"/>
    <w:rsid w:val="003B27B0"/>
    <w:rsid w:val="003B315D"/>
    <w:rsid w:val="003B7673"/>
    <w:rsid w:val="003B7D53"/>
    <w:rsid w:val="003C4017"/>
    <w:rsid w:val="003C5F6C"/>
    <w:rsid w:val="003C713A"/>
    <w:rsid w:val="003D16B4"/>
    <w:rsid w:val="003D6FD5"/>
    <w:rsid w:val="003E0123"/>
    <w:rsid w:val="003E0E77"/>
    <w:rsid w:val="003E14DD"/>
    <w:rsid w:val="003E24F8"/>
    <w:rsid w:val="003F080B"/>
    <w:rsid w:val="003F23C1"/>
    <w:rsid w:val="003F7A68"/>
    <w:rsid w:val="00400986"/>
    <w:rsid w:val="004067FB"/>
    <w:rsid w:val="00412EE4"/>
    <w:rsid w:val="00417174"/>
    <w:rsid w:val="0042084E"/>
    <w:rsid w:val="00424EBB"/>
    <w:rsid w:val="004267E5"/>
    <w:rsid w:val="00437BB7"/>
    <w:rsid w:val="00440231"/>
    <w:rsid w:val="00441696"/>
    <w:rsid w:val="00446828"/>
    <w:rsid w:val="00447B6B"/>
    <w:rsid w:val="00447EB8"/>
    <w:rsid w:val="0045186D"/>
    <w:rsid w:val="00467767"/>
    <w:rsid w:val="0047035F"/>
    <w:rsid w:val="004772BA"/>
    <w:rsid w:val="0048344C"/>
    <w:rsid w:val="00485ED6"/>
    <w:rsid w:val="00486275"/>
    <w:rsid w:val="004865F3"/>
    <w:rsid w:val="00492427"/>
    <w:rsid w:val="004934C9"/>
    <w:rsid w:val="004A0274"/>
    <w:rsid w:val="004A49D1"/>
    <w:rsid w:val="004B128C"/>
    <w:rsid w:val="004B141D"/>
    <w:rsid w:val="004B1FFE"/>
    <w:rsid w:val="004B3A30"/>
    <w:rsid w:val="004B7728"/>
    <w:rsid w:val="004C20E1"/>
    <w:rsid w:val="004C5836"/>
    <w:rsid w:val="004E1468"/>
    <w:rsid w:val="004E31A2"/>
    <w:rsid w:val="004E3FD1"/>
    <w:rsid w:val="004E7766"/>
    <w:rsid w:val="004F2058"/>
    <w:rsid w:val="00501ACE"/>
    <w:rsid w:val="0051039D"/>
    <w:rsid w:val="00510ED7"/>
    <w:rsid w:val="00512B8C"/>
    <w:rsid w:val="00513D03"/>
    <w:rsid w:val="00517AF3"/>
    <w:rsid w:val="005222A1"/>
    <w:rsid w:val="00522D5D"/>
    <w:rsid w:val="00525713"/>
    <w:rsid w:val="00545B54"/>
    <w:rsid w:val="00554CF5"/>
    <w:rsid w:val="00561AFA"/>
    <w:rsid w:val="005667B0"/>
    <w:rsid w:val="00566B5A"/>
    <w:rsid w:val="00584A15"/>
    <w:rsid w:val="0059092F"/>
    <w:rsid w:val="00595122"/>
    <w:rsid w:val="00597C8F"/>
    <w:rsid w:val="005A0E40"/>
    <w:rsid w:val="005A14ED"/>
    <w:rsid w:val="005A5BB6"/>
    <w:rsid w:val="005A6537"/>
    <w:rsid w:val="005B7538"/>
    <w:rsid w:val="005C17F2"/>
    <w:rsid w:val="005C292B"/>
    <w:rsid w:val="005C5906"/>
    <w:rsid w:val="005C6EEC"/>
    <w:rsid w:val="005D0B7C"/>
    <w:rsid w:val="005D1A87"/>
    <w:rsid w:val="005D27CF"/>
    <w:rsid w:val="005D3FCD"/>
    <w:rsid w:val="005D4C6D"/>
    <w:rsid w:val="005E680A"/>
    <w:rsid w:val="005E75D0"/>
    <w:rsid w:val="005F1ACE"/>
    <w:rsid w:val="00602FA0"/>
    <w:rsid w:val="00605447"/>
    <w:rsid w:val="00606483"/>
    <w:rsid w:val="00632CB4"/>
    <w:rsid w:val="00633D4D"/>
    <w:rsid w:val="006430DE"/>
    <w:rsid w:val="00644134"/>
    <w:rsid w:val="0065147B"/>
    <w:rsid w:val="00652250"/>
    <w:rsid w:val="006535CC"/>
    <w:rsid w:val="0065492E"/>
    <w:rsid w:val="00657104"/>
    <w:rsid w:val="0066086A"/>
    <w:rsid w:val="006632AE"/>
    <w:rsid w:val="0066753D"/>
    <w:rsid w:val="00676CE1"/>
    <w:rsid w:val="00681B4C"/>
    <w:rsid w:val="00682DFA"/>
    <w:rsid w:val="006858DC"/>
    <w:rsid w:val="00686C13"/>
    <w:rsid w:val="00687DCF"/>
    <w:rsid w:val="006914A6"/>
    <w:rsid w:val="00691B39"/>
    <w:rsid w:val="00697BE6"/>
    <w:rsid w:val="006A1A0E"/>
    <w:rsid w:val="006A1CA1"/>
    <w:rsid w:val="006A2CE0"/>
    <w:rsid w:val="006A3D52"/>
    <w:rsid w:val="006A7A85"/>
    <w:rsid w:val="006B08D7"/>
    <w:rsid w:val="006B2D41"/>
    <w:rsid w:val="006D0030"/>
    <w:rsid w:val="006D3708"/>
    <w:rsid w:val="006D3AED"/>
    <w:rsid w:val="006D4CF7"/>
    <w:rsid w:val="006D697C"/>
    <w:rsid w:val="006E0C75"/>
    <w:rsid w:val="006E2347"/>
    <w:rsid w:val="006E4B35"/>
    <w:rsid w:val="006F25EC"/>
    <w:rsid w:val="006F4A00"/>
    <w:rsid w:val="006F7AC0"/>
    <w:rsid w:val="007004C1"/>
    <w:rsid w:val="00714529"/>
    <w:rsid w:val="0071585A"/>
    <w:rsid w:val="00715E40"/>
    <w:rsid w:val="00722B90"/>
    <w:rsid w:val="00726ED7"/>
    <w:rsid w:val="00736A6D"/>
    <w:rsid w:val="007456A1"/>
    <w:rsid w:val="007608EF"/>
    <w:rsid w:val="00762D09"/>
    <w:rsid w:val="0076659D"/>
    <w:rsid w:val="0077320E"/>
    <w:rsid w:val="007779F3"/>
    <w:rsid w:val="00777A99"/>
    <w:rsid w:val="0078199C"/>
    <w:rsid w:val="007830F3"/>
    <w:rsid w:val="00783EE5"/>
    <w:rsid w:val="007863D9"/>
    <w:rsid w:val="00794041"/>
    <w:rsid w:val="00794427"/>
    <w:rsid w:val="00797E7A"/>
    <w:rsid w:val="007A20CB"/>
    <w:rsid w:val="007A6BF8"/>
    <w:rsid w:val="007B2487"/>
    <w:rsid w:val="007B31B9"/>
    <w:rsid w:val="007B381B"/>
    <w:rsid w:val="007B423D"/>
    <w:rsid w:val="007B6238"/>
    <w:rsid w:val="007B6488"/>
    <w:rsid w:val="007C1D90"/>
    <w:rsid w:val="007C73F7"/>
    <w:rsid w:val="007D71FC"/>
    <w:rsid w:val="007D7821"/>
    <w:rsid w:val="007E29E1"/>
    <w:rsid w:val="007E3926"/>
    <w:rsid w:val="007E71EB"/>
    <w:rsid w:val="007F2DF6"/>
    <w:rsid w:val="007F3CC4"/>
    <w:rsid w:val="007F5827"/>
    <w:rsid w:val="00806FD0"/>
    <w:rsid w:val="008160E2"/>
    <w:rsid w:val="008206C9"/>
    <w:rsid w:val="0082605A"/>
    <w:rsid w:val="0082665E"/>
    <w:rsid w:val="0082671C"/>
    <w:rsid w:val="00831FA1"/>
    <w:rsid w:val="00835A6B"/>
    <w:rsid w:val="00841AEA"/>
    <w:rsid w:val="00843F70"/>
    <w:rsid w:val="0085204E"/>
    <w:rsid w:val="00853F30"/>
    <w:rsid w:val="00856BF4"/>
    <w:rsid w:val="00857311"/>
    <w:rsid w:val="008608FB"/>
    <w:rsid w:val="0086246B"/>
    <w:rsid w:val="008661B2"/>
    <w:rsid w:val="00866EFD"/>
    <w:rsid w:val="008713A0"/>
    <w:rsid w:val="008742FE"/>
    <w:rsid w:val="00883D49"/>
    <w:rsid w:val="00884DC3"/>
    <w:rsid w:val="0089009F"/>
    <w:rsid w:val="00890CD9"/>
    <w:rsid w:val="008912B6"/>
    <w:rsid w:val="008A4022"/>
    <w:rsid w:val="008B1587"/>
    <w:rsid w:val="008B4A0F"/>
    <w:rsid w:val="008C2800"/>
    <w:rsid w:val="008C3982"/>
    <w:rsid w:val="008C4581"/>
    <w:rsid w:val="008C48C5"/>
    <w:rsid w:val="008D19ED"/>
    <w:rsid w:val="008E25E6"/>
    <w:rsid w:val="008E7D3B"/>
    <w:rsid w:val="008F146A"/>
    <w:rsid w:val="008F29EC"/>
    <w:rsid w:val="008F2C4F"/>
    <w:rsid w:val="00904000"/>
    <w:rsid w:val="009048F1"/>
    <w:rsid w:val="00905924"/>
    <w:rsid w:val="00905F17"/>
    <w:rsid w:val="00912D4C"/>
    <w:rsid w:val="00920BB7"/>
    <w:rsid w:val="009222D3"/>
    <w:rsid w:val="00933FBD"/>
    <w:rsid w:val="009415DA"/>
    <w:rsid w:val="00951399"/>
    <w:rsid w:val="0096797C"/>
    <w:rsid w:val="00970D41"/>
    <w:rsid w:val="0097719D"/>
    <w:rsid w:val="00992923"/>
    <w:rsid w:val="009A70C3"/>
    <w:rsid w:val="009A73EA"/>
    <w:rsid w:val="009A749D"/>
    <w:rsid w:val="009B11ED"/>
    <w:rsid w:val="009C3BD7"/>
    <w:rsid w:val="009C4D62"/>
    <w:rsid w:val="009D118E"/>
    <w:rsid w:val="009D37E8"/>
    <w:rsid w:val="009D673A"/>
    <w:rsid w:val="009F2524"/>
    <w:rsid w:val="009F3259"/>
    <w:rsid w:val="009F6E8B"/>
    <w:rsid w:val="009F7892"/>
    <w:rsid w:val="00A010C7"/>
    <w:rsid w:val="00A024FB"/>
    <w:rsid w:val="00A051D3"/>
    <w:rsid w:val="00A05270"/>
    <w:rsid w:val="00A1079C"/>
    <w:rsid w:val="00A14657"/>
    <w:rsid w:val="00A21120"/>
    <w:rsid w:val="00A24F25"/>
    <w:rsid w:val="00A265ED"/>
    <w:rsid w:val="00A30475"/>
    <w:rsid w:val="00A422BF"/>
    <w:rsid w:val="00A43F77"/>
    <w:rsid w:val="00A443B9"/>
    <w:rsid w:val="00A502DF"/>
    <w:rsid w:val="00A50979"/>
    <w:rsid w:val="00A723A0"/>
    <w:rsid w:val="00A73BA2"/>
    <w:rsid w:val="00A73CC0"/>
    <w:rsid w:val="00A743C5"/>
    <w:rsid w:val="00A769D0"/>
    <w:rsid w:val="00A801F0"/>
    <w:rsid w:val="00A82A07"/>
    <w:rsid w:val="00A84FAF"/>
    <w:rsid w:val="00A87E1B"/>
    <w:rsid w:val="00AA356B"/>
    <w:rsid w:val="00AA61A4"/>
    <w:rsid w:val="00AA7467"/>
    <w:rsid w:val="00AB1969"/>
    <w:rsid w:val="00AB2AC4"/>
    <w:rsid w:val="00AC484F"/>
    <w:rsid w:val="00AC63A0"/>
    <w:rsid w:val="00AC7663"/>
    <w:rsid w:val="00AD64E6"/>
    <w:rsid w:val="00AE0682"/>
    <w:rsid w:val="00AE4FE6"/>
    <w:rsid w:val="00AE7CD9"/>
    <w:rsid w:val="00AF33CE"/>
    <w:rsid w:val="00AF3874"/>
    <w:rsid w:val="00AF49C0"/>
    <w:rsid w:val="00B03705"/>
    <w:rsid w:val="00B0590E"/>
    <w:rsid w:val="00B05D5D"/>
    <w:rsid w:val="00B06653"/>
    <w:rsid w:val="00B22A5F"/>
    <w:rsid w:val="00B23B33"/>
    <w:rsid w:val="00B23B42"/>
    <w:rsid w:val="00B27EDE"/>
    <w:rsid w:val="00B3019D"/>
    <w:rsid w:val="00B32A44"/>
    <w:rsid w:val="00B40D99"/>
    <w:rsid w:val="00B43703"/>
    <w:rsid w:val="00B43B94"/>
    <w:rsid w:val="00B43D89"/>
    <w:rsid w:val="00B50256"/>
    <w:rsid w:val="00B5440F"/>
    <w:rsid w:val="00B55A54"/>
    <w:rsid w:val="00B703D7"/>
    <w:rsid w:val="00B723C8"/>
    <w:rsid w:val="00B75924"/>
    <w:rsid w:val="00B76547"/>
    <w:rsid w:val="00B837E6"/>
    <w:rsid w:val="00B92E45"/>
    <w:rsid w:val="00B95E1A"/>
    <w:rsid w:val="00B961C4"/>
    <w:rsid w:val="00BA2579"/>
    <w:rsid w:val="00BB3656"/>
    <w:rsid w:val="00BB685C"/>
    <w:rsid w:val="00BC055B"/>
    <w:rsid w:val="00BC360E"/>
    <w:rsid w:val="00BC74C2"/>
    <w:rsid w:val="00BD03A8"/>
    <w:rsid w:val="00BD0DCA"/>
    <w:rsid w:val="00BD1FC7"/>
    <w:rsid w:val="00BD464F"/>
    <w:rsid w:val="00BE094E"/>
    <w:rsid w:val="00BE2137"/>
    <w:rsid w:val="00BE2A70"/>
    <w:rsid w:val="00BE33FC"/>
    <w:rsid w:val="00BE3DCC"/>
    <w:rsid w:val="00BF340C"/>
    <w:rsid w:val="00C023F0"/>
    <w:rsid w:val="00C02E6F"/>
    <w:rsid w:val="00C05226"/>
    <w:rsid w:val="00C13B60"/>
    <w:rsid w:val="00C1434E"/>
    <w:rsid w:val="00C14F4A"/>
    <w:rsid w:val="00C154AE"/>
    <w:rsid w:val="00C25374"/>
    <w:rsid w:val="00C37437"/>
    <w:rsid w:val="00C378DF"/>
    <w:rsid w:val="00C4091F"/>
    <w:rsid w:val="00C44626"/>
    <w:rsid w:val="00C44C6A"/>
    <w:rsid w:val="00C44DE1"/>
    <w:rsid w:val="00C4726E"/>
    <w:rsid w:val="00C479F9"/>
    <w:rsid w:val="00C53D91"/>
    <w:rsid w:val="00C571CE"/>
    <w:rsid w:val="00C61D29"/>
    <w:rsid w:val="00C632F9"/>
    <w:rsid w:val="00C63B44"/>
    <w:rsid w:val="00C67C7F"/>
    <w:rsid w:val="00C70269"/>
    <w:rsid w:val="00C7448C"/>
    <w:rsid w:val="00C74CB5"/>
    <w:rsid w:val="00C801D2"/>
    <w:rsid w:val="00C82FF3"/>
    <w:rsid w:val="00C867C9"/>
    <w:rsid w:val="00C87BE4"/>
    <w:rsid w:val="00CA78B2"/>
    <w:rsid w:val="00CB280C"/>
    <w:rsid w:val="00CB646F"/>
    <w:rsid w:val="00CB719A"/>
    <w:rsid w:val="00CC0837"/>
    <w:rsid w:val="00CC4F07"/>
    <w:rsid w:val="00CD29BD"/>
    <w:rsid w:val="00CD401B"/>
    <w:rsid w:val="00CD5669"/>
    <w:rsid w:val="00CD609F"/>
    <w:rsid w:val="00CE02E7"/>
    <w:rsid w:val="00CE2C3A"/>
    <w:rsid w:val="00CF0714"/>
    <w:rsid w:val="00D02608"/>
    <w:rsid w:val="00D0480D"/>
    <w:rsid w:val="00D07CBC"/>
    <w:rsid w:val="00D162C0"/>
    <w:rsid w:val="00D172E2"/>
    <w:rsid w:val="00D232A3"/>
    <w:rsid w:val="00D2384F"/>
    <w:rsid w:val="00D23CC1"/>
    <w:rsid w:val="00D302F3"/>
    <w:rsid w:val="00D31F9C"/>
    <w:rsid w:val="00D3216F"/>
    <w:rsid w:val="00D3243E"/>
    <w:rsid w:val="00D37BED"/>
    <w:rsid w:val="00D42E14"/>
    <w:rsid w:val="00D4681B"/>
    <w:rsid w:val="00D5081A"/>
    <w:rsid w:val="00D5494F"/>
    <w:rsid w:val="00D555D0"/>
    <w:rsid w:val="00D6342E"/>
    <w:rsid w:val="00D63B27"/>
    <w:rsid w:val="00D70522"/>
    <w:rsid w:val="00D7172A"/>
    <w:rsid w:val="00D74D73"/>
    <w:rsid w:val="00D8491F"/>
    <w:rsid w:val="00D94A1E"/>
    <w:rsid w:val="00D95961"/>
    <w:rsid w:val="00DB1926"/>
    <w:rsid w:val="00DB43B8"/>
    <w:rsid w:val="00DB7A57"/>
    <w:rsid w:val="00DC2643"/>
    <w:rsid w:val="00DC4B4E"/>
    <w:rsid w:val="00DD1880"/>
    <w:rsid w:val="00DE0726"/>
    <w:rsid w:val="00DE0B9D"/>
    <w:rsid w:val="00DE1034"/>
    <w:rsid w:val="00DE4915"/>
    <w:rsid w:val="00DE5A78"/>
    <w:rsid w:val="00DF05A5"/>
    <w:rsid w:val="00DF653D"/>
    <w:rsid w:val="00DF6C80"/>
    <w:rsid w:val="00E02B59"/>
    <w:rsid w:val="00E0796A"/>
    <w:rsid w:val="00E12850"/>
    <w:rsid w:val="00E13D85"/>
    <w:rsid w:val="00E1530B"/>
    <w:rsid w:val="00E23017"/>
    <w:rsid w:val="00E24888"/>
    <w:rsid w:val="00E3089D"/>
    <w:rsid w:val="00E30AFB"/>
    <w:rsid w:val="00E3127B"/>
    <w:rsid w:val="00E407CC"/>
    <w:rsid w:val="00E46D68"/>
    <w:rsid w:val="00E46EF8"/>
    <w:rsid w:val="00E4729F"/>
    <w:rsid w:val="00E53FA6"/>
    <w:rsid w:val="00E611FE"/>
    <w:rsid w:val="00E62832"/>
    <w:rsid w:val="00E62FEE"/>
    <w:rsid w:val="00E9588C"/>
    <w:rsid w:val="00E975D4"/>
    <w:rsid w:val="00EA0F88"/>
    <w:rsid w:val="00EA45AB"/>
    <w:rsid w:val="00EA7B7F"/>
    <w:rsid w:val="00EB583F"/>
    <w:rsid w:val="00EC710F"/>
    <w:rsid w:val="00EE2720"/>
    <w:rsid w:val="00EE33AD"/>
    <w:rsid w:val="00EE3F4E"/>
    <w:rsid w:val="00EE5C72"/>
    <w:rsid w:val="00EF0456"/>
    <w:rsid w:val="00EF1682"/>
    <w:rsid w:val="00F032DC"/>
    <w:rsid w:val="00F11532"/>
    <w:rsid w:val="00F14292"/>
    <w:rsid w:val="00F24BAB"/>
    <w:rsid w:val="00F26A10"/>
    <w:rsid w:val="00F30C46"/>
    <w:rsid w:val="00F351D6"/>
    <w:rsid w:val="00F363AD"/>
    <w:rsid w:val="00F518FD"/>
    <w:rsid w:val="00F53C61"/>
    <w:rsid w:val="00F65A38"/>
    <w:rsid w:val="00F7376D"/>
    <w:rsid w:val="00F73C73"/>
    <w:rsid w:val="00F7792F"/>
    <w:rsid w:val="00F805BA"/>
    <w:rsid w:val="00F81F80"/>
    <w:rsid w:val="00F8567D"/>
    <w:rsid w:val="00F86225"/>
    <w:rsid w:val="00F862E1"/>
    <w:rsid w:val="00F86A80"/>
    <w:rsid w:val="00F93C0E"/>
    <w:rsid w:val="00FA097E"/>
    <w:rsid w:val="00FA4766"/>
    <w:rsid w:val="00FA4A7F"/>
    <w:rsid w:val="00FB410E"/>
    <w:rsid w:val="00FB69F7"/>
    <w:rsid w:val="00FB6BC8"/>
    <w:rsid w:val="00FC4DC9"/>
    <w:rsid w:val="00FD38CE"/>
    <w:rsid w:val="00FE029C"/>
    <w:rsid w:val="00FE25C2"/>
    <w:rsid w:val="00FE63C1"/>
    <w:rsid w:val="00FF23EB"/>
    <w:rsid w:val="00FF26B9"/>
    <w:rsid w:val="00FF4D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1DC53"/>
  <w15:docId w15:val="{31F77EE8-31BB-4C19-8CB7-2F14605B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81A"/>
    <w:pPr>
      <w:spacing w:after="240"/>
    </w:pPr>
    <w:rPr>
      <w:rFonts w:ascii="Gill Sans" w:eastAsia="Times New Roman" w:hAnsi="Gill Sans"/>
      <w:sz w:val="26"/>
      <w:szCs w:val="24"/>
      <w:lang w:eastAsia="en-US"/>
    </w:rPr>
  </w:style>
  <w:style w:type="paragraph" w:styleId="Heading1">
    <w:name w:val="heading 1"/>
    <w:basedOn w:val="Normal"/>
    <w:next w:val="Normal"/>
    <w:link w:val="Heading1Char"/>
    <w:qFormat/>
    <w:rsid w:val="00C44C6A"/>
    <w:pPr>
      <w:keepNext/>
      <w:pBdr>
        <w:top w:val="single" w:sz="4" w:space="4" w:color="auto"/>
        <w:left w:val="single" w:sz="4" w:space="2" w:color="auto"/>
        <w:bottom w:val="single" w:sz="4" w:space="4" w:color="auto"/>
        <w:right w:val="single" w:sz="4" w:space="4" w:color="auto"/>
      </w:pBdr>
      <w:spacing w:before="360"/>
      <w:outlineLvl w:val="0"/>
    </w:pPr>
    <w:rPr>
      <w:rFonts w:cs="Arial"/>
      <w:b/>
      <w:bCs/>
      <w:kern w:val="32"/>
      <w:sz w:val="32"/>
      <w:szCs w:val="32"/>
    </w:rPr>
  </w:style>
  <w:style w:type="paragraph" w:styleId="Heading2">
    <w:name w:val="heading 2"/>
    <w:basedOn w:val="Normal"/>
    <w:next w:val="Normal"/>
    <w:qFormat/>
    <w:rsid w:val="003B10EC"/>
    <w:pPr>
      <w:keepNext/>
      <w:spacing w:after="60"/>
      <w:outlineLvl w:val="1"/>
    </w:pPr>
    <w:rPr>
      <w:rFonts w:cs="Arial Bold"/>
      <w:b/>
      <w:bCs/>
      <w:iCs/>
      <w:sz w:val="28"/>
      <w:szCs w:val="28"/>
    </w:rPr>
  </w:style>
  <w:style w:type="paragraph" w:styleId="Heading3">
    <w:name w:val="heading 3"/>
    <w:basedOn w:val="Normal"/>
    <w:next w:val="Normal"/>
    <w:link w:val="Heading3Char"/>
    <w:qFormat/>
    <w:rsid w:val="003B10EC"/>
    <w:pPr>
      <w:keepNext/>
      <w:spacing w:after="0"/>
      <w:outlineLvl w:val="2"/>
    </w:pPr>
    <w:rPr>
      <w:rFonts w:cs="Arial Bold"/>
      <w:b/>
      <w:bCs/>
    </w:rPr>
  </w:style>
  <w:style w:type="paragraph" w:styleId="Heading4">
    <w:name w:val="heading 4"/>
    <w:basedOn w:val="Normal"/>
    <w:next w:val="Normal"/>
    <w:qFormat/>
    <w:rsid w:val="003B10EC"/>
    <w:pPr>
      <w:keepNext/>
      <w:spacing w:after="0"/>
      <w:outlineLvl w:val="3"/>
    </w:pPr>
    <w:rPr>
      <w:b/>
      <w:bCs/>
      <w:color w:val="333333"/>
    </w:rPr>
  </w:style>
  <w:style w:type="paragraph" w:styleId="Heading5">
    <w:name w:val="heading 5"/>
    <w:basedOn w:val="Normal"/>
    <w:next w:val="Normal"/>
    <w:qFormat/>
    <w:rsid w:val="003B10EC"/>
    <w:pPr>
      <w:spacing w:after="0"/>
      <w:outlineLvl w:val="4"/>
    </w:pPr>
    <w:rPr>
      <w:b/>
      <w:bCs/>
      <w:i/>
      <w:iCs/>
      <w:szCs w:val="26"/>
    </w:rPr>
  </w:style>
  <w:style w:type="paragraph" w:styleId="Heading6">
    <w:name w:val="heading 6"/>
    <w:basedOn w:val="Normal"/>
    <w:next w:val="Normal"/>
    <w:qFormat/>
    <w:rsid w:val="003B10EC"/>
    <w:pPr>
      <w:spacing w:after="0"/>
      <w:outlineLvl w:val="5"/>
    </w:pPr>
    <w:rPr>
      <w:b/>
      <w:bCs/>
      <w:i/>
      <w:sz w:val="22"/>
      <w:szCs w:val="22"/>
    </w:rPr>
  </w:style>
  <w:style w:type="paragraph" w:styleId="Heading7">
    <w:name w:val="heading 7"/>
    <w:basedOn w:val="Normal"/>
    <w:next w:val="Normal"/>
    <w:qFormat/>
    <w:rsid w:val="003B10EC"/>
    <w:pPr>
      <w:keepNext/>
      <w:spacing w:after="0"/>
      <w:jc w:val="center"/>
      <w:outlineLvl w:val="6"/>
    </w:pPr>
    <w:rPr>
      <w:rFonts w:cs="Arial"/>
      <w:b/>
      <w:sz w:val="22"/>
      <w:szCs w:val="40"/>
    </w:rPr>
  </w:style>
  <w:style w:type="paragraph" w:styleId="Heading8">
    <w:name w:val="heading 8"/>
    <w:basedOn w:val="Normal"/>
    <w:next w:val="Normal"/>
    <w:qFormat/>
    <w:rsid w:val="003B10EC"/>
    <w:pPr>
      <w:keepNext/>
      <w:spacing w:after="0"/>
      <w:outlineLvl w:val="7"/>
    </w:pPr>
    <w:rPr>
      <w:b/>
      <w:i/>
      <w:sz w:val="22"/>
    </w:rPr>
  </w:style>
  <w:style w:type="paragraph" w:styleId="Heading9">
    <w:name w:val="heading 9"/>
    <w:basedOn w:val="Normal"/>
    <w:next w:val="Normal"/>
    <w:qFormat/>
    <w:rsid w:val="003B10EC"/>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sid w:val="00485ED6"/>
    <w:rPr>
      <w:u w:val="dottedHeavy"/>
    </w:rPr>
  </w:style>
  <w:style w:type="character" w:customStyle="1" w:styleId="Acronym">
    <w:name w:val="Acronym"/>
    <w:rsid w:val="00485ED6"/>
    <w:rPr>
      <w:u w:val="dotted"/>
    </w:rPr>
  </w:style>
  <w:style w:type="paragraph" w:styleId="CommentText">
    <w:name w:val="annotation text"/>
    <w:basedOn w:val="Normal"/>
    <w:link w:val="CommentTextChar"/>
    <w:semiHidden/>
    <w:rsid w:val="00485ED6"/>
    <w:rPr>
      <w:rFonts w:ascii="Arial" w:hAnsi="Arial"/>
      <w:sz w:val="20"/>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76547"/>
    <w:pPr>
      <w:ind w:left="720" w:right="720"/>
    </w:pPr>
  </w:style>
  <w:style w:type="paragraph" w:styleId="BlockText">
    <w:name w:val="Block Text"/>
    <w:basedOn w:val="Normal"/>
    <w:rsid w:val="00485ED6"/>
    <w:pPr>
      <w:spacing w:after="120"/>
      <w:ind w:left="1440" w:right="1440"/>
    </w:pPr>
  </w:style>
  <w:style w:type="paragraph" w:styleId="TOC1">
    <w:name w:val="toc 1"/>
    <w:basedOn w:val="Normal"/>
    <w:next w:val="Normal"/>
    <w:autoRedefine/>
    <w:uiPriority w:val="39"/>
    <w:qFormat/>
    <w:rsid w:val="00F351D6"/>
    <w:pPr>
      <w:keepNext/>
      <w:keepLines/>
      <w:spacing w:before="240" w:after="60"/>
    </w:pPr>
    <w:rPr>
      <w:b/>
    </w:rPr>
  </w:style>
  <w:style w:type="paragraph" w:styleId="BodyTextIndent">
    <w:name w:val="Body Text Indent"/>
    <w:basedOn w:val="Normal"/>
    <w:link w:val="BodyTextIndentChar"/>
    <w:rsid w:val="00485ED6"/>
    <w:pPr>
      <w:spacing w:after="120"/>
      <w:ind w:left="283"/>
    </w:pPr>
    <w:rPr>
      <w:rFonts w:ascii="Arial" w:hAnsi="Arial"/>
      <w:sz w:val="24"/>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F351D6"/>
    <w:pPr>
      <w:spacing w:after="120"/>
      <w:jc w:val="center"/>
    </w:pPr>
    <w:rPr>
      <w:b/>
      <w:bCs/>
    </w:rPr>
  </w:style>
  <w:style w:type="paragraph" w:styleId="Date">
    <w:name w:val="Date"/>
    <w:basedOn w:val="Normal"/>
    <w:next w:val="Normal"/>
    <w:rsid w:val="00485ED6"/>
    <w:rPr>
      <w:i/>
    </w:rPr>
  </w:style>
  <w:style w:type="paragraph" w:customStyle="1" w:styleId="DefinitionDescription">
    <w:name w:val="Definition Description"/>
    <w:basedOn w:val="Normal"/>
    <w:next w:val="Normal"/>
    <w:rsid w:val="00485ED6"/>
    <w:pPr>
      <w:ind w:left="1077"/>
    </w:pPr>
  </w:style>
  <w:style w:type="paragraph" w:customStyle="1" w:styleId="DefinitionTerm">
    <w:name w:val="Definition Term"/>
    <w:basedOn w:val="Normal"/>
    <w:next w:val="DefinitionDescription"/>
    <w:rsid w:val="00485ED6"/>
    <w:rPr>
      <w:b/>
    </w:rPr>
  </w:style>
  <w:style w:type="paragraph" w:styleId="DocumentMap">
    <w:name w:val="Document Map"/>
    <w:basedOn w:val="Normal"/>
    <w:semiHidden/>
    <w:rsid w:val="00485ED6"/>
    <w:pPr>
      <w:shd w:val="clear" w:color="auto" w:fill="000080"/>
    </w:pPr>
    <w:rPr>
      <w:rFonts w:ascii="Tahoma" w:hAnsi="Tahoma" w:cs="Tahoma"/>
      <w:sz w:val="20"/>
    </w:rPr>
  </w:style>
  <w:style w:type="character" w:styleId="Emphasis">
    <w:name w:val="Emphasis"/>
    <w:qFormat/>
    <w:rsid w:val="00485ED6"/>
    <w:rPr>
      <w:i/>
    </w:rPr>
  </w:style>
  <w:style w:type="character" w:styleId="FollowedHyperlink">
    <w:name w:val="FollowedHyperlink"/>
    <w:uiPriority w:val="99"/>
    <w:rsid w:val="00485ED6"/>
    <w:rPr>
      <w:color w:val="800080"/>
      <w:u w:val="single"/>
    </w:rPr>
  </w:style>
  <w:style w:type="paragraph" w:styleId="Footer">
    <w:name w:val="footer"/>
    <w:basedOn w:val="Normal"/>
    <w:link w:val="FooterChar"/>
    <w:uiPriority w:val="99"/>
    <w:rsid w:val="00485ED6"/>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rFonts w:ascii="Gill Sans MT" w:hAnsi="Gill Sans MT"/>
      <w:b/>
    </w:rPr>
  </w:style>
  <w:style w:type="paragraph" w:styleId="Header">
    <w:name w:val="header"/>
    <w:basedOn w:val="Normal"/>
    <w:rsid w:val="00F351D6"/>
    <w:pPr>
      <w:tabs>
        <w:tab w:val="center" w:pos="4320"/>
        <w:tab w:val="right" w:pos="8640"/>
      </w:tabs>
      <w:spacing w:after="120"/>
    </w:pPr>
    <w:rPr>
      <w:color w:val="333333"/>
      <w:sz w:val="22"/>
      <w:szCs w:val="20"/>
    </w:rPr>
  </w:style>
  <w:style w:type="character" w:styleId="Hyperlink">
    <w:name w:val="Hyperlink"/>
    <w:uiPriority w:val="99"/>
    <w:rsid w:val="00485ED6"/>
    <w:rPr>
      <w:color w:val="0000FF"/>
      <w:u w:val="single"/>
    </w:rPr>
  </w:style>
  <w:style w:type="paragraph" w:styleId="ListBullet">
    <w:name w:val="List Bullet"/>
    <w:aliases w:val="List Bullet Char,List Bullet Char Char Char Char Char"/>
    <w:basedOn w:val="Normal"/>
    <w:rsid w:val="007B6238"/>
    <w:pPr>
      <w:numPr>
        <w:numId w:val="2"/>
      </w:numPr>
      <w:spacing w:after="120"/>
    </w:pPr>
  </w:style>
  <w:style w:type="paragraph" w:styleId="ListBullet2">
    <w:name w:val="List Bullet 2"/>
    <w:basedOn w:val="Normal"/>
    <w:rsid w:val="005C292B"/>
    <w:pPr>
      <w:numPr>
        <w:numId w:val="4"/>
      </w:numPr>
      <w:tabs>
        <w:tab w:val="clear" w:pos="717"/>
        <w:tab w:val="left" w:pos="357"/>
      </w:tabs>
      <w:spacing w:before="60" w:after="60"/>
      <w:ind w:left="641" w:hanging="357"/>
    </w:pPr>
  </w:style>
  <w:style w:type="paragraph" w:styleId="ListBullet3">
    <w:name w:val="List Bullet 3"/>
    <w:basedOn w:val="Normal"/>
    <w:rsid w:val="001F0D22"/>
    <w:pPr>
      <w:numPr>
        <w:numId w:val="6"/>
      </w:numPr>
      <w:spacing w:before="60" w:after="60"/>
      <w:ind w:left="925" w:hanging="284"/>
    </w:pPr>
  </w:style>
  <w:style w:type="paragraph" w:styleId="ListContinue">
    <w:name w:val="List Continue"/>
    <w:basedOn w:val="Normal"/>
    <w:rsid w:val="00485ED6"/>
    <w:pPr>
      <w:spacing w:before="120" w:after="120"/>
      <w:ind w:left="357"/>
    </w:pPr>
  </w:style>
  <w:style w:type="paragraph" w:styleId="ListContinue2">
    <w:name w:val="List Continue 2"/>
    <w:basedOn w:val="Normal"/>
    <w:rsid w:val="00485ED6"/>
    <w:pPr>
      <w:spacing w:before="60" w:after="60"/>
      <w:ind w:left="641"/>
    </w:pPr>
  </w:style>
  <w:style w:type="paragraph" w:styleId="ListContinue3">
    <w:name w:val="List Continue 3"/>
    <w:basedOn w:val="Normal"/>
    <w:rsid w:val="00485ED6"/>
    <w:pPr>
      <w:spacing w:before="60" w:after="60"/>
      <w:ind w:left="924"/>
    </w:pPr>
  </w:style>
  <w:style w:type="paragraph" w:styleId="ListNumber">
    <w:name w:val="List Number"/>
    <w:basedOn w:val="Normal"/>
    <w:rsid w:val="00485ED6"/>
    <w:pPr>
      <w:numPr>
        <w:numId w:val="8"/>
      </w:numPr>
      <w:tabs>
        <w:tab w:val="clear" w:pos="360"/>
      </w:tabs>
      <w:spacing w:after="120"/>
    </w:pPr>
  </w:style>
  <w:style w:type="paragraph" w:styleId="ListNumber2">
    <w:name w:val="List Number 2"/>
    <w:basedOn w:val="Normal"/>
    <w:rsid w:val="00485ED6"/>
    <w:pPr>
      <w:numPr>
        <w:numId w:val="10"/>
      </w:numPr>
      <w:tabs>
        <w:tab w:val="clear" w:pos="641"/>
        <w:tab w:val="num" w:pos="643"/>
      </w:tabs>
      <w:spacing w:before="60" w:after="60"/>
    </w:pPr>
  </w:style>
  <w:style w:type="paragraph" w:styleId="ListNumber3">
    <w:name w:val="List Number 3"/>
    <w:basedOn w:val="Normal"/>
    <w:rsid w:val="00055418"/>
    <w:pPr>
      <w:numPr>
        <w:numId w:val="12"/>
      </w:numPr>
      <w:tabs>
        <w:tab w:val="clear" w:pos="926"/>
        <w:tab w:val="num" w:pos="360"/>
      </w:tabs>
      <w:spacing w:before="60" w:after="60"/>
      <w:ind w:left="924" w:hanging="357"/>
    </w:pPr>
  </w:style>
  <w:style w:type="paragraph" w:styleId="MacroText">
    <w:name w:val="macro"/>
    <w:semiHidden/>
    <w:rsid w:val="00485ED6"/>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rsid w:val="00485ED6"/>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rsid w:val="00485ED6"/>
  </w:style>
  <w:style w:type="character" w:customStyle="1" w:styleId="Quote1">
    <w:name w:val="Quote1"/>
    <w:rsid w:val="00485ED6"/>
    <w:rPr>
      <w:i/>
    </w:rPr>
  </w:style>
  <w:style w:type="paragraph" w:styleId="Subtitle">
    <w:name w:val="Subtitle"/>
    <w:basedOn w:val="Normal"/>
    <w:next w:val="Normal"/>
    <w:qFormat/>
    <w:rsid w:val="00485ED6"/>
    <w:pPr>
      <w:jc w:val="center"/>
      <w:outlineLvl w:val="1"/>
    </w:pPr>
    <w:rPr>
      <w:sz w:val="28"/>
    </w:rPr>
  </w:style>
  <w:style w:type="paragraph" w:customStyle="1" w:styleId="TableCell">
    <w:name w:val="Table Cell"/>
    <w:basedOn w:val="Normal"/>
    <w:rsid w:val="00BD0DCA"/>
    <w:pPr>
      <w:spacing w:after="0"/>
      <w:jc w:val="right"/>
    </w:pPr>
  </w:style>
  <w:style w:type="paragraph" w:customStyle="1" w:styleId="TableHead">
    <w:name w:val="Table Head"/>
    <w:basedOn w:val="Normal"/>
    <w:next w:val="Normal"/>
    <w:rsid w:val="00485ED6"/>
    <w:pPr>
      <w:spacing w:after="0"/>
    </w:pPr>
    <w:rPr>
      <w:b/>
    </w:rPr>
  </w:style>
  <w:style w:type="paragraph" w:customStyle="1" w:styleId="TableNote">
    <w:name w:val="Table Note"/>
    <w:basedOn w:val="Normal"/>
    <w:next w:val="Normal"/>
    <w:rsid w:val="00485ED6"/>
    <w:pPr>
      <w:spacing w:before="120"/>
      <w:jc w:val="center"/>
    </w:pPr>
    <w:rPr>
      <w:sz w:val="20"/>
      <w:szCs w:val="20"/>
    </w:rPr>
  </w:style>
  <w:style w:type="paragraph" w:customStyle="1" w:styleId="TableRowHead">
    <w:name w:val="Table Row Head"/>
    <w:basedOn w:val="Normal"/>
    <w:rsid w:val="00485ED6"/>
    <w:pPr>
      <w:keepNext/>
      <w:spacing w:after="0"/>
    </w:pPr>
    <w:rPr>
      <w:rFonts w:ascii="Arial Bold" w:hAnsi="Arial Bold"/>
      <w:b/>
    </w:rPr>
  </w:style>
  <w:style w:type="paragraph" w:customStyle="1" w:styleId="TableSummary">
    <w:name w:val="Table Summary"/>
    <w:basedOn w:val="Normal"/>
    <w:next w:val="TableHead"/>
    <w:rsid w:val="00485ED6"/>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rsid w:val="00485ED6"/>
    <w:pPr>
      <w:suppressAutoHyphens/>
      <w:spacing w:after="0"/>
    </w:pPr>
    <w:rPr>
      <w:rFonts w:ascii="Courier New" w:hAnsi="Courier New"/>
      <w:color w:val="FF0000"/>
    </w:rPr>
  </w:style>
  <w:style w:type="paragraph" w:styleId="Title">
    <w:name w:val="Title"/>
    <w:basedOn w:val="Normal"/>
    <w:next w:val="Normal"/>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next w:val="ListBullet"/>
    <w:qFormat/>
    <w:rsid w:val="00BA2579"/>
    <w:pPr>
      <w:spacing w:after="120"/>
    </w:pPr>
  </w:style>
  <w:style w:type="paragraph" w:customStyle="1" w:styleId="TableHeadRight">
    <w:name w:val="Table Head Right"/>
    <w:basedOn w:val="TableHead"/>
    <w:rsid w:val="00485ED6"/>
    <w:pPr>
      <w:jc w:val="right"/>
    </w:pPr>
  </w:style>
  <w:style w:type="paragraph" w:customStyle="1" w:styleId="TableCellLeft">
    <w:name w:val="Table Cell Left"/>
    <w:basedOn w:val="TableCell"/>
    <w:rsid w:val="006E0C75"/>
    <w:pPr>
      <w:jc w:val="left"/>
    </w:pPr>
  </w:style>
  <w:style w:type="paragraph" w:styleId="FootnoteText">
    <w:name w:val="footnote text"/>
    <w:basedOn w:val="Normal"/>
    <w:link w:val="FootnoteTextChar"/>
    <w:uiPriority w:val="99"/>
    <w:rsid w:val="009222D3"/>
    <w:pPr>
      <w:spacing w:after="80"/>
    </w:pPr>
    <w:rPr>
      <w:sz w:val="22"/>
      <w:szCs w:val="20"/>
    </w:rPr>
  </w:style>
  <w:style w:type="paragraph" w:styleId="TOC2">
    <w:name w:val="toc 2"/>
    <w:basedOn w:val="Normal"/>
    <w:next w:val="Normal"/>
    <w:autoRedefine/>
    <w:uiPriority w:val="39"/>
    <w:qFormat/>
    <w:rsid w:val="0006583B"/>
    <w:pPr>
      <w:keepLines/>
      <w:tabs>
        <w:tab w:val="right" w:leader="dot" w:pos="8714"/>
      </w:tabs>
      <w:spacing w:after="60"/>
    </w:pPr>
    <w:rPr>
      <w:rFonts w:ascii="Rockwell" w:hAnsi="Rockwell"/>
      <w:noProof/>
    </w:rPr>
  </w:style>
  <w:style w:type="paragraph" w:customStyle="1" w:styleId="NormalAfterList">
    <w:name w:val="Normal (After List)"/>
    <w:basedOn w:val="Normal"/>
    <w:next w:val="Normal"/>
    <w:qFormat/>
    <w:rsid w:val="00C154AE"/>
    <w:pPr>
      <w:spacing w:before="120"/>
    </w:pPr>
  </w:style>
  <w:style w:type="character" w:styleId="FootnoteReference">
    <w:name w:val="footnote reference"/>
    <w:rsid w:val="00A1079C"/>
    <w:rPr>
      <w:rFonts w:ascii="Gill Sans" w:hAnsi="Gill Sans"/>
      <w:sz w:val="26"/>
      <w:vertAlign w:val="superscript"/>
    </w:rPr>
  </w:style>
  <w:style w:type="table" w:styleId="TableGrid">
    <w:name w:val="Table Grid"/>
    <w:basedOn w:val="TableNormal"/>
    <w:rsid w:val="00AB1969"/>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6A1"/>
    <w:pPr>
      <w:ind w:left="720"/>
      <w:contextualSpacing/>
    </w:pPr>
  </w:style>
  <w:style w:type="paragraph" w:styleId="TOCHeading">
    <w:name w:val="TOC Heading"/>
    <w:basedOn w:val="Heading1"/>
    <w:next w:val="Normal"/>
    <w:uiPriority w:val="39"/>
    <w:semiHidden/>
    <w:unhideWhenUsed/>
    <w:qFormat/>
    <w:rsid w:val="00584A15"/>
    <w:pPr>
      <w:keepLines/>
      <w:pBdr>
        <w:top w:val="none" w:sz="0" w:space="0" w:color="auto"/>
        <w:left w:val="none" w:sz="0" w:space="0" w:color="auto"/>
        <w:bottom w:val="none" w:sz="0" w:space="0" w:color="auto"/>
        <w:right w:val="none" w:sz="0" w:space="0" w:color="auto"/>
      </w:pBd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TOC3">
    <w:name w:val="toc 3"/>
    <w:basedOn w:val="Normal"/>
    <w:next w:val="Normal"/>
    <w:autoRedefine/>
    <w:uiPriority w:val="39"/>
    <w:qFormat/>
    <w:rsid w:val="00584A15"/>
    <w:pPr>
      <w:spacing w:after="100"/>
      <w:ind w:left="520"/>
    </w:pPr>
  </w:style>
  <w:style w:type="paragraph" w:styleId="BalloonText">
    <w:name w:val="Balloon Text"/>
    <w:basedOn w:val="Normal"/>
    <w:link w:val="BalloonTextChar"/>
    <w:rsid w:val="00584A15"/>
    <w:pPr>
      <w:spacing w:after="0"/>
    </w:pPr>
    <w:rPr>
      <w:rFonts w:ascii="Tahoma" w:hAnsi="Tahoma" w:cs="Tahoma"/>
      <w:sz w:val="16"/>
      <w:szCs w:val="16"/>
    </w:rPr>
  </w:style>
  <w:style w:type="character" w:customStyle="1" w:styleId="BalloonTextChar">
    <w:name w:val="Balloon Text Char"/>
    <w:basedOn w:val="DefaultParagraphFont"/>
    <w:link w:val="BalloonText"/>
    <w:rsid w:val="00584A15"/>
    <w:rPr>
      <w:rFonts w:ascii="Tahoma" w:eastAsia="Times New Roman" w:hAnsi="Tahoma" w:cs="Tahoma"/>
      <w:sz w:val="16"/>
      <w:szCs w:val="16"/>
      <w:lang w:eastAsia="en-US"/>
    </w:rPr>
  </w:style>
  <w:style w:type="character" w:customStyle="1" w:styleId="FooterChar">
    <w:name w:val="Footer Char"/>
    <w:basedOn w:val="DefaultParagraphFont"/>
    <w:link w:val="Footer"/>
    <w:uiPriority w:val="99"/>
    <w:rsid w:val="005F1ACE"/>
    <w:rPr>
      <w:rFonts w:ascii="Gill Sans" w:eastAsia="Times New Roman" w:hAnsi="Gill Sans"/>
      <w:color w:val="323232"/>
      <w:lang w:eastAsia="en-US"/>
    </w:rPr>
  </w:style>
  <w:style w:type="character" w:customStyle="1" w:styleId="Heading3Char">
    <w:name w:val="Heading 3 Char"/>
    <w:basedOn w:val="DefaultParagraphFont"/>
    <w:link w:val="Heading3"/>
    <w:rsid w:val="003F080B"/>
    <w:rPr>
      <w:rFonts w:ascii="Gill Sans" w:eastAsia="Times New Roman" w:hAnsi="Gill Sans" w:cs="Arial Bold"/>
      <w:b/>
      <w:bCs/>
      <w:sz w:val="26"/>
      <w:szCs w:val="24"/>
      <w:lang w:eastAsia="en-US"/>
    </w:rPr>
  </w:style>
  <w:style w:type="table" w:customStyle="1" w:styleId="TableGrid1">
    <w:name w:val="Table Grid1"/>
    <w:basedOn w:val="TableNormal"/>
    <w:next w:val="TableGrid"/>
    <w:rsid w:val="00C4091F"/>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E31A2"/>
    <w:rPr>
      <w:sz w:val="16"/>
      <w:szCs w:val="16"/>
    </w:rPr>
  </w:style>
  <w:style w:type="paragraph" w:styleId="CommentSubject">
    <w:name w:val="annotation subject"/>
    <w:basedOn w:val="CommentText"/>
    <w:next w:val="CommentText"/>
    <w:link w:val="CommentSubjectChar"/>
    <w:semiHidden/>
    <w:unhideWhenUsed/>
    <w:rsid w:val="004E31A2"/>
    <w:rPr>
      <w:rFonts w:ascii="Gill Sans" w:hAnsi="Gill Sans"/>
      <w:b/>
      <w:bCs/>
      <w:szCs w:val="20"/>
    </w:rPr>
  </w:style>
  <w:style w:type="character" w:customStyle="1" w:styleId="CommentSubjectChar">
    <w:name w:val="Comment Subject Char"/>
    <w:basedOn w:val="CommentTextChar"/>
    <w:link w:val="CommentSubject"/>
    <w:semiHidden/>
    <w:rsid w:val="004E31A2"/>
    <w:rPr>
      <w:rFonts w:ascii="Gill Sans" w:eastAsia="Times New Roman" w:hAnsi="Gill Sans"/>
      <w:b/>
      <w:bCs/>
      <w:szCs w:val="24"/>
      <w:lang w:eastAsia="en-US"/>
    </w:rPr>
  </w:style>
  <w:style w:type="paragraph" w:customStyle="1" w:styleId="DecimalAligned">
    <w:name w:val="Decimal Aligned"/>
    <w:basedOn w:val="Normal"/>
    <w:uiPriority w:val="40"/>
    <w:qFormat/>
    <w:rsid w:val="004E31A2"/>
    <w:pPr>
      <w:tabs>
        <w:tab w:val="decimal" w:pos="360"/>
      </w:tabs>
      <w:spacing w:after="200" w:line="276" w:lineRule="auto"/>
    </w:pPr>
    <w:rPr>
      <w:rFonts w:asciiTheme="minorHAnsi" w:eastAsiaTheme="minorEastAsia" w:hAnsiTheme="minorHAnsi"/>
      <w:sz w:val="22"/>
      <w:szCs w:val="22"/>
      <w:lang w:val="en-US"/>
    </w:rPr>
  </w:style>
  <w:style w:type="character" w:customStyle="1" w:styleId="FootnoteTextChar">
    <w:name w:val="Footnote Text Char"/>
    <w:basedOn w:val="DefaultParagraphFont"/>
    <w:link w:val="FootnoteText"/>
    <w:uiPriority w:val="99"/>
    <w:rsid w:val="004E31A2"/>
    <w:rPr>
      <w:rFonts w:ascii="Gill Sans" w:eastAsia="Times New Roman" w:hAnsi="Gill Sans"/>
      <w:sz w:val="22"/>
      <w:lang w:eastAsia="en-US"/>
    </w:rPr>
  </w:style>
  <w:style w:type="character" w:styleId="SubtleEmphasis">
    <w:name w:val="Subtle Emphasis"/>
    <w:basedOn w:val="DefaultParagraphFont"/>
    <w:uiPriority w:val="19"/>
    <w:qFormat/>
    <w:rsid w:val="004E31A2"/>
    <w:rPr>
      <w:i/>
      <w:iCs/>
    </w:rPr>
  </w:style>
  <w:style w:type="table" w:styleId="MediumShading2-Accent5">
    <w:name w:val="Medium Shading 2 Accent 5"/>
    <w:basedOn w:val="TableNormal"/>
    <w:uiPriority w:val="64"/>
    <w:rsid w:val="004E31A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E31A2"/>
    <w:rPr>
      <w:rFonts w:ascii="Gill Sans" w:eastAsia="Times New Roman" w:hAnsi="Gill Sans"/>
      <w:sz w:val="26"/>
      <w:szCs w:val="24"/>
      <w:lang w:eastAsia="en-US"/>
    </w:rPr>
  </w:style>
  <w:style w:type="character" w:customStyle="1" w:styleId="Heading1Char">
    <w:name w:val="Heading 1 Char"/>
    <w:basedOn w:val="DefaultParagraphFont"/>
    <w:link w:val="Heading1"/>
    <w:rsid w:val="0065492E"/>
    <w:rPr>
      <w:rFonts w:ascii="Gill Sans" w:eastAsia="Times New Roman" w:hAnsi="Gill Sans" w:cs="Arial"/>
      <w:b/>
      <w:bCs/>
      <w:kern w:val="32"/>
      <w:sz w:val="32"/>
      <w:szCs w:val="32"/>
      <w:lang w:eastAsia="en-US"/>
    </w:rPr>
  </w:style>
  <w:style w:type="paragraph" w:styleId="NormalWeb">
    <w:name w:val="Normal (Web)"/>
    <w:basedOn w:val="Normal"/>
    <w:uiPriority w:val="99"/>
    <w:semiHidden/>
    <w:unhideWhenUsed/>
    <w:rsid w:val="0035615E"/>
    <w:pPr>
      <w:spacing w:before="100" w:beforeAutospacing="1" w:after="100" w:afterAutospacing="1"/>
    </w:pPr>
    <w:rPr>
      <w:rFonts w:ascii="Times New Roman" w:hAnsi="Times New Roman"/>
      <w:sz w:val="24"/>
      <w:lang w:eastAsia="en-IE"/>
    </w:rPr>
  </w:style>
  <w:style w:type="table" w:customStyle="1" w:styleId="TableGrid11">
    <w:name w:val="Table Grid11"/>
    <w:basedOn w:val="TableNormal"/>
    <w:next w:val="TableGrid"/>
    <w:rsid w:val="00B06653"/>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3E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941">
      <w:bodyDiv w:val="1"/>
      <w:marLeft w:val="0"/>
      <w:marRight w:val="0"/>
      <w:marTop w:val="0"/>
      <w:marBottom w:val="0"/>
      <w:divBdr>
        <w:top w:val="none" w:sz="0" w:space="0" w:color="auto"/>
        <w:left w:val="none" w:sz="0" w:space="0" w:color="auto"/>
        <w:bottom w:val="none" w:sz="0" w:space="0" w:color="auto"/>
        <w:right w:val="none" w:sz="0" w:space="0" w:color="auto"/>
      </w:divBdr>
    </w:div>
    <w:div w:id="59719093">
      <w:bodyDiv w:val="1"/>
      <w:marLeft w:val="0"/>
      <w:marRight w:val="0"/>
      <w:marTop w:val="0"/>
      <w:marBottom w:val="0"/>
      <w:divBdr>
        <w:top w:val="none" w:sz="0" w:space="0" w:color="auto"/>
        <w:left w:val="none" w:sz="0" w:space="0" w:color="auto"/>
        <w:bottom w:val="none" w:sz="0" w:space="0" w:color="auto"/>
        <w:right w:val="none" w:sz="0" w:space="0" w:color="auto"/>
      </w:divBdr>
    </w:div>
    <w:div w:id="70547745">
      <w:bodyDiv w:val="1"/>
      <w:marLeft w:val="0"/>
      <w:marRight w:val="0"/>
      <w:marTop w:val="0"/>
      <w:marBottom w:val="0"/>
      <w:divBdr>
        <w:top w:val="none" w:sz="0" w:space="0" w:color="auto"/>
        <w:left w:val="none" w:sz="0" w:space="0" w:color="auto"/>
        <w:bottom w:val="none" w:sz="0" w:space="0" w:color="auto"/>
        <w:right w:val="none" w:sz="0" w:space="0" w:color="auto"/>
      </w:divBdr>
    </w:div>
    <w:div w:id="82460712">
      <w:bodyDiv w:val="1"/>
      <w:marLeft w:val="0"/>
      <w:marRight w:val="0"/>
      <w:marTop w:val="0"/>
      <w:marBottom w:val="0"/>
      <w:divBdr>
        <w:top w:val="none" w:sz="0" w:space="0" w:color="auto"/>
        <w:left w:val="none" w:sz="0" w:space="0" w:color="auto"/>
        <w:bottom w:val="none" w:sz="0" w:space="0" w:color="auto"/>
        <w:right w:val="none" w:sz="0" w:space="0" w:color="auto"/>
      </w:divBdr>
    </w:div>
    <w:div w:id="84110797">
      <w:bodyDiv w:val="1"/>
      <w:marLeft w:val="0"/>
      <w:marRight w:val="0"/>
      <w:marTop w:val="0"/>
      <w:marBottom w:val="0"/>
      <w:divBdr>
        <w:top w:val="none" w:sz="0" w:space="0" w:color="auto"/>
        <w:left w:val="none" w:sz="0" w:space="0" w:color="auto"/>
        <w:bottom w:val="none" w:sz="0" w:space="0" w:color="auto"/>
        <w:right w:val="none" w:sz="0" w:space="0" w:color="auto"/>
      </w:divBdr>
    </w:div>
    <w:div w:id="120810101">
      <w:bodyDiv w:val="1"/>
      <w:marLeft w:val="0"/>
      <w:marRight w:val="0"/>
      <w:marTop w:val="0"/>
      <w:marBottom w:val="0"/>
      <w:divBdr>
        <w:top w:val="none" w:sz="0" w:space="0" w:color="auto"/>
        <w:left w:val="none" w:sz="0" w:space="0" w:color="auto"/>
        <w:bottom w:val="none" w:sz="0" w:space="0" w:color="auto"/>
        <w:right w:val="none" w:sz="0" w:space="0" w:color="auto"/>
      </w:divBdr>
    </w:div>
    <w:div w:id="147093232">
      <w:bodyDiv w:val="1"/>
      <w:marLeft w:val="0"/>
      <w:marRight w:val="0"/>
      <w:marTop w:val="0"/>
      <w:marBottom w:val="0"/>
      <w:divBdr>
        <w:top w:val="none" w:sz="0" w:space="0" w:color="auto"/>
        <w:left w:val="none" w:sz="0" w:space="0" w:color="auto"/>
        <w:bottom w:val="none" w:sz="0" w:space="0" w:color="auto"/>
        <w:right w:val="none" w:sz="0" w:space="0" w:color="auto"/>
      </w:divBdr>
    </w:div>
    <w:div w:id="160321418">
      <w:bodyDiv w:val="1"/>
      <w:marLeft w:val="0"/>
      <w:marRight w:val="0"/>
      <w:marTop w:val="0"/>
      <w:marBottom w:val="0"/>
      <w:divBdr>
        <w:top w:val="none" w:sz="0" w:space="0" w:color="auto"/>
        <w:left w:val="none" w:sz="0" w:space="0" w:color="auto"/>
        <w:bottom w:val="none" w:sz="0" w:space="0" w:color="auto"/>
        <w:right w:val="none" w:sz="0" w:space="0" w:color="auto"/>
      </w:divBdr>
    </w:div>
    <w:div w:id="214198037">
      <w:bodyDiv w:val="1"/>
      <w:marLeft w:val="0"/>
      <w:marRight w:val="0"/>
      <w:marTop w:val="0"/>
      <w:marBottom w:val="0"/>
      <w:divBdr>
        <w:top w:val="none" w:sz="0" w:space="0" w:color="auto"/>
        <w:left w:val="none" w:sz="0" w:space="0" w:color="auto"/>
        <w:bottom w:val="none" w:sz="0" w:space="0" w:color="auto"/>
        <w:right w:val="none" w:sz="0" w:space="0" w:color="auto"/>
      </w:divBdr>
    </w:div>
    <w:div w:id="215051530">
      <w:bodyDiv w:val="1"/>
      <w:marLeft w:val="0"/>
      <w:marRight w:val="0"/>
      <w:marTop w:val="0"/>
      <w:marBottom w:val="0"/>
      <w:divBdr>
        <w:top w:val="none" w:sz="0" w:space="0" w:color="auto"/>
        <w:left w:val="none" w:sz="0" w:space="0" w:color="auto"/>
        <w:bottom w:val="none" w:sz="0" w:space="0" w:color="auto"/>
        <w:right w:val="none" w:sz="0" w:space="0" w:color="auto"/>
      </w:divBdr>
    </w:div>
    <w:div w:id="235894189">
      <w:bodyDiv w:val="1"/>
      <w:marLeft w:val="0"/>
      <w:marRight w:val="0"/>
      <w:marTop w:val="0"/>
      <w:marBottom w:val="0"/>
      <w:divBdr>
        <w:top w:val="none" w:sz="0" w:space="0" w:color="auto"/>
        <w:left w:val="none" w:sz="0" w:space="0" w:color="auto"/>
        <w:bottom w:val="none" w:sz="0" w:space="0" w:color="auto"/>
        <w:right w:val="none" w:sz="0" w:space="0" w:color="auto"/>
      </w:divBdr>
    </w:div>
    <w:div w:id="237373601">
      <w:bodyDiv w:val="1"/>
      <w:marLeft w:val="0"/>
      <w:marRight w:val="0"/>
      <w:marTop w:val="0"/>
      <w:marBottom w:val="0"/>
      <w:divBdr>
        <w:top w:val="none" w:sz="0" w:space="0" w:color="auto"/>
        <w:left w:val="none" w:sz="0" w:space="0" w:color="auto"/>
        <w:bottom w:val="none" w:sz="0" w:space="0" w:color="auto"/>
        <w:right w:val="none" w:sz="0" w:space="0" w:color="auto"/>
      </w:divBdr>
    </w:div>
    <w:div w:id="254441681">
      <w:bodyDiv w:val="1"/>
      <w:marLeft w:val="0"/>
      <w:marRight w:val="0"/>
      <w:marTop w:val="0"/>
      <w:marBottom w:val="0"/>
      <w:divBdr>
        <w:top w:val="none" w:sz="0" w:space="0" w:color="auto"/>
        <w:left w:val="none" w:sz="0" w:space="0" w:color="auto"/>
        <w:bottom w:val="none" w:sz="0" w:space="0" w:color="auto"/>
        <w:right w:val="none" w:sz="0" w:space="0" w:color="auto"/>
      </w:divBdr>
    </w:div>
    <w:div w:id="261302400">
      <w:bodyDiv w:val="1"/>
      <w:marLeft w:val="0"/>
      <w:marRight w:val="0"/>
      <w:marTop w:val="0"/>
      <w:marBottom w:val="0"/>
      <w:divBdr>
        <w:top w:val="none" w:sz="0" w:space="0" w:color="auto"/>
        <w:left w:val="none" w:sz="0" w:space="0" w:color="auto"/>
        <w:bottom w:val="none" w:sz="0" w:space="0" w:color="auto"/>
        <w:right w:val="none" w:sz="0" w:space="0" w:color="auto"/>
      </w:divBdr>
    </w:div>
    <w:div w:id="322204589">
      <w:bodyDiv w:val="1"/>
      <w:marLeft w:val="0"/>
      <w:marRight w:val="0"/>
      <w:marTop w:val="0"/>
      <w:marBottom w:val="0"/>
      <w:divBdr>
        <w:top w:val="none" w:sz="0" w:space="0" w:color="auto"/>
        <w:left w:val="none" w:sz="0" w:space="0" w:color="auto"/>
        <w:bottom w:val="none" w:sz="0" w:space="0" w:color="auto"/>
        <w:right w:val="none" w:sz="0" w:space="0" w:color="auto"/>
      </w:divBdr>
    </w:div>
    <w:div w:id="365563647">
      <w:bodyDiv w:val="1"/>
      <w:marLeft w:val="0"/>
      <w:marRight w:val="0"/>
      <w:marTop w:val="0"/>
      <w:marBottom w:val="0"/>
      <w:divBdr>
        <w:top w:val="none" w:sz="0" w:space="0" w:color="auto"/>
        <w:left w:val="none" w:sz="0" w:space="0" w:color="auto"/>
        <w:bottom w:val="none" w:sz="0" w:space="0" w:color="auto"/>
        <w:right w:val="none" w:sz="0" w:space="0" w:color="auto"/>
      </w:divBdr>
    </w:div>
    <w:div w:id="491290416">
      <w:bodyDiv w:val="1"/>
      <w:marLeft w:val="0"/>
      <w:marRight w:val="0"/>
      <w:marTop w:val="0"/>
      <w:marBottom w:val="0"/>
      <w:divBdr>
        <w:top w:val="none" w:sz="0" w:space="0" w:color="auto"/>
        <w:left w:val="none" w:sz="0" w:space="0" w:color="auto"/>
        <w:bottom w:val="none" w:sz="0" w:space="0" w:color="auto"/>
        <w:right w:val="none" w:sz="0" w:space="0" w:color="auto"/>
      </w:divBdr>
    </w:div>
    <w:div w:id="519853915">
      <w:bodyDiv w:val="1"/>
      <w:marLeft w:val="0"/>
      <w:marRight w:val="0"/>
      <w:marTop w:val="0"/>
      <w:marBottom w:val="0"/>
      <w:divBdr>
        <w:top w:val="none" w:sz="0" w:space="0" w:color="auto"/>
        <w:left w:val="none" w:sz="0" w:space="0" w:color="auto"/>
        <w:bottom w:val="none" w:sz="0" w:space="0" w:color="auto"/>
        <w:right w:val="none" w:sz="0" w:space="0" w:color="auto"/>
      </w:divBdr>
    </w:div>
    <w:div w:id="568417740">
      <w:bodyDiv w:val="1"/>
      <w:marLeft w:val="0"/>
      <w:marRight w:val="0"/>
      <w:marTop w:val="0"/>
      <w:marBottom w:val="0"/>
      <w:divBdr>
        <w:top w:val="none" w:sz="0" w:space="0" w:color="auto"/>
        <w:left w:val="none" w:sz="0" w:space="0" w:color="auto"/>
        <w:bottom w:val="none" w:sz="0" w:space="0" w:color="auto"/>
        <w:right w:val="none" w:sz="0" w:space="0" w:color="auto"/>
      </w:divBdr>
    </w:div>
    <w:div w:id="587547035">
      <w:bodyDiv w:val="1"/>
      <w:marLeft w:val="0"/>
      <w:marRight w:val="0"/>
      <w:marTop w:val="0"/>
      <w:marBottom w:val="0"/>
      <w:divBdr>
        <w:top w:val="none" w:sz="0" w:space="0" w:color="auto"/>
        <w:left w:val="none" w:sz="0" w:space="0" w:color="auto"/>
        <w:bottom w:val="none" w:sz="0" w:space="0" w:color="auto"/>
        <w:right w:val="none" w:sz="0" w:space="0" w:color="auto"/>
      </w:divBdr>
    </w:div>
    <w:div w:id="633758386">
      <w:bodyDiv w:val="1"/>
      <w:marLeft w:val="0"/>
      <w:marRight w:val="0"/>
      <w:marTop w:val="0"/>
      <w:marBottom w:val="0"/>
      <w:divBdr>
        <w:top w:val="none" w:sz="0" w:space="0" w:color="auto"/>
        <w:left w:val="none" w:sz="0" w:space="0" w:color="auto"/>
        <w:bottom w:val="none" w:sz="0" w:space="0" w:color="auto"/>
        <w:right w:val="none" w:sz="0" w:space="0" w:color="auto"/>
      </w:divBdr>
    </w:div>
    <w:div w:id="726029984">
      <w:bodyDiv w:val="1"/>
      <w:marLeft w:val="0"/>
      <w:marRight w:val="0"/>
      <w:marTop w:val="0"/>
      <w:marBottom w:val="0"/>
      <w:divBdr>
        <w:top w:val="none" w:sz="0" w:space="0" w:color="auto"/>
        <w:left w:val="none" w:sz="0" w:space="0" w:color="auto"/>
        <w:bottom w:val="none" w:sz="0" w:space="0" w:color="auto"/>
        <w:right w:val="none" w:sz="0" w:space="0" w:color="auto"/>
      </w:divBdr>
    </w:div>
    <w:div w:id="758141960">
      <w:bodyDiv w:val="1"/>
      <w:marLeft w:val="0"/>
      <w:marRight w:val="0"/>
      <w:marTop w:val="0"/>
      <w:marBottom w:val="0"/>
      <w:divBdr>
        <w:top w:val="none" w:sz="0" w:space="0" w:color="auto"/>
        <w:left w:val="none" w:sz="0" w:space="0" w:color="auto"/>
        <w:bottom w:val="none" w:sz="0" w:space="0" w:color="auto"/>
        <w:right w:val="none" w:sz="0" w:space="0" w:color="auto"/>
      </w:divBdr>
    </w:div>
    <w:div w:id="777138372">
      <w:bodyDiv w:val="1"/>
      <w:marLeft w:val="0"/>
      <w:marRight w:val="0"/>
      <w:marTop w:val="0"/>
      <w:marBottom w:val="0"/>
      <w:divBdr>
        <w:top w:val="none" w:sz="0" w:space="0" w:color="auto"/>
        <w:left w:val="none" w:sz="0" w:space="0" w:color="auto"/>
        <w:bottom w:val="none" w:sz="0" w:space="0" w:color="auto"/>
        <w:right w:val="none" w:sz="0" w:space="0" w:color="auto"/>
      </w:divBdr>
    </w:div>
    <w:div w:id="828058764">
      <w:bodyDiv w:val="1"/>
      <w:marLeft w:val="0"/>
      <w:marRight w:val="0"/>
      <w:marTop w:val="0"/>
      <w:marBottom w:val="0"/>
      <w:divBdr>
        <w:top w:val="none" w:sz="0" w:space="0" w:color="auto"/>
        <w:left w:val="none" w:sz="0" w:space="0" w:color="auto"/>
        <w:bottom w:val="none" w:sz="0" w:space="0" w:color="auto"/>
        <w:right w:val="none" w:sz="0" w:space="0" w:color="auto"/>
      </w:divBdr>
    </w:div>
    <w:div w:id="829448804">
      <w:bodyDiv w:val="1"/>
      <w:marLeft w:val="0"/>
      <w:marRight w:val="0"/>
      <w:marTop w:val="0"/>
      <w:marBottom w:val="0"/>
      <w:divBdr>
        <w:top w:val="none" w:sz="0" w:space="0" w:color="auto"/>
        <w:left w:val="none" w:sz="0" w:space="0" w:color="auto"/>
        <w:bottom w:val="none" w:sz="0" w:space="0" w:color="auto"/>
        <w:right w:val="none" w:sz="0" w:space="0" w:color="auto"/>
      </w:divBdr>
      <w:divsChild>
        <w:div w:id="393966588">
          <w:marLeft w:val="0"/>
          <w:marRight w:val="0"/>
          <w:marTop w:val="0"/>
          <w:marBottom w:val="0"/>
          <w:divBdr>
            <w:top w:val="none" w:sz="0" w:space="0" w:color="auto"/>
            <w:left w:val="none" w:sz="0" w:space="0" w:color="auto"/>
            <w:bottom w:val="none" w:sz="0" w:space="0" w:color="auto"/>
            <w:right w:val="none" w:sz="0" w:space="0" w:color="auto"/>
          </w:divBdr>
          <w:divsChild>
            <w:div w:id="1265727640">
              <w:marLeft w:val="0"/>
              <w:marRight w:val="0"/>
              <w:marTop w:val="0"/>
              <w:marBottom w:val="0"/>
              <w:divBdr>
                <w:top w:val="none" w:sz="0" w:space="0" w:color="auto"/>
                <w:left w:val="none" w:sz="0" w:space="0" w:color="auto"/>
                <w:bottom w:val="none" w:sz="0" w:space="0" w:color="auto"/>
                <w:right w:val="none" w:sz="0" w:space="0" w:color="auto"/>
              </w:divBdr>
              <w:divsChild>
                <w:div w:id="1082262864">
                  <w:marLeft w:val="0"/>
                  <w:marRight w:val="0"/>
                  <w:marTop w:val="0"/>
                  <w:marBottom w:val="0"/>
                  <w:divBdr>
                    <w:top w:val="none" w:sz="0" w:space="0" w:color="auto"/>
                    <w:left w:val="none" w:sz="0" w:space="0" w:color="auto"/>
                    <w:bottom w:val="none" w:sz="0" w:space="0" w:color="auto"/>
                    <w:right w:val="none" w:sz="0" w:space="0" w:color="auto"/>
                  </w:divBdr>
                  <w:divsChild>
                    <w:div w:id="531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8837">
      <w:bodyDiv w:val="1"/>
      <w:marLeft w:val="0"/>
      <w:marRight w:val="0"/>
      <w:marTop w:val="0"/>
      <w:marBottom w:val="0"/>
      <w:divBdr>
        <w:top w:val="none" w:sz="0" w:space="0" w:color="auto"/>
        <w:left w:val="none" w:sz="0" w:space="0" w:color="auto"/>
        <w:bottom w:val="none" w:sz="0" w:space="0" w:color="auto"/>
        <w:right w:val="none" w:sz="0" w:space="0" w:color="auto"/>
      </w:divBdr>
    </w:div>
    <w:div w:id="866334483">
      <w:bodyDiv w:val="1"/>
      <w:marLeft w:val="0"/>
      <w:marRight w:val="0"/>
      <w:marTop w:val="0"/>
      <w:marBottom w:val="0"/>
      <w:divBdr>
        <w:top w:val="none" w:sz="0" w:space="0" w:color="auto"/>
        <w:left w:val="none" w:sz="0" w:space="0" w:color="auto"/>
        <w:bottom w:val="none" w:sz="0" w:space="0" w:color="auto"/>
        <w:right w:val="none" w:sz="0" w:space="0" w:color="auto"/>
      </w:divBdr>
    </w:div>
    <w:div w:id="882669830">
      <w:bodyDiv w:val="1"/>
      <w:marLeft w:val="0"/>
      <w:marRight w:val="0"/>
      <w:marTop w:val="0"/>
      <w:marBottom w:val="0"/>
      <w:divBdr>
        <w:top w:val="none" w:sz="0" w:space="0" w:color="auto"/>
        <w:left w:val="none" w:sz="0" w:space="0" w:color="auto"/>
        <w:bottom w:val="none" w:sz="0" w:space="0" w:color="auto"/>
        <w:right w:val="none" w:sz="0" w:space="0" w:color="auto"/>
      </w:divBdr>
    </w:div>
    <w:div w:id="932712998">
      <w:bodyDiv w:val="1"/>
      <w:marLeft w:val="0"/>
      <w:marRight w:val="0"/>
      <w:marTop w:val="0"/>
      <w:marBottom w:val="0"/>
      <w:divBdr>
        <w:top w:val="none" w:sz="0" w:space="0" w:color="auto"/>
        <w:left w:val="none" w:sz="0" w:space="0" w:color="auto"/>
        <w:bottom w:val="none" w:sz="0" w:space="0" w:color="auto"/>
        <w:right w:val="none" w:sz="0" w:space="0" w:color="auto"/>
      </w:divBdr>
    </w:div>
    <w:div w:id="957830830">
      <w:bodyDiv w:val="1"/>
      <w:marLeft w:val="0"/>
      <w:marRight w:val="0"/>
      <w:marTop w:val="0"/>
      <w:marBottom w:val="0"/>
      <w:divBdr>
        <w:top w:val="none" w:sz="0" w:space="0" w:color="auto"/>
        <w:left w:val="none" w:sz="0" w:space="0" w:color="auto"/>
        <w:bottom w:val="none" w:sz="0" w:space="0" w:color="auto"/>
        <w:right w:val="none" w:sz="0" w:space="0" w:color="auto"/>
      </w:divBdr>
    </w:div>
    <w:div w:id="963124209">
      <w:bodyDiv w:val="1"/>
      <w:marLeft w:val="0"/>
      <w:marRight w:val="0"/>
      <w:marTop w:val="0"/>
      <w:marBottom w:val="0"/>
      <w:divBdr>
        <w:top w:val="none" w:sz="0" w:space="0" w:color="auto"/>
        <w:left w:val="none" w:sz="0" w:space="0" w:color="auto"/>
        <w:bottom w:val="none" w:sz="0" w:space="0" w:color="auto"/>
        <w:right w:val="none" w:sz="0" w:space="0" w:color="auto"/>
      </w:divBdr>
    </w:div>
    <w:div w:id="964316655">
      <w:bodyDiv w:val="1"/>
      <w:marLeft w:val="0"/>
      <w:marRight w:val="0"/>
      <w:marTop w:val="0"/>
      <w:marBottom w:val="0"/>
      <w:divBdr>
        <w:top w:val="none" w:sz="0" w:space="0" w:color="auto"/>
        <w:left w:val="none" w:sz="0" w:space="0" w:color="auto"/>
        <w:bottom w:val="none" w:sz="0" w:space="0" w:color="auto"/>
        <w:right w:val="none" w:sz="0" w:space="0" w:color="auto"/>
      </w:divBdr>
    </w:div>
    <w:div w:id="1007054201">
      <w:bodyDiv w:val="1"/>
      <w:marLeft w:val="0"/>
      <w:marRight w:val="0"/>
      <w:marTop w:val="0"/>
      <w:marBottom w:val="0"/>
      <w:divBdr>
        <w:top w:val="none" w:sz="0" w:space="0" w:color="auto"/>
        <w:left w:val="none" w:sz="0" w:space="0" w:color="auto"/>
        <w:bottom w:val="none" w:sz="0" w:space="0" w:color="auto"/>
        <w:right w:val="none" w:sz="0" w:space="0" w:color="auto"/>
      </w:divBdr>
    </w:div>
    <w:div w:id="1023630013">
      <w:bodyDiv w:val="1"/>
      <w:marLeft w:val="0"/>
      <w:marRight w:val="0"/>
      <w:marTop w:val="0"/>
      <w:marBottom w:val="0"/>
      <w:divBdr>
        <w:top w:val="none" w:sz="0" w:space="0" w:color="auto"/>
        <w:left w:val="none" w:sz="0" w:space="0" w:color="auto"/>
        <w:bottom w:val="none" w:sz="0" w:space="0" w:color="auto"/>
        <w:right w:val="none" w:sz="0" w:space="0" w:color="auto"/>
      </w:divBdr>
    </w:div>
    <w:div w:id="1055280038">
      <w:bodyDiv w:val="1"/>
      <w:marLeft w:val="0"/>
      <w:marRight w:val="0"/>
      <w:marTop w:val="0"/>
      <w:marBottom w:val="0"/>
      <w:divBdr>
        <w:top w:val="none" w:sz="0" w:space="0" w:color="auto"/>
        <w:left w:val="none" w:sz="0" w:space="0" w:color="auto"/>
        <w:bottom w:val="none" w:sz="0" w:space="0" w:color="auto"/>
        <w:right w:val="none" w:sz="0" w:space="0" w:color="auto"/>
      </w:divBdr>
    </w:div>
    <w:div w:id="1057975651">
      <w:bodyDiv w:val="1"/>
      <w:marLeft w:val="0"/>
      <w:marRight w:val="0"/>
      <w:marTop w:val="0"/>
      <w:marBottom w:val="0"/>
      <w:divBdr>
        <w:top w:val="none" w:sz="0" w:space="0" w:color="auto"/>
        <w:left w:val="none" w:sz="0" w:space="0" w:color="auto"/>
        <w:bottom w:val="none" w:sz="0" w:space="0" w:color="auto"/>
        <w:right w:val="none" w:sz="0" w:space="0" w:color="auto"/>
      </w:divBdr>
    </w:div>
    <w:div w:id="1063678499">
      <w:bodyDiv w:val="1"/>
      <w:marLeft w:val="0"/>
      <w:marRight w:val="0"/>
      <w:marTop w:val="0"/>
      <w:marBottom w:val="0"/>
      <w:divBdr>
        <w:top w:val="none" w:sz="0" w:space="0" w:color="auto"/>
        <w:left w:val="none" w:sz="0" w:space="0" w:color="auto"/>
        <w:bottom w:val="none" w:sz="0" w:space="0" w:color="auto"/>
        <w:right w:val="none" w:sz="0" w:space="0" w:color="auto"/>
      </w:divBdr>
      <w:divsChild>
        <w:div w:id="775440144">
          <w:marLeft w:val="0"/>
          <w:marRight w:val="0"/>
          <w:marTop w:val="0"/>
          <w:marBottom w:val="0"/>
          <w:divBdr>
            <w:top w:val="none" w:sz="0" w:space="0" w:color="auto"/>
            <w:left w:val="none" w:sz="0" w:space="0" w:color="auto"/>
            <w:bottom w:val="none" w:sz="0" w:space="0" w:color="auto"/>
            <w:right w:val="none" w:sz="0" w:space="0" w:color="auto"/>
          </w:divBdr>
          <w:divsChild>
            <w:div w:id="1075326060">
              <w:marLeft w:val="0"/>
              <w:marRight w:val="0"/>
              <w:marTop w:val="0"/>
              <w:marBottom w:val="0"/>
              <w:divBdr>
                <w:top w:val="none" w:sz="0" w:space="0" w:color="auto"/>
                <w:left w:val="none" w:sz="0" w:space="0" w:color="auto"/>
                <w:bottom w:val="none" w:sz="0" w:space="0" w:color="auto"/>
                <w:right w:val="none" w:sz="0" w:space="0" w:color="auto"/>
              </w:divBdr>
              <w:divsChild>
                <w:div w:id="1876967110">
                  <w:marLeft w:val="0"/>
                  <w:marRight w:val="0"/>
                  <w:marTop w:val="0"/>
                  <w:marBottom w:val="0"/>
                  <w:divBdr>
                    <w:top w:val="none" w:sz="0" w:space="0" w:color="auto"/>
                    <w:left w:val="none" w:sz="0" w:space="0" w:color="auto"/>
                    <w:bottom w:val="none" w:sz="0" w:space="0" w:color="auto"/>
                    <w:right w:val="none" w:sz="0" w:space="0" w:color="auto"/>
                  </w:divBdr>
                  <w:divsChild>
                    <w:div w:id="1660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64559">
      <w:bodyDiv w:val="1"/>
      <w:marLeft w:val="0"/>
      <w:marRight w:val="0"/>
      <w:marTop w:val="0"/>
      <w:marBottom w:val="0"/>
      <w:divBdr>
        <w:top w:val="none" w:sz="0" w:space="0" w:color="auto"/>
        <w:left w:val="none" w:sz="0" w:space="0" w:color="auto"/>
        <w:bottom w:val="none" w:sz="0" w:space="0" w:color="auto"/>
        <w:right w:val="none" w:sz="0" w:space="0" w:color="auto"/>
      </w:divBdr>
    </w:div>
    <w:div w:id="1138912492">
      <w:bodyDiv w:val="1"/>
      <w:marLeft w:val="0"/>
      <w:marRight w:val="0"/>
      <w:marTop w:val="0"/>
      <w:marBottom w:val="0"/>
      <w:divBdr>
        <w:top w:val="none" w:sz="0" w:space="0" w:color="auto"/>
        <w:left w:val="none" w:sz="0" w:space="0" w:color="auto"/>
        <w:bottom w:val="none" w:sz="0" w:space="0" w:color="auto"/>
        <w:right w:val="none" w:sz="0" w:space="0" w:color="auto"/>
      </w:divBdr>
    </w:div>
    <w:div w:id="1164660952">
      <w:bodyDiv w:val="1"/>
      <w:marLeft w:val="0"/>
      <w:marRight w:val="0"/>
      <w:marTop w:val="0"/>
      <w:marBottom w:val="0"/>
      <w:divBdr>
        <w:top w:val="none" w:sz="0" w:space="0" w:color="auto"/>
        <w:left w:val="none" w:sz="0" w:space="0" w:color="auto"/>
        <w:bottom w:val="none" w:sz="0" w:space="0" w:color="auto"/>
        <w:right w:val="none" w:sz="0" w:space="0" w:color="auto"/>
      </w:divBdr>
    </w:div>
    <w:div w:id="1192184160">
      <w:bodyDiv w:val="1"/>
      <w:marLeft w:val="0"/>
      <w:marRight w:val="0"/>
      <w:marTop w:val="0"/>
      <w:marBottom w:val="0"/>
      <w:divBdr>
        <w:top w:val="none" w:sz="0" w:space="0" w:color="auto"/>
        <w:left w:val="none" w:sz="0" w:space="0" w:color="auto"/>
        <w:bottom w:val="none" w:sz="0" w:space="0" w:color="auto"/>
        <w:right w:val="none" w:sz="0" w:space="0" w:color="auto"/>
      </w:divBdr>
    </w:div>
    <w:div w:id="1192911663">
      <w:bodyDiv w:val="1"/>
      <w:marLeft w:val="0"/>
      <w:marRight w:val="0"/>
      <w:marTop w:val="0"/>
      <w:marBottom w:val="0"/>
      <w:divBdr>
        <w:top w:val="none" w:sz="0" w:space="0" w:color="auto"/>
        <w:left w:val="none" w:sz="0" w:space="0" w:color="auto"/>
        <w:bottom w:val="none" w:sz="0" w:space="0" w:color="auto"/>
        <w:right w:val="none" w:sz="0" w:space="0" w:color="auto"/>
      </w:divBdr>
    </w:div>
    <w:div w:id="1196649884">
      <w:bodyDiv w:val="1"/>
      <w:marLeft w:val="0"/>
      <w:marRight w:val="0"/>
      <w:marTop w:val="0"/>
      <w:marBottom w:val="0"/>
      <w:divBdr>
        <w:top w:val="none" w:sz="0" w:space="0" w:color="auto"/>
        <w:left w:val="none" w:sz="0" w:space="0" w:color="auto"/>
        <w:bottom w:val="none" w:sz="0" w:space="0" w:color="auto"/>
        <w:right w:val="none" w:sz="0" w:space="0" w:color="auto"/>
      </w:divBdr>
    </w:div>
    <w:div w:id="1215698816">
      <w:bodyDiv w:val="1"/>
      <w:marLeft w:val="0"/>
      <w:marRight w:val="0"/>
      <w:marTop w:val="0"/>
      <w:marBottom w:val="0"/>
      <w:divBdr>
        <w:top w:val="none" w:sz="0" w:space="0" w:color="auto"/>
        <w:left w:val="none" w:sz="0" w:space="0" w:color="auto"/>
        <w:bottom w:val="none" w:sz="0" w:space="0" w:color="auto"/>
        <w:right w:val="none" w:sz="0" w:space="0" w:color="auto"/>
      </w:divBdr>
    </w:div>
    <w:div w:id="1225482870">
      <w:bodyDiv w:val="1"/>
      <w:marLeft w:val="0"/>
      <w:marRight w:val="0"/>
      <w:marTop w:val="0"/>
      <w:marBottom w:val="0"/>
      <w:divBdr>
        <w:top w:val="none" w:sz="0" w:space="0" w:color="auto"/>
        <w:left w:val="none" w:sz="0" w:space="0" w:color="auto"/>
        <w:bottom w:val="none" w:sz="0" w:space="0" w:color="auto"/>
        <w:right w:val="none" w:sz="0" w:space="0" w:color="auto"/>
      </w:divBdr>
    </w:div>
    <w:div w:id="1332835870">
      <w:bodyDiv w:val="1"/>
      <w:marLeft w:val="0"/>
      <w:marRight w:val="0"/>
      <w:marTop w:val="0"/>
      <w:marBottom w:val="0"/>
      <w:divBdr>
        <w:top w:val="none" w:sz="0" w:space="0" w:color="auto"/>
        <w:left w:val="none" w:sz="0" w:space="0" w:color="auto"/>
        <w:bottom w:val="none" w:sz="0" w:space="0" w:color="auto"/>
        <w:right w:val="none" w:sz="0" w:space="0" w:color="auto"/>
      </w:divBdr>
    </w:div>
    <w:div w:id="1400446280">
      <w:bodyDiv w:val="1"/>
      <w:marLeft w:val="0"/>
      <w:marRight w:val="0"/>
      <w:marTop w:val="0"/>
      <w:marBottom w:val="0"/>
      <w:divBdr>
        <w:top w:val="none" w:sz="0" w:space="0" w:color="auto"/>
        <w:left w:val="none" w:sz="0" w:space="0" w:color="auto"/>
        <w:bottom w:val="none" w:sz="0" w:space="0" w:color="auto"/>
        <w:right w:val="none" w:sz="0" w:space="0" w:color="auto"/>
      </w:divBdr>
    </w:div>
    <w:div w:id="1415392614">
      <w:bodyDiv w:val="1"/>
      <w:marLeft w:val="0"/>
      <w:marRight w:val="0"/>
      <w:marTop w:val="0"/>
      <w:marBottom w:val="0"/>
      <w:divBdr>
        <w:top w:val="none" w:sz="0" w:space="0" w:color="auto"/>
        <w:left w:val="none" w:sz="0" w:space="0" w:color="auto"/>
        <w:bottom w:val="none" w:sz="0" w:space="0" w:color="auto"/>
        <w:right w:val="none" w:sz="0" w:space="0" w:color="auto"/>
      </w:divBdr>
    </w:div>
    <w:div w:id="1416244832">
      <w:bodyDiv w:val="1"/>
      <w:marLeft w:val="0"/>
      <w:marRight w:val="0"/>
      <w:marTop w:val="0"/>
      <w:marBottom w:val="0"/>
      <w:divBdr>
        <w:top w:val="none" w:sz="0" w:space="0" w:color="auto"/>
        <w:left w:val="none" w:sz="0" w:space="0" w:color="auto"/>
        <w:bottom w:val="none" w:sz="0" w:space="0" w:color="auto"/>
        <w:right w:val="none" w:sz="0" w:space="0" w:color="auto"/>
      </w:divBdr>
    </w:div>
    <w:div w:id="1437091337">
      <w:bodyDiv w:val="1"/>
      <w:marLeft w:val="0"/>
      <w:marRight w:val="0"/>
      <w:marTop w:val="0"/>
      <w:marBottom w:val="0"/>
      <w:divBdr>
        <w:top w:val="none" w:sz="0" w:space="0" w:color="auto"/>
        <w:left w:val="none" w:sz="0" w:space="0" w:color="auto"/>
        <w:bottom w:val="none" w:sz="0" w:space="0" w:color="auto"/>
        <w:right w:val="none" w:sz="0" w:space="0" w:color="auto"/>
      </w:divBdr>
    </w:div>
    <w:div w:id="1442186654">
      <w:bodyDiv w:val="1"/>
      <w:marLeft w:val="0"/>
      <w:marRight w:val="0"/>
      <w:marTop w:val="0"/>
      <w:marBottom w:val="0"/>
      <w:divBdr>
        <w:top w:val="none" w:sz="0" w:space="0" w:color="auto"/>
        <w:left w:val="none" w:sz="0" w:space="0" w:color="auto"/>
        <w:bottom w:val="none" w:sz="0" w:space="0" w:color="auto"/>
        <w:right w:val="none" w:sz="0" w:space="0" w:color="auto"/>
      </w:divBdr>
    </w:div>
    <w:div w:id="1469399644">
      <w:bodyDiv w:val="1"/>
      <w:marLeft w:val="0"/>
      <w:marRight w:val="0"/>
      <w:marTop w:val="0"/>
      <w:marBottom w:val="0"/>
      <w:divBdr>
        <w:top w:val="none" w:sz="0" w:space="0" w:color="auto"/>
        <w:left w:val="none" w:sz="0" w:space="0" w:color="auto"/>
        <w:bottom w:val="none" w:sz="0" w:space="0" w:color="auto"/>
        <w:right w:val="none" w:sz="0" w:space="0" w:color="auto"/>
      </w:divBdr>
    </w:div>
    <w:div w:id="1487210073">
      <w:bodyDiv w:val="1"/>
      <w:marLeft w:val="0"/>
      <w:marRight w:val="0"/>
      <w:marTop w:val="0"/>
      <w:marBottom w:val="0"/>
      <w:divBdr>
        <w:top w:val="none" w:sz="0" w:space="0" w:color="auto"/>
        <w:left w:val="none" w:sz="0" w:space="0" w:color="auto"/>
        <w:bottom w:val="none" w:sz="0" w:space="0" w:color="auto"/>
        <w:right w:val="none" w:sz="0" w:space="0" w:color="auto"/>
      </w:divBdr>
    </w:div>
    <w:div w:id="1488861089">
      <w:bodyDiv w:val="1"/>
      <w:marLeft w:val="0"/>
      <w:marRight w:val="0"/>
      <w:marTop w:val="0"/>
      <w:marBottom w:val="0"/>
      <w:divBdr>
        <w:top w:val="none" w:sz="0" w:space="0" w:color="auto"/>
        <w:left w:val="none" w:sz="0" w:space="0" w:color="auto"/>
        <w:bottom w:val="none" w:sz="0" w:space="0" w:color="auto"/>
        <w:right w:val="none" w:sz="0" w:space="0" w:color="auto"/>
      </w:divBdr>
    </w:div>
    <w:div w:id="1497841266">
      <w:bodyDiv w:val="1"/>
      <w:marLeft w:val="0"/>
      <w:marRight w:val="0"/>
      <w:marTop w:val="0"/>
      <w:marBottom w:val="0"/>
      <w:divBdr>
        <w:top w:val="none" w:sz="0" w:space="0" w:color="auto"/>
        <w:left w:val="none" w:sz="0" w:space="0" w:color="auto"/>
        <w:bottom w:val="none" w:sz="0" w:space="0" w:color="auto"/>
        <w:right w:val="none" w:sz="0" w:space="0" w:color="auto"/>
      </w:divBdr>
    </w:div>
    <w:div w:id="1588802704">
      <w:bodyDiv w:val="1"/>
      <w:marLeft w:val="0"/>
      <w:marRight w:val="0"/>
      <w:marTop w:val="0"/>
      <w:marBottom w:val="0"/>
      <w:divBdr>
        <w:top w:val="none" w:sz="0" w:space="0" w:color="auto"/>
        <w:left w:val="none" w:sz="0" w:space="0" w:color="auto"/>
        <w:bottom w:val="none" w:sz="0" w:space="0" w:color="auto"/>
        <w:right w:val="none" w:sz="0" w:space="0" w:color="auto"/>
      </w:divBdr>
    </w:div>
    <w:div w:id="1590578907">
      <w:bodyDiv w:val="1"/>
      <w:marLeft w:val="0"/>
      <w:marRight w:val="0"/>
      <w:marTop w:val="0"/>
      <w:marBottom w:val="0"/>
      <w:divBdr>
        <w:top w:val="none" w:sz="0" w:space="0" w:color="auto"/>
        <w:left w:val="none" w:sz="0" w:space="0" w:color="auto"/>
        <w:bottom w:val="none" w:sz="0" w:space="0" w:color="auto"/>
        <w:right w:val="none" w:sz="0" w:space="0" w:color="auto"/>
      </w:divBdr>
    </w:div>
    <w:div w:id="1699237236">
      <w:bodyDiv w:val="1"/>
      <w:marLeft w:val="0"/>
      <w:marRight w:val="0"/>
      <w:marTop w:val="0"/>
      <w:marBottom w:val="0"/>
      <w:divBdr>
        <w:top w:val="none" w:sz="0" w:space="0" w:color="auto"/>
        <w:left w:val="none" w:sz="0" w:space="0" w:color="auto"/>
        <w:bottom w:val="none" w:sz="0" w:space="0" w:color="auto"/>
        <w:right w:val="none" w:sz="0" w:space="0" w:color="auto"/>
      </w:divBdr>
    </w:div>
    <w:div w:id="1703162967">
      <w:bodyDiv w:val="1"/>
      <w:marLeft w:val="0"/>
      <w:marRight w:val="0"/>
      <w:marTop w:val="0"/>
      <w:marBottom w:val="0"/>
      <w:divBdr>
        <w:top w:val="none" w:sz="0" w:space="0" w:color="auto"/>
        <w:left w:val="none" w:sz="0" w:space="0" w:color="auto"/>
        <w:bottom w:val="none" w:sz="0" w:space="0" w:color="auto"/>
        <w:right w:val="none" w:sz="0" w:space="0" w:color="auto"/>
      </w:divBdr>
    </w:div>
    <w:div w:id="1715732492">
      <w:bodyDiv w:val="1"/>
      <w:marLeft w:val="0"/>
      <w:marRight w:val="0"/>
      <w:marTop w:val="0"/>
      <w:marBottom w:val="0"/>
      <w:divBdr>
        <w:top w:val="none" w:sz="0" w:space="0" w:color="auto"/>
        <w:left w:val="none" w:sz="0" w:space="0" w:color="auto"/>
        <w:bottom w:val="none" w:sz="0" w:space="0" w:color="auto"/>
        <w:right w:val="none" w:sz="0" w:space="0" w:color="auto"/>
      </w:divBdr>
    </w:div>
    <w:div w:id="1725979704">
      <w:bodyDiv w:val="1"/>
      <w:marLeft w:val="0"/>
      <w:marRight w:val="0"/>
      <w:marTop w:val="0"/>
      <w:marBottom w:val="0"/>
      <w:divBdr>
        <w:top w:val="none" w:sz="0" w:space="0" w:color="auto"/>
        <w:left w:val="none" w:sz="0" w:space="0" w:color="auto"/>
        <w:bottom w:val="none" w:sz="0" w:space="0" w:color="auto"/>
        <w:right w:val="none" w:sz="0" w:space="0" w:color="auto"/>
      </w:divBdr>
    </w:div>
    <w:div w:id="1731810671">
      <w:bodyDiv w:val="1"/>
      <w:marLeft w:val="0"/>
      <w:marRight w:val="0"/>
      <w:marTop w:val="0"/>
      <w:marBottom w:val="0"/>
      <w:divBdr>
        <w:top w:val="none" w:sz="0" w:space="0" w:color="auto"/>
        <w:left w:val="none" w:sz="0" w:space="0" w:color="auto"/>
        <w:bottom w:val="none" w:sz="0" w:space="0" w:color="auto"/>
        <w:right w:val="none" w:sz="0" w:space="0" w:color="auto"/>
      </w:divBdr>
    </w:div>
    <w:div w:id="1741057710">
      <w:bodyDiv w:val="1"/>
      <w:marLeft w:val="0"/>
      <w:marRight w:val="0"/>
      <w:marTop w:val="0"/>
      <w:marBottom w:val="0"/>
      <w:divBdr>
        <w:top w:val="none" w:sz="0" w:space="0" w:color="auto"/>
        <w:left w:val="none" w:sz="0" w:space="0" w:color="auto"/>
        <w:bottom w:val="none" w:sz="0" w:space="0" w:color="auto"/>
        <w:right w:val="none" w:sz="0" w:space="0" w:color="auto"/>
      </w:divBdr>
    </w:div>
    <w:div w:id="1756003880">
      <w:bodyDiv w:val="1"/>
      <w:marLeft w:val="0"/>
      <w:marRight w:val="0"/>
      <w:marTop w:val="0"/>
      <w:marBottom w:val="0"/>
      <w:divBdr>
        <w:top w:val="none" w:sz="0" w:space="0" w:color="auto"/>
        <w:left w:val="none" w:sz="0" w:space="0" w:color="auto"/>
        <w:bottom w:val="none" w:sz="0" w:space="0" w:color="auto"/>
        <w:right w:val="none" w:sz="0" w:space="0" w:color="auto"/>
      </w:divBdr>
    </w:div>
    <w:div w:id="1777750563">
      <w:bodyDiv w:val="1"/>
      <w:marLeft w:val="0"/>
      <w:marRight w:val="0"/>
      <w:marTop w:val="0"/>
      <w:marBottom w:val="0"/>
      <w:divBdr>
        <w:top w:val="none" w:sz="0" w:space="0" w:color="auto"/>
        <w:left w:val="none" w:sz="0" w:space="0" w:color="auto"/>
        <w:bottom w:val="none" w:sz="0" w:space="0" w:color="auto"/>
        <w:right w:val="none" w:sz="0" w:space="0" w:color="auto"/>
      </w:divBdr>
    </w:div>
    <w:div w:id="1823498164">
      <w:bodyDiv w:val="1"/>
      <w:marLeft w:val="0"/>
      <w:marRight w:val="0"/>
      <w:marTop w:val="0"/>
      <w:marBottom w:val="0"/>
      <w:divBdr>
        <w:top w:val="none" w:sz="0" w:space="0" w:color="auto"/>
        <w:left w:val="none" w:sz="0" w:space="0" w:color="auto"/>
        <w:bottom w:val="none" w:sz="0" w:space="0" w:color="auto"/>
        <w:right w:val="none" w:sz="0" w:space="0" w:color="auto"/>
      </w:divBdr>
    </w:div>
    <w:div w:id="1851262396">
      <w:bodyDiv w:val="1"/>
      <w:marLeft w:val="0"/>
      <w:marRight w:val="0"/>
      <w:marTop w:val="0"/>
      <w:marBottom w:val="0"/>
      <w:divBdr>
        <w:top w:val="none" w:sz="0" w:space="0" w:color="auto"/>
        <w:left w:val="none" w:sz="0" w:space="0" w:color="auto"/>
        <w:bottom w:val="none" w:sz="0" w:space="0" w:color="auto"/>
        <w:right w:val="none" w:sz="0" w:space="0" w:color="auto"/>
      </w:divBdr>
    </w:div>
    <w:div w:id="1852798777">
      <w:bodyDiv w:val="1"/>
      <w:marLeft w:val="0"/>
      <w:marRight w:val="0"/>
      <w:marTop w:val="0"/>
      <w:marBottom w:val="0"/>
      <w:divBdr>
        <w:top w:val="none" w:sz="0" w:space="0" w:color="auto"/>
        <w:left w:val="none" w:sz="0" w:space="0" w:color="auto"/>
        <w:bottom w:val="none" w:sz="0" w:space="0" w:color="auto"/>
        <w:right w:val="none" w:sz="0" w:space="0" w:color="auto"/>
      </w:divBdr>
    </w:div>
    <w:div w:id="1857308962">
      <w:bodyDiv w:val="1"/>
      <w:marLeft w:val="0"/>
      <w:marRight w:val="0"/>
      <w:marTop w:val="0"/>
      <w:marBottom w:val="0"/>
      <w:divBdr>
        <w:top w:val="none" w:sz="0" w:space="0" w:color="auto"/>
        <w:left w:val="none" w:sz="0" w:space="0" w:color="auto"/>
        <w:bottom w:val="none" w:sz="0" w:space="0" w:color="auto"/>
        <w:right w:val="none" w:sz="0" w:space="0" w:color="auto"/>
      </w:divBdr>
    </w:div>
    <w:div w:id="1861893321">
      <w:bodyDiv w:val="1"/>
      <w:marLeft w:val="0"/>
      <w:marRight w:val="0"/>
      <w:marTop w:val="0"/>
      <w:marBottom w:val="0"/>
      <w:divBdr>
        <w:top w:val="none" w:sz="0" w:space="0" w:color="auto"/>
        <w:left w:val="none" w:sz="0" w:space="0" w:color="auto"/>
        <w:bottom w:val="none" w:sz="0" w:space="0" w:color="auto"/>
        <w:right w:val="none" w:sz="0" w:space="0" w:color="auto"/>
      </w:divBdr>
    </w:div>
    <w:div w:id="1909460431">
      <w:bodyDiv w:val="1"/>
      <w:marLeft w:val="0"/>
      <w:marRight w:val="0"/>
      <w:marTop w:val="0"/>
      <w:marBottom w:val="0"/>
      <w:divBdr>
        <w:top w:val="none" w:sz="0" w:space="0" w:color="auto"/>
        <w:left w:val="none" w:sz="0" w:space="0" w:color="auto"/>
        <w:bottom w:val="none" w:sz="0" w:space="0" w:color="auto"/>
        <w:right w:val="none" w:sz="0" w:space="0" w:color="auto"/>
      </w:divBdr>
    </w:div>
    <w:div w:id="1924876489">
      <w:bodyDiv w:val="1"/>
      <w:marLeft w:val="0"/>
      <w:marRight w:val="0"/>
      <w:marTop w:val="0"/>
      <w:marBottom w:val="0"/>
      <w:divBdr>
        <w:top w:val="none" w:sz="0" w:space="0" w:color="auto"/>
        <w:left w:val="none" w:sz="0" w:space="0" w:color="auto"/>
        <w:bottom w:val="none" w:sz="0" w:space="0" w:color="auto"/>
        <w:right w:val="none" w:sz="0" w:space="0" w:color="auto"/>
      </w:divBdr>
    </w:div>
    <w:div w:id="1991786910">
      <w:bodyDiv w:val="1"/>
      <w:marLeft w:val="0"/>
      <w:marRight w:val="0"/>
      <w:marTop w:val="0"/>
      <w:marBottom w:val="0"/>
      <w:divBdr>
        <w:top w:val="none" w:sz="0" w:space="0" w:color="auto"/>
        <w:left w:val="none" w:sz="0" w:space="0" w:color="auto"/>
        <w:bottom w:val="none" w:sz="0" w:space="0" w:color="auto"/>
        <w:right w:val="none" w:sz="0" w:space="0" w:color="auto"/>
      </w:divBdr>
    </w:div>
    <w:div w:id="2014842581">
      <w:bodyDiv w:val="1"/>
      <w:marLeft w:val="0"/>
      <w:marRight w:val="0"/>
      <w:marTop w:val="0"/>
      <w:marBottom w:val="0"/>
      <w:divBdr>
        <w:top w:val="none" w:sz="0" w:space="0" w:color="auto"/>
        <w:left w:val="none" w:sz="0" w:space="0" w:color="auto"/>
        <w:bottom w:val="none" w:sz="0" w:space="0" w:color="auto"/>
        <w:right w:val="none" w:sz="0" w:space="0" w:color="auto"/>
      </w:divBdr>
    </w:div>
    <w:div w:id="2033339544">
      <w:bodyDiv w:val="1"/>
      <w:marLeft w:val="0"/>
      <w:marRight w:val="0"/>
      <w:marTop w:val="0"/>
      <w:marBottom w:val="0"/>
      <w:divBdr>
        <w:top w:val="none" w:sz="0" w:space="0" w:color="auto"/>
        <w:left w:val="none" w:sz="0" w:space="0" w:color="auto"/>
        <w:bottom w:val="none" w:sz="0" w:space="0" w:color="auto"/>
        <w:right w:val="none" w:sz="0" w:space="0" w:color="auto"/>
      </w:divBdr>
    </w:div>
    <w:div w:id="2050689969">
      <w:bodyDiv w:val="1"/>
      <w:marLeft w:val="0"/>
      <w:marRight w:val="0"/>
      <w:marTop w:val="0"/>
      <w:marBottom w:val="0"/>
      <w:divBdr>
        <w:top w:val="none" w:sz="0" w:space="0" w:color="auto"/>
        <w:left w:val="none" w:sz="0" w:space="0" w:color="auto"/>
        <w:bottom w:val="none" w:sz="0" w:space="0" w:color="auto"/>
        <w:right w:val="none" w:sz="0" w:space="0" w:color="auto"/>
      </w:divBdr>
    </w:div>
    <w:div w:id="2087871099">
      <w:bodyDiv w:val="1"/>
      <w:marLeft w:val="0"/>
      <w:marRight w:val="0"/>
      <w:marTop w:val="0"/>
      <w:marBottom w:val="0"/>
      <w:divBdr>
        <w:top w:val="none" w:sz="0" w:space="0" w:color="auto"/>
        <w:left w:val="none" w:sz="0" w:space="0" w:color="auto"/>
        <w:bottom w:val="none" w:sz="0" w:space="0" w:color="auto"/>
        <w:right w:val="none" w:sz="0" w:space="0" w:color="auto"/>
      </w:divBdr>
    </w:div>
    <w:div w:id="2132430210">
      <w:bodyDiv w:val="1"/>
      <w:marLeft w:val="0"/>
      <w:marRight w:val="0"/>
      <w:marTop w:val="0"/>
      <w:marBottom w:val="0"/>
      <w:divBdr>
        <w:top w:val="none" w:sz="0" w:space="0" w:color="auto"/>
        <w:left w:val="none" w:sz="0" w:space="0" w:color="auto"/>
        <w:bottom w:val="none" w:sz="0" w:space="0" w:color="auto"/>
        <w:right w:val="none" w:sz="0" w:space="0" w:color="auto"/>
      </w:divBdr>
    </w:div>
    <w:div w:id="213774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da.i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1B369-ACA6-4887-9BFF-4212DE72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8394</Words>
  <Characters>47850</Characters>
  <Application>Microsoft Office Word</Application>
  <DocSecurity>4</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56132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Donal Rice</dc:creator>
  <cp:lastModifiedBy>Meghna Manu (NDA)</cp:lastModifiedBy>
  <cp:revision>2</cp:revision>
  <cp:lastPrinted>2019-09-06T14:30:00Z</cp:lastPrinted>
  <dcterms:created xsi:type="dcterms:W3CDTF">2026-01-26T17:39:00Z</dcterms:created>
  <dcterms:modified xsi:type="dcterms:W3CDTF">2026-01-26T17:39:00Z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awcVerifyStyleSequence">
    <vt:lpwstr>wdStyleTitle, %</vt:lpwstr>
  </property>
  <property fmtid="{D5CDD505-2E9C-101B-9397-08002B2CF9AE}" pid="3" name="SW_IntOfficeMacros">
    <vt:lpwstr>Disabled</vt:lpwstr>
  </property>
  <property fmtid="{D5CDD505-2E9C-101B-9397-08002B2CF9AE}" pid="4" name="SW_CustomTitle">
    <vt:lpwstr/>
  </property>
</Properties>
</file>