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64D3" w14:textId="77777777" w:rsidR="002A70CD" w:rsidRDefault="002A70CD">
      <w:pPr>
        <w:pStyle w:val="Title"/>
      </w:pPr>
      <w:bookmarkStart w:id="0" w:name="_Toc150873256"/>
    </w:p>
    <w:p w14:paraId="4A4342D7" w14:textId="77777777" w:rsidR="002A70CD" w:rsidRDefault="002A70CD">
      <w:pPr>
        <w:pStyle w:val="Title"/>
      </w:pPr>
    </w:p>
    <w:p w14:paraId="37E5E53E" w14:textId="55C6E4C5" w:rsidR="00916407" w:rsidRPr="00723DCE" w:rsidRDefault="00916407" w:rsidP="00D32663">
      <w:pPr>
        <w:pStyle w:val="Title"/>
      </w:pPr>
      <w:r w:rsidRPr="00723DCE">
        <w:t>Ethical Guidance for Research with Disabled People</w:t>
      </w:r>
      <w:bookmarkEnd w:id="0"/>
    </w:p>
    <w:p w14:paraId="7DB19241" w14:textId="249E66B2" w:rsidR="00916407" w:rsidRDefault="00916407" w:rsidP="00301BA0">
      <w:pPr>
        <w:spacing w:line="360" w:lineRule="auto"/>
      </w:pPr>
    </w:p>
    <w:p w14:paraId="6BD6734F" w14:textId="409582EF" w:rsidR="00916407" w:rsidRDefault="00D42226" w:rsidP="00301BA0">
      <w:pPr>
        <w:spacing w:line="360" w:lineRule="auto"/>
      </w:pPr>
      <w:r>
        <w:rPr>
          <w:sz w:val="36"/>
          <w:szCs w:val="36"/>
        </w:rPr>
        <w:t>January</w:t>
      </w:r>
      <w:r w:rsidR="00DD103F" w:rsidRPr="00D32663">
        <w:rPr>
          <w:sz w:val="36"/>
          <w:szCs w:val="36"/>
        </w:rPr>
        <w:t xml:space="preserve"> </w:t>
      </w:r>
      <w:r w:rsidR="00916407" w:rsidRPr="00D32663">
        <w:rPr>
          <w:sz w:val="36"/>
          <w:szCs w:val="36"/>
        </w:rPr>
        <w:t>20</w:t>
      </w:r>
      <w:r w:rsidR="00D377E7" w:rsidRPr="00D32663">
        <w:rPr>
          <w:sz w:val="36"/>
          <w:szCs w:val="36"/>
        </w:rPr>
        <w:t>2</w:t>
      </w:r>
      <w:r>
        <w:rPr>
          <w:sz w:val="36"/>
          <w:szCs w:val="36"/>
        </w:rPr>
        <w:t>4</w:t>
      </w:r>
    </w:p>
    <w:p w14:paraId="5CFCD816" w14:textId="567170AD" w:rsidR="00916407" w:rsidRDefault="00916407" w:rsidP="00301BA0">
      <w:pPr>
        <w:spacing w:line="360" w:lineRule="auto"/>
      </w:pPr>
    </w:p>
    <w:p w14:paraId="58FC6ED1" w14:textId="77777777" w:rsidR="00916407" w:rsidRPr="00916407" w:rsidRDefault="00916407" w:rsidP="00301BA0">
      <w:pPr>
        <w:spacing w:line="360" w:lineRule="auto"/>
      </w:pPr>
    </w:p>
    <w:p w14:paraId="668947B8" w14:textId="4C816501" w:rsidR="00916407" w:rsidRDefault="00916407" w:rsidP="00301BA0">
      <w:pPr>
        <w:spacing w:after="0" w:line="360" w:lineRule="auto"/>
      </w:pPr>
      <w:r>
        <w:rPr>
          <w:noProof/>
        </w:rPr>
        <w:drawing>
          <wp:inline distT="0" distB="0" distL="0" distR="0" wp14:anchorId="1B0CB913" wp14:editId="5224BBFC">
            <wp:extent cx="2520315" cy="1800860"/>
            <wp:effectExtent l="0" t="0" r="0" b="8890"/>
            <wp:docPr id="13" name="Picture 13"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title="National Disability Authority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800860"/>
                    </a:xfrm>
                    <a:prstGeom prst="rect">
                      <a:avLst/>
                    </a:prstGeom>
                  </pic:spPr>
                </pic:pic>
              </a:graphicData>
            </a:graphic>
          </wp:inline>
        </w:drawing>
      </w:r>
    </w:p>
    <w:p w14:paraId="1D4DBB03" w14:textId="7666CDB9" w:rsidR="00916407" w:rsidRPr="009D584B" w:rsidRDefault="00916407" w:rsidP="00301BA0">
      <w:pPr>
        <w:spacing w:after="0" w:line="360" w:lineRule="auto"/>
        <w:rPr>
          <w:rFonts w:ascii="Calibri Light" w:hAnsi="Calibri Light"/>
          <w:color w:val="2E74B5"/>
          <w:sz w:val="32"/>
          <w:szCs w:val="32"/>
          <w:lang w:val="en-US"/>
        </w:rPr>
      </w:pPr>
      <w:r>
        <w:br w:type="page"/>
      </w:r>
    </w:p>
    <w:p w14:paraId="1D288006" w14:textId="4F05D7A0" w:rsidR="006F5710" w:rsidRDefault="00690B34" w:rsidP="00D32663">
      <w:pPr>
        <w:pStyle w:val="Title"/>
      </w:pPr>
      <w:bookmarkStart w:id="1" w:name="_Toc150873257"/>
      <w:r>
        <w:lastRenderedPageBreak/>
        <w:t xml:space="preserve">Table of </w:t>
      </w:r>
      <w:r w:rsidR="006F5710">
        <w:t>Contents</w:t>
      </w:r>
      <w:bookmarkEnd w:id="1"/>
      <w:r w:rsidR="0071669B">
        <w:tab/>
      </w:r>
    </w:p>
    <w:p w14:paraId="12801CC4" w14:textId="478429BA" w:rsidR="00EC2E52" w:rsidRDefault="00723DCE">
      <w:pPr>
        <w:pStyle w:val="TOC1"/>
        <w:rPr>
          <w:rFonts w:asciiTheme="minorHAnsi" w:eastAsiaTheme="minorEastAsia" w:hAnsiTheme="minorHAnsi" w:cstheme="minorBidi"/>
          <w:b w:val="0"/>
          <w:noProof/>
          <w:sz w:val="22"/>
          <w:szCs w:val="22"/>
          <w:lang w:eastAsia="en-IE"/>
        </w:rPr>
      </w:pPr>
      <w:r>
        <w:fldChar w:fldCharType="begin"/>
      </w:r>
      <w:r>
        <w:instrText xml:space="preserve"> TOC \o "2-2" \h \z \t "Heading 1,1" </w:instrText>
      </w:r>
      <w:r>
        <w:fldChar w:fldCharType="separate"/>
      </w:r>
      <w:hyperlink w:anchor="_Toc156380487" w:history="1">
        <w:r w:rsidR="00EC2E52" w:rsidRPr="00C60FBA">
          <w:rPr>
            <w:rStyle w:val="Hyperlink"/>
            <w:noProof/>
            <w:lang w:eastAsia="en-IE"/>
          </w:rPr>
          <w:t>Statement on language</w:t>
        </w:r>
        <w:r w:rsidR="00EC2E52">
          <w:rPr>
            <w:noProof/>
            <w:webHidden/>
          </w:rPr>
          <w:tab/>
        </w:r>
        <w:r w:rsidR="00EC2E52">
          <w:rPr>
            <w:noProof/>
            <w:webHidden/>
          </w:rPr>
          <w:fldChar w:fldCharType="begin"/>
        </w:r>
        <w:r w:rsidR="00EC2E52">
          <w:rPr>
            <w:noProof/>
            <w:webHidden/>
          </w:rPr>
          <w:instrText xml:space="preserve"> PAGEREF _Toc156380487 \h </w:instrText>
        </w:r>
        <w:r w:rsidR="00EC2E52">
          <w:rPr>
            <w:noProof/>
            <w:webHidden/>
          </w:rPr>
        </w:r>
        <w:r w:rsidR="00EC2E52">
          <w:rPr>
            <w:noProof/>
            <w:webHidden/>
          </w:rPr>
          <w:fldChar w:fldCharType="separate"/>
        </w:r>
        <w:r w:rsidR="00EC2E52">
          <w:rPr>
            <w:noProof/>
            <w:webHidden/>
          </w:rPr>
          <w:t>3</w:t>
        </w:r>
        <w:r w:rsidR="00EC2E52">
          <w:rPr>
            <w:noProof/>
            <w:webHidden/>
          </w:rPr>
          <w:fldChar w:fldCharType="end"/>
        </w:r>
      </w:hyperlink>
    </w:p>
    <w:p w14:paraId="57DC51C9" w14:textId="420F6EDB" w:rsidR="00EC2E52" w:rsidRDefault="00D42226">
      <w:pPr>
        <w:pStyle w:val="TOC1"/>
        <w:rPr>
          <w:rFonts w:asciiTheme="minorHAnsi" w:eastAsiaTheme="minorEastAsia" w:hAnsiTheme="minorHAnsi" w:cstheme="minorBidi"/>
          <w:b w:val="0"/>
          <w:noProof/>
          <w:sz w:val="22"/>
          <w:szCs w:val="22"/>
          <w:lang w:eastAsia="en-IE"/>
        </w:rPr>
      </w:pPr>
      <w:hyperlink w:anchor="_Toc156380488" w:history="1">
        <w:r w:rsidR="00EC2E52" w:rsidRPr="00C60FBA">
          <w:rPr>
            <w:rStyle w:val="Hyperlink"/>
            <w:noProof/>
            <w:lang w:val="en-GB"/>
          </w:rPr>
          <w:t>Executive Summary</w:t>
        </w:r>
        <w:r w:rsidR="00EC2E52">
          <w:rPr>
            <w:noProof/>
            <w:webHidden/>
          </w:rPr>
          <w:tab/>
        </w:r>
        <w:r w:rsidR="00EC2E52">
          <w:rPr>
            <w:noProof/>
            <w:webHidden/>
          </w:rPr>
          <w:fldChar w:fldCharType="begin"/>
        </w:r>
        <w:r w:rsidR="00EC2E52">
          <w:rPr>
            <w:noProof/>
            <w:webHidden/>
          </w:rPr>
          <w:instrText xml:space="preserve"> PAGEREF _Toc156380488 \h </w:instrText>
        </w:r>
        <w:r w:rsidR="00EC2E52">
          <w:rPr>
            <w:noProof/>
            <w:webHidden/>
          </w:rPr>
        </w:r>
        <w:r w:rsidR="00EC2E52">
          <w:rPr>
            <w:noProof/>
            <w:webHidden/>
          </w:rPr>
          <w:fldChar w:fldCharType="separate"/>
        </w:r>
        <w:r w:rsidR="00EC2E52">
          <w:rPr>
            <w:noProof/>
            <w:webHidden/>
          </w:rPr>
          <w:t>4</w:t>
        </w:r>
        <w:r w:rsidR="00EC2E52">
          <w:rPr>
            <w:noProof/>
            <w:webHidden/>
          </w:rPr>
          <w:fldChar w:fldCharType="end"/>
        </w:r>
      </w:hyperlink>
    </w:p>
    <w:p w14:paraId="3A3A69E8" w14:textId="25ADF5A8" w:rsidR="00EC2E52" w:rsidRDefault="00D42226">
      <w:pPr>
        <w:pStyle w:val="TOC1"/>
        <w:rPr>
          <w:rFonts w:asciiTheme="minorHAnsi" w:eastAsiaTheme="minorEastAsia" w:hAnsiTheme="minorHAnsi" w:cstheme="minorBidi"/>
          <w:b w:val="0"/>
          <w:noProof/>
          <w:sz w:val="22"/>
          <w:szCs w:val="22"/>
          <w:lang w:eastAsia="en-IE"/>
        </w:rPr>
      </w:pPr>
      <w:hyperlink w:anchor="_Toc156380489" w:history="1">
        <w:r w:rsidR="00EC2E52" w:rsidRPr="00C60FBA">
          <w:rPr>
            <w:rStyle w:val="Hyperlink"/>
            <w:noProof/>
            <w:lang w:val="en-GB"/>
          </w:rPr>
          <w:t>1.0.</w:t>
        </w:r>
        <w:r w:rsidR="00EC2E52">
          <w:rPr>
            <w:rFonts w:asciiTheme="minorHAnsi" w:eastAsiaTheme="minorEastAsia" w:hAnsiTheme="minorHAnsi" w:cstheme="minorBidi"/>
            <w:b w:val="0"/>
            <w:noProof/>
            <w:sz w:val="22"/>
            <w:szCs w:val="22"/>
            <w:lang w:eastAsia="en-IE"/>
          </w:rPr>
          <w:tab/>
        </w:r>
        <w:r w:rsidR="00EC2E52" w:rsidRPr="00C60FBA">
          <w:rPr>
            <w:rStyle w:val="Hyperlink"/>
            <w:noProof/>
            <w:lang w:val="en-GB"/>
          </w:rPr>
          <w:t>Introduction</w:t>
        </w:r>
        <w:r w:rsidR="00EC2E52">
          <w:rPr>
            <w:noProof/>
            <w:webHidden/>
          </w:rPr>
          <w:tab/>
        </w:r>
        <w:r w:rsidR="00EC2E52">
          <w:rPr>
            <w:noProof/>
            <w:webHidden/>
          </w:rPr>
          <w:fldChar w:fldCharType="begin"/>
        </w:r>
        <w:r w:rsidR="00EC2E52">
          <w:rPr>
            <w:noProof/>
            <w:webHidden/>
          </w:rPr>
          <w:instrText xml:space="preserve"> PAGEREF _Toc156380489 \h </w:instrText>
        </w:r>
        <w:r w:rsidR="00EC2E52">
          <w:rPr>
            <w:noProof/>
            <w:webHidden/>
          </w:rPr>
        </w:r>
        <w:r w:rsidR="00EC2E52">
          <w:rPr>
            <w:noProof/>
            <w:webHidden/>
          </w:rPr>
          <w:fldChar w:fldCharType="separate"/>
        </w:r>
        <w:r w:rsidR="00EC2E52">
          <w:rPr>
            <w:noProof/>
            <w:webHidden/>
          </w:rPr>
          <w:t>8</w:t>
        </w:r>
        <w:r w:rsidR="00EC2E52">
          <w:rPr>
            <w:noProof/>
            <w:webHidden/>
          </w:rPr>
          <w:fldChar w:fldCharType="end"/>
        </w:r>
      </w:hyperlink>
    </w:p>
    <w:p w14:paraId="6DFDB39C" w14:textId="4A359959" w:rsidR="00EC2E52" w:rsidRDefault="00D42226">
      <w:pPr>
        <w:pStyle w:val="TOC1"/>
        <w:rPr>
          <w:rFonts w:asciiTheme="minorHAnsi" w:eastAsiaTheme="minorEastAsia" w:hAnsiTheme="minorHAnsi" w:cstheme="minorBidi"/>
          <w:b w:val="0"/>
          <w:noProof/>
          <w:sz w:val="22"/>
          <w:szCs w:val="22"/>
          <w:lang w:eastAsia="en-IE"/>
        </w:rPr>
      </w:pPr>
      <w:hyperlink w:anchor="_Toc156380490" w:history="1">
        <w:r w:rsidR="00EC2E52" w:rsidRPr="00C60FBA">
          <w:rPr>
            <w:rStyle w:val="Hyperlink"/>
            <w:noProof/>
          </w:rPr>
          <w:t>2.0.</w:t>
        </w:r>
        <w:r w:rsidR="00EC2E52">
          <w:rPr>
            <w:rFonts w:asciiTheme="minorHAnsi" w:eastAsiaTheme="minorEastAsia" w:hAnsiTheme="minorHAnsi" w:cstheme="minorBidi"/>
            <w:b w:val="0"/>
            <w:noProof/>
            <w:sz w:val="22"/>
            <w:szCs w:val="22"/>
            <w:lang w:eastAsia="en-IE"/>
          </w:rPr>
          <w:tab/>
        </w:r>
        <w:r w:rsidR="00EC2E52" w:rsidRPr="00C60FBA">
          <w:rPr>
            <w:rStyle w:val="Hyperlink"/>
            <w:noProof/>
          </w:rPr>
          <w:t xml:space="preserve"> Overview of disability research and ethics</w:t>
        </w:r>
        <w:r w:rsidR="00EC2E52">
          <w:rPr>
            <w:noProof/>
            <w:webHidden/>
          </w:rPr>
          <w:tab/>
        </w:r>
        <w:r w:rsidR="00EC2E52">
          <w:rPr>
            <w:noProof/>
            <w:webHidden/>
          </w:rPr>
          <w:fldChar w:fldCharType="begin"/>
        </w:r>
        <w:r w:rsidR="00EC2E52">
          <w:rPr>
            <w:noProof/>
            <w:webHidden/>
          </w:rPr>
          <w:instrText xml:space="preserve"> PAGEREF _Toc156380490 \h </w:instrText>
        </w:r>
        <w:r w:rsidR="00EC2E52">
          <w:rPr>
            <w:noProof/>
            <w:webHidden/>
          </w:rPr>
        </w:r>
        <w:r w:rsidR="00EC2E52">
          <w:rPr>
            <w:noProof/>
            <w:webHidden/>
          </w:rPr>
          <w:fldChar w:fldCharType="separate"/>
        </w:r>
        <w:r w:rsidR="00EC2E52">
          <w:rPr>
            <w:noProof/>
            <w:webHidden/>
          </w:rPr>
          <w:t>10</w:t>
        </w:r>
        <w:r w:rsidR="00EC2E52">
          <w:rPr>
            <w:noProof/>
            <w:webHidden/>
          </w:rPr>
          <w:fldChar w:fldCharType="end"/>
        </w:r>
      </w:hyperlink>
    </w:p>
    <w:p w14:paraId="38E048B4" w14:textId="0DB77455" w:rsidR="00EC2E52" w:rsidRDefault="00D42226">
      <w:pPr>
        <w:pStyle w:val="TOC2"/>
        <w:rPr>
          <w:rFonts w:asciiTheme="minorHAnsi" w:eastAsiaTheme="minorEastAsia" w:hAnsiTheme="minorHAnsi" w:cstheme="minorBidi"/>
          <w:noProof/>
          <w:sz w:val="22"/>
          <w:szCs w:val="22"/>
          <w:lang w:eastAsia="en-IE"/>
        </w:rPr>
      </w:pPr>
      <w:hyperlink w:anchor="_Toc156380491" w:history="1">
        <w:r w:rsidR="00EC2E52" w:rsidRPr="00C60FBA">
          <w:rPr>
            <w:rStyle w:val="Hyperlink"/>
            <w:noProof/>
            <w:lang w:val="en-GB"/>
          </w:rPr>
          <w:t>2.1.</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Disability Research</w:t>
        </w:r>
        <w:r w:rsidR="00EC2E52">
          <w:rPr>
            <w:noProof/>
            <w:webHidden/>
          </w:rPr>
          <w:tab/>
        </w:r>
        <w:r w:rsidR="00EC2E52">
          <w:rPr>
            <w:noProof/>
            <w:webHidden/>
          </w:rPr>
          <w:fldChar w:fldCharType="begin"/>
        </w:r>
        <w:r w:rsidR="00EC2E52">
          <w:rPr>
            <w:noProof/>
            <w:webHidden/>
          </w:rPr>
          <w:instrText xml:space="preserve"> PAGEREF _Toc156380491 \h </w:instrText>
        </w:r>
        <w:r w:rsidR="00EC2E52">
          <w:rPr>
            <w:noProof/>
            <w:webHidden/>
          </w:rPr>
        </w:r>
        <w:r w:rsidR="00EC2E52">
          <w:rPr>
            <w:noProof/>
            <w:webHidden/>
          </w:rPr>
          <w:fldChar w:fldCharType="separate"/>
        </w:r>
        <w:r w:rsidR="00EC2E52">
          <w:rPr>
            <w:noProof/>
            <w:webHidden/>
          </w:rPr>
          <w:t>10</w:t>
        </w:r>
        <w:r w:rsidR="00EC2E52">
          <w:rPr>
            <w:noProof/>
            <w:webHidden/>
          </w:rPr>
          <w:fldChar w:fldCharType="end"/>
        </w:r>
      </w:hyperlink>
    </w:p>
    <w:p w14:paraId="0F5203ED" w14:textId="4FFE25D1" w:rsidR="00EC2E52" w:rsidRDefault="00D42226">
      <w:pPr>
        <w:pStyle w:val="TOC2"/>
        <w:rPr>
          <w:rFonts w:asciiTheme="minorHAnsi" w:eastAsiaTheme="minorEastAsia" w:hAnsiTheme="minorHAnsi" w:cstheme="minorBidi"/>
          <w:noProof/>
          <w:sz w:val="22"/>
          <w:szCs w:val="22"/>
          <w:lang w:eastAsia="en-IE"/>
        </w:rPr>
      </w:pPr>
      <w:hyperlink w:anchor="_Toc156380492" w:history="1">
        <w:r w:rsidR="00EC2E52" w:rsidRPr="00C60FBA">
          <w:rPr>
            <w:rStyle w:val="Hyperlink"/>
            <w:noProof/>
            <w:lang w:val="en-GB"/>
          </w:rPr>
          <w:t>2.2.</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Research and ethics</w:t>
        </w:r>
        <w:r w:rsidR="00EC2E52">
          <w:rPr>
            <w:noProof/>
            <w:webHidden/>
          </w:rPr>
          <w:tab/>
        </w:r>
        <w:r w:rsidR="00EC2E52">
          <w:rPr>
            <w:noProof/>
            <w:webHidden/>
          </w:rPr>
          <w:fldChar w:fldCharType="begin"/>
        </w:r>
        <w:r w:rsidR="00EC2E52">
          <w:rPr>
            <w:noProof/>
            <w:webHidden/>
          </w:rPr>
          <w:instrText xml:space="preserve"> PAGEREF _Toc156380492 \h </w:instrText>
        </w:r>
        <w:r w:rsidR="00EC2E52">
          <w:rPr>
            <w:noProof/>
            <w:webHidden/>
          </w:rPr>
        </w:r>
        <w:r w:rsidR="00EC2E52">
          <w:rPr>
            <w:noProof/>
            <w:webHidden/>
          </w:rPr>
          <w:fldChar w:fldCharType="separate"/>
        </w:r>
        <w:r w:rsidR="00EC2E52">
          <w:rPr>
            <w:noProof/>
            <w:webHidden/>
          </w:rPr>
          <w:t>17</w:t>
        </w:r>
        <w:r w:rsidR="00EC2E52">
          <w:rPr>
            <w:noProof/>
            <w:webHidden/>
          </w:rPr>
          <w:fldChar w:fldCharType="end"/>
        </w:r>
      </w:hyperlink>
    </w:p>
    <w:p w14:paraId="586D491A" w14:textId="12525223" w:rsidR="00EC2E52" w:rsidRDefault="00D42226">
      <w:pPr>
        <w:pStyle w:val="TOC2"/>
        <w:rPr>
          <w:rFonts w:asciiTheme="minorHAnsi" w:eastAsiaTheme="minorEastAsia" w:hAnsiTheme="minorHAnsi" w:cstheme="minorBidi"/>
          <w:noProof/>
          <w:sz w:val="22"/>
          <w:szCs w:val="22"/>
          <w:lang w:eastAsia="en-IE"/>
        </w:rPr>
      </w:pPr>
      <w:hyperlink w:anchor="_Toc156380493" w:history="1">
        <w:r w:rsidR="00EC2E52" w:rsidRPr="00C60FBA">
          <w:rPr>
            <w:rStyle w:val="Hyperlink"/>
            <w:noProof/>
            <w:lang w:val="en-GB"/>
          </w:rPr>
          <w:t>2.3. Values/principles/standards of ethical research</w:t>
        </w:r>
        <w:r w:rsidR="00EC2E52">
          <w:rPr>
            <w:noProof/>
            <w:webHidden/>
          </w:rPr>
          <w:tab/>
        </w:r>
        <w:r w:rsidR="00EC2E52">
          <w:rPr>
            <w:noProof/>
            <w:webHidden/>
          </w:rPr>
          <w:fldChar w:fldCharType="begin"/>
        </w:r>
        <w:r w:rsidR="00EC2E52">
          <w:rPr>
            <w:noProof/>
            <w:webHidden/>
          </w:rPr>
          <w:instrText xml:space="preserve"> PAGEREF _Toc156380493 \h </w:instrText>
        </w:r>
        <w:r w:rsidR="00EC2E52">
          <w:rPr>
            <w:noProof/>
            <w:webHidden/>
          </w:rPr>
        </w:r>
        <w:r w:rsidR="00EC2E52">
          <w:rPr>
            <w:noProof/>
            <w:webHidden/>
          </w:rPr>
          <w:fldChar w:fldCharType="separate"/>
        </w:r>
        <w:r w:rsidR="00EC2E52">
          <w:rPr>
            <w:noProof/>
            <w:webHidden/>
          </w:rPr>
          <w:t>19</w:t>
        </w:r>
        <w:r w:rsidR="00EC2E52">
          <w:rPr>
            <w:noProof/>
            <w:webHidden/>
          </w:rPr>
          <w:fldChar w:fldCharType="end"/>
        </w:r>
      </w:hyperlink>
    </w:p>
    <w:p w14:paraId="739A5883" w14:textId="15F2D844" w:rsidR="00EC2E52" w:rsidRDefault="00D42226">
      <w:pPr>
        <w:pStyle w:val="TOC2"/>
        <w:rPr>
          <w:rFonts w:asciiTheme="minorHAnsi" w:eastAsiaTheme="minorEastAsia" w:hAnsiTheme="minorHAnsi" w:cstheme="minorBidi"/>
          <w:noProof/>
          <w:sz w:val="22"/>
          <w:szCs w:val="22"/>
          <w:lang w:eastAsia="en-IE"/>
        </w:rPr>
      </w:pPr>
      <w:hyperlink w:anchor="_Toc156380494" w:history="1">
        <w:r w:rsidR="00EC2E52" w:rsidRPr="00C60FBA">
          <w:rPr>
            <w:rStyle w:val="Hyperlink"/>
            <w:noProof/>
          </w:rPr>
          <w:t>2.4.</w:t>
        </w:r>
        <w:r w:rsidR="00EC2E52">
          <w:rPr>
            <w:rFonts w:asciiTheme="minorHAnsi" w:eastAsiaTheme="minorEastAsia" w:hAnsiTheme="minorHAnsi" w:cstheme="minorBidi"/>
            <w:noProof/>
            <w:sz w:val="22"/>
            <w:szCs w:val="22"/>
            <w:lang w:eastAsia="en-IE"/>
          </w:rPr>
          <w:tab/>
        </w:r>
        <w:r w:rsidR="00EC2E52" w:rsidRPr="00C60FBA">
          <w:rPr>
            <w:rStyle w:val="Hyperlink"/>
            <w:noProof/>
          </w:rPr>
          <w:t>Research ethics, governance, and legislation</w:t>
        </w:r>
        <w:r w:rsidR="00EC2E52">
          <w:rPr>
            <w:noProof/>
            <w:webHidden/>
          </w:rPr>
          <w:tab/>
        </w:r>
        <w:r w:rsidR="00EC2E52">
          <w:rPr>
            <w:noProof/>
            <w:webHidden/>
          </w:rPr>
          <w:fldChar w:fldCharType="begin"/>
        </w:r>
        <w:r w:rsidR="00EC2E52">
          <w:rPr>
            <w:noProof/>
            <w:webHidden/>
          </w:rPr>
          <w:instrText xml:space="preserve"> PAGEREF _Toc156380494 \h </w:instrText>
        </w:r>
        <w:r w:rsidR="00EC2E52">
          <w:rPr>
            <w:noProof/>
            <w:webHidden/>
          </w:rPr>
        </w:r>
        <w:r w:rsidR="00EC2E52">
          <w:rPr>
            <w:noProof/>
            <w:webHidden/>
          </w:rPr>
          <w:fldChar w:fldCharType="separate"/>
        </w:r>
        <w:r w:rsidR="00EC2E52">
          <w:rPr>
            <w:noProof/>
            <w:webHidden/>
          </w:rPr>
          <w:t>21</w:t>
        </w:r>
        <w:r w:rsidR="00EC2E52">
          <w:rPr>
            <w:noProof/>
            <w:webHidden/>
          </w:rPr>
          <w:fldChar w:fldCharType="end"/>
        </w:r>
      </w:hyperlink>
    </w:p>
    <w:p w14:paraId="03429347" w14:textId="14C91AD0" w:rsidR="00EC2E52" w:rsidRDefault="00D42226">
      <w:pPr>
        <w:pStyle w:val="TOC2"/>
        <w:rPr>
          <w:rFonts w:asciiTheme="minorHAnsi" w:eastAsiaTheme="minorEastAsia" w:hAnsiTheme="minorHAnsi" w:cstheme="minorBidi"/>
          <w:noProof/>
          <w:sz w:val="22"/>
          <w:szCs w:val="22"/>
          <w:lang w:eastAsia="en-IE"/>
        </w:rPr>
      </w:pPr>
      <w:hyperlink w:anchor="_Toc156380495" w:history="1">
        <w:r w:rsidR="00EC2E52" w:rsidRPr="00C60FBA">
          <w:rPr>
            <w:rStyle w:val="Hyperlink"/>
            <w:noProof/>
          </w:rPr>
          <w:t>2.5.</w:t>
        </w:r>
        <w:r w:rsidR="00EC2E52">
          <w:rPr>
            <w:rFonts w:asciiTheme="minorHAnsi" w:eastAsiaTheme="minorEastAsia" w:hAnsiTheme="minorHAnsi" w:cstheme="minorBidi"/>
            <w:noProof/>
            <w:sz w:val="22"/>
            <w:szCs w:val="22"/>
            <w:lang w:eastAsia="en-IE"/>
          </w:rPr>
          <w:tab/>
        </w:r>
        <w:r w:rsidR="00EC2E52" w:rsidRPr="00C60FBA">
          <w:rPr>
            <w:rStyle w:val="Hyperlink"/>
            <w:noProof/>
          </w:rPr>
          <w:t>Participation and collaborative research</w:t>
        </w:r>
        <w:r w:rsidR="00EC2E52">
          <w:rPr>
            <w:noProof/>
            <w:webHidden/>
          </w:rPr>
          <w:tab/>
        </w:r>
        <w:r w:rsidR="00EC2E52">
          <w:rPr>
            <w:noProof/>
            <w:webHidden/>
          </w:rPr>
          <w:fldChar w:fldCharType="begin"/>
        </w:r>
        <w:r w:rsidR="00EC2E52">
          <w:rPr>
            <w:noProof/>
            <w:webHidden/>
          </w:rPr>
          <w:instrText xml:space="preserve"> PAGEREF _Toc156380495 \h </w:instrText>
        </w:r>
        <w:r w:rsidR="00EC2E52">
          <w:rPr>
            <w:noProof/>
            <w:webHidden/>
          </w:rPr>
        </w:r>
        <w:r w:rsidR="00EC2E52">
          <w:rPr>
            <w:noProof/>
            <w:webHidden/>
          </w:rPr>
          <w:fldChar w:fldCharType="separate"/>
        </w:r>
        <w:r w:rsidR="00EC2E52">
          <w:rPr>
            <w:noProof/>
            <w:webHidden/>
          </w:rPr>
          <w:t>24</w:t>
        </w:r>
        <w:r w:rsidR="00EC2E52">
          <w:rPr>
            <w:noProof/>
            <w:webHidden/>
          </w:rPr>
          <w:fldChar w:fldCharType="end"/>
        </w:r>
      </w:hyperlink>
    </w:p>
    <w:p w14:paraId="2C18BDAC" w14:textId="0DB8C1C0" w:rsidR="00EC2E52" w:rsidRDefault="00D42226">
      <w:pPr>
        <w:pStyle w:val="TOC1"/>
        <w:rPr>
          <w:rFonts w:asciiTheme="minorHAnsi" w:eastAsiaTheme="minorEastAsia" w:hAnsiTheme="minorHAnsi" w:cstheme="minorBidi"/>
          <w:b w:val="0"/>
          <w:noProof/>
          <w:sz w:val="22"/>
          <w:szCs w:val="22"/>
          <w:lang w:eastAsia="en-IE"/>
        </w:rPr>
      </w:pPr>
      <w:hyperlink w:anchor="_Toc156380496" w:history="1">
        <w:r w:rsidR="00EC2E52" w:rsidRPr="00C60FBA">
          <w:rPr>
            <w:rStyle w:val="Hyperlink"/>
            <w:noProof/>
            <w:lang w:val="en-GB"/>
          </w:rPr>
          <w:t>3.0.</w:t>
        </w:r>
        <w:r w:rsidR="00EC2E52">
          <w:rPr>
            <w:rFonts w:asciiTheme="minorHAnsi" w:eastAsiaTheme="minorEastAsia" w:hAnsiTheme="minorHAnsi" w:cstheme="minorBidi"/>
            <w:b w:val="0"/>
            <w:noProof/>
            <w:sz w:val="22"/>
            <w:szCs w:val="22"/>
            <w:lang w:eastAsia="en-IE"/>
          </w:rPr>
          <w:tab/>
        </w:r>
        <w:r w:rsidR="00EC2E52" w:rsidRPr="00C60FBA">
          <w:rPr>
            <w:rStyle w:val="Hyperlink"/>
            <w:noProof/>
            <w:lang w:val="en-GB"/>
          </w:rPr>
          <w:t>Understanding and practising ethical research</w:t>
        </w:r>
        <w:r w:rsidR="00EC2E52">
          <w:rPr>
            <w:noProof/>
            <w:webHidden/>
          </w:rPr>
          <w:tab/>
        </w:r>
        <w:r w:rsidR="00EC2E52">
          <w:rPr>
            <w:noProof/>
            <w:webHidden/>
          </w:rPr>
          <w:fldChar w:fldCharType="begin"/>
        </w:r>
        <w:r w:rsidR="00EC2E52">
          <w:rPr>
            <w:noProof/>
            <w:webHidden/>
          </w:rPr>
          <w:instrText xml:space="preserve"> PAGEREF _Toc156380496 \h </w:instrText>
        </w:r>
        <w:r w:rsidR="00EC2E52">
          <w:rPr>
            <w:noProof/>
            <w:webHidden/>
          </w:rPr>
        </w:r>
        <w:r w:rsidR="00EC2E52">
          <w:rPr>
            <w:noProof/>
            <w:webHidden/>
          </w:rPr>
          <w:fldChar w:fldCharType="separate"/>
        </w:r>
        <w:r w:rsidR="00EC2E52">
          <w:rPr>
            <w:noProof/>
            <w:webHidden/>
          </w:rPr>
          <w:t>28</w:t>
        </w:r>
        <w:r w:rsidR="00EC2E52">
          <w:rPr>
            <w:noProof/>
            <w:webHidden/>
          </w:rPr>
          <w:fldChar w:fldCharType="end"/>
        </w:r>
      </w:hyperlink>
    </w:p>
    <w:p w14:paraId="4C312FC6" w14:textId="31EE63DE" w:rsidR="00EC2E52" w:rsidRDefault="00D42226">
      <w:pPr>
        <w:pStyle w:val="TOC2"/>
        <w:rPr>
          <w:rFonts w:asciiTheme="minorHAnsi" w:eastAsiaTheme="minorEastAsia" w:hAnsiTheme="minorHAnsi" w:cstheme="minorBidi"/>
          <w:noProof/>
          <w:sz w:val="22"/>
          <w:szCs w:val="22"/>
          <w:lang w:eastAsia="en-IE"/>
        </w:rPr>
      </w:pPr>
      <w:hyperlink w:anchor="_Toc156380497" w:history="1">
        <w:r w:rsidR="00EC2E52" w:rsidRPr="00C60FBA">
          <w:rPr>
            <w:rStyle w:val="Hyperlink"/>
            <w:noProof/>
            <w:lang w:val="en-GB"/>
          </w:rPr>
          <w:t>3.1.</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Continuous ethical responsibilities</w:t>
        </w:r>
        <w:r w:rsidR="00EC2E52">
          <w:rPr>
            <w:noProof/>
            <w:webHidden/>
          </w:rPr>
          <w:tab/>
        </w:r>
        <w:r w:rsidR="00EC2E52">
          <w:rPr>
            <w:noProof/>
            <w:webHidden/>
          </w:rPr>
          <w:fldChar w:fldCharType="begin"/>
        </w:r>
        <w:r w:rsidR="00EC2E52">
          <w:rPr>
            <w:noProof/>
            <w:webHidden/>
          </w:rPr>
          <w:instrText xml:space="preserve"> PAGEREF _Toc156380497 \h </w:instrText>
        </w:r>
        <w:r w:rsidR="00EC2E52">
          <w:rPr>
            <w:noProof/>
            <w:webHidden/>
          </w:rPr>
        </w:r>
        <w:r w:rsidR="00EC2E52">
          <w:rPr>
            <w:noProof/>
            <w:webHidden/>
          </w:rPr>
          <w:fldChar w:fldCharType="separate"/>
        </w:r>
        <w:r w:rsidR="00EC2E52">
          <w:rPr>
            <w:noProof/>
            <w:webHidden/>
          </w:rPr>
          <w:t>28</w:t>
        </w:r>
        <w:r w:rsidR="00EC2E52">
          <w:rPr>
            <w:noProof/>
            <w:webHidden/>
          </w:rPr>
          <w:fldChar w:fldCharType="end"/>
        </w:r>
      </w:hyperlink>
    </w:p>
    <w:p w14:paraId="1602A9EE" w14:textId="3A0DEF3C" w:rsidR="00EC2E52" w:rsidRDefault="00D42226">
      <w:pPr>
        <w:pStyle w:val="TOC2"/>
        <w:rPr>
          <w:rFonts w:asciiTheme="minorHAnsi" w:eastAsiaTheme="minorEastAsia" w:hAnsiTheme="minorHAnsi" w:cstheme="minorBidi"/>
          <w:noProof/>
          <w:sz w:val="22"/>
          <w:szCs w:val="22"/>
          <w:lang w:eastAsia="en-IE"/>
        </w:rPr>
      </w:pPr>
      <w:hyperlink w:anchor="_Toc156380498" w:history="1">
        <w:r w:rsidR="00EC2E52" w:rsidRPr="00C60FBA">
          <w:rPr>
            <w:rStyle w:val="Hyperlink"/>
            <w:noProof/>
            <w:lang w:val="en-GB"/>
          </w:rPr>
          <w:t>3.2.</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Maximising benefits and minimising harm</w:t>
        </w:r>
        <w:r w:rsidR="00EC2E52">
          <w:rPr>
            <w:noProof/>
            <w:webHidden/>
          </w:rPr>
          <w:tab/>
        </w:r>
        <w:r w:rsidR="00EC2E52">
          <w:rPr>
            <w:noProof/>
            <w:webHidden/>
          </w:rPr>
          <w:fldChar w:fldCharType="begin"/>
        </w:r>
        <w:r w:rsidR="00EC2E52">
          <w:rPr>
            <w:noProof/>
            <w:webHidden/>
          </w:rPr>
          <w:instrText xml:space="preserve"> PAGEREF _Toc156380498 \h </w:instrText>
        </w:r>
        <w:r w:rsidR="00EC2E52">
          <w:rPr>
            <w:noProof/>
            <w:webHidden/>
          </w:rPr>
        </w:r>
        <w:r w:rsidR="00EC2E52">
          <w:rPr>
            <w:noProof/>
            <w:webHidden/>
          </w:rPr>
          <w:fldChar w:fldCharType="separate"/>
        </w:r>
        <w:r w:rsidR="00EC2E52">
          <w:rPr>
            <w:noProof/>
            <w:webHidden/>
          </w:rPr>
          <w:t>30</w:t>
        </w:r>
        <w:r w:rsidR="00EC2E52">
          <w:rPr>
            <w:noProof/>
            <w:webHidden/>
          </w:rPr>
          <w:fldChar w:fldCharType="end"/>
        </w:r>
      </w:hyperlink>
    </w:p>
    <w:p w14:paraId="7F3DD19E" w14:textId="1731ABE5" w:rsidR="00EC2E52" w:rsidRDefault="00D42226">
      <w:pPr>
        <w:pStyle w:val="TOC2"/>
        <w:rPr>
          <w:rFonts w:asciiTheme="minorHAnsi" w:eastAsiaTheme="minorEastAsia" w:hAnsiTheme="minorHAnsi" w:cstheme="minorBidi"/>
          <w:noProof/>
          <w:sz w:val="22"/>
          <w:szCs w:val="22"/>
          <w:lang w:eastAsia="en-IE"/>
        </w:rPr>
      </w:pPr>
      <w:hyperlink w:anchor="_Toc156380499" w:history="1">
        <w:r w:rsidR="00EC2E52" w:rsidRPr="00C60FBA">
          <w:rPr>
            <w:rStyle w:val="Hyperlink"/>
            <w:noProof/>
            <w:lang w:val="en-GB"/>
          </w:rPr>
          <w:t>3.3.</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Consent to participate in research</w:t>
        </w:r>
        <w:r w:rsidR="00EC2E52">
          <w:rPr>
            <w:noProof/>
            <w:webHidden/>
          </w:rPr>
          <w:tab/>
        </w:r>
        <w:r w:rsidR="00EC2E52">
          <w:rPr>
            <w:noProof/>
            <w:webHidden/>
          </w:rPr>
          <w:fldChar w:fldCharType="begin"/>
        </w:r>
        <w:r w:rsidR="00EC2E52">
          <w:rPr>
            <w:noProof/>
            <w:webHidden/>
          </w:rPr>
          <w:instrText xml:space="preserve"> PAGEREF _Toc156380499 \h </w:instrText>
        </w:r>
        <w:r w:rsidR="00EC2E52">
          <w:rPr>
            <w:noProof/>
            <w:webHidden/>
          </w:rPr>
        </w:r>
        <w:r w:rsidR="00EC2E52">
          <w:rPr>
            <w:noProof/>
            <w:webHidden/>
          </w:rPr>
          <w:fldChar w:fldCharType="separate"/>
        </w:r>
        <w:r w:rsidR="00EC2E52">
          <w:rPr>
            <w:noProof/>
            <w:webHidden/>
          </w:rPr>
          <w:t>41</w:t>
        </w:r>
        <w:r w:rsidR="00EC2E52">
          <w:rPr>
            <w:noProof/>
            <w:webHidden/>
          </w:rPr>
          <w:fldChar w:fldCharType="end"/>
        </w:r>
      </w:hyperlink>
    </w:p>
    <w:p w14:paraId="019FA984" w14:textId="3A3C0E52" w:rsidR="00EC2E52" w:rsidRDefault="00D42226">
      <w:pPr>
        <w:pStyle w:val="TOC2"/>
        <w:rPr>
          <w:rFonts w:asciiTheme="minorHAnsi" w:eastAsiaTheme="minorEastAsia" w:hAnsiTheme="minorHAnsi" w:cstheme="minorBidi"/>
          <w:noProof/>
          <w:sz w:val="22"/>
          <w:szCs w:val="22"/>
          <w:lang w:eastAsia="en-IE"/>
        </w:rPr>
      </w:pPr>
      <w:hyperlink w:anchor="_Toc156380500" w:history="1">
        <w:r w:rsidR="00EC2E52" w:rsidRPr="00C60FBA">
          <w:rPr>
            <w:rStyle w:val="Hyperlink"/>
            <w:noProof/>
            <w:lang w:val="en-GB"/>
          </w:rPr>
          <w:t>3.4.</w:t>
        </w:r>
        <w:r w:rsidR="00EC2E52">
          <w:rPr>
            <w:rFonts w:asciiTheme="minorHAnsi" w:eastAsiaTheme="minorEastAsia" w:hAnsiTheme="minorHAnsi" w:cstheme="minorBidi"/>
            <w:noProof/>
            <w:sz w:val="22"/>
            <w:szCs w:val="22"/>
            <w:lang w:eastAsia="en-IE"/>
          </w:rPr>
          <w:tab/>
        </w:r>
        <w:r w:rsidR="00EC2E52" w:rsidRPr="00C60FBA">
          <w:rPr>
            <w:rStyle w:val="Hyperlink"/>
            <w:noProof/>
            <w:lang w:val="en-GB"/>
          </w:rPr>
          <w:t>Confidentiality and data protection</w:t>
        </w:r>
        <w:r w:rsidR="00EC2E52">
          <w:rPr>
            <w:noProof/>
            <w:webHidden/>
          </w:rPr>
          <w:tab/>
        </w:r>
        <w:r w:rsidR="00EC2E52">
          <w:rPr>
            <w:noProof/>
            <w:webHidden/>
          </w:rPr>
          <w:fldChar w:fldCharType="begin"/>
        </w:r>
        <w:r w:rsidR="00EC2E52">
          <w:rPr>
            <w:noProof/>
            <w:webHidden/>
          </w:rPr>
          <w:instrText xml:space="preserve"> PAGEREF _Toc156380500 \h </w:instrText>
        </w:r>
        <w:r w:rsidR="00EC2E52">
          <w:rPr>
            <w:noProof/>
            <w:webHidden/>
          </w:rPr>
        </w:r>
        <w:r w:rsidR="00EC2E52">
          <w:rPr>
            <w:noProof/>
            <w:webHidden/>
          </w:rPr>
          <w:fldChar w:fldCharType="separate"/>
        </w:r>
        <w:r w:rsidR="00EC2E52">
          <w:rPr>
            <w:noProof/>
            <w:webHidden/>
          </w:rPr>
          <w:t>52</w:t>
        </w:r>
        <w:r w:rsidR="00EC2E52">
          <w:rPr>
            <w:noProof/>
            <w:webHidden/>
          </w:rPr>
          <w:fldChar w:fldCharType="end"/>
        </w:r>
      </w:hyperlink>
    </w:p>
    <w:p w14:paraId="6536DE07" w14:textId="490D0410" w:rsidR="00EC2E52" w:rsidRDefault="00D42226">
      <w:pPr>
        <w:pStyle w:val="TOC2"/>
        <w:rPr>
          <w:rFonts w:asciiTheme="minorHAnsi" w:eastAsiaTheme="minorEastAsia" w:hAnsiTheme="minorHAnsi" w:cstheme="minorBidi"/>
          <w:noProof/>
          <w:sz w:val="22"/>
          <w:szCs w:val="22"/>
          <w:lang w:eastAsia="en-IE"/>
        </w:rPr>
      </w:pPr>
      <w:hyperlink w:anchor="_Toc156380501" w:history="1">
        <w:r w:rsidR="00EC2E52" w:rsidRPr="00C60FBA">
          <w:rPr>
            <w:rStyle w:val="Hyperlink"/>
            <w:noProof/>
          </w:rPr>
          <w:t>3.5.</w:t>
        </w:r>
        <w:r w:rsidR="00EC2E52">
          <w:rPr>
            <w:rFonts w:asciiTheme="minorHAnsi" w:eastAsiaTheme="minorEastAsia" w:hAnsiTheme="minorHAnsi" w:cstheme="minorBidi"/>
            <w:noProof/>
            <w:sz w:val="22"/>
            <w:szCs w:val="22"/>
            <w:lang w:eastAsia="en-IE"/>
          </w:rPr>
          <w:tab/>
        </w:r>
        <w:r w:rsidR="00EC2E52" w:rsidRPr="00C60FBA">
          <w:rPr>
            <w:rStyle w:val="Hyperlink"/>
            <w:noProof/>
          </w:rPr>
          <w:t>Professional integrity</w:t>
        </w:r>
        <w:r w:rsidR="00EC2E52">
          <w:rPr>
            <w:noProof/>
            <w:webHidden/>
          </w:rPr>
          <w:tab/>
        </w:r>
        <w:r w:rsidR="00EC2E52">
          <w:rPr>
            <w:noProof/>
            <w:webHidden/>
          </w:rPr>
          <w:fldChar w:fldCharType="begin"/>
        </w:r>
        <w:r w:rsidR="00EC2E52">
          <w:rPr>
            <w:noProof/>
            <w:webHidden/>
          </w:rPr>
          <w:instrText xml:space="preserve"> PAGEREF _Toc156380501 \h </w:instrText>
        </w:r>
        <w:r w:rsidR="00EC2E52">
          <w:rPr>
            <w:noProof/>
            <w:webHidden/>
          </w:rPr>
        </w:r>
        <w:r w:rsidR="00EC2E52">
          <w:rPr>
            <w:noProof/>
            <w:webHidden/>
          </w:rPr>
          <w:fldChar w:fldCharType="separate"/>
        </w:r>
        <w:r w:rsidR="00EC2E52">
          <w:rPr>
            <w:noProof/>
            <w:webHidden/>
          </w:rPr>
          <w:t>56</w:t>
        </w:r>
        <w:r w:rsidR="00EC2E52">
          <w:rPr>
            <w:noProof/>
            <w:webHidden/>
          </w:rPr>
          <w:fldChar w:fldCharType="end"/>
        </w:r>
      </w:hyperlink>
    </w:p>
    <w:p w14:paraId="04F0B1C7" w14:textId="3AB356DB" w:rsidR="00EC2E52" w:rsidRDefault="00D42226">
      <w:pPr>
        <w:pStyle w:val="TOC1"/>
        <w:rPr>
          <w:rFonts w:asciiTheme="minorHAnsi" w:eastAsiaTheme="minorEastAsia" w:hAnsiTheme="minorHAnsi" w:cstheme="minorBidi"/>
          <w:b w:val="0"/>
          <w:noProof/>
          <w:sz w:val="22"/>
          <w:szCs w:val="22"/>
          <w:lang w:eastAsia="en-IE"/>
        </w:rPr>
      </w:pPr>
      <w:hyperlink w:anchor="_Toc156380502" w:history="1">
        <w:r w:rsidR="00EC2E52" w:rsidRPr="00C60FBA">
          <w:rPr>
            <w:rStyle w:val="Hyperlink"/>
            <w:noProof/>
            <w:lang w:val="en-GB"/>
          </w:rPr>
          <w:t>4.0.</w:t>
        </w:r>
        <w:r w:rsidR="00EC2E52">
          <w:rPr>
            <w:rFonts w:asciiTheme="minorHAnsi" w:eastAsiaTheme="minorEastAsia" w:hAnsiTheme="minorHAnsi" w:cstheme="minorBidi"/>
            <w:b w:val="0"/>
            <w:noProof/>
            <w:sz w:val="22"/>
            <w:szCs w:val="22"/>
            <w:lang w:eastAsia="en-IE"/>
          </w:rPr>
          <w:tab/>
        </w:r>
        <w:r w:rsidR="00EC2E52" w:rsidRPr="00C60FBA">
          <w:rPr>
            <w:rStyle w:val="Hyperlink"/>
            <w:noProof/>
            <w:lang w:val="en-GB"/>
          </w:rPr>
          <w:t>Practical guidance for ethical disability research</w:t>
        </w:r>
        <w:r w:rsidR="00EC2E52">
          <w:rPr>
            <w:noProof/>
            <w:webHidden/>
          </w:rPr>
          <w:tab/>
        </w:r>
        <w:r w:rsidR="00EC2E52">
          <w:rPr>
            <w:noProof/>
            <w:webHidden/>
          </w:rPr>
          <w:fldChar w:fldCharType="begin"/>
        </w:r>
        <w:r w:rsidR="00EC2E52">
          <w:rPr>
            <w:noProof/>
            <w:webHidden/>
          </w:rPr>
          <w:instrText xml:space="preserve"> PAGEREF _Toc156380502 \h </w:instrText>
        </w:r>
        <w:r w:rsidR="00EC2E52">
          <w:rPr>
            <w:noProof/>
            <w:webHidden/>
          </w:rPr>
        </w:r>
        <w:r w:rsidR="00EC2E52">
          <w:rPr>
            <w:noProof/>
            <w:webHidden/>
          </w:rPr>
          <w:fldChar w:fldCharType="separate"/>
        </w:r>
        <w:r w:rsidR="00EC2E52">
          <w:rPr>
            <w:noProof/>
            <w:webHidden/>
          </w:rPr>
          <w:t>63</w:t>
        </w:r>
        <w:r w:rsidR="00EC2E52">
          <w:rPr>
            <w:noProof/>
            <w:webHidden/>
          </w:rPr>
          <w:fldChar w:fldCharType="end"/>
        </w:r>
      </w:hyperlink>
    </w:p>
    <w:p w14:paraId="20E0C835" w14:textId="5C063336" w:rsidR="00EC2E52" w:rsidRDefault="00D42226">
      <w:pPr>
        <w:pStyle w:val="TOC2"/>
        <w:rPr>
          <w:rFonts w:asciiTheme="minorHAnsi" w:eastAsiaTheme="minorEastAsia" w:hAnsiTheme="minorHAnsi" w:cstheme="minorBidi"/>
          <w:noProof/>
          <w:sz w:val="22"/>
          <w:szCs w:val="22"/>
          <w:lang w:eastAsia="en-IE"/>
        </w:rPr>
      </w:pPr>
      <w:hyperlink w:anchor="_Toc156380503" w:history="1">
        <w:r w:rsidR="00EC2E52" w:rsidRPr="00C60FBA">
          <w:rPr>
            <w:rStyle w:val="Hyperlink"/>
            <w:rFonts w:eastAsia="Arial Unicode MS"/>
            <w:noProof/>
            <w:lang w:val="en-GB"/>
          </w:rPr>
          <w:t>4.1</w:t>
        </w:r>
        <w:r w:rsidR="00EC2E52">
          <w:rPr>
            <w:rFonts w:asciiTheme="minorHAnsi" w:eastAsiaTheme="minorEastAsia" w:hAnsiTheme="minorHAnsi" w:cstheme="minorBidi"/>
            <w:noProof/>
            <w:sz w:val="22"/>
            <w:szCs w:val="22"/>
            <w:lang w:eastAsia="en-IE"/>
          </w:rPr>
          <w:tab/>
        </w:r>
        <w:r w:rsidR="00EC2E52" w:rsidRPr="00C60FBA">
          <w:rPr>
            <w:rStyle w:val="Hyperlink"/>
            <w:rFonts w:eastAsia="Arial Unicode MS"/>
            <w:noProof/>
            <w:lang w:val="en-GB"/>
          </w:rPr>
          <w:t>Before commencing the research</w:t>
        </w:r>
        <w:r w:rsidR="00EC2E52">
          <w:rPr>
            <w:noProof/>
            <w:webHidden/>
          </w:rPr>
          <w:tab/>
        </w:r>
        <w:r w:rsidR="00EC2E52">
          <w:rPr>
            <w:noProof/>
            <w:webHidden/>
          </w:rPr>
          <w:fldChar w:fldCharType="begin"/>
        </w:r>
        <w:r w:rsidR="00EC2E52">
          <w:rPr>
            <w:noProof/>
            <w:webHidden/>
          </w:rPr>
          <w:instrText xml:space="preserve"> PAGEREF _Toc156380503 \h </w:instrText>
        </w:r>
        <w:r w:rsidR="00EC2E52">
          <w:rPr>
            <w:noProof/>
            <w:webHidden/>
          </w:rPr>
        </w:r>
        <w:r w:rsidR="00EC2E52">
          <w:rPr>
            <w:noProof/>
            <w:webHidden/>
          </w:rPr>
          <w:fldChar w:fldCharType="separate"/>
        </w:r>
        <w:r w:rsidR="00EC2E52">
          <w:rPr>
            <w:noProof/>
            <w:webHidden/>
          </w:rPr>
          <w:t>63</w:t>
        </w:r>
        <w:r w:rsidR="00EC2E52">
          <w:rPr>
            <w:noProof/>
            <w:webHidden/>
          </w:rPr>
          <w:fldChar w:fldCharType="end"/>
        </w:r>
      </w:hyperlink>
    </w:p>
    <w:p w14:paraId="6A6D5379" w14:textId="352ED907" w:rsidR="00EC2E52" w:rsidRDefault="00D42226">
      <w:pPr>
        <w:pStyle w:val="TOC2"/>
        <w:rPr>
          <w:rFonts w:asciiTheme="minorHAnsi" w:eastAsiaTheme="minorEastAsia" w:hAnsiTheme="minorHAnsi" w:cstheme="minorBidi"/>
          <w:noProof/>
          <w:sz w:val="22"/>
          <w:szCs w:val="22"/>
          <w:lang w:eastAsia="en-IE"/>
        </w:rPr>
      </w:pPr>
      <w:hyperlink w:anchor="_Toc156380504" w:history="1">
        <w:r w:rsidR="00EC2E52" w:rsidRPr="00C60FBA">
          <w:rPr>
            <w:rStyle w:val="Hyperlink"/>
            <w:rFonts w:eastAsia="Arial Unicode MS"/>
            <w:noProof/>
            <w:lang w:val="en-GB"/>
          </w:rPr>
          <w:t xml:space="preserve">4.2 </w:t>
        </w:r>
        <w:r w:rsidR="00EC2E52">
          <w:rPr>
            <w:rFonts w:asciiTheme="minorHAnsi" w:eastAsiaTheme="minorEastAsia" w:hAnsiTheme="minorHAnsi" w:cstheme="minorBidi"/>
            <w:noProof/>
            <w:sz w:val="22"/>
            <w:szCs w:val="22"/>
            <w:lang w:eastAsia="en-IE"/>
          </w:rPr>
          <w:tab/>
        </w:r>
        <w:r w:rsidR="00EC2E52" w:rsidRPr="00C60FBA">
          <w:rPr>
            <w:rStyle w:val="Hyperlink"/>
            <w:rFonts w:eastAsia="Arial Unicode MS"/>
            <w:noProof/>
            <w:lang w:val="en-GB"/>
          </w:rPr>
          <w:t>Obtaining consent</w:t>
        </w:r>
        <w:r w:rsidR="00EC2E52">
          <w:rPr>
            <w:noProof/>
            <w:webHidden/>
          </w:rPr>
          <w:tab/>
        </w:r>
        <w:r w:rsidR="00EC2E52">
          <w:rPr>
            <w:noProof/>
            <w:webHidden/>
          </w:rPr>
          <w:fldChar w:fldCharType="begin"/>
        </w:r>
        <w:r w:rsidR="00EC2E52">
          <w:rPr>
            <w:noProof/>
            <w:webHidden/>
          </w:rPr>
          <w:instrText xml:space="preserve"> PAGEREF _Toc156380504 \h </w:instrText>
        </w:r>
        <w:r w:rsidR="00EC2E52">
          <w:rPr>
            <w:noProof/>
            <w:webHidden/>
          </w:rPr>
        </w:r>
        <w:r w:rsidR="00EC2E52">
          <w:rPr>
            <w:noProof/>
            <w:webHidden/>
          </w:rPr>
          <w:fldChar w:fldCharType="separate"/>
        </w:r>
        <w:r w:rsidR="00EC2E52">
          <w:rPr>
            <w:noProof/>
            <w:webHidden/>
          </w:rPr>
          <w:t>64</w:t>
        </w:r>
        <w:r w:rsidR="00EC2E52">
          <w:rPr>
            <w:noProof/>
            <w:webHidden/>
          </w:rPr>
          <w:fldChar w:fldCharType="end"/>
        </w:r>
      </w:hyperlink>
    </w:p>
    <w:p w14:paraId="7F2827F6" w14:textId="6413277E" w:rsidR="00EC2E52" w:rsidRDefault="00D42226">
      <w:pPr>
        <w:pStyle w:val="TOC2"/>
        <w:rPr>
          <w:rFonts w:asciiTheme="minorHAnsi" w:eastAsiaTheme="minorEastAsia" w:hAnsiTheme="minorHAnsi" w:cstheme="minorBidi"/>
          <w:noProof/>
          <w:sz w:val="22"/>
          <w:szCs w:val="22"/>
          <w:lang w:eastAsia="en-IE"/>
        </w:rPr>
      </w:pPr>
      <w:hyperlink w:anchor="_Toc156380505" w:history="1">
        <w:r w:rsidR="00EC2E52" w:rsidRPr="00C60FBA">
          <w:rPr>
            <w:rStyle w:val="Hyperlink"/>
            <w:rFonts w:eastAsia="Arial Unicode MS"/>
            <w:noProof/>
          </w:rPr>
          <w:t>4.3</w:t>
        </w:r>
        <w:r w:rsidR="00EC2E52">
          <w:rPr>
            <w:rFonts w:asciiTheme="minorHAnsi" w:eastAsiaTheme="minorEastAsia" w:hAnsiTheme="minorHAnsi" w:cstheme="minorBidi"/>
            <w:noProof/>
            <w:sz w:val="22"/>
            <w:szCs w:val="22"/>
            <w:lang w:eastAsia="en-IE"/>
          </w:rPr>
          <w:tab/>
        </w:r>
        <w:r w:rsidR="00EC2E52" w:rsidRPr="00C60FBA">
          <w:rPr>
            <w:rStyle w:val="Hyperlink"/>
            <w:rFonts w:eastAsia="Arial Unicode MS"/>
            <w:noProof/>
          </w:rPr>
          <w:t>Data collection</w:t>
        </w:r>
        <w:r w:rsidR="00EC2E52">
          <w:rPr>
            <w:noProof/>
            <w:webHidden/>
          </w:rPr>
          <w:tab/>
        </w:r>
        <w:r w:rsidR="00EC2E52">
          <w:rPr>
            <w:noProof/>
            <w:webHidden/>
          </w:rPr>
          <w:fldChar w:fldCharType="begin"/>
        </w:r>
        <w:r w:rsidR="00EC2E52">
          <w:rPr>
            <w:noProof/>
            <w:webHidden/>
          </w:rPr>
          <w:instrText xml:space="preserve"> PAGEREF _Toc156380505 \h </w:instrText>
        </w:r>
        <w:r w:rsidR="00EC2E52">
          <w:rPr>
            <w:noProof/>
            <w:webHidden/>
          </w:rPr>
        </w:r>
        <w:r w:rsidR="00EC2E52">
          <w:rPr>
            <w:noProof/>
            <w:webHidden/>
          </w:rPr>
          <w:fldChar w:fldCharType="separate"/>
        </w:r>
        <w:r w:rsidR="00EC2E52">
          <w:rPr>
            <w:noProof/>
            <w:webHidden/>
          </w:rPr>
          <w:t>64</w:t>
        </w:r>
        <w:r w:rsidR="00EC2E52">
          <w:rPr>
            <w:noProof/>
            <w:webHidden/>
          </w:rPr>
          <w:fldChar w:fldCharType="end"/>
        </w:r>
      </w:hyperlink>
    </w:p>
    <w:p w14:paraId="429214DC" w14:textId="61502D89" w:rsidR="00EC2E52" w:rsidRDefault="00D42226">
      <w:pPr>
        <w:pStyle w:val="TOC2"/>
        <w:rPr>
          <w:rFonts w:asciiTheme="minorHAnsi" w:eastAsiaTheme="minorEastAsia" w:hAnsiTheme="minorHAnsi" w:cstheme="minorBidi"/>
          <w:noProof/>
          <w:sz w:val="22"/>
          <w:szCs w:val="22"/>
          <w:lang w:eastAsia="en-IE"/>
        </w:rPr>
      </w:pPr>
      <w:hyperlink w:anchor="_Toc156380506" w:history="1">
        <w:r w:rsidR="00EC2E52" w:rsidRPr="00C60FBA">
          <w:rPr>
            <w:rStyle w:val="Hyperlink"/>
            <w:rFonts w:eastAsia="Arial Unicode MS"/>
            <w:noProof/>
          </w:rPr>
          <w:t>4.4</w:t>
        </w:r>
        <w:r w:rsidR="00EC2E52">
          <w:rPr>
            <w:rFonts w:asciiTheme="minorHAnsi" w:eastAsiaTheme="minorEastAsia" w:hAnsiTheme="minorHAnsi" w:cstheme="minorBidi"/>
            <w:noProof/>
            <w:sz w:val="22"/>
            <w:szCs w:val="22"/>
            <w:lang w:eastAsia="en-IE"/>
          </w:rPr>
          <w:tab/>
        </w:r>
        <w:r w:rsidR="00EC2E52" w:rsidRPr="00C60FBA">
          <w:rPr>
            <w:rStyle w:val="Hyperlink"/>
            <w:rFonts w:eastAsia="Arial Unicode MS"/>
            <w:noProof/>
          </w:rPr>
          <w:t>Data analysis</w:t>
        </w:r>
        <w:r w:rsidR="00EC2E52">
          <w:rPr>
            <w:noProof/>
            <w:webHidden/>
          </w:rPr>
          <w:tab/>
        </w:r>
        <w:r w:rsidR="00EC2E52">
          <w:rPr>
            <w:noProof/>
            <w:webHidden/>
          </w:rPr>
          <w:fldChar w:fldCharType="begin"/>
        </w:r>
        <w:r w:rsidR="00EC2E52">
          <w:rPr>
            <w:noProof/>
            <w:webHidden/>
          </w:rPr>
          <w:instrText xml:space="preserve"> PAGEREF _Toc156380506 \h </w:instrText>
        </w:r>
        <w:r w:rsidR="00EC2E52">
          <w:rPr>
            <w:noProof/>
            <w:webHidden/>
          </w:rPr>
        </w:r>
        <w:r w:rsidR="00EC2E52">
          <w:rPr>
            <w:noProof/>
            <w:webHidden/>
          </w:rPr>
          <w:fldChar w:fldCharType="separate"/>
        </w:r>
        <w:r w:rsidR="00EC2E52">
          <w:rPr>
            <w:noProof/>
            <w:webHidden/>
          </w:rPr>
          <w:t>65</w:t>
        </w:r>
        <w:r w:rsidR="00EC2E52">
          <w:rPr>
            <w:noProof/>
            <w:webHidden/>
          </w:rPr>
          <w:fldChar w:fldCharType="end"/>
        </w:r>
      </w:hyperlink>
    </w:p>
    <w:p w14:paraId="79370593" w14:textId="7384340B" w:rsidR="00EC2E52" w:rsidRDefault="00D42226">
      <w:pPr>
        <w:pStyle w:val="TOC2"/>
        <w:rPr>
          <w:rFonts w:asciiTheme="minorHAnsi" w:eastAsiaTheme="minorEastAsia" w:hAnsiTheme="minorHAnsi" w:cstheme="minorBidi"/>
          <w:noProof/>
          <w:sz w:val="22"/>
          <w:szCs w:val="22"/>
          <w:lang w:eastAsia="en-IE"/>
        </w:rPr>
      </w:pPr>
      <w:hyperlink w:anchor="_Toc156380507" w:history="1">
        <w:r w:rsidR="00EC2E52" w:rsidRPr="00C60FBA">
          <w:rPr>
            <w:rStyle w:val="Hyperlink"/>
            <w:rFonts w:eastAsia="Arial Unicode MS"/>
            <w:noProof/>
          </w:rPr>
          <w:t>4.5</w:t>
        </w:r>
        <w:r w:rsidR="00EC2E52">
          <w:rPr>
            <w:rFonts w:asciiTheme="minorHAnsi" w:eastAsiaTheme="minorEastAsia" w:hAnsiTheme="minorHAnsi" w:cstheme="minorBidi"/>
            <w:noProof/>
            <w:sz w:val="22"/>
            <w:szCs w:val="22"/>
            <w:lang w:eastAsia="en-IE"/>
          </w:rPr>
          <w:tab/>
        </w:r>
        <w:r w:rsidR="00EC2E52" w:rsidRPr="00C60FBA">
          <w:rPr>
            <w:rStyle w:val="Hyperlink"/>
            <w:rFonts w:eastAsia="Arial Unicode MS"/>
            <w:noProof/>
          </w:rPr>
          <w:t xml:space="preserve"> Data dissemination</w:t>
        </w:r>
        <w:r w:rsidR="00EC2E52">
          <w:rPr>
            <w:noProof/>
            <w:webHidden/>
          </w:rPr>
          <w:tab/>
        </w:r>
        <w:r w:rsidR="00EC2E52">
          <w:rPr>
            <w:noProof/>
            <w:webHidden/>
          </w:rPr>
          <w:fldChar w:fldCharType="begin"/>
        </w:r>
        <w:r w:rsidR="00EC2E52">
          <w:rPr>
            <w:noProof/>
            <w:webHidden/>
          </w:rPr>
          <w:instrText xml:space="preserve"> PAGEREF _Toc156380507 \h </w:instrText>
        </w:r>
        <w:r w:rsidR="00EC2E52">
          <w:rPr>
            <w:noProof/>
            <w:webHidden/>
          </w:rPr>
        </w:r>
        <w:r w:rsidR="00EC2E52">
          <w:rPr>
            <w:noProof/>
            <w:webHidden/>
          </w:rPr>
          <w:fldChar w:fldCharType="separate"/>
        </w:r>
        <w:r w:rsidR="00EC2E52">
          <w:rPr>
            <w:noProof/>
            <w:webHidden/>
          </w:rPr>
          <w:t>65</w:t>
        </w:r>
        <w:r w:rsidR="00EC2E52">
          <w:rPr>
            <w:noProof/>
            <w:webHidden/>
          </w:rPr>
          <w:fldChar w:fldCharType="end"/>
        </w:r>
      </w:hyperlink>
    </w:p>
    <w:p w14:paraId="4EDDC772" w14:textId="5E296A4D" w:rsidR="00EC2E52" w:rsidRDefault="00D42226">
      <w:pPr>
        <w:pStyle w:val="TOC1"/>
        <w:rPr>
          <w:rFonts w:asciiTheme="minorHAnsi" w:eastAsiaTheme="minorEastAsia" w:hAnsiTheme="minorHAnsi" w:cstheme="minorBidi"/>
          <w:b w:val="0"/>
          <w:noProof/>
          <w:sz w:val="22"/>
          <w:szCs w:val="22"/>
          <w:lang w:eastAsia="en-IE"/>
        </w:rPr>
      </w:pPr>
      <w:hyperlink w:anchor="_Toc156380508" w:history="1">
        <w:r w:rsidR="00EC2E52" w:rsidRPr="00C60FBA">
          <w:rPr>
            <w:rStyle w:val="Hyperlink"/>
            <w:noProof/>
          </w:rPr>
          <w:t>References</w:t>
        </w:r>
        <w:r w:rsidR="00EC2E52">
          <w:rPr>
            <w:noProof/>
            <w:webHidden/>
          </w:rPr>
          <w:tab/>
        </w:r>
        <w:r w:rsidR="00EC2E52">
          <w:rPr>
            <w:noProof/>
            <w:webHidden/>
          </w:rPr>
          <w:fldChar w:fldCharType="begin"/>
        </w:r>
        <w:r w:rsidR="00EC2E52">
          <w:rPr>
            <w:noProof/>
            <w:webHidden/>
          </w:rPr>
          <w:instrText xml:space="preserve"> PAGEREF _Toc156380508 \h </w:instrText>
        </w:r>
        <w:r w:rsidR="00EC2E52">
          <w:rPr>
            <w:noProof/>
            <w:webHidden/>
          </w:rPr>
        </w:r>
        <w:r w:rsidR="00EC2E52">
          <w:rPr>
            <w:noProof/>
            <w:webHidden/>
          </w:rPr>
          <w:fldChar w:fldCharType="separate"/>
        </w:r>
        <w:r w:rsidR="00EC2E52">
          <w:rPr>
            <w:noProof/>
            <w:webHidden/>
          </w:rPr>
          <w:t>66</w:t>
        </w:r>
        <w:r w:rsidR="00EC2E52">
          <w:rPr>
            <w:noProof/>
            <w:webHidden/>
          </w:rPr>
          <w:fldChar w:fldCharType="end"/>
        </w:r>
      </w:hyperlink>
    </w:p>
    <w:p w14:paraId="2D3941BF" w14:textId="6DD9861B" w:rsidR="00EC2E52" w:rsidRDefault="00D42226">
      <w:pPr>
        <w:pStyle w:val="TOC1"/>
        <w:rPr>
          <w:rFonts w:asciiTheme="minorHAnsi" w:eastAsiaTheme="minorEastAsia" w:hAnsiTheme="minorHAnsi" w:cstheme="minorBidi"/>
          <w:b w:val="0"/>
          <w:noProof/>
          <w:sz w:val="22"/>
          <w:szCs w:val="22"/>
          <w:lang w:eastAsia="en-IE"/>
        </w:rPr>
      </w:pPr>
      <w:hyperlink w:anchor="_Toc156380509" w:history="1">
        <w:r w:rsidR="00EC2E52" w:rsidRPr="00C60FBA">
          <w:rPr>
            <w:rStyle w:val="Hyperlink"/>
            <w:noProof/>
            <w:lang w:val="en-GB"/>
          </w:rPr>
          <w:t>Appendix 1</w:t>
        </w:r>
        <w:r w:rsidR="00EC2E52">
          <w:rPr>
            <w:noProof/>
            <w:webHidden/>
          </w:rPr>
          <w:tab/>
        </w:r>
        <w:r w:rsidR="00EC2E52">
          <w:rPr>
            <w:noProof/>
            <w:webHidden/>
          </w:rPr>
          <w:fldChar w:fldCharType="begin"/>
        </w:r>
        <w:r w:rsidR="00EC2E52">
          <w:rPr>
            <w:noProof/>
            <w:webHidden/>
          </w:rPr>
          <w:instrText xml:space="preserve"> PAGEREF _Toc156380509 \h </w:instrText>
        </w:r>
        <w:r w:rsidR="00EC2E52">
          <w:rPr>
            <w:noProof/>
            <w:webHidden/>
          </w:rPr>
        </w:r>
        <w:r w:rsidR="00EC2E52">
          <w:rPr>
            <w:noProof/>
            <w:webHidden/>
          </w:rPr>
          <w:fldChar w:fldCharType="separate"/>
        </w:r>
        <w:r w:rsidR="00EC2E52">
          <w:rPr>
            <w:noProof/>
            <w:webHidden/>
          </w:rPr>
          <w:t>79</w:t>
        </w:r>
        <w:r w:rsidR="00EC2E52">
          <w:rPr>
            <w:noProof/>
            <w:webHidden/>
          </w:rPr>
          <w:fldChar w:fldCharType="end"/>
        </w:r>
      </w:hyperlink>
    </w:p>
    <w:p w14:paraId="16123462" w14:textId="089C145B" w:rsidR="00690B34" w:rsidRDefault="00723DCE" w:rsidP="00690B34">
      <w:pPr>
        <w:pStyle w:val="TOC1"/>
        <w:rPr>
          <w:rFonts w:asciiTheme="minorHAnsi" w:eastAsiaTheme="minorEastAsia" w:hAnsiTheme="minorHAnsi" w:cstheme="minorBidi"/>
          <w:b w:val="0"/>
          <w:noProof/>
          <w:sz w:val="22"/>
          <w:szCs w:val="22"/>
          <w:lang w:eastAsia="en-IE"/>
        </w:rPr>
      </w:pPr>
      <w:r>
        <w:fldChar w:fldCharType="end"/>
      </w:r>
      <w:r w:rsidR="00690B34">
        <w:fldChar w:fldCharType="begin"/>
      </w:r>
      <w:r w:rsidR="00690B34">
        <w:instrText xml:space="preserve"> TOC \o "1-2" \h \z \u </w:instrText>
      </w:r>
      <w:r w:rsidR="00690B34">
        <w:fldChar w:fldCharType="separate"/>
      </w:r>
    </w:p>
    <w:p w14:paraId="4C43A9CE" w14:textId="20EA5EDB" w:rsidR="009D584B" w:rsidRDefault="00690B34" w:rsidP="00D32663">
      <w:pPr>
        <w:pStyle w:val="TOC1"/>
        <w:rPr>
          <w:bCs/>
          <w:noProof/>
        </w:rPr>
      </w:pPr>
      <w:r>
        <w:fldChar w:fldCharType="end"/>
      </w:r>
    </w:p>
    <w:p w14:paraId="7A0C7875" w14:textId="77777777" w:rsidR="009D584B" w:rsidRDefault="009D584B" w:rsidP="00301BA0">
      <w:pPr>
        <w:spacing w:after="0" w:line="360" w:lineRule="auto"/>
        <w:rPr>
          <w:b/>
          <w:bCs/>
          <w:noProof/>
        </w:rPr>
      </w:pPr>
      <w:r>
        <w:rPr>
          <w:b/>
          <w:bCs/>
          <w:noProof/>
        </w:rPr>
        <w:br w:type="page"/>
      </w:r>
    </w:p>
    <w:p w14:paraId="62CA4CB1" w14:textId="77777777" w:rsidR="00EA662C" w:rsidRPr="00EA662C" w:rsidRDefault="00EA662C" w:rsidP="00301BA0">
      <w:pPr>
        <w:pStyle w:val="Heading1"/>
        <w:spacing w:line="360" w:lineRule="auto"/>
        <w:rPr>
          <w:lang w:eastAsia="en-IE"/>
        </w:rPr>
      </w:pPr>
      <w:bookmarkStart w:id="2" w:name="_Toc140081153"/>
      <w:bookmarkStart w:id="3" w:name="_Toc150873258"/>
      <w:bookmarkStart w:id="4" w:name="_Toc156380487"/>
      <w:r w:rsidRPr="00EA662C">
        <w:rPr>
          <w:lang w:eastAsia="en-IE"/>
        </w:rPr>
        <w:lastRenderedPageBreak/>
        <w:t>Statement on language</w:t>
      </w:r>
      <w:bookmarkEnd w:id="2"/>
      <w:bookmarkEnd w:id="3"/>
      <w:bookmarkEnd w:id="4"/>
    </w:p>
    <w:p w14:paraId="2A117D2E" w14:textId="10248349" w:rsidR="00EA662C" w:rsidRPr="009D584B" w:rsidRDefault="00EA662C" w:rsidP="00301BA0">
      <w:pPr>
        <w:spacing w:after="0" w:line="360" w:lineRule="auto"/>
        <w:rPr>
          <w:szCs w:val="26"/>
        </w:rPr>
      </w:pPr>
      <w:r w:rsidRPr="00A0228E">
        <w:rPr>
          <w:color w:val="000000"/>
          <w:szCs w:val="26"/>
          <w:lang w:eastAsia="en-IE"/>
        </w:rPr>
        <w:t xml:space="preserve">In this report, the terms “people with disabilities” and “disabled people” are used interchangeably. The term ‘disabled people’ is recognised by many within the disability rights movement to align with the social and human rights model of disability, as it is considered to acknowledge the fact that people with an impairment are disabled by barriers in the environment and society. However, others prefer the term “persons with disabilities” because of the inherent understanding in the term that </w:t>
      </w:r>
      <w:r w:rsidR="003E1798" w:rsidRPr="00A0228E">
        <w:rPr>
          <w:color w:val="000000"/>
          <w:szCs w:val="26"/>
          <w:lang w:eastAsia="en-IE"/>
        </w:rPr>
        <w:t xml:space="preserve">all persons </w:t>
      </w:r>
      <w:r w:rsidRPr="00A0228E">
        <w:rPr>
          <w:color w:val="000000"/>
          <w:szCs w:val="26"/>
          <w:lang w:eastAsia="en-IE"/>
        </w:rPr>
        <w:t xml:space="preserve">are first and foremost human beings entitled to human rights. This also reflects the language used in the UNCRPD. </w:t>
      </w:r>
      <w:r w:rsidR="00A4421F" w:rsidRPr="00A0228E">
        <w:rPr>
          <w:color w:val="000000"/>
          <w:szCs w:val="26"/>
          <w:lang w:eastAsia="en-IE"/>
        </w:rPr>
        <w:t>M</w:t>
      </w:r>
      <w:r w:rsidRPr="00A0228E">
        <w:rPr>
          <w:color w:val="000000"/>
          <w:szCs w:val="26"/>
          <w:lang w:eastAsia="en-IE"/>
        </w:rPr>
        <w:t xml:space="preserve">any people with an intellectual disability, people with a mental health difficulty or psycho-social disability prefer person-first language. </w:t>
      </w:r>
      <w:r w:rsidR="00A4421F" w:rsidRPr="00A0228E">
        <w:rPr>
          <w:color w:val="000000"/>
          <w:szCs w:val="26"/>
          <w:lang w:eastAsia="en-IE"/>
        </w:rPr>
        <w:t>S</w:t>
      </w:r>
      <w:r w:rsidRPr="00A0228E">
        <w:rPr>
          <w:color w:val="000000"/>
          <w:szCs w:val="26"/>
          <w:lang w:eastAsia="en-IE"/>
        </w:rPr>
        <w:t>ome people don’t identify with either term. You can find our full statem</w:t>
      </w:r>
      <w:r w:rsidR="005C5831" w:rsidRPr="00A0228E">
        <w:rPr>
          <w:color w:val="000000"/>
          <w:szCs w:val="26"/>
          <w:lang w:eastAsia="en-IE"/>
        </w:rPr>
        <w:t xml:space="preserve">ent on language on </w:t>
      </w:r>
      <w:r w:rsidR="003E1798" w:rsidRPr="00A0228E">
        <w:rPr>
          <w:color w:val="000000"/>
          <w:szCs w:val="26"/>
          <w:lang w:eastAsia="en-IE"/>
        </w:rPr>
        <w:t xml:space="preserve">the NDA </w:t>
      </w:r>
      <w:r w:rsidR="005C5831" w:rsidRPr="00A0228E">
        <w:rPr>
          <w:color w:val="000000"/>
          <w:szCs w:val="26"/>
          <w:lang w:eastAsia="en-IE"/>
        </w:rPr>
        <w:t>website.</w:t>
      </w:r>
      <w:r w:rsidR="005C5831" w:rsidRPr="00A0228E">
        <w:rPr>
          <w:rStyle w:val="FootnoteReference"/>
          <w:rFonts w:ascii="Gill Sans MT" w:hAnsi="Gill Sans MT"/>
          <w:color w:val="000000"/>
          <w:sz w:val="26"/>
          <w:szCs w:val="26"/>
          <w:lang w:eastAsia="en-IE"/>
        </w:rPr>
        <w:footnoteReference w:id="1"/>
      </w:r>
    </w:p>
    <w:p w14:paraId="483C284A" w14:textId="77777777" w:rsidR="00996A2E" w:rsidRDefault="00996A2E" w:rsidP="00301BA0">
      <w:pPr>
        <w:spacing w:after="0" w:line="360" w:lineRule="auto"/>
      </w:pPr>
    </w:p>
    <w:p w14:paraId="0E7E57D6" w14:textId="3D74E32E" w:rsidR="00B063F6" w:rsidRDefault="00B063F6" w:rsidP="00301BA0">
      <w:pPr>
        <w:spacing w:after="0" w:line="360" w:lineRule="auto"/>
      </w:pPr>
      <w:r>
        <w:br w:type="page"/>
      </w:r>
    </w:p>
    <w:p w14:paraId="544114AE" w14:textId="153EAC86" w:rsidR="00996A2E" w:rsidRDefault="00996A2E" w:rsidP="00996A2E">
      <w:pPr>
        <w:pStyle w:val="Heading1"/>
        <w:rPr>
          <w:lang w:val="en-GB"/>
        </w:rPr>
      </w:pPr>
      <w:bookmarkStart w:id="5" w:name="_Toc150873259"/>
      <w:bookmarkStart w:id="6" w:name="_Toc156380488"/>
      <w:r>
        <w:rPr>
          <w:lang w:val="en-GB"/>
        </w:rPr>
        <w:lastRenderedPageBreak/>
        <w:t>Executive Summary</w:t>
      </w:r>
      <w:bookmarkEnd w:id="5"/>
      <w:bookmarkEnd w:id="6"/>
    </w:p>
    <w:p w14:paraId="2C804CEE" w14:textId="3DBBCA8D" w:rsidR="00DF5614" w:rsidRPr="00996A2E" w:rsidRDefault="00DF5614" w:rsidP="00EC2E52">
      <w:pPr>
        <w:spacing w:line="360" w:lineRule="auto"/>
        <w:rPr>
          <w:lang w:val="en-GB"/>
        </w:rPr>
      </w:pPr>
      <w:r w:rsidRPr="00996A2E">
        <w:rPr>
          <w:lang w:val="en-GB"/>
        </w:rPr>
        <w:t>Disability research understands the social potential that is made possible through material and institutional change</w:t>
      </w:r>
      <w:r w:rsidR="00BD66AE">
        <w:rPr>
          <w:lang w:val="en-GB"/>
        </w:rPr>
        <w:t>.</w:t>
      </w:r>
      <w:r w:rsidRPr="00996A2E">
        <w:rPr>
          <w:lang w:val="en-GB"/>
        </w:rPr>
        <w:t xml:space="preserve"> It </w:t>
      </w:r>
      <w:r w:rsidRPr="00996A2E">
        <w:t xml:space="preserve">recognizes how society, by its actions and omissions, can worsen the position of disabled people beyond the level which could be attributed solely to the direct effects of people’s physical, sensory, or mental impairments. </w:t>
      </w:r>
    </w:p>
    <w:p w14:paraId="64B5F8A8" w14:textId="4A1CE77F" w:rsidR="00BD66AE" w:rsidRDefault="00BC6761" w:rsidP="00EC2E52">
      <w:pPr>
        <w:spacing w:line="360" w:lineRule="auto"/>
        <w:rPr>
          <w:bCs/>
          <w:iCs/>
          <w:lang w:val="en-GB"/>
        </w:rPr>
      </w:pPr>
      <w:r w:rsidRPr="00996A2E">
        <w:rPr>
          <w:lang w:val="en-GB"/>
        </w:rPr>
        <w:t>Th</w:t>
      </w:r>
      <w:r>
        <w:rPr>
          <w:lang w:val="en-GB"/>
        </w:rPr>
        <w:t>e purpose of this</w:t>
      </w:r>
      <w:r w:rsidRPr="00996A2E">
        <w:rPr>
          <w:lang w:val="en-GB"/>
        </w:rPr>
        <w:t xml:space="preserve"> </w:t>
      </w:r>
      <w:r>
        <w:rPr>
          <w:lang w:val="en-GB"/>
        </w:rPr>
        <w:t>document</w:t>
      </w:r>
      <w:r w:rsidRPr="00996A2E">
        <w:rPr>
          <w:lang w:val="en-GB"/>
        </w:rPr>
        <w:t xml:space="preserve"> </w:t>
      </w:r>
      <w:r>
        <w:rPr>
          <w:lang w:val="en-GB"/>
        </w:rPr>
        <w:t xml:space="preserve">is to </w:t>
      </w:r>
      <w:r w:rsidRPr="00996A2E">
        <w:rPr>
          <w:lang w:val="en-GB"/>
        </w:rPr>
        <w:t xml:space="preserve">assist researchers and research ethics committees by offering </w:t>
      </w:r>
      <w:r>
        <w:rPr>
          <w:lang w:val="en-GB"/>
        </w:rPr>
        <w:t xml:space="preserve">them </w:t>
      </w:r>
      <w:r w:rsidRPr="00996A2E">
        <w:rPr>
          <w:lang w:val="en-GB"/>
        </w:rPr>
        <w:t xml:space="preserve">guidance in relation to good practice in research involving disabled people. </w:t>
      </w:r>
      <w:r w:rsidRPr="00996A2E">
        <w:t xml:space="preserve">The guidance </w:t>
      </w:r>
      <w:r>
        <w:t>is relevant</w:t>
      </w:r>
      <w:r w:rsidRPr="00996A2E">
        <w:t xml:space="preserve"> </w:t>
      </w:r>
      <w:r>
        <w:t xml:space="preserve">for </w:t>
      </w:r>
      <w:r w:rsidRPr="00996A2E">
        <w:t xml:space="preserve">disabled research participants and </w:t>
      </w:r>
      <w:r>
        <w:t xml:space="preserve">for </w:t>
      </w:r>
      <w:r w:rsidRPr="00996A2E">
        <w:t>any research which involves the general population, among which are disabled people.</w:t>
      </w:r>
      <w:r w:rsidRPr="00996A2E">
        <w:rPr>
          <w:lang w:val="en-GB"/>
        </w:rPr>
        <w:t xml:space="preserve"> </w:t>
      </w:r>
      <w:r w:rsidR="00DF5614" w:rsidRPr="00DF5614">
        <w:rPr>
          <w:bCs/>
          <w:iCs/>
          <w:lang w:val="en-GB"/>
        </w:rPr>
        <w:t>The current 2023 update of th</w:t>
      </w:r>
      <w:r w:rsidR="00DF5614">
        <w:rPr>
          <w:bCs/>
          <w:iCs/>
          <w:lang w:val="en-GB"/>
        </w:rPr>
        <w:t>e NDA ethical</w:t>
      </w:r>
      <w:r w:rsidR="00DF5614" w:rsidRPr="00DF5614">
        <w:rPr>
          <w:bCs/>
          <w:iCs/>
          <w:lang w:val="en-GB"/>
        </w:rPr>
        <w:t xml:space="preserve"> guidance was </w:t>
      </w:r>
      <w:r w:rsidR="00DF5614">
        <w:rPr>
          <w:bCs/>
          <w:iCs/>
          <w:lang w:val="en-GB"/>
        </w:rPr>
        <w:t xml:space="preserve">undertaken </w:t>
      </w:r>
      <w:r w:rsidR="00DF5614" w:rsidRPr="00DF5614">
        <w:rPr>
          <w:bCs/>
          <w:iCs/>
          <w:lang w:val="en-GB"/>
        </w:rPr>
        <w:t xml:space="preserve">to include </w:t>
      </w:r>
      <w:r w:rsidR="00BD66AE">
        <w:rPr>
          <w:bCs/>
          <w:iCs/>
          <w:lang w:val="en-GB"/>
        </w:rPr>
        <w:t xml:space="preserve">updates on </w:t>
      </w:r>
      <w:r w:rsidR="00BD66AE" w:rsidRPr="00A91273">
        <w:rPr>
          <w:bCs/>
          <w:iCs/>
          <w:lang w:val="en-GB"/>
        </w:rPr>
        <w:t>ethical guidance from the HSE</w:t>
      </w:r>
      <w:r w:rsidR="00BD66AE">
        <w:rPr>
          <w:bCs/>
          <w:iCs/>
          <w:lang w:val="en-GB"/>
        </w:rPr>
        <w:t xml:space="preserve"> and </w:t>
      </w:r>
      <w:r w:rsidR="00DF5614" w:rsidRPr="00DF5614">
        <w:rPr>
          <w:bCs/>
          <w:iCs/>
          <w:lang w:val="en-GB"/>
        </w:rPr>
        <w:t xml:space="preserve">legislation </w:t>
      </w:r>
      <w:r w:rsidR="00BD66AE">
        <w:rPr>
          <w:bCs/>
          <w:iCs/>
          <w:lang w:val="en-GB"/>
        </w:rPr>
        <w:t xml:space="preserve">including </w:t>
      </w:r>
      <w:r w:rsidR="00DF5614" w:rsidRPr="00DF5614">
        <w:rPr>
          <w:bCs/>
          <w:iCs/>
          <w:lang w:val="en-GB"/>
        </w:rPr>
        <w:t>the Assisted Decision-Making Capacity Act 2015 and the 2022 amending legislation (ADMCA)</w:t>
      </w:r>
      <w:r w:rsidR="00BD66AE">
        <w:rPr>
          <w:bCs/>
          <w:iCs/>
          <w:lang w:val="en-GB"/>
        </w:rPr>
        <w:t xml:space="preserve">. With this legislation </w:t>
      </w:r>
      <w:r w:rsidR="00BD66AE">
        <w:rPr>
          <w:rFonts w:cs="Arial"/>
          <w:bCs/>
          <w:szCs w:val="26"/>
        </w:rPr>
        <w:t xml:space="preserve">if </w:t>
      </w:r>
      <w:r w:rsidR="00BD66AE" w:rsidRPr="00844D5A">
        <w:rPr>
          <w:rFonts w:cs="Arial"/>
          <w:bCs/>
          <w:szCs w:val="26"/>
        </w:rPr>
        <w:t>a person's capacity to consent to participation in research</w:t>
      </w:r>
      <w:r w:rsidR="00BD66AE">
        <w:rPr>
          <w:rFonts w:cs="Arial"/>
          <w:bCs/>
          <w:szCs w:val="26"/>
        </w:rPr>
        <w:t xml:space="preserve"> is </w:t>
      </w:r>
      <w:r w:rsidR="00BD66AE" w:rsidRPr="00844D5A">
        <w:rPr>
          <w:rFonts w:cs="Arial"/>
          <w:bCs/>
          <w:szCs w:val="26"/>
        </w:rPr>
        <w:t>question</w:t>
      </w:r>
      <w:r w:rsidR="00BD66AE">
        <w:rPr>
          <w:rFonts w:cs="Arial"/>
          <w:bCs/>
          <w:szCs w:val="26"/>
        </w:rPr>
        <w:t>ed</w:t>
      </w:r>
      <w:r w:rsidR="00BD66AE" w:rsidRPr="00844D5A">
        <w:rPr>
          <w:rFonts w:cs="Arial"/>
          <w:bCs/>
          <w:szCs w:val="26"/>
        </w:rPr>
        <w:t>, good practice requires a documented assessment of capacity for informed consent,</w:t>
      </w:r>
      <w:r w:rsidR="00BD66AE">
        <w:rPr>
          <w:rFonts w:cs="Arial"/>
          <w:bCs/>
          <w:szCs w:val="26"/>
        </w:rPr>
        <w:t xml:space="preserve"> </w:t>
      </w:r>
      <w:r w:rsidR="00BD66AE" w:rsidRPr="00844D5A">
        <w:rPr>
          <w:rFonts w:cs="Arial"/>
          <w:bCs/>
          <w:szCs w:val="26"/>
        </w:rPr>
        <w:t>consistent with the standards outlined in the ADM</w:t>
      </w:r>
      <w:r w:rsidR="00BD66AE">
        <w:rPr>
          <w:rFonts w:cs="Arial"/>
          <w:bCs/>
          <w:szCs w:val="26"/>
        </w:rPr>
        <w:t>C</w:t>
      </w:r>
      <w:r w:rsidR="00BD66AE" w:rsidRPr="00844D5A">
        <w:rPr>
          <w:rFonts w:cs="Arial"/>
          <w:bCs/>
          <w:szCs w:val="26"/>
        </w:rPr>
        <w:t>A</w:t>
      </w:r>
      <w:r w:rsidR="00BD66AE">
        <w:rPr>
          <w:rFonts w:cs="Arial"/>
          <w:bCs/>
          <w:szCs w:val="26"/>
        </w:rPr>
        <w:t xml:space="preserve"> 2022 Act. C</w:t>
      </w:r>
      <w:r w:rsidR="00BD66AE" w:rsidRPr="00844D5A">
        <w:rPr>
          <w:rFonts w:cs="Arial"/>
          <w:bCs/>
          <w:szCs w:val="26"/>
        </w:rPr>
        <w:t xml:space="preserve">apacity assessment </w:t>
      </w:r>
      <w:r w:rsidR="00BD66AE">
        <w:rPr>
          <w:rFonts w:cs="Arial"/>
          <w:bCs/>
          <w:szCs w:val="26"/>
        </w:rPr>
        <w:t>is used where</w:t>
      </w:r>
      <w:r w:rsidR="00BD66AE" w:rsidRPr="00844D5A">
        <w:rPr>
          <w:rFonts w:cs="Arial"/>
          <w:bCs/>
          <w:szCs w:val="26"/>
        </w:rPr>
        <w:t xml:space="preserve"> </w:t>
      </w:r>
      <w:r w:rsidR="00BD66AE">
        <w:rPr>
          <w:rFonts w:cs="Arial"/>
          <w:bCs/>
          <w:szCs w:val="26"/>
        </w:rPr>
        <w:t xml:space="preserve">appropriate </w:t>
      </w:r>
      <w:r w:rsidR="00BD66AE" w:rsidRPr="00844D5A">
        <w:rPr>
          <w:rFonts w:cs="Arial"/>
          <w:bCs/>
          <w:szCs w:val="26"/>
        </w:rPr>
        <w:t>information has been provide</w:t>
      </w:r>
      <w:r w:rsidR="00BD66AE">
        <w:rPr>
          <w:rFonts w:cs="Arial"/>
          <w:bCs/>
          <w:szCs w:val="26"/>
        </w:rPr>
        <w:t>d</w:t>
      </w:r>
      <w:r w:rsidR="00BD66AE" w:rsidRPr="00844D5A">
        <w:rPr>
          <w:rFonts w:cs="Arial"/>
          <w:bCs/>
          <w:szCs w:val="26"/>
        </w:rPr>
        <w:t xml:space="preserve"> in an individualised way</w:t>
      </w:r>
      <w:r>
        <w:rPr>
          <w:rFonts w:cs="Arial"/>
          <w:bCs/>
          <w:szCs w:val="26"/>
        </w:rPr>
        <w:t>,</w:t>
      </w:r>
      <w:r w:rsidR="00BD66AE">
        <w:rPr>
          <w:rFonts w:cs="Arial"/>
          <w:bCs/>
          <w:szCs w:val="26"/>
        </w:rPr>
        <w:t xml:space="preserve"> </w:t>
      </w:r>
      <w:r w:rsidR="00BD66AE" w:rsidRPr="00844D5A">
        <w:rPr>
          <w:rFonts w:cs="Arial"/>
          <w:bCs/>
          <w:szCs w:val="26"/>
        </w:rPr>
        <w:t xml:space="preserve">but concerns </w:t>
      </w:r>
      <w:r>
        <w:rPr>
          <w:rFonts w:cs="Arial"/>
          <w:bCs/>
          <w:szCs w:val="26"/>
        </w:rPr>
        <w:t xml:space="preserve">remain </w:t>
      </w:r>
      <w:r w:rsidR="00BD66AE">
        <w:rPr>
          <w:rFonts w:cs="Arial"/>
          <w:bCs/>
          <w:szCs w:val="26"/>
        </w:rPr>
        <w:t>about the ability of a person to understand and consent to participation in the research.</w:t>
      </w:r>
    </w:p>
    <w:p w14:paraId="4E993215" w14:textId="4C3240C8" w:rsidR="004C7827" w:rsidRDefault="00BC6761" w:rsidP="00EC2E52">
      <w:pPr>
        <w:spacing w:line="360" w:lineRule="auto"/>
        <w:rPr>
          <w:lang w:val="en-GB"/>
        </w:rPr>
      </w:pPr>
      <w:r>
        <w:rPr>
          <w:lang w:val="en-GB"/>
        </w:rPr>
        <w:t xml:space="preserve">The guidance </w:t>
      </w:r>
      <w:r w:rsidR="004C7827" w:rsidRPr="00996A2E">
        <w:rPr>
          <w:lang w:val="en-GB"/>
        </w:rPr>
        <w:t xml:space="preserve">outlines values and principles that should apply to research involving disabled people. It overviews disability research and ethics and addresses understanding and practicing </w:t>
      </w:r>
      <w:r>
        <w:rPr>
          <w:lang w:val="en-GB"/>
        </w:rPr>
        <w:t>ethical research</w:t>
      </w:r>
      <w:r w:rsidR="004C7827" w:rsidRPr="00996A2E">
        <w:rPr>
          <w:lang w:val="en-GB"/>
        </w:rPr>
        <w:t xml:space="preserve">. Only research that meets both scientific and ethical standards can be called ‘good’ or ‘excellent’ research. </w:t>
      </w:r>
    </w:p>
    <w:p w14:paraId="1FB847EB" w14:textId="25C55141" w:rsidR="00996A2E" w:rsidRPr="004C7827" w:rsidRDefault="00996A2E" w:rsidP="00EC2E52">
      <w:pPr>
        <w:spacing w:line="360" w:lineRule="auto"/>
        <w:rPr>
          <w:lang w:val="en-GB"/>
        </w:rPr>
      </w:pPr>
      <w:r w:rsidRPr="00996A2E">
        <w:lastRenderedPageBreak/>
        <w:t xml:space="preserve">The </w:t>
      </w:r>
      <w:r w:rsidR="00A91273">
        <w:t>Convention on the Rights of Persons with Disabilities (</w:t>
      </w:r>
      <w:r w:rsidRPr="00A91273">
        <w:t>CRPD</w:t>
      </w:r>
      <w:r w:rsidR="00A91273">
        <w:t>)</w:t>
      </w:r>
      <w:r w:rsidRPr="00996A2E">
        <w:t xml:space="preserve"> promotes, protects, and ensures the full and equal enjoyment of human rights and freedom by persons with disabilities, and promotes respect for their inherent dignity. It can be applied to disability research and all research. </w:t>
      </w:r>
      <w:r w:rsidRPr="00A91273">
        <w:t>Article 4.3</w:t>
      </w:r>
      <w:r w:rsidRPr="00996A2E">
        <w:t xml:space="preserve"> of the CRPD contains principles that permeate the </w:t>
      </w:r>
      <w:r w:rsidR="00BC6761">
        <w:t>CRPD</w:t>
      </w:r>
      <w:r w:rsidRPr="00996A2E">
        <w:t>, including the promotion of human rights and fundamental freedoms for all persons with disabilities.</w:t>
      </w:r>
      <w:r w:rsidRPr="00996A2E">
        <w:rPr>
          <w:vertAlign w:val="superscript"/>
        </w:rPr>
        <w:t xml:space="preserve"> </w:t>
      </w:r>
      <w:r w:rsidRPr="00996A2E">
        <w:t>Ethical implications for research that emerge from the CRPD include:</w:t>
      </w:r>
    </w:p>
    <w:p w14:paraId="7BABD77D" w14:textId="0D2E6CB4" w:rsidR="00996A2E" w:rsidRDefault="00DF5614" w:rsidP="00996A2E">
      <w:pPr>
        <w:pStyle w:val="ListParagraph"/>
        <w:numPr>
          <w:ilvl w:val="0"/>
          <w:numId w:val="34"/>
        </w:numPr>
      </w:pPr>
      <w:r>
        <w:t xml:space="preserve">All </w:t>
      </w:r>
      <w:r w:rsidR="00996A2E" w:rsidRPr="00996A2E">
        <w:t xml:space="preserve">research should be conducted within </w:t>
      </w:r>
      <w:r>
        <w:t>t</w:t>
      </w:r>
      <w:r w:rsidRPr="00996A2E">
        <w:t xml:space="preserve">he human rights framework </w:t>
      </w:r>
      <w:r>
        <w:t>although</w:t>
      </w:r>
      <w:r w:rsidR="00996A2E" w:rsidRPr="00996A2E">
        <w:t xml:space="preserve"> research agendas can overlook the rights and needs of those with the least resources and supports and those who communicate using non-verbal means</w:t>
      </w:r>
      <w:r>
        <w:t>, etc</w:t>
      </w:r>
      <w:r w:rsidR="00996A2E" w:rsidRPr="00996A2E">
        <w:t>.</w:t>
      </w:r>
    </w:p>
    <w:p w14:paraId="25A18A28" w14:textId="77777777" w:rsidR="004C7827" w:rsidRPr="00996A2E" w:rsidRDefault="004C7827" w:rsidP="004C7827">
      <w:pPr>
        <w:pStyle w:val="ListParagraph"/>
      </w:pPr>
    </w:p>
    <w:p w14:paraId="48D0F63B" w14:textId="71F8E793" w:rsidR="004C7827" w:rsidRPr="004C7827" w:rsidRDefault="00996A2E" w:rsidP="004C7827">
      <w:pPr>
        <w:pStyle w:val="ListParagraph"/>
        <w:numPr>
          <w:ilvl w:val="0"/>
          <w:numId w:val="34"/>
        </w:numPr>
        <w:rPr>
          <w:vertAlign w:val="superscript"/>
        </w:rPr>
      </w:pPr>
      <w:r w:rsidRPr="00996A2E">
        <w:t xml:space="preserve">The research principles of respect, consent, and privacy are core aspects of ethical research involving human subjects but </w:t>
      </w:r>
      <w:r w:rsidR="00BC6761">
        <w:t xml:space="preserve">can be </w:t>
      </w:r>
      <w:r w:rsidRPr="00996A2E">
        <w:t>neglected when dealing with research subjects who are disabled.</w:t>
      </w:r>
      <w:r w:rsidR="004C7827" w:rsidRPr="004C7827">
        <w:rPr>
          <w:lang w:val="en-GB"/>
        </w:rPr>
        <w:t xml:space="preserve"> Strategies for respectful research practice (including respect for privacy and for seeking consent) require planning. For example, in settings where privacy may be difficult to ensure or where interpreters may need to be used to facilitate communication between researchers and participants.</w:t>
      </w:r>
      <w:r w:rsidR="004C7827" w:rsidRPr="004C7827">
        <w:t xml:space="preserve"> </w:t>
      </w:r>
    </w:p>
    <w:p w14:paraId="0A76D471" w14:textId="13831100" w:rsidR="00996A2E" w:rsidRPr="00996A2E" w:rsidRDefault="00996A2E" w:rsidP="004C7827">
      <w:pPr>
        <w:pStyle w:val="ListParagraph"/>
      </w:pPr>
    </w:p>
    <w:p w14:paraId="4F0076BA" w14:textId="7D7E2FA7" w:rsidR="004C7827" w:rsidRDefault="00996A2E" w:rsidP="004C7827">
      <w:pPr>
        <w:pStyle w:val="ListParagraph"/>
        <w:numPr>
          <w:ilvl w:val="0"/>
          <w:numId w:val="34"/>
        </w:numPr>
      </w:pPr>
      <w:r w:rsidRPr="00996A2E">
        <w:t>Challenges posed by practical operationalization of research ethics in areas such as training of research staff require appropriate resourcing from funding bodies.</w:t>
      </w:r>
    </w:p>
    <w:p w14:paraId="33B28729" w14:textId="77777777" w:rsidR="004C7827" w:rsidRDefault="004C7827" w:rsidP="004C7827">
      <w:pPr>
        <w:pStyle w:val="ListParagraph"/>
      </w:pPr>
    </w:p>
    <w:p w14:paraId="7BC3B80D" w14:textId="344CF58F" w:rsidR="00996A2E" w:rsidRPr="00996A2E" w:rsidRDefault="00996A2E" w:rsidP="00996A2E">
      <w:pPr>
        <w:pStyle w:val="ListParagraph"/>
        <w:numPr>
          <w:ilvl w:val="0"/>
          <w:numId w:val="34"/>
        </w:numPr>
      </w:pPr>
      <w:r w:rsidRPr="00996A2E">
        <w:t xml:space="preserve">Engagement with DPOs must take place on legislation and policies to implement the </w:t>
      </w:r>
      <w:r w:rsidR="00DF5614">
        <w:t>CRPD</w:t>
      </w:r>
      <w:r w:rsidRPr="00996A2E">
        <w:t>, and in other decision-making processes relating to persons with disabilities such as research projects, developing policy advice, developing strategies, guidelines, standards, and codes of practice.</w:t>
      </w:r>
    </w:p>
    <w:p w14:paraId="50D69E35" w14:textId="77777777" w:rsidR="004C7827" w:rsidRDefault="004C7827" w:rsidP="004C7827">
      <w:pPr>
        <w:rPr>
          <w:b/>
          <w:bCs/>
          <w:iCs/>
          <w:lang w:val="en-GB"/>
        </w:rPr>
      </w:pPr>
      <w:r w:rsidRPr="004C7827">
        <w:rPr>
          <w:b/>
          <w:bCs/>
          <w:iCs/>
          <w:lang w:val="en-GB"/>
        </w:rPr>
        <w:t>Before commencing research</w:t>
      </w:r>
      <w:r>
        <w:rPr>
          <w:b/>
          <w:bCs/>
          <w:iCs/>
          <w:lang w:val="en-GB"/>
        </w:rPr>
        <w:t xml:space="preserve"> </w:t>
      </w:r>
    </w:p>
    <w:p w14:paraId="3E59E1A3" w14:textId="3820F9BA" w:rsidR="004C7827" w:rsidRPr="004C7827" w:rsidRDefault="004C7827" w:rsidP="004C7827">
      <w:pPr>
        <w:pStyle w:val="ListParagraph"/>
        <w:numPr>
          <w:ilvl w:val="0"/>
          <w:numId w:val="36"/>
        </w:numPr>
        <w:rPr>
          <w:lang w:val="en-GB"/>
        </w:rPr>
      </w:pPr>
      <w:r w:rsidRPr="004C7827">
        <w:rPr>
          <w:lang w:val="en-GB"/>
        </w:rPr>
        <w:t xml:space="preserve">Be familiar with the values/principles/standards of ethical research, and with the legal and ethical duties on data protection, confidentiality, capacity to consent and supported decision making. </w:t>
      </w:r>
    </w:p>
    <w:p w14:paraId="2B98B34D" w14:textId="77777777" w:rsidR="004C7827" w:rsidRPr="004C7827" w:rsidRDefault="004C7827" w:rsidP="004C7827">
      <w:pPr>
        <w:numPr>
          <w:ilvl w:val="0"/>
          <w:numId w:val="29"/>
        </w:numPr>
        <w:rPr>
          <w:b/>
          <w:bCs/>
          <w:lang w:val="en-GB"/>
        </w:rPr>
      </w:pPr>
      <w:r w:rsidRPr="004C7827">
        <w:rPr>
          <w:lang w:val="en-GB"/>
        </w:rPr>
        <w:t xml:space="preserve">Be cognisant that ethical responsibilities apply throughout the research process. </w:t>
      </w:r>
    </w:p>
    <w:p w14:paraId="1931FE10" w14:textId="7F63A544" w:rsidR="004C7827" w:rsidRPr="004C7827" w:rsidRDefault="004C7827" w:rsidP="004C7827">
      <w:pPr>
        <w:numPr>
          <w:ilvl w:val="0"/>
          <w:numId w:val="29"/>
        </w:numPr>
        <w:rPr>
          <w:lang w:val="en-GB"/>
        </w:rPr>
      </w:pPr>
      <w:r w:rsidRPr="004C7827">
        <w:rPr>
          <w:lang w:val="en-GB"/>
        </w:rPr>
        <w:lastRenderedPageBreak/>
        <w:t>Reflect on the value of professional integrity and what one needs to do to develop and practice this value.</w:t>
      </w:r>
    </w:p>
    <w:p w14:paraId="6188FA9C" w14:textId="280DD119" w:rsidR="004C7827" w:rsidRPr="004C7827" w:rsidRDefault="00BC6761" w:rsidP="004C7827">
      <w:pPr>
        <w:numPr>
          <w:ilvl w:val="0"/>
          <w:numId w:val="29"/>
        </w:numPr>
        <w:rPr>
          <w:b/>
          <w:bCs/>
          <w:lang w:val="en-GB"/>
        </w:rPr>
      </w:pPr>
      <w:r>
        <w:rPr>
          <w:lang w:val="en-GB"/>
        </w:rPr>
        <w:t xml:space="preserve">Include </w:t>
      </w:r>
      <w:r w:rsidR="004C7827" w:rsidRPr="004C7827">
        <w:rPr>
          <w:lang w:val="en-GB"/>
        </w:rPr>
        <w:t xml:space="preserve">experts by experience as co-researchers and involve them in planning and designing the research. </w:t>
      </w:r>
    </w:p>
    <w:p w14:paraId="5F032FA7" w14:textId="77777777" w:rsidR="004C7827" w:rsidRPr="004C7827" w:rsidRDefault="004C7827" w:rsidP="004C7827">
      <w:pPr>
        <w:numPr>
          <w:ilvl w:val="0"/>
          <w:numId w:val="29"/>
        </w:numPr>
        <w:rPr>
          <w:b/>
          <w:bCs/>
          <w:lang w:val="en-GB"/>
        </w:rPr>
      </w:pPr>
      <w:r w:rsidRPr="004C7827">
        <w:rPr>
          <w:lang w:val="en-GB"/>
        </w:rPr>
        <w:t>Obtain ethical approval from a Research Ethics Committee with some expertise in the area to be researched.</w:t>
      </w:r>
    </w:p>
    <w:p w14:paraId="1847F29C" w14:textId="1D784CD1" w:rsidR="004C7827" w:rsidRPr="004C7827" w:rsidRDefault="004C7827" w:rsidP="004C7827">
      <w:pPr>
        <w:rPr>
          <w:b/>
          <w:bCs/>
          <w:iCs/>
          <w:lang w:val="en-GB"/>
        </w:rPr>
      </w:pPr>
      <w:r w:rsidRPr="004C7827">
        <w:rPr>
          <w:b/>
          <w:bCs/>
          <w:iCs/>
          <w:lang w:val="en-GB"/>
        </w:rPr>
        <w:t>Obtaining consent</w:t>
      </w:r>
    </w:p>
    <w:p w14:paraId="526849A0" w14:textId="25700686" w:rsidR="008B0501" w:rsidRDefault="008B0501" w:rsidP="004C7827">
      <w:pPr>
        <w:numPr>
          <w:ilvl w:val="0"/>
          <w:numId w:val="29"/>
        </w:numPr>
      </w:pPr>
      <w:r w:rsidRPr="008B0501">
        <w:t xml:space="preserve">All participants in research must take part voluntarily, free from any coercion or undue influence, and their rights, dignity and autonomy should </w:t>
      </w:r>
      <w:r>
        <w:t xml:space="preserve">always </w:t>
      </w:r>
      <w:r w:rsidRPr="008B0501">
        <w:t>be respected and appropriately protected.</w:t>
      </w:r>
    </w:p>
    <w:p w14:paraId="1B331574" w14:textId="06ED231A" w:rsidR="004C7827" w:rsidRPr="004C7827" w:rsidRDefault="004C7827" w:rsidP="004C7827">
      <w:pPr>
        <w:numPr>
          <w:ilvl w:val="0"/>
          <w:numId w:val="29"/>
        </w:numPr>
      </w:pPr>
      <w:r w:rsidRPr="004C7827">
        <w:t xml:space="preserve">If participants to be included </w:t>
      </w:r>
      <w:r>
        <w:t xml:space="preserve">are deemed to </w:t>
      </w:r>
      <w:r w:rsidRPr="004C7827">
        <w:t>lack the capacity to provide informed consent, ensure that a Consent Declaration is received from the HRCDC.</w:t>
      </w:r>
    </w:p>
    <w:p w14:paraId="11CAC142" w14:textId="77777777" w:rsidR="004C7827" w:rsidRPr="004C7827" w:rsidRDefault="004C7827" w:rsidP="004C7827">
      <w:pPr>
        <w:numPr>
          <w:ilvl w:val="0"/>
          <w:numId w:val="29"/>
        </w:numPr>
      </w:pPr>
      <w:r w:rsidRPr="004C7827">
        <w:t xml:space="preserve">Do not use other people such as family members or carers as proxies; they can consent to be interviewed as key informants but not to interpret the thoughts and feelings of others. </w:t>
      </w:r>
    </w:p>
    <w:p w14:paraId="77C15166" w14:textId="2C082B38" w:rsidR="004C7827" w:rsidRPr="004C7827" w:rsidRDefault="004C7827" w:rsidP="00BC6761">
      <w:pPr>
        <w:numPr>
          <w:ilvl w:val="0"/>
          <w:numId w:val="29"/>
        </w:numPr>
      </w:pPr>
      <w:r w:rsidRPr="004C7827">
        <w:t>Remind potential participants of the purpose and the implications of the research</w:t>
      </w:r>
      <w:r w:rsidR="00BC6761">
        <w:t xml:space="preserve"> and of their </w:t>
      </w:r>
      <w:r w:rsidRPr="004C7827">
        <w:t xml:space="preserve">right to decline to take part or withdraw from the research without </w:t>
      </w:r>
      <w:proofErr w:type="gramStart"/>
      <w:r w:rsidRPr="004C7827">
        <w:t>consequence</w:t>
      </w:r>
      <w:proofErr w:type="gramEnd"/>
    </w:p>
    <w:p w14:paraId="4E5CB97A" w14:textId="77777777" w:rsidR="004C7827" w:rsidRPr="004C7827" w:rsidRDefault="004C7827" w:rsidP="004C7827">
      <w:pPr>
        <w:numPr>
          <w:ilvl w:val="0"/>
          <w:numId w:val="29"/>
        </w:numPr>
      </w:pPr>
      <w:r w:rsidRPr="004C7827">
        <w:t>Provide easy-to-understand information and alternative formats, when necessary, for example, Easy to Read documents or video or digital formats for people with an intellectual disability.</w:t>
      </w:r>
    </w:p>
    <w:p w14:paraId="56446E3C" w14:textId="0E959A33" w:rsidR="004C7827" w:rsidRPr="004C7827" w:rsidRDefault="004C7827" w:rsidP="004C7827">
      <w:pPr>
        <w:rPr>
          <w:b/>
          <w:bCs/>
          <w:iCs/>
        </w:rPr>
      </w:pPr>
      <w:r w:rsidRPr="004C7827">
        <w:rPr>
          <w:b/>
          <w:bCs/>
          <w:iCs/>
        </w:rPr>
        <w:t>Data collection</w:t>
      </w:r>
    </w:p>
    <w:p w14:paraId="1A45E9BD" w14:textId="77777777" w:rsidR="004C7827" w:rsidRPr="004C7827" w:rsidRDefault="004C7827" w:rsidP="004C7827">
      <w:pPr>
        <w:numPr>
          <w:ilvl w:val="0"/>
          <w:numId w:val="29"/>
        </w:numPr>
      </w:pPr>
      <w:r w:rsidRPr="004C7827">
        <w:t xml:space="preserve">Ensure that communication methods are adapted to suit everyone. </w:t>
      </w:r>
    </w:p>
    <w:p w14:paraId="0724A765" w14:textId="77777777" w:rsidR="004C7827" w:rsidRPr="004C7827" w:rsidRDefault="004C7827" w:rsidP="004C7827">
      <w:pPr>
        <w:numPr>
          <w:ilvl w:val="0"/>
          <w:numId w:val="29"/>
        </w:numPr>
      </w:pPr>
      <w:r w:rsidRPr="004C7827">
        <w:t>Ensure that research venues are physically accessible.</w:t>
      </w:r>
    </w:p>
    <w:p w14:paraId="243675DB" w14:textId="77777777" w:rsidR="004C7827" w:rsidRPr="004C7827" w:rsidRDefault="004C7827" w:rsidP="004C7827">
      <w:pPr>
        <w:numPr>
          <w:ilvl w:val="0"/>
          <w:numId w:val="29"/>
        </w:numPr>
      </w:pPr>
      <w:r w:rsidRPr="004C7827">
        <w:t>If the research, for example, interviews or focus groups, are prolonged, ensure that there are accessible sanitary facilities nearby and that breaks are offered as necessary.</w:t>
      </w:r>
    </w:p>
    <w:p w14:paraId="2C894126" w14:textId="08B41183" w:rsidR="004C7827" w:rsidRPr="004C7827" w:rsidRDefault="004C7827" w:rsidP="00BC6761">
      <w:pPr>
        <w:numPr>
          <w:ilvl w:val="0"/>
          <w:numId w:val="29"/>
        </w:numPr>
      </w:pPr>
      <w:r w:rsidRPr="004C7827">
        <w:t>Have procedures in place should a research participant become upset during an interview or focus group discussion</w:t>
      </w:r>
      <w:r w:rsidR="00BC6761">
        <w:t xml:space="preserve"> or </w:t>
      </w:r>
      <w:r w:rsidRPr="004C7827">
        <w:t>disclose</w:t>
      </w:r>
      <w:r w:rsidR="00BC6761">
        <w:t>s</w:t>
      </w:r>
      <w:r w:rsidRPr="004C7827">
        <w:t xml:space="preserve"> abuse during an interview or focus group discussion.</w:t>
      </w:r>
    </w:p>
    <w:p w14:paraId="28950AD3" w14:textId="77777777" w:rsidR="004C7827" w:rsidRPr="004C7827" w:rsidRDefault="004C7827" w:rsidP="004C7827">
      <w:pPr>
        <w:numPr>
          <w:ilvl w:val="0"/>
          <w:numId w:val="29"/>
        </w:numPr>
      </w:pPr>
      <w:r w:rsidRPr="004C7827">
        <w:lastRenderedPageBreak/>
        <w:t>Offer research participants the opportunity to review and amend a transcript of their interview.</w:t>
      </w:r>
    </w:p>
    <w:p w14:paraId="78CD0715" w14:textId="65B930FF" w:rsidR="004C7827" w:rsidRPr="004C7827" w:rsidRDefault="004C7827" w:rsidP="004C7827">
      <w:pPr>
        <w:rPr>
          <w:b/>
          <w:bCs/>
          <w:iCs/>
        </w:rPr>
      </w:pPr>
      <w:r w:rsidRPr="004C7827">
        <w:rPr>
          <w:b/>
          <w:bCs/>
          <w:iCs/>
        </w:rPr>
        <w:t>Data analysis</w:t>
      </w:r>
    </w:p>
    <w:p w14:paraId="6C95A6F0" w14:textId="6CE19B87" w:rsidR="004C7827" w:rsidRPr="004C7827" w:rsidRDefault="004C7827" w:rsidP="004C7827">
      <w:pPr>
        <w:numPr>
          <w:ilvl w:val="0"/>
          <w:numId w:val="29"/>
        </w:numPr>
      </w:pPr>
      <w:r w:rsidRPr="004C7827">
        <w:t xml:space="preserve">The inclusion of experts by experience in the analysis of data should be considered as it brings new insights and may challenge researcher biases. </w:t>
      </w:r>
    </w:p>
    <w:p w14:paraId="44323E32" w14:textId="2B94B6D9" w:rsidR="004C7827" w:rsidRPr="004C7827" w:rsidRDefault="004C7827" w:rsidP="004C7827">
      <w:pPr>
        <w:numPr>
          <w:ilvl w:val="0"/>
          <w:numId w:val="29"/>
        </w:numPr>
      </w:pPr>
      <w:r w:rsidRPr="004C7827">
        <w:t xml:space="preserve">Take an ethical approach to analysis, and document all decisions made including the rationale for the decisions taken. </w:t>
      </w:r>
    </w:p>
    <w:p w14:paraId="5688EB7D" w14:textId="178AAF82" w:rsidR="004C7827" w:rsidRPr="004C7827" w:rsidRDefault="004C7827" w:rsidP="004C7827">
      <w:pPr>
        <w:rPr>
          <w:b/>
          <w:bCs/>
          <w:iCs/>
        </w:rPr>
      </w:pPr>
      <w:r w:rsidRPr="004C7827">
        <w:rPr>
          <w:b/>
          <w:bCs/>
          <w:iCs/>
        </w:rPr>
        <w:t>Data dissemination</w:t>
      </w:r>
    </w:p>
    <w:p w14:paraId="5DBF06C1" w14:textId="77777777" w:rsidR="004C7827" w:rsidRPr="004C7827" w:rsidRDefault="004C7827" w:rsidP="004C7827">
      <w:pPr>
        <w:numPr>
          <w:ilvl w:val="0"/>
          <w:numId w:val="29"/>
        </w:numPr>
      </w:pPr>
      <w:r w:rsidRPr="004C7827">
        <w:t>Disseminate research findings in appropriate and accessible formats and make efforts to ensure it reaches the research participants.</w:t>
      </w:r>
    </w:p>
    <w:p w14:paraId="04730CFB" w14:textId="77777777" w:rsidR="004C7827" w:rsidRPr="004C7827" w:rsidRDefault="004C7827" w:rsidP="004C7827">
      <w:pPr>
        <w:numPr>
          <w:ilvl w:val="0"/>
          <w:numId w:val="29"/>
        </w:numPr>
      </w:pPr>
      <w:r w:rsidRPr="004C7827">
        <w:t xml:space="preserve">Seek to include co-researchers in data dissemination, for example, through participation including presenting at </w:t>
      </w:r>
      <w:proofErr w:type="gramStart"/>
      <w:r w:rsidRPr="004C7827">
        <w:t>conferences</w:t>
      </w:r>
      <w:proofErr w:type="gramEnd"/>
    </w:p>
    <w:p w14:paraId="4CC5BE1E" w14:textId="77777777" w:rsidR="004C7827" w:rsidRPr="004C7827" w:rsidRDefault="004C7827" w:rsidP="004C7827">
      <w:pPr>
        <w:numPr>
          <w:ilvl w:val="0"/>
          <w:numId w:val="29"/>
        </w:numPr>
      </w:pPr>
      <w:r w:rsidRPr="004C7827">
        <w:t>Consider publishing in open access journals to allow universal access to the research.</w:t>
      </w:r>
    </w:p>
    <w:p w14:paraId="1C32EAA8" w14:textId="4E805C66" w:rsidR="00996A2E" w:rsidRDefault="008B0501" w:rsidP="00996A2E">
      <w:pPr>
        <w:rPr>
          <w:lang w:val="en-GB"/>
        </w:rPr>
      </w:pPr>
      <w:r>
        <w:rPr>
          <w:lang w:val="en-GB"/>
        </w:rPr>
        <w:t xml:space="preserve">It is important to assimilate the ethical guidance so that one appreciates ethical problems and behave both ethically and legally. </w:t>
      </w:r>
    </w:p>
    <w:p w14:paraId="2D7F37F5" w14:textId="7FEA5F7B" w:rsidR="008B0501" w:rsidRPr="00996A2E" w:rsidRDefault="008B0501" w:rsidP="00671DD9">
      <w:pPr>
        <w:spacing w:after="0"/>
        <w:rPr>
          <w:lang w:val="en-GB"/>
        </w:rPr>
      </w:pPr>
      <w:r>
        <w:rPr>
          <w:lang w:val="en-GB"/>
        </w:rPr>
        <w:br w:type="page"/>
      </w:r>
    </w:p>
    <w:p w14:paraId="4CADCAA1" w14:textId="68755F1C" w:rsidR="0071669B" w:rsidRDefault="0071669B" w:rsidP="00996A2E">
      <w:pPr>
        <w:pStyle w:val="Heading1"/>
        <w:numPr>
          <w:ilvl w:val="0"/>
          <w:numId w:val="35"/>
        </w:numPr>
        <w:rPr>
          <w:lang w:val="en-GB"/>
        </w:rPr>
      </w:pPr>
      <w:bookmarkStart w:id="7" w:name="_Toc150873260"/>
      <w:bookmarkStart w:id="8" w:name="_Toc156380489"/>
      <w:r>
        <w:rPr>
          <w:lang w:val="en-GB"/>
        </w:rPr>
        <w:lastRenderedPageBreak/>
        <w:t>Introduction</w:t>
      </w:r>
      <w:bookmarkEnd w:id="7"/>
      <w:bookmarkEnd w:id="8"/>
      <w:r>
        <w:rPr>
          <w:lang w:val="en-GB"/>
        </w:rPr>
        <w:t xml:space="preserve"> </w:t>
      </w:r>
    </w:p>
    <w:p w14:paraId="4A9E6590" w14:textId="220ABAAC" w:rsidR="0071669B" w:rsidRPr="00FF09BE" w:rsidRDefault="0071669B" w:rsidP="00301BA0">
      <w:pPr>
        <w:spacing w:line="360" w:lineRule="auto"/>
        <w:rPr>
          <w:rFonts w:cs="Arial"/>
          <w:bCs/>
          <w:szCs w:val="26"/>
          <w:lang w:val="en-GB"/>
        </w:rPr>
      </w:pPr>
      <w:r w:rsidRPr="00A854C4">
        <w:rPr>
          <w:rFonts w:cs="Arial"/>
          <w:bCs/>
          <w:szCs w:val="26"/>
          <w:lang w:val="en-GB"/>
        </w:rPr>
        <w:t xml:space="preserve">The purpose </w:t>
      </w:r>
      <w:r>
        <w:rPr>
          <w:rFonts w:cs="Arial"/>
          <w:bCs/>
          <w:szCs w:val="26"/>
          <w:lang w:val="en-GB"/>
        </w:rPr>
        <w:t xml:space="preserve">of this guidance </w:t>
      </w:r>
      <w:r w:rsidRPr="00A854C4">
        <w:rPr>
          <w:rFonts w:cs="Arial"/>
          <w:bCs/>
          <w:szCs w:val="26"/>
          <w:lang w:val="en-GB"/>
        </w:rPr>
        <w:t xml:space="preserve">is to assist researchers and </w:t>
      </w:r>
      <w:r w:rsidR="009D584B">
        <w:rPr>
          <w:rFonts w:cs="Arial"/>
          <w:bCs/>
          <w:szCs w:val="26"/>
          <w:lang w:val="en-GB"/>
        </w:rPr>
        <w:t>r</w:t>
      </w:r>
      <w:r w:rsidRPr="00A854C4">
        <w:rPr>
          <w:rFonts w:cs="Arial"/>
          <w:bCs/>
          <w:szCs w:val="26"/>
          <w:lang w:val="en-GB"/>
        </w:rPr>
        <w:t xml:space="preserve">esearch </w:t>
      </w:r>
      <w:r w:rsidR="009D584B">
        <w:rPr>
          <w:rFonts w:cs="Arial"/>
          <w:bCs/>
          <w:szCs w:val="26"/>
          <w:lang w:val="en-GB"/>
        </w:rPr>
        <w:t>e</w:t>
      </w:r>
      <w:r w:rsidRPr="00A854C4">
        <w:rPr>
          <w:rFonts w:cs="Arial"/>
          <w:bCs/>
          <w:szCs w:val="26"/>
          <w:lang w:val="en-GB"/>
        </w:rPr>
        <w:t xml:space="preserve">thics </w:t>
      </w:r>
      <w:r w:rsidR="009D584B">
        <w:rPr>
          <w:rFonts w:cs="Arial"/>
          <w:bCs/>
          <w:szCs w:val="26"/>
          <w:lang w:val="en-GB"/>
        </w:rPr>
        <w:t>c</w:t>
      </w:r>
      <w:r w:rsidRPr="00A854C4">
        <w:rPr>
          <w:rFonts w:cs="Arial"/>
          <w:bCs/>
          <w:szCs w:val="26"/>
          <w:lang w:val="en-GB"/>
        </w:rPr>
        <w:t xml:space="preserve">ommittees by offering guidance in relation to good practice in research involving disabled people. </w:t>
      </w:r>
      <w:r w:rsidR="00FF09BE">
        <w:rPr>
          <w:rFonts w:cs="Arial"/>
          <w:bCs/>
          <w:szCs w:val="26"/>
        </w:rPr>
        <w:t>T</w:t>
      </w:r>
      <w:r w:rsidR="00FF09BE" w:rsidRPr="00FF09BE">
        <w:rPr>
          <w:rFonts w:cs="Arial"/>
          <w:bCs/>
          <w:szCs w:val="26"/>
        </w:rPr>
        <w:t>he guidance applies beyond research targeting disabled research participants and is relevant to any research which involves the general population, among which are disabled people. Unless involving disabled people in a research project is incompatible with the research question, disabled people should not be excluded from the sample of participants.</w:t>
      </w:r>
      <w:r w:rsidR="00FF09BE">
        <w:rPr>
          <w:rFonts w:cs="Arial"/>
          <w:bCs/>
          <w:szCs w:val="26"/>
          <w:lang w:val="en-GB"/>
        </w:rPr>
        <w:t xml:space="preserve"> </w:t>
      </w:r>
      <w:r w:rsidRPr="00A854C4">
        <w:rPr>
          <w:rFonts w:cs="Arial"/>
          <w:bCs/>
          <w:color w:val="000000"/>
          <w:szCs w:val="26"/>
          <w:lang w:val="en-GB"/>
        </w:rPr>
        <w:t xml:space="preserve">The guidance </w:t>
      </w:r>
      <w:r>
        <w:rPr>
          <w:rFonts w:cs="Arial"/>
          <w:bCs/>
          <w:color w:val="000000"/>
          <w:szCs w:val="26"/>
          <w:lang w:val="en-GB"/>
        </w:rPr>
        <w:t xml:space="preserve">will be relevant </w:t>
      </w:r>
      <w:r w:rsidRPr="00A854C4">
        <w:rPr>
          <w:rFonts w:cs="Arial"/>
          <w:bCs/>
          <w:color w:val="000000"/>
          <w:szCs w:val="26"/>
          <w:lang w:val="en-GB"/>
        </w:rPr>
        <w:t xml:space="preserve">to research sponsors and funders, those involved in research governance, </w:t>
      </w:r>
      <w:r w:rsidRPr="00A854C4">
        <w:rPr>
          <w:rFonts w:cs="Arial"/>
          <w:bCs/>
          <w:iCs/>
          <w:color w:val="000000"/>
          <w:szCs w:val="26"/>
          <w:lang w:val="en-GB"/>
        </w:rPr>
        <w:t>people with disabiliti</w:t>
      </w:r>
      <w:r>
        <w:rPr>
          <w:rFonts w:cs="Arial"/>
          <w:bCs/>
          <w:iCs/>
          <w:color w:val="000000"/>
          <w:szCs w:val="26"/>
          <w:lang w:val="en-GB"/>
        </w:rPr>
        <w:t xml:space="preserve">es and disability organisations and the </w:t>
      </w:r>
      <w:r w:rsidR="000B64E4">
        <w:rPr>
          <w:rFonts w:cs="Arial"/>
          <w:bCs/>
          <w:iCs/>
          <w:color w:val="000000"/>
          <w:szCs w:val="26"/>
          <w:lang w:val="en-GB"/>
        </w:rPr>
        <w:t>public</w:t>
      </w:r>
      <w:r>
        <w:rPr>
          <w:rFonts w:cs="Arial"/>
          <w:bCs/>
          <w:iCs/>
          <w:color w:val="000000"/>
          <w:szCs w:val="26"/>
          <w:lang w:val="en-GB"/>
        </w:rPr>
        <w:t xml:space="preserve">. </w:t>
      </w:r>
      <w:r w:rsidRPr="00A854C4">
        <w:rPr>
          <w:rFonts w:cs="Arial"/>
          <w:bCs/>
          <w:iCs/>
          <w:color w:val="000000"/>
          <w:szCs w:val="26"/>
          <w:lang w:val="en-GB"/>
        </w:rPr>
        <w:t xml:space="preserve"> </w:t>
      </w:r>
    </w:p>
    <w:p w14:paraId="39AB1736" w14:textId="7581C57F" w:rsidR="0071669B" w:rsidRDefault="0071669B" w:rsidP="00301BA0">
      <w:pPr>
        <w:spacing w:line="360" w:lineRule="auto"/>
        <w:rPr>
          <w:rFonts w:cs="Arial"/>
          <w:bCs/>
          <w:iCs/>
          <w:color w:val="000000"/>
          <w:szCs w:val="26"/>
          <w:lang w:val="en-GB"/>
        </w:rPr>
      </w:pPr>
      <w:r>
        <w:rPr>
          <w:rFonts w:cs="Arial"/>
          <w:bCs/>
          <w:iCs/>
          <w:color w:val="000000"/>
          <w:szCs w:val="26"/>
          <w:lang w:val="en-GB"/>
        </w:rPr>
        <w:t xml:space="preserve">The </w:t>
      </w:r>
      <w:r w:rsidR="009D584B">
        <w:rPr>
          <w:rFonts w:cs="Arial"/>
          <w:bCs/>
          <w:iCs/>
          <w:color w:val="000000"/>
          <w:szCs w:val="26"/>
          <w:lang w:val="en-GB"/>
        </w:rPr>
        <w:t>National Disability Authority (</w:t>
      </w:r>
      <w:r w:rsidRPr="00000C73">
        <w:rPr>
          <w:rFonts w:cs="Arial"/>
          <w:bCs/>
          <w:iCs/>
          <w:color w:val="000000"/>
          <w:szCs w:val="26"/>
          <w:lang w:val="en-GB"/>
        </w:rPr>
        <w:t>NDA</w:t>
      </w:r>
      <w:r w:rsidR="009D584B">
        <w:rPr>
          <w:rFonts w:cs="Arial"/>
          <w:bCs/>
          <w:iCs/>
          <w:color w:val="000000"/>
          <w:szCs w:val="26"/>
          <w:lang w:val="en-GB"/>
        </w:rPr>
        <w:t>)</w:t>
      </w:r>
      <w:r w:rsidRPr="00000C73">
        <w:rPr>
          <w:rFonts w:cs="Arial"/>
          <w:bCs/>
          <w:iCs/>
          <w:color w:val="000000"/>
          <w:szCs w:val="26"/>
          <w:lang w:val="en-GB"/>
        </w:rPr>
        <w:t xml:space="preserve"> </w:t>
      </w:r>
      <w:r>
        <w:rPr>
          <w:rFonts w:cs="Arial"/>
          <w:bCs/>
          <w:iCs/>
          <w:color w:val="000000"/>
          <w:szCs w:val="26"/>
          <w:lang w:val="en-GB"/>
        </w:rPr>
        <w:t>first published guidance</w:t>
      </w:r>
      <w:r w:rsidRPr="00610739">
        <w:rPr>
          <w:rFonts w:cs="Arial"/>
          <w:bCs/>
          <w:iCs/>
          <w:color w:val="000000"/>
          <w:szCs w:val="26"/>
          <w:lang w:val="en-GB"/>
        </w:rPr>
        <w:t xml:space="preserve"> for </w:t>
      </w:r>
      <w:r>
        <w:rPr>
          <w:rFonts w:cs="Arial"/>
          <w:bCs/>
          <w:iCs/>
          <w:color w:val="000000"/>
          <w:szCs w:val="26"/>
          <w:lang w:val="en-GB"/>
        </w:rPr>
        <w:t xml:space="preserve">ethical disability research </w:t>
      </w:r>
      <w:r w:rsidRPr="00610739">
        <w:rPr>
          <w:rFonts w:cs="Arial"/>
          <w:bCs/>
          <w:iCs/>
          <w:color w:val="000000"/>
          <w:szCs w:val="26"/>
          <w:lang w:val="en-GB"/>
        </w:rPr>
        <w:t>in 2005 following consultation</w:t>
      </w:r>
      <w:r w:rsidR="009B380D">
        <w:rPr>
          <w:rFonts w:cs="Arial"/>
          <w:bCs/>
          <w:iCs/>
          <w:color w:val="000000"/>
          <w:szCs w:val="26"/>
          <w:lang w:val="en-GB"/>
        </w:rPr>
        <w:t>.</w:t>
      </w:r>
      <w:r w:rsidRPr="00610739">
        <w:rPr>
          <w:rFonts w:cs="Arial"/>
          <w:bCs/>
          <w:iCs/>
          <w:color w:val="000000"/>
          <w:szCs w:val="26"/>
          <w:lang w:val="en-GB"/>
        </w:rPr>
        <w:t xml:space="preserve">  </w:t>
      </w:r>
      <w:r>
        <w:rPr>
          <w:rFonts w:cs="Arial"/>
          <w:bCs/>
          <w:iCs/>
          <w:color w:val="000000"/>
          <w:szCs w:val="26"/>
          <w:lang w:val="en-GB"/>
        </w:rPr>
        <w:t>The NDA updated the 2005 guidance in 2009</w:t>
      </w:r>
      <w:r w:rsidR="00A91273">
        <w:rPr>
          <w:rStyle w:val="FootnoteReference"/>
          <w:rFonts w:cs="Arial"/>
          <w:bCs/>
          <w:iCs/>
          <w:color w:val="000000"/>
          <w:szCs w:val="26"/>
          <w:lang w:val="en-GB"/>
        </w:rPr>
        <w:footnoteReference w:id="2"/>
      </w:r>
      <w:r w:rsidRPr="00610739">
        <w:rPr>
          <w:rFonts w:cs="Arial"/>
          <w:bCs/>
          <w:iCs/>
          <w:color w:val="000000"/>
          <w:szCs w:val="26"/>
          <w:lang w:val="en-GB"/>
        </w:rPr>
        <w:t>, considering developments such as the UN Convention on the Rights of Persons with Disabilities (</w:t>
      </w:r>
      <w:r>
        <w:rPr>
          <w:rFonts w:cs="Arial"/>
          <w:bCs/>
          <w:iCs/>
          <w:color w:val="000000"/>
          <w:szCs w:val="26"/>
          <w:lang w:val="en-GB"/>
        </w:rPr>
        <w:t>CRPD</w:t>
      </w:r>
      <w:r w:rsidR="00AF134B">
        <w:rPr>
          <w:rFonts w:cs="Arial"/>
          <w:bCs/>
          <w:iCs/>
          <w:color w:val="000000"/>
          <w:szCs w:val="26"/>
          <w:lang w:val="en-GB"/>
        </w:rPr>
        <w:t>)</w:t>
      </w:r>
      <w:r w:rsidR="00BA450D">
        <w:rPr>
          <w:rFonts w:cs="Arial"/>
          <w:bCs/>
          <w:iCs/>
          <w:color w:val="000000"/>
          <w:szCs w:val="26"/>
          <w:lang w:val="en-GB"/>
        </w:rPr>
        <w:t>.</w:t>
      </w:r>
      <w:r w:rsidR="00AF134B">
        <w:rPr>
          <w:rStyle w:val="FootnoteReference"/>
          <w:rFonts w:cs="Arial"/>
          <w:bCs/>
          <w:iCs/>
          <w:color w:val="000000"/>
          <w:szCs w:val="26"/>
          <w:lang w:val="en-GB"/>
        </w:rPr>
        <w:footnoteReference w:id="3"/>
      </w:r>
      <w:r w:rsidRPr="00610739">
        <w:rPr>
          <w:rFonts w:cs="Arial"/>
          <w:bCs/>
          <w:iCs/>
          <w:color w:val="000000"/>
          <w:szCs w:val="26"/>
          <w:lang w:val="en-GB"/>
        </w:rPr>
        <w:t xml:space="preserve"> The </w:t>
      </w:r>
      <w:r>
        <w:rPr>
          <w:rFonts w:cs="Arial"/>
          <w:bCs/>
          <w:iCs/>
          <w:color w:val="000000"/>
          <w:szCs w:val="26"/>
          <w:lang w:val="en-GB"/>
        </w:rPr>
        <w:t xml:space="preserve">2009 </w:t>
      </w:r>
      <w:r w:rsidRPr="00610739">
        <w:rPr>
          <w:rFonts w:cs="Arial"/>
          <w:bCs/>
          <w:iCs/>
          <w:color w:val="000000"/>
          <w:szCs w:val="26"/>
          <w:lang w:val="en-GB"/>
        </w:rPr>
        <w:t xml:space="preserve">revised guidance </w:t>
      </w:r>
      <w:r>
        <w:rPr>
          <w:rFonts w:cs="Arial"/>
          <w:bCs/>
          <w:iCs/>
          <w:color w:val="000000"/>
          <w:szCs w:val="26"/>
          <w:lang w:val="en-GB"/>
        </w:rPr>
        <w:t xml:space="preserve">was </w:t>
      </w:r>
      <w:r w:rsidRPr="00610739">
        <w:rPr>
          <w:rFonts w:cs="Arial"/>
          <w:bCs/>
          <w:iCs/>
          <w:color w:val="000000"/>
          <w:szCs w:val="26"/>
          <w:lang w:val="en-GB"/>
        </w:rPr>
        <w:t xml:space="preserve">informed by input from </w:t>
      </w:r>
      <w:r>
        <w:rPr>
          <w:rFonts w:cs="Arial"/>
          <w:bCs/>
          <w:iCs/>
          <w:color w:val="000000"/>
          <w:szCs w:val="26"/>
          <w:lang w:val="en-GB"/>
        </w:rPr>
        <w:t xml:space="preserve">an international </w:t>
      </w:r>
      <w:r w:rsidRPr="00610739">
        <w:rPr>
          <w:rFonts w:cs="Arial"/>
          <w:bCs/>
          <w:iCs/>
          <w:color w:val="000000"/>
          <w:szCs w:val="26"/>
          <w:lang w:val="en-GB"/>
        </w:rPr>
        <w:t xml:space="preserve">NDA Disability Research Ethics Committee, </w:t>
      </w:r>
      <w:r>
        <w:rPr>
          <w:rFonts w:cs="Arial"/>
          <w:bCs/>
          <w:iCs/>
          <w:color w:val="000000"/>
          <w:szCs w:val="26"/>
          <w:lang w:val="en-GB"/>
        </w:rPr>
        <w:t xml:space="preserve">set up for the purpose, </w:t>
      </w:r>
      <w:r w:rsidRPr="00610739">
        <w:rPr>
          <w:rFonts w:cs="Arial"/>
          <w:bCs/>
          <w:iCs/>
          <w:color w:val="000000"/>
          <w:szCs w:val="26"/>
          <w:lang w:val="en-GB"/>
        </w:rPr>
        <w:t xml:space="preserve">feedback from consultation with research ethics committees in Ireland and research findings in the </w:t>
      </w:r>
      <w:r>
        <w:rPr>
          <w:rFonts w:cs="Arial"/>
          <w:bCs/>
          <w:iCs/>
          <w:color w:val="000000"/>
          <w:szCs w:val="26"/>
          <w:lang w:val="en-GB"/>
        </w:rPr>
        <w:t xml:space="preserve">international literature. </w:t>
      </w:r>
    </w:p>
    <w:p w14:paraId="4AB250F8" w14:textId="2A661BC6" w:rsidR="00E91DDB" w:rsidRPr="009B380D" w:rsidRDefault="0071669B" w:rsidP="00301BA0">
      <w:pPr>
        <w:spacing w:line="360" w:lineRule="auto"/>
        <w:rPr>
          <w:rFonts w:cs="Arial"/>
          <w:bCs/>
          <w:iCs/>
          <w:color w:val="000000"/>
          <w:szCs w:val="26"/>
          <w:lang w:val="en-GB"/>
        </w:rPr>
      </w:pPr>
      <w:r>
        <w:rPr>
          <w:rFonts w:cs="Arial"/>
          <w:bCs/>
          <w:iCs/>
          <w:color w:val="000000"/>
          <w:szCs w:val="26"/>
          <w:lang w:val="en-GB"/>
        </w:rPr>
        <w:t xml:space="preserve">The current 2023 update of this guidance was </w:t>
      </w:r>
      <w:r w:rsidR="00FE4F60">
        <w:rPr>
          <w:rFonts w:cs="Arial"/>
          <w:bCs/>
          <w:iCs/>
          <w:color w:val="000000"/>
          <w:szCs w:val="26"/>
          <w:lang w:val="en-GB"/>
        </w:rPr>
        <w:t xml:space="preserve">done </w:t>
      </w:r>
      <w:r>
        <w:rPr>
          <w:rFonts w:cs="Arial"/>
          <w:bCs/>
          <w:iCs/>
          <w:color w:val="000000"/>
          <w:szCs w:val="26"/>
          <w:lang w:val="en-GB"/>
        </w:rPr>
        <w:t xml:space="preserve">primarily to include recent national developments in terms of legislation such as the Assisted </w:t>
      </w:r>
      <w:r w:rsidR="00D00ADB">
        <w:rPr>
          <w:rFonts w:cs="Arial"/>
          <w:bCs/>
          <w:iCs/>
          <w:color w:val="000000"/>
          <w:szCs w:val="26"/>
          <w:lang w:val="en-GB"/>
        </w:rPr>
        <w:t>Decision-Making</w:t>
      </w:r>
      <w:r>
        <w:rPr>
          <w:rFonts w:cs="Arial"/>
          <w:bCs/>
          <w:iCs/>
          <w:color w:val="000000"/>
          <w:szCs w:val="26"/>
          <w:lang w:val="en-GB"/>
        </w:rPr>
        <w:t xml:space="preserve"> Capacity Act</w:t>
      </w:r>
      <w:r w:rsidR="00424C82">
        <w:rPr>
          <w:rFonts w:cs="Arial"/>
          <w:bCs/>
          <w:iCs/>
          <w:color w:val="000000"/>
          <w:szCs w:val="26"/>
          <w:lang w:val="en-GB"/>
        </w:rPr>
        <w:t xml:space="preserve"> 2015</w:t>
      </w:r>
      <w:r w:rsidR="00BA450D">
        <w:rPr>
          <w:rStyle w:val="FootnoteReference"/>
          <w:rFonts w:cs="Arial"/>
          <w:bCs/>
          <w:iCs/>
          <w:color w:val="000000"/>
          <w:szCs w:val="26"/>
          <w:lang w:val="en-GB"/>
        </w:rPr>
        <w:footnoteReference w:id="4"/>
      </w:r>
      <w:r w:rsidR="009D584B">
        <w:rPr>
          <w:rFonts w:cs="Arial"/>
          <w:bCs/>
          <w:iCs/>
          <w:color w:val="000000"/>
          <w:szCs w:val="26"/>
          <w:lang w:val="en-GB"/>
        </w:rPr>
        <w:t xml:space="preserve"> and the</w:t>
      </w:r>
      <w:r w:rsidR="00A0228E">
        <w:rPr>
          <w:rFonts w:cs="Arial"/>
          <w:bCs/>
          <w:iCs/>
          <w:color w:val="000000"/>
          <w:szCs w:val="26"/>
          <w:lang w:val="en-GB"/>
        </w:rPr>
        <w:t xml:space="preserve"> </w:t>
      </w:r>
      <w:r w:rsidR="00424C82">
        <w:rPr>
          <w:rFonts w:cs="Arial"/>
          <w:bCs/>
          <w:iCs/>
          <w:color w:val="000000"/>
          <w:szCs w:val="26"/>
          <w:lang w:val="en-GB"/>
        </w:rPr>
        <w:t>2022</w:t>
      </w:r>
      <w:r w:rsidR="009D584B">
        <w:rPr>
          <w:rFonts w:cs="Arial"/>
          <w:bCs/>
          <w:iCs/>
          <w:color w:val="000000"/>
          <w:szCs w:val="26"/>
          <w:lang w:val="en-GB"/>
        </w:rPr>
        <w:t xml:space="preserve"> amending legislation</w:t>
      </w:r>
      <w:r w:rsidR="00AD2330">
        <w:rPr>
          <w:rFonts w:cs="Arial"/>
          <w:bCs/>
          <w:iCs/>
          <w:color w:val="000000"/>
          <w:szCs w:val="26"/>
          <w:lang w:val="en-GB"/>
        </w:rPr>
        <w:t xml:space="preserve"> (ADMCA)</w:t>
      </w:r>
      <w:r w:rsidR="00BA450D">
        <w:rPr>
          <w:rStyle w:val="FootnoteReference"/>
          <w:rFonts w:cs="Arial"/>
          <w:bCs/>
          <w:iCs/>
          <w:color w:val="000000"/>
          <w:szCs w:val="26"/>
          <w:lang w:val="en-GB"/>
        </w:rPr>
        <w:footnoteReference w:id="5"/>
      </w:r>
      <w:r>
        <w:rPr>
          <w:rFonts w:cs="Arial"/>
          <w:bCs/>
          <w:iCs/>
          <w:color w:val="000000"/>
          <w:szCs w:val="26"/>
          <w:lang w:val="en-GB"/>
        </w:rPr>
        <w:t xml:space="preserve">, the </w:t>
      </w:r>
      <w:bookmarkStart w:id="9" w:name="_Hlk145496545"/>
      <w:r w:rsidR="00424C82">
        <w:rPr>
          <w:rFonts w:cs="Arial"/>
          <w:bCs/>
          <w:iCs/>
          <w:color w:val="000000"/>
          <w:szCs w:val="26"/>
          <w:lang w:val="en-GB"/>
        </w:rPr>
        <w:t>H</w:t>
      </w:r>
      <w:r>
        <w:rPr>
          <w:rFonts w:cs="Arial"/>
          <w:bCs/>
          <w:iCs/>
          <w:color w:val="000000"/>
          <w:szCs w:val="26"/>
          <w:lang w:val="en-GB"/>
        </w:rPr>
        <w:t xml:space="preserve">ealth </w:t>
      </w:r>
      <w:r w:rsidR="00424C82">
        <w:rPr>
          <w:rFonts w:cs="Arial"/>
          <w:bCs/>
          <w:iCs/>
          <w:color w:val="000000"/>
          <w:szCs w:val="26"/>
          <w:lang w:val="en-GB"/>
        </w:rPr>
        <w:t>R</w:t>
      </w:r>
      <w:r>
        <w:rPr>
          <w:rFonts w:cs="Arial"/>
          <w:bCs/>
          <w:iCs/>
          <w:color w:val="000000"/>
          <w:szCs w:val="26"/>
          <w:lang w:val="en-GB"/>
        </w:rPr>
        <w:t xml:space="preserve">esearch </w:t>
      </w:r>
      <w:r w:rsidR="00424C82">
        <w:rPr>
          <w:rFonts w:cs="Arial"/>
          <w:bCs/>
          <w:iCs/>
          <w:color w:val="000000"/>
          <w:szCs w:val="26"/>
          <w:lang w:val="en-GB"/>
        </w:rPr>
        <w:t>R</w:t>
      </w:r>
      <w:r>
        <w:rPr>
          <w:rFonts w:cs="Arial"/>
          <w:bCs/>
          <w:iCs/>
          <w:color w:val="000000"/>
          <w:szCs w:val="26"/>
          <w:lang w:val="en-GB"/>
        </w:rPr>
        <w:t>egulations</w:t>
      </w:r>
      <w:r w:rsidR="00424C82">
        <w:rPr>
          <w:rFonts w:cs="Arial"/>
          <w:bCs/>
          <w:iCs/>
          <w:color w:val="000000"/>
          <w:szCs w:val="26"/>
          <w:lang w:val="en-GB"/>
        </w:rPr>
        <w:t xml:space="preserve"> 2018</w:t>
      </w:r>
      <w:bookmarkEnd w:id="9"/>
      <w:r w:rsidR="00BA450D">
        <w:rPr>
          <w:rStyle w:val="FootnoteReference"/>
          <w:rFonts w:cs="Arial"/>
          <w:bCs/>
          <w:iCs/>
          <w:color w:val="000000"/>
          <w:szCs w:val="26"/>
          <w:lang w:val="en-GB"/>
        </w:rPr>
        <w:footnoteReference w:id="6"/>
      </w:r>
      <w:r w:rsidR="000B64E4">
        <w:rPr>
          <w:rFonts w:cs="Arial"/>
          <w:bCs/>
          <w:iCs/>
          <w:color w:val="000000"/>
          <w:szCs w:val="26"/>
          <w:lang w:val="en-GB"/>
        </w:rPr>
        <w:t>,</w:t>
      </w:r>
      <w:r>
        <w:rPr>
          <w:rFonts w:cs="Arial"/>
          <w:bCs/>
          <w:iCs/>
          <w:color w:val="000000"/>
          <w:szCs w:val="26"/>
          <w:lang w:val="en-GB"/>
        </w:rPr>
        <w:t xml:space="preserve"> and the General Data Protection Regulation</w:t>
      </w:r>
      <w:r w:rsidR="00D04D01">
        <w:rPr>
          <w:rFonts w:cs="Arial"/>
          <w:bCs/>
          <w:iCs/>
          <w:color w:val="000000"/>
          <w:szCs w:val="26"/>
          <w:lang w:val="en-GB"/>
        </w:rPr>
        <w:t xml:space="preserve"> </w:t>
      </w:r>
      <w:r w:rsidR="00D04D01">
        <w:rPr>
          <w:rFonts w:cs="Arial"/>
          <w:bCs/>
          <w:iCs/>
          <w:color w:val="000000"/>
          <w:szCs w:val="26"/>
          <w:lang w:val="en-GB"/>
        </w:rPr>
        <w:lastRenderedPageBreak/>
        <w:t>Act</w:t>
      </w:r>
      <w:r>
        <w:rPr>
          <w:rFonts w:cs="Arial"/>
          <w:bCs/>
          <w:iCs/>
          <w:color w:val="000000"/>
          <w:szCs w:val="26"/>
          <w:lang w:val="en-GB"/>
        </w:rPr>
        <w:t xml:space="preserve"> </w:t>
      </w:r>
      <w:r w:rsidR="00424C82">
        <w:rPr>
          <w:rFonts w:cs="Arial"/>
          <w:bCs/>
          <w:iCs/>
          <w:color w:val="000000"/>
          <w:szCs w:val="26"/>
          <w:lang w:val="en-GB"/>
        </w:rPr>
        <w:t>201</w:t>
      </w:r>
      <w:r w:rsidR="00D04D01">
        <w:rPr>
          <w:rFonts w:cs="Arial"/>
          <w:bCs/>
          <w:iCs/>
          <w:color w:val="000000"/>
          <w:szCs w:val="26"/>
          <w:lang w:val="en-GB"/>
        </w:rPr>
        <w:t>8</w:t>
      </w:r>
      <w:r w:rsidR="00BA450D">
        <w:rPr>
          <w:rStyle w:val="FootnoteReference"/>
          <w:rFonts w:cs="Arial"/>
          <w:bCs/>
          <w:iCs/>
          <w:color w:val="000000"/>
          <w:szCs w:val="26"/>
          <w:lang w:val="en-GB"/>
        </w:rPr>
        <w:footnoteReference w:id="7"/>
      </w:r>
      <w:r w:rsidR="00424C82">
        <w:rPr>
          <w:rFonts w:cs="Arial"/>
          <w:bCs/>
          <w:iCs/>
          <w:color w:val="000000"/>
          <w:szCs w:val="26"/>
          <w:lang w:val="en-GB"/>
        </w:rPr>
        <w:t xml:space="preserve"> </w:t>
      </w:r>
      <w:r>
        <w:rPr>
          <w:rFonts w:cs="Arial"/>
          <w:bCs/>
          <w:iCs/>
          <w:color w:val="000000"/>
          <w:szCs w:val="26"/>
          <w:lang w:val="en-GB"/>
        </w:rPr>
        <w:t xml:space="preserve">and to include updates </w:t>
      </w:r>
      <w:r w:rsidR="00746FA1">
        <w:rPr>
          <w:rFonts w:cs="Arial"/>
          <w:bCs/>
          <w:iCs/>
          <w:color w:val="000000"/>
          <w:szCs w:val="26"/>
          <w:lang w:val="en-GB"/>
        </w:rPr>
        <w:t xml:space="preserve">on </w:t>
      </w:r>
      <w:r>
        <w:rPr>
          <w:rFonts w:cs="Arial"/>
          <w:bCs/>
          <w:iCs/>
          <w:color w:val="000000"/>
          <w:szCs w:val="26"/>
          <w:lang w:val="en-GB"/>
        </w:rPr>
        <w:t xml:space="preserve">ethical guidance from national organisations such as the Health Service Executive. We also reviewed international literature and incorporated where relevant. </w:t>
      </w:r>
      <w:r w:rsidRPr="009B380D">
        <w:rPr>
          <w:rFonts w:cs="Arial"/>
          <w:bCs/>
          <w:iCs/>
          <w:color w:val="000000"/>
          <w:szCs w:val="26"/>
          <w:lang w:val="en-GB"/>
        </w:rPr>
        <w:t xml:space="preserve">The NDA consulted </w:t>
      </w:r>
      <w:r w:rsidR="00746FA1" w:rsidRPr="009B380D">
        <w:rPr>
          <w:rFonts w:cs="Arial"/>
          <w:bCs/>
          <w:iCs/>
          <w:color w:val="000000"/>
          <w:szCs w:val="26"/>
          <w:lang w:val="en-GB"/>
        </w:rPr>
        <w:t>Disabled Persons Organisations (</w:t>
      </w:r>
      <w:r w:rsidRPr="009B380D">
        <w:rPr>
          <w:rFonts w:cs="Arial"/>
          <w:bCs/>
          <w:iCs/>
          <w:color w:val="000000"/>
          <w:szCs w:val="26"/>
          <w:lang w:val="en-GB"/>
        </w:rPr>
        <w:t>DPOs</w:t>
      </w:r>
      <w:r w:rsidR="00746FA1" w:rsidRPr="009B380D">
        <w:rPr>
          <w:rFonts w:cs="Arial"/>
          <w:bCs/>
          <w:iCs/>
          <w:color w:val="000000"/>
          <w:szCs w:val="26"/>
          <w:lang w:val="en-GB"/>
        </w:rPr>
        <w:t>)</w:t>
      </w:r>
      <w:r w:rsidR="00B43FA5" w:rsidRPr="00FF09BE">
        <w:rPr>
          <w:rStyle w:val="FootnoteReference"/>
          <w:rFonts w:ascii="Gill Sans MT" w:hAnsi="Gill Sans MT" w:cs="Arial"/>
          <w:bCs/>
          <w:iCs/>
          <w:color w:val="000000"/>
          <w:sz w:val="26"/>
          <w:szCs w:val="26"/>
          <w:lang w:val="en-GB"/>
        </w:rPr>
        <w:footnoteReference w:id="8"/>
      </w:r>
      <w:r w:rsidRPr="009B380D">
        <w:rPr>
          <w:rFonts w:cs="Arial"/>
          <w:bCs/>
          <w:iCs/>
          <w:color w:val="000000"/>
          <w:szCs w:val="26"/>
          <w:lang w:val="en-GB"/>
        </w:rPr>
        <w:t xml:space="preserve"> and other public agencies and disability organisations on the revised document</w:t>
      </w:r>
      <w:r w:rsidR="00276FAD">
        <w:rPr>
          <w:rFonts w:cs="Arial"/>
          <w:bCs/>
          <w:iCs/>
          <w:color w:val="000000"/>
          <w:szCs w:val="26"/>
          <w:lang w:val="en-GB"/>
        </w:rPr>
        <w:t xml:space="preserve"> and incorporated pertinent feedback</w:t>
      </w:r>
      <w:r w:rsidRPr="009B380D">
        <w:rPr>
          <w:rFonts w:cs="Arial"/>
          <w:bCs/>
          <w:iCs/>
          <w:color w:val="000000"/>
          <w:szCs w:val="26"/>
          <w:lang w:val="en-GB"/>
        </w:rPr>
        <w:t xml:space="preserve">. </w:t>
      </w:r>
    </w:p>
    <w:p w14:paraId="19017ED2" w14:textId="00743BDD" w:rsidR="00E91DDB" w:rsidRDefault="0071669B" w:rsidP="00301BA0">
      <w:pPr>
        <w:spacing w:line="360" w:lineRule="auto"/>
        <w:rPr>
          <w:rFonts w:cs="Arial"/>
          <w:bCs/>
          <w:iCs/>
          <w:color w:val="000000"/>
          <w:szCs w:val="26"/>
          <w:lang w:val="en-GB"/>
        </w:rPr>
      </w:pPr>
      <w:r>
        <w:rPr>
          <w:rFonts w:cs="Arial"/>
          <w:bCs/>
          <w:iCs/>
          <w:color w:val="000000"/>
          <w:szCs w:val="26"/>
          <w:lang w:val="en-GB"/>
        </w:rPr>
        <w:t>The</w:t>
      </w:r>
      <w:r w:rsidRPr="0092439E">
        <w:rPr>
          <w:rFonts w:cs="Arial"/>
          <w:bCs/>
          <w:iCs/>
          <w:color w:val="000000"/>
          <w:szCs w:val="26"/>
          <w:lang w:val="en-GB"/>
        </w:rPr>
        <w:t xml:space="preserve"> guidance outlines the values and principles that should apply to research involving disabled </w:t>
      </w:r>
      <w:r>
        <w:rPr>
          <w:rFonts w:cs="Arial"/>
          <w:bCs/>
          <w:iCs/>
          <w:color w:val="000000"/>
          <w:szCs w:val="26"/>
          <w:lang w:val="en-GB"/>
        </w:rPr>
        <w:t>people and</w:t>
      </w:r>
      <w:r w:rsidRPr="0092439E">
        <w:rPr>
          <w:rFonts w:cs="Arial"/>
          <w:bCs/>
          <w:iCs/>
          <w:color w:val="000000"/>
          <w:szCs w:val="26"/>
          <w:lang w:val="en-GB"/>
        </w:rPr>
        <w:t xml:space="preserve"> </w:t>
      </w:r>
      <w:r>
        <w:rPr>
          <w:rFonts w:cs="Arial"/>
          <w:bCs/>
          <w:iCs/>
          <w:color w:val="000000"/>
          <w:szCs w:val="26"/>
          <w:lang w:val="en-GB"/>
        </w:rPr>
        <w:t xml:space="preserve">the NDA </w:t>
      </w:r>
      <w:r w:rsidRPr="0092439E">
        <w:rPr>
          <w:rFonts w:cs="Arial"/>
          <w:bCs/>
          <w:iCs/>
          <w:color w:val="000000"/>
          <w:szCs w:val="26"/>
          <w:lang w:val="en-GB"/>
        </w:rPr>
        <w:t>recommends that research in Ireland involving disabled people should be informed by this guidance.</w:t>
      </w:r>
    </w:p>
    <w:p w14:paraId="4B20F516" w14:textId="1797BA78" w:rsidR="0071669B" w:rsidRPr="00A11AE4" w:rsidRDefault="00746FA1" w:rsidP="00301BA0">
      <w:pPr>
        <w:spacing w:line="360" w:lineRule="auto"/>
        <w:rPr>
          <w:rFonts w:cs="Arial"/>
          <w:bCs/>
          <w:iCs/>
          <w:color w:val="000000"/>
          <w:szCs w:val="26"/>
          <w:lang w:val="en-GB"/>
        </w:rPr>
      </w:pPr>
      <w:r w:rsidRPr="006F6AAA">
        <w:rPr>
          <w:rFonts w:cs="Arial"/>
          <w:bCs/>
          <w:iCs/>
          <w:color w:val="000000"/>
          <w:szCs w:val="26"/>
          <w:lang w:val="en-GB"/>
        </w:rPr>
        <w:t>The remainder of this report is divided into t</w:t>
      </w:r>
      <w:r w:rsidR="00CF63D9" w:rsidRPr="006F6AAA">
        <w:rPr>
          <w:rFonts w:cs="Arial"/>
          <w:bCs/>
          <w:iCs/>
          <w:color w:val="000000"/>
          <w:szCs w:val="26"/>
          <w:lang w:val="en-GB"/>
        </w:rPr>
        <w:t>hree</w:t>
      </w:r>
      <w:r w:rsidRPr="006F6AAA">
        <w:rPr>
          <w:rFonts w:cs="Arial"/>
          <w:bCs/>
          <w:iCs/>
          <w:color w:val="000000"/>
          <w:szCs w:val="26"/>
          <w:lang w:val="en-GB"/>
        </w:rPr>
        <w:t xml:space="preserve"> sections. Section two provides an overview of disability research and ethics</w:t>
      </w:r>
      <w:r w:rsidR="00A0228E" w:rsidRPr="006F6AAA">
        <w:rPr>
          <w:rFonts w:cs="Arial"/>
          <w:bCs/>
          <w:iCs/>
          <w:color w:val="000000"/>
          <w:szCs w:val="26"/>
          <w:lang w:val="en-GB"/>
        </w:rPr>
        <w:t>.</w:t>
      </w:r>
      <w:r w:rsidRPr="006F6AAA">
        <w:rPr>
          <w:rFonts w:cs="Arial"/>
          <w:bCs/>
          <w:iCs/>
          <w:color w:val="000000"/>
          <w:szCs w:val="26"/>
          <w:lang w:val="en-GB"/>
        </w:rPr>
        <w:t xml:space="preserve"> </w:t>
      </w:r>
      <w:r w:rsidR="00A0228E" w:rsidRPr="006F6AAA">
        <w:rPr>
          <w:rFonts w:cs="Arial"/>
          <w:bCs/>
          <w:iCs/>
          <w:color w:val="000000"/>
          <w:szCs w:val="26"/>
          <w:lang w:val="en-GB"/>
        </w:rPr>
        <w:t>S</w:t>
      </w:r>
      <w:r w:rsidRPr="006F6AAA">
        <w:rPr>
          <w:rFonts w:cs="Arial"/>
          <w:bCs/>
          <w:iCs/>
          <w:color w:val="000000"/>
          <w:szCs w:val="26"/>
          <w:lang w:val="en-GB"/>
        </w:rPr>
        <w:t xml:space="preserve">ection three </w:t>
      </w:r>
      <w:r w:rsidR="00CF63D9" w:rsidRPr="006F6AAA">
        <w:rPr>
          <w:rFonts w:cs="Arial"/>
          <w:bCs/>
          <w:iCs/>
          <w:color w:val="000000"/>
          <w:szCs w:val="26"/>
          <w:lang w:val="en-GB"/>
        </w:rPr>
        <w:t xml:space="preserve">addresses </w:t>
      </w:r>
      <w:r w:rsidRPr="006F6AAA">
        <w:rPr>
          <w:rFonts w:cs="Arial"/>
          <w:bCs/>
          <w:iCs/>
          <w:color w:val="000000"/>
          <w:szCs w:val="26"/>
          <w:lang w:val="en-GB"/>
        </w:rPr>
        <w:t xml:space="preserve">understanding and practicing ethical research. </w:t>
      </w:r>
      <w:r w:rsidR="00CF63D9" w:rsidRPr="006F6AAA">
        <w:rPr>
          <w:rFonts w:cs="Arial"/>
          <w:bCs/>
          <w:iCs/>
          <w:color w:val="000000"/>
          <w:szCs w:val="26"/>
          <w:lang w:val="en-GB"/>
        </w:rPr>
        <w:t>Section four presents a summary of some of the practical guidance on conducting disability research.</w:t>
      </w:r>
    </w:p>
    <w:p w14:paraId="26D082F6" w14:textId="77777777" w:rsidR="0071669B" w:rsidRDefault="0071669B" w:rsidP="00301BA0">
      <w:pPr>
        <w:spacing w:after="0" w:line="360" w:lineRule="auto"/>
        <w:rPr>
          <w:rFonts w:cs="Arial"/>
          <w:bCs/>
          <w:iCs/>
          <w:color w:val="000000"/>
          <w:szCs w:val="26"/>
          <w:lang w:val="en-GB"/>
        </w:rPr>
      </w:pPr>
      <w:r>
        <w:rPr>
          <w:rFonts w:cs="Arial"/>
          <w:bCs/>
          <w:iCs/>
          <w:color w:val="000000"/>
          <w:szCs w:val="26"/>
          <w:lang w:val="en-GB"/>
        </w:rPr>
        <w:br w:type="page"/>
      </w:r>
    </w:p>
    <w:p w14:paraId="1FFC64B7" w14:textId="2F298D3F" w:rsidR="00023B13" w:rsidRPr="00023B13" w:rsidRDefault="0071669B" w:rsidP="00301BA0">
      <w:pPr>
        <w:pStyle w:val="Heading1"/>
        <w:spacing w:line="360" w:lineRule="auto"/>
        <w:ind w:left="0"/>
      </w:pPr>
      <w:bookmarkStart w:id="10" w:name="_Toc140081154"/>
      <w:bookmarkStart w:id="11" w:name="_Toc150873261"/>
      <w:bookmarkStart w:id="12" w:name="_Toc156380490"/>
      <w:r>
        <w:lastRenderedPageBreak/>
        <w:t>2.0.</w:t>
      </w:r>
      <w:r>
        <w:tab/>
      </w:r>
      <w:r w:rsidR="00023B13" w:rsidRPr="00023B13">
        <w:t xml:space="preserve"> </w:t>
      </w:r>
      <w:r w:rsidR="00365960">
        <w:t>Overview of d</w:t>
      </w:r>
      <w:r w:rsidR="004C1D75">
        <w:t>isability research and ethics</w:t>
      </w:r>
      <w:bookmarkEnd w:id="10"/>
      <w:bookmarkEnd w:id="11"/>
      <w:bookmarkEnd w:id="12"/>
      <w:r w:rsidR="004C1D75">
        <w:t xml:space="preserve"> </w:t>
      </w:r>
    </w:p>
    <w:p w14:paraId="30B08E42" w14:textId="726C267E" w:rsidR="00DF55EA" w:rsidRDefault="00E91DDB" w:rsidP="00301BA0">
      <w:pPr>
        <w:pStyle w:val="Heading2"/>
        <w:spacing w:line="360" w:lineRule="auto"/>
        <w:rPr>
          <w:lang w:val="en-GB"/>
        </w:rPr>
      </w:pPr>
      <w:bookmarkStart w:id="13" w:name="_Toc140081155"/>
      <w:bookmarkStart w:id="14" w:name="_Toc150873262"/>
      <w:bookmarkStart w:id="15" w:name="_Toc156380491"/>
      <w:bookmarkStart w:id="16" w:name="_Toc225933068"/>
      <w:bookmarkStart w:id="17" w:name="_Toc236813546"/>
      <w:bookmarkStart w:id="18" w:name="_Toc241029851"/>
      <w:r>
        <w:rPr>
          <w:lang w:val="en-GB"/>
        </w:rPr>
        <w:t>2.1.</w:t>
      </w:r>
      <w:r>
        <w:rPr>
          <w:lang w:val="en-GB"/>
        </w:rPr>
        <w:tab/>
      </w:r>
      <w:r w:rsidR="00DF55EA">
        <w:rPr>
          <w:lang w:val="en-GB"/>
        </w:rPr>
        <w:t>Disability Research</w:t>
      </w:r>
      <w:bookmarkEnd w:id="13"/>
      <w:bookmarkEnd w:id="14"/>
      <w:bookmarkEnd w:id="15"/>
    </w:p>
    <w:p w14:paraId="125C8658" w14:textId="2A443F3A" w:rsidR="00505FC8" w:rsidRPr="00765D65" w:rsidRDefault="00C73433" w:rsidP="00301BA0">
      <w:pPr>
        <w:spacing w:line="360" w:lineRule="auto"/>
        <w:rPr>
          <w:szCs w:val="26"/>
        </w:rPr>
      </w:pPr>
      <w:r w:rsidRPr="00C45B83">
        <w:rPr>
          <w:lang w:val="en-GB"/>
        </w:rPr>
        <w:t>The United Nation’s Convention on the Right</w:t>
      </w:r>
      <w:r>
        <w:rPr>
          <w:lang w:val="en-GB"/>
        </w:rPr>
        <w:t>s of Persons with Disability (</w:t>
      </w:r>
      <w:r w:rsidRPr="00C45B83">
        <w:rPr>
          <w:lang w:val="en-GB"/>
        </w:rPr>
        <w:t xml:space="preserve">CRPD, 2006) underscores the importance of disability research and </w:t>
      </w:r>
      <w:r>
        <w:rPr>
          <w:lang w:val="en-GB"/>
        </w:rPr>
        <w:t xml:space="preserve">awareness of </w:t>
      </w:r>
      <w:r w:rsidRPr="00C45B83">
        <w:rPr>
          <w:lang w:val="en-GB"/>
        </w:rPr>
        <w:t xml:space="preserve">the social determinants of health and wellbeing. </w:t>
      </w:r>
      <w:r w:rsidR="00872818">
        <w:rPr>
          <w:lang w:val="en-GB"/>
        </w:rPr>
        <w:t>M</w:t>
      </w:r>
      <w:r w:rsidR="006C10E8" w:rsidRPr="00C45B83">
        <w:rPr>
          <w:lang w:val="en-GB"/>
        </w:rPr>
        <w:t>edical or rehabilitative research involving disabled people (‘health research’)</w:t>
      </w:r>
      <w:r w:rsidR="006C10E8">
        <w:rPr>
          <w:lang w:val="en-GB"/>
        </w:rPr>
        <w:t xml:space="preserve"> </w:t>
      </w:r>
      <w:r w:rsidR="00FD4E86">
        <w:rPr>
          <w:lang w:val="en-GB"/>
        </w:rPr>
        <w:t xml:space="preserve">can be distinguished from </w:t>
      </w:r>
      <w:r w:rsidR="006C10E8">
        <w:rPr>
          <w:lang w:val="en-GB"/>
        </w:rPr>
        <w:t>d</w:t>
      </w:r>
      <w:r w:rsidR="00DF55EA" w:rsidRPr="00C45B83">
        <w:rPr>
          <w:lang w:val="en-GB"/>
        </w:rPr>
        <w:t>isability research</w:t>
      </w:r>
      <w:r w:rsidR="006C10E8">
        <w:rPr>
          <w:lang w:val="en-GB"/>
        </w:rPr>
        <w:t>, which</w:t>
      </w:r>
      <w:r w:rsidR="00DF55EA" w:rsidRPr="00C45B83">
        <w:rPr>
          <w:lang w:val="en-GB"/>
        </w:rPr>
        <w:t xml:space="preserve"> explores aspects of society </w:t>
      </w:r>
      <w:r w:rsidR="00446024">
        <w:rPr>
          <w:lang w:val="en-GB"/>
        </w:rPr>
        <w:t xml:space="preserve">that make it difficult for </w:t>
      </w:r>
      <w:r w:rsidR="00DF55EA" w:rsidRPr="00C45B83">
        <w:rPr>
          <w:lang w:val="en-GB"/>
        </w:rPr>
        <w:t xml:space="preserve">disabled people </w:t>
      </w:r>
      <w:r w:rsidR="00446024">
        <w:rPr>
          <w:lang w:val="en-GB"/>
        </w:rPr>
        <w:t xml:space="preserve">to </w:t>
      </w:r>
      <w:r w:rsidR="00E91DDB">
        <w:rPr>
          <w:lang w:val="en-GB"/>
        </w:rPr>
        <w:t xml:space="preserve">attain full societal </w:t>
      </w:r>
      <w:r w:rsidR="00DF55EA" w:rsidRPr="00C45B83">
        <w:rPr>
          <w:lang w:val="en-GB"/>
        </w:rPr>
        <w:t>participat</w:t>
      </w:r>
      <w:r w:rsidR="009B380D">
        <w:rPr>
          <w:lang w:val="en-GB"/>
        </w:rPr>
        <w:t>ion</w:t>
      </w:r>
      <w:r w:rsidR="00DF55EA" w:rsidRPr="00C45B83">
        <w:rPr>
          <w:lang w:val="en-GB"/>
        </w:rPr>
        <w:t xml:space="preserve"> </w:t>
      </w:r>
      <w:r w:rsidR="00446024" w:rsidRPr="00C45B83">
        <w:rPr>
          <w:lang w:val="en-GB"/>
        </w:rPr>
        <w:t xml:space="preserve">and </w:t>
      </w:r>
      <w:r w:rsidR="00C93FD2">
        <w:rPr>
          <w:lang w:val="en-GB"/>
        </w:rPr>
        <w:t xml:space="preserve">it </w:t>
      </w:r>
      <w:r w:rsidR="003E1798">
        <w:rPr>
          <w:lang w:val="en-GB"/>
        </w:rPr>
        <w:t xml:space="preserve">investigates </w:t>
      </w:r>
      <w:r w:rsidR="00446024" w:rsidRPr="00C45B83">
        <w:rPr>
          <w:lang w:val="en-GB"/>
        </w:rPr>
        <w:t xml:space="preserve">how </w:t>
      </w:r>
      <w:r w:rsidR="00E91DDB">
        <w:rPr>
          <w:lang w:val="en-GB"/>
        </w:rPr>
        <w:t xml:space="preserve">the </w:t>
      </w:r>
      <w:r w:rsidR="00446024">
        <w:rPr>
          <w:lang w:val="en-GB"/>
        </w:rPr>
        <w:t>barriers to participation</w:t>
      </w:r>
      <w:r w:rsidR="003E1798">
        <w:rPr>
          <w:lang w:val="en-GB"/>
        </w:rPr>
        <w:t xml:space="preserve"> might be addressed</w:t>
      </w:r>
      <w:r w:rsidR="006C10E8">
        <w:rPr>
          <w:lang w:val="en-GB"/>
        </w:rPr>
        <w:t>.</w:t>
      </w:r>
      <w:r w:rsidR="00FD4E86">
        <w:rPr>
          <w:rStyle w:val="FootnoteReference"/>
          <w:lang w:val="en-GB"/>
        </w:rPr>
        <w:footnoteReference w:id="9"/>
      </w:r>
      <w:r w:rsidR="006C10E8">
        <w:rPr>
          <w:lang w:val="en-GB"/>
        </w:rPr>
        <w:t xml:space="preserve"> </w:t>
      </w:r>
      <w:r w:rsidR="006C10E8" w:rsidRPr="00C45B83">
        <w:rPr>
          <w:lang w:val="en-GB"/>
        </w:rPr>
        <w:t>There is</w:t>
      </w:r>
      <w:r w:rsidR="009213FA">
        <w:rPr>
          <w:lang w:val="en-GB"/>
        </w:rPr>
        <w:t>, of course,</w:t>
      </w:r>
      <w:r w:rsidR="006C10E8" w:rsidRPr="00C45B83">
        <w:rPr>
          <w:lang w:val="en-GB"/>
        </w:rPr>
        <w:t xml:space="preserve"> a </w:t>
      </w:r>
      <w:r w:rsidR="006C6672">
        <w:rPr>
          <w:lang w:val="en-GB"/>
        </w:rPr>
        <w:t xml:space="preserve">great </w:t>
      </w:r>
      <w:r w:rsidR="006C10E8" w:rsidRPr="00C45B83">
        <w:rPr>
          <w:lang w:val="en-GB"/>
        </w:rPr>
        <w:t xml:space="preserve">need for health research </w:t>
      </w:r>
      <w:r>
        <w:rPr>
          <w:lang w:val="en-GB"/>
        </w:rPr>
        <w:t xml:space="preserve">including </w:t>
      </w:r>
      <w:r w:rsidR="006C10E8" w:rsidRPr="00C45B83">
        <w:rPr>
          <w:lang w:val="en-GB"/>
        </w:rPr>
        <w:t xml:space="preserve">disabled people, but it is </w:t>
      </w:r>
      <w:r w:rsidR="006C10E8">
        <w:rPr>
          <w:lang w:val="en-GB"/>
        </w:rPr>
        <w:t xml:space="preserve">essential </w:t>
      </w:r>
      <w:r w:rsidR="006C10E8" w:rsidRPr="00C45B83">
        <w:rPr>
          <w:lang w:val="en-GB"/>
        </w:rPr>
        <w:t>that researchers do not identify disabled people</w:t>
      </w:r>
      <w:r w:rsidR="006C10E8">
        <w:rPr>
          <w:lang w:val="en-GB"/>
        </w:rPr>
        <w:t xml:space="preserve"> </w:t>
      </w:r>
      <w:r w:rsidR="003E1798">
        <w:rPr>
          <w:lang w:val="en-GB"/>
        </w:rPr>
        <w:t xml:space="preserve">only </w:t>
      </w:r>
      <w:r w:rsidR="006C10E8" w:rsidRPr="00C45B83">
        <w:rPr>
          <w:lang w:val="en-GB"/>
        </w:rPr>
        <w:t>as subjects to be ‘treated’</w:t>
      </w:r>
      <w:r>
        <w:rPr>
          <w:lang w:val="en-GB"/>
        </w:rPr>
        <w:t xml:space="preserve"> medically</w:t>
      </w:r>
      <w:r w:rsidR="006C10E8" w:rsidRPr="00C45B83">
        <w:rPr>
          <w:lang w:val="en-GB"/>
        </w:rPr>
        <w:t xml:space="preserve">. </w:t>
      </w:r>
      <w:r w:rsidR="00E048D0">
        <w:rPr>
          <w:lang w:val="en-GB"/>
        </w:rPr>
        <w:t>M</w:t>
      </w:r>
      <w:r w:rsidR="00C93FD2">
        <w:rPr>
          <w:lang w:val="en-GB"/>
        </w:rPr>
        <w:t>any m</w:t>
      </w:r>
      <w:r w:rsidR="00DF55EA" w:rsidRPr="00C45B83">
        <w:rPr>
          <w:lang w:val="en-GB"/>
        </w:rPr>
        <w:t>edical interventions</w:t>
      </w:r>
      <w:r w:rsidR="003E1798">
        <w:rPr>
          <w:lang w:val="en-GB"/>
        </w:rPr>
        <w:t>, which</w:t>
      </w:r>
      <w:r w:rsidR="00DF55EA" w:rsidRPr="00C45B83">
        <w:rPr>
          <w:lang w:val="en-GB"/>
        </w:rPr>
        <w:t xml:space="preserve"> appropriately target impairments</w:t>
      </w:r>
      <w:r w:rsidR="009213FA">
        <w:rPr>
          <w:lang w:val="en-GB"/>
        </w:rPr>
        <w:t>,</w:t>
      </w:r>
      <w:r w:rsidR="00DF55EA" w:rsidRPr="00C45B83">
        <w:rPr>
          <w:lang w:val="en-GB"/>
        </w:rPr>
        <w:t xml:space="preserve"> may do little to address </w:t>
      </w:r>
      <w:r w:rsidR="00E91DDB">
        <w:rPr>
          <w:lang w:val="en-GB"/>
        </w:rPr>
        <w:t xml:space="preserve">the </w:t>
      </w:r>
      <w:r w:rsidR="009213FA">
        <w:rPr>
          <w:lang w:val="en-GB"/>
        </w:rPr>
        <w:t>n</w:t>
      </w:r>
      <w:r w:rsidR="00DF55EA" w:rsidRPr="00C45B83">
        <w:rPr>
          <w:lang w:val="en-GB"/>
        </w:rPr>
        <w:t>on-biological causes of disability.</w:t>
      </w:r>
      <w:r w:rsidR="00D636A9">
        <w:rPr>
          <w:rStyle w:val="FootnoteReference"/>
          <w:lang w:val="en-GB"/>
        </w:rPr>
        <w:footnoteReference w:id="10"/>
      </w:r>
      <w:r w:rsidR="00D636A9" w:rsidRPr="00C45B83">
        <w:rPr>
          <w:lang w:val="en-GB"/>
        </w:rPr>
        <w:t xml:space="preserve"> </w:t>
      </w:r>
      <w:r w:rsidR="00BD4F3F">
        <w:rPr>
          <w:lang w:val="en-GB"/>
        </w:rPr>
        <w:t>D</w:t>
      </w:r>
      <w:r w:rsidR="00872818" w:rsidRPr="00C45B83">
        <w:rPr>
          <w:lang w:val="en-GB"/>
        </w:rPr>
        <w:t xml:space="preserve">isability research </w:t>
      </w:r>
      <w:r w:rsidR="00BD4F3F">
        <w:rPr>
          <w:lang w:val="en-GB"/>
        </w:rPr>
        <w:t>understands</w:t>
      </w:r>
      <w:r w:rsidR="00872818" w:rsidRPr="00C45B83">
        <w:rPr>
          <w:lang w:val="en-GB"/>
        </w:rPr>
        <w:t xml:space="preserve"> the social potential </w:t>
      </w:r>
      <w:r w:rsidR="00E048D0">
        <w:rPr>
          <w:lang w:val="en-GB"/>
        </w:rPr>
        <w:t xml:space="preserve">that is </w:t>
      </w:r>
      <w:r w:rsidR="00872818" w:rsidRPr="00C45B83">
        <w:rPr>
          <w:lang w:val="en-GB"/>
        </w:rPr>
        <w:t>made possible through</w:t>
      </w:r>
      <w:r w:rsidR="00E048D0">
        <w:rPr>
          <w:lang w:val="en-GB"/>
        </w:rPr>
        <w:t xml:space="preserve"> material and</w:t>
      </w:r>
      <w:r w:rsidR="00872818" w:rsidRPr="00C45B83">
        <w:rPr>
          <w:lang w:val="en-GB"/>
        </w:rPr>
        <w:t xml:space="preserve"> in</w:t>
      </w:r>
      <w:r w:rsidR="00E048D0">
        <w:rPr>
          <w:lang w:val="en-GB"/>
        </w:rPr>
        <w:t xml:space="preserve">stitutional </w:t>
      </w:r>
      <w:r w:rsidR="00BD4F3F">
        <w:rPr>
          <w:lang w:val="en-GB"/>
        </w:rPr>
        <w:t>change</w:t>
      </w:r>
      <w:r w:rsidR="00E048D0">
        <w:rPr>
          <w:lang w:val="en-GB"/>
        </w:rPr>
        <w:t>,</w:t>
      </w:r>
      <w:r w:rsidR="00872818">
        <w:rPr>
          <w:rStyle w:val="FootnoteReference"/>
          <w:lang w:val="en-GB"/>
        </w:rPr>
        <w:footnoteReference w:id="11"/>
      </w:r>
      <w:r w:rsidR="00872818">
        <w:rPr>
          <w:lang w:val="en-GB"/>
        </w:rPr>
        <w:t xml:space="preserve"> </w:t>
      </w:r>
      <w:r w:rsidR="00BD4F3F">
        <w:rPr>
          <w:lang w:val="en-GB"/>
        </w:rPr>
        <w:t xml:space="preserve">and that while </w:t>
      </w:r>
      <w:r w:rsidR="00DF55EA" w:rsidRPr="00C45B83">
        <w:rPr>
          <w:lang w:val="en-GB"/>
        </w:rPr>
        <w:t xml:space="preserve">people can </w:t>
      </w:r>
      <w:r w:rsidR="00BD4F3F">
        <w:rPr>
          <w:lang w:val="en-GB"/>
        </w:rPr>
        <w:t xml:space="preserve">have impairments, their </w:t>
      </w:r>
      <w:r w:rsidR="00DF55EA" w:rsidRPr="00C45B83">
        <w:rPr>
          <w:lang w:val="en-GB"/>
        </w:rPr>
        <w:t>social and</w:t>
      </w:r>
      <w:r w:rsidR="00872818">
        <w:rPr>
          <w:lang w:val="en-GB"/>
        </w:rPr>
        <w:t xml:space="preserve"> built environments</w:t>
      </w:r>
      <w:r>
        <w:rPr>
          <w:lang w:val="en-GB"/>
        </w:rPr>
        <w:t xml:space="preserve"> can be disabling</w:t>
      </w:r>
      <w:r w:rsidR="00DF55EA" w:rsidRPr="00C45B83">
        <w:rPr>
          <w:lang w:val="en-GB"/>
        </w:rPr>
        <w:t>.</w:t>
      </w:r>
      <w:r w:rsidR="00872818">
        <w:rPr>
          <w:rStyle w:val="FootnoteReference"/>
          <w:lang w:val="en-GB"/>
        </w:rPr>
        <w:footnoteReference w:id="12"/>
      </w:r>
      <w:r w:rsidR="00DF55EA" w:rsidRPr="00C45B83">
        <w:rPr>
          <w:lang w:val="en-GB"/>
        </w:rPr>
        <w:t xml:space="preserve"> </w:t>
      </w:r>
      <w:r w:rsidR="00505FC8" w:rsidRPr="00686232">
        <w:rPr>
          <w:szCs w:val="26"/>
          <w:lang w:val="en-GB"/>
        </w:rPr>
        <w:t xml:space="preserve">It </w:t>
      </w:r>
      <w:r w:rsidR="00505FC8" w:rsidRPr="00686232">
        <w:rPr>
          <w:szCs w:val="26"/>
        </w:rPr>
        <w:t xml:space="preserve">recognizes how society by its actions and omissions </w:t>
      </w:r>
      <w:r w:rsidR="004D5AB2" w:rsidRPr="00686232">
        <w:rPr>
          <w:szCs w:val="26"/>
        </w:rPr>
        <w:t xml:space="preserve">can </w:t>
      </w:r>
      <w:r w:rsidR="00505FC8" w:rsidRPr="00686232">
        <w:rPr>
          <w:szCs w:val="26"/>
        </w:rPr>
        <w:t xml:space="preserve">worsen </w:t>
      </w:r>
      <w:r w:rsidR="00505FC8" w:rsidRPr="00686232">
        <w:rPr>
          <w:szCs w:val="26"/>
        </w:rPr>
        <w:lastRenderedPageBreak/>
        <w:t>the position of disabled people beyond the level which could be attributed solely to the direct effects of people’s physical, sensory, or mental impairments</w:t>
      </w:r>
      <w:r w:rsidR="006F6AAA" w:rsidRPr="00686232">
        <w:rPr>
          <w:szCs w:val="26"/>
        </w:rPr>
        <w:t>.</w:t>
      </w:r>
      <w:r w:rsidR="006F6AAA" w:rsidRPr="00686232">
        <w:rPr>
          <w:rStyle w:val="FootnoteReference"/>
          <w:rFonts w:ascii="Gill Sans MT" w:hAnsi="Gill Sans MT"/>
          <w:sz w:val="26"/>
          <w:szCs w:val="26"/>
        </w:rPr>
        <w:footnoteReference w:id="13"/>
      </w:r>
      <w:r w:rsidR="00505FC8" w:rsidRPr="00686232">
        <w:rPr>
          <w:szCs w:val="26"/>
        </w:rPr>
        <w:t xml:space="preserve"> </w:t>
      </w:r>
    </w:p>
    <w:p w14:paraId="73CB7B11" w14:textId="3C10AE56" w:rsidR="00C82642" w:rsidRDefault="00C82642" w:rsidP="00301BA0">
      <w:pPr>
        <w:spacing w:line="360" w:lineRule="auto"/>
        <w:ind w:left="454" w:right="454"/>
        <w:rPr>
          <w:lang w:val="en-GB"/>
        </w:rPr>
      </w:pPr>
      <w:r w:rsidRPr="00C82642">
        <w:t xml:space="preserve">Disability research redirects focus away from the impaired individual, allows its participants to take on a leadership role in removing social barriers, and can empower disabled researchers and participants. </w:t>
      </w:r>
      <w:r w:rsidR="00C93FD2">
        <w:t>This r</w:t>
      </w:r>
      <w:r w:rsidRPr="00C82642">
        <w:t>esearch acknowledges and validates disability issues, examines biases, encourages enabling rather than disabling attitudes, and fosters respect for the “difference and acceptance of disabled people as part of human diversity and humanity”.</w:t>
      </w:r>
      <w:r>
        <w:rPr>
          <w:rStyle w:val="FootnoteReference"/>
        </w:rPr>
        <w:footnoteReference w:id="14"/>
      </w:r>
      <w:r w:rsidRPr="00C82642">
        <w:t xml:space="preserve"> </w:t>
      </w:r>
    </w:p>
    <w:p w14:paraId="18593AE9" w14:textId="3604EDE2" w:rsidR="00041101" w:rsidRPr="00765D65" w:rsidRDefault="006F6AAA" w:rsidP="00301BA0">
      <w:pPr>
        <w:spacing w:line="360" w:lineRule="auto"/>
      </w:pPr>
      <w:r w:rsidRPr="0053163B">
        <w:t>The purpose of the CRPD is to promote, protect and ensure the full and equal enjoyment of human rights and freedom by persons with disabilities, and to promote respect for their inherent dignity. The CRPD offers a framework for recognizing the rights of persons with disabilities and many of its principles can be applied to disability research and, indeed, all research.</w:t>
      </w:r>
      <w:r w:rsidRPr="0006422E">
        <w:t xml:space="preserve"> </w:t>
      </w:r>
      <w:r w:rsidR="00041101" w:rsidRPr="0006422E">
        <w:t>Good</w:t>
      </w:r>
      <w:r w:rsidR="00041101" w:rsidRPr="006F6AAA">
        <w:t xml:space="preserve"> explores how the CRPD is shaping a global </w:t>
      </w:r>
      <w:r w:rsidR="00712D43" w:rsidRPr="006F6AAA">
        <w:t xml:space="preserve">disability </w:t>
      </w:r>
      <w:r w:rsidR="00041101" w:rsidRPr="006F6AAA">
        <w:t>research agenda</w:t>
      </w:r>
      <w:r w:rsidR="00712D43" w:rsidRPr="006F6AAA">
        <w:t>,</w:t>
      </w:r>
      <w:r w:rsidR="00041101" w:rsidRPr="006F6AAA">
        <w:t xml:space="preserve"> which has implications for </w:t>
      </w:r>
      <w:r w:rsidR="004D5AB2" w:rsidRPr="006F6AAA">
        <w:t xml:space="preserve">ethical </w:t>
      </w:r>
      <w:r w:rsidR="00041101" w:rsidRPr="006F6AAA">
        <w:t>research practice.</w:t>
      </w:r>
      <w:r w:rsidR="00276FAD">
        <w:rPr>
          <w:rStyle w:val="FootnoteReference"/>
        </w:rPr>
        <w:footnoteReference w:id="15"/>
      </w:r>
      <w:r w:rsidR="00041101" w:rsidRPr="006F6AAA">
        <w:t xml:space="preserve"> The CRPD</w:t>
      </w:r>
      <w:r w:rsidR="00712D43" w:rsidRPr="006F6AAA">
        <w:t>’s</w:t>
      </w:r>
      <w:r w:rsidR="00041101" w:rsidRPr="006F6AAA">
        <w:t xml:space="preserve"> monitoring and evaluation dimension is set out in Articles 31 to 39 which require states to monitor and demonstrate progress toward human rights for people with disabilities, through regular reporting to the UN, backed by provision of quality evidence from research and from data collection at all levels.</w:t>
      </w:r>
      <w:r w:rsidR="00AD2330" w:rsidRPr="00765D65">
        <w:rPr>
          <w:rStyle w:val="FootnoteReference"/>
        </w:rPr>
        <w:footnoteReference w:id="16"/>
      </w:r>
      <w:r w:rsidR="00041101" w:rsidRPr="00765D65">
        <w:t xml:space="preserve"> Furthermore, it sets out a framework for how ethical practice, which must be a key component of all research involving human subjects, should be effectively applied to disability research. This framework is provided both within the general provisions of the CRPD and in further detail </w:t>
      </w:r>
      <w:r w:rsidR="00041101" w:rsidRPr="00765D65">
        <w:lastRenderedPageBreak/>
        <w:t>within Article 31.</w:t>
      </w:r>
      <w:r w:rsidR="00712D43" w:rsidRPr="00765D65">
        <w:t xml:space="preserve"> </w:t>
      </w:r>
      <w:r w:rsidR="00041101" w:rsidRPr="00765D65">
        <w:t>Three sets of ethical implications for disability research emerg</w:t>
      </w:r>
      <w:r w:rsidR="00712D43" w:rsidRPr="00765D65">
        <w:t>e</w:t>
      </w:r>
      <w:r w:rsidR="00041101" w:rsidRPr="00765D65">
        <w:t xml:space="preserve"> from the CRPD as follows</w:t>
      </w:r>
      <w:r w:rsidRPr="00765D65">
        <w:rPr>
          <w:rStyle w:val="FootnoteReference"/>
        </w:rPr>
        <w:footnoteReference w:id="17"/>
      </w:r>
      <w:r w:rsidR="00041101" w:rsidRPr="00765D65">
        <w:t>:</w:t>
      </w:r>
    </w:p>
    <w:p w14:paraId="51F45873" w14:textId="589060F3" w:rsidR="00041101" w:rsidRPr="00765D65" w:rsidRDefault="00041101" w:rsidP="00AC7513">
      <w:pPr>
        <w:pStyle w:val="ListParagraph"/>
        <w:numPr>
          <w:ilvl w:val="0"/>
          <w:numId w:val="30"/>
        </w:numPr>
        <w:spacing w:line="360" w:lineRule="auto"/>
      </w:pPr>
      <w:r w:rsidRPr="00765D65">
        <w:t>The overall human rights framework.</w:t>
      </w:r>
    </w:p>
    <w:p w14:paraId="4EC41F28" w14:textId="330FED79" w:rsidR="00041101" w:rsidRPr="00765D65" w:rsidRDefault="00041101" w:rsidP="00AC7513">
      <w:pPr>
        <w:pStyle w:val="ListParagraph"/>
        <w:numPr>
          <w:ilvl w:val="0"/>
          <w:numId w:val="30"/>
        </w:numPr>
        <w:spacing w:line="360" w:lineRule="auto"/>
      </w:pPr>
      <w:r w:rsidRPr="00765D65">
        <w:t>The specific research principles listed as requiring particular attention in disability research which are named as respect, consent, and privacy.</w:t>
      </w:r>
    </w:p>
    <w:p w14:paraId="6888BBDA" w14:textId="45F587EC" w:rsidR="00041101" w:rsidRPr="00765D65" w:rsidRDefault="00041101" w:rsidP="00AC7513">
      <w:pPr>
        <w:pStyle w:val="ListParagraph"/>
        <w:numPr>
          <w:ilvl w:val="0"/>
          <w:numId w:val="30"/>
        </w:numPr>
        <w:spacing w:line="360" w:lineRule="auto"/>
      </w:pPr>
      <w:r w:rsidRPr="00765D65">
        <w:t>The challenges posed by practical operationalization of research ethics in areas such as training of research staff, which require appropriate resourcing from funding bodies.</w:t>
      </w:r>
    </w:p>
    <w:p w14:paraId="6BF64C76" w14:textId="173A706C" w:rsidR="00765D65" w:rsidRPr="0053163B" w:rsidRDefault="00070193" w:rsidP="00301BA0">
      <w:pPr>
        <w:spacing w:line="360" w:lineRule="auto"/>
      </w:pPr>
      <w:r>
        <w:t xml:space="preserve">With regards research, </w:t>
      </w:r>
      <w:r w:rsidR="00244EAD">
        <w:t>Article 4 of the</w:t>
      </w:r>
      <w:r w:rsidR="00C82642" w:rsidRPr="00C82642">
        <w:t xml:space="preserve"> </w:t>
      </w:r>
      <w:r w:rsidR="00C82642">
        <w:t>CRPD</w:t>
      </w:r>
      <w:r w:rsidR="00C31F9B">
        <w:t>,</w:t>
      </w:r>
      <w:r w:rsidR="00C82642">
        <w:t xml:space="preserve"> </w:t>
      </w:r>
      <w:r w:rsidR="00244EAD">
        <w:t xml:space="preserve">which outlines </w:t>
      </w:r>
      <w:r w:rsidR="008A2AB9">
        <w:t>general obligations</w:t>
      </w:r>
      <w:r w:rsidR="00C31F9B">
        <w:t>,</w:t>
      </w:r>
      <w:r w:rsidR="008A2AB9">
        <w:t xml:space="preserve"> lays out the</w:t>
      </w:r>
      <w:r w:rsidR="00C82642" w:rsidRPr="00C82642">
        <w:t xml:space="preserve"> obligation on states parties </w:t>
      </w:r>
      <w:r w:rsidR="00C93FD2">
        <w:t>t</w:t>
      </w:r>
      <w:r w:rsidR="00C82642" w:rsidRPr="00C82642">
        <w:t xml:space="preserve">o </w:t>
      </w:r>
      <w:r w:rsidR="00244EAD">
        <w:t xml:space="preserve">undertake or promote research </w:t>
      </w:r>
      <w:r>
        <w:t xml:space="preserve">and development </w:t>
      </w:r>
      <w:r w:rsidR="00244EAD">
        <w:t>in the areas of universally designed goods, services, equipment</w:t>
      </w:r>
      <w:r w:rsidR="00C31F9B">
        <w:t>,</w:t>
      </w:r>
      <w:r w:rsidR="00244EAD">
        <w:t xml:space="preserve"> and facilities and </w:t>
      </w:r>
      <w:r>
        <w:t xml:space="preserve">research and development </w:t>
      </w:r>
      <w:r w:rsidR="00244EAD">
        <w:t xml:space="preserve">in relation to </w:t>
      </w:r>
      <w:r w:rsidR="00D604F1">
        <w:t xml:space="preserve">new </w:t>
      </w:r>
      <w:r w:rsidR="00244EAD">
        <w:t>technologies</w:t>
      </w:r>
      <w:r w:rsidR="00D604F1" w:rsidRPr="00D604F1">
        <w:t xml:space="preserve"> </w:t>
      </w:r>
      <w:r w:rsidR="00D604F1" w:rsidRPr="00070193">
        <w:t xml:space="preserve">including information and communications technologies, mobility aids, </w:t>
      </w:r>
      <w:proofErr w:type="gramStart"/>
      <w:r w:rsidR="00D604F1" w:rsidRPr="00070193">
        <w:t>devices</w:t>
      </w:r>
      <w:proofErr w:type="gramEnd"/>
      <w:r w:rsidR="00D604F1" w:rsidRPr="00070193">
        <w:t xml:space="preserve"> and assistive technologies</w:t>
      </w:r>
      <w:r w:rsidR="00244EAD">
        <w:t>.</w:t>
      </w:r>
      <w:r w:rsidR="00244EAD">
        <w:rPr>
          <w:rStyle w:val="FootnoteReference"/>
        </w:rPr>
        <w:footnoteReference w:id="18"/>
      </w:r>
      <w:r w:rsidR="00244EAD">
        <w:t xml:space="preserve"> </w:t>
      </w:r>
      <w:r w:rsidR="00CB26A6" w:rsidRPr="0053163B">
        <w:t xml:space="preserve">Article 31 </w:t>
      </w:r>
      <w:r w:rsidR="00D604F1">
        <w:t xml:space="preserve">of the CRPD </w:t>
      </w:r>
      <w:r w:rsidR="00CB26A6" w:rsidRPr="0053163B">
        <w:t>focuses on research and data collection.</w:t>
      </w:r>
      <w:r w:rsidR="00CB26A6" w:rsidRPr="0053163B">
        <w:rPr>
          <w:rFonts w:ascii="PdgbcgAdvTT5843c571" w:eastAsia="SimSun" w:hAnsi="PdgbcgAdvTT5843c571" w:cs="PdgbcgAdvTT5843c571"/>
          <w:sz w:val="20"/>
          <w:szCs w:val="20"/>
          <w:lang w:eastAsia="en-IE"/>
        </w:rPr>
        <w:t xml:space="preserve"> </w:t>
      </w:r>
      <w:r w:rsidR="00CB26A6" w:rsidRPr="0053163B">
        <w:t xml:space="preserve"> It </w:t>
      </w:r>
      <w:r w:rsidR="00707AC9" w:rsidRPr="0053163B">
        <w:t>obliges State</w:t>
      </w:r>
      <w:r w:rsidR="00707AC9">
        <w:t xml:space="preserve"> </w:t>
      </w:r>
      <w:r w:rsidR="00707AC9" w:rsidRPr="0053163B">
        <w:t>Parties to collect appropriate information including statistical and research data, to enable them to formulate and implement policies to give effect to the present Convention.</w:t>
      </w:r>
      <w:r w:rsidR="00707AC9" w:rsidRPr="0053163B">
        <w:rPr>
          <w:rStyle w:val="FootnoteReference"/>
        </w:rPr>
        <w:footnoteReference w:id="19"/>
      </w:r>
      <w:r w:rsidR="00707AC9" w:rsidRPr="0053163B">
        <w:t xml:space="preserve"> </w:t>
      </w:r>
      <w:r w:rsidR="00712D43" w:rsidRPr="0053163B">
        <w:t xml:space="preserve">Article 31 highlights problematic </w:t>
      </w:r>
      <w:r w:rsidR="0006422E" w:rsidRPr="0053163B">
        <w:t>areas in relation</w:t>
      </w:r>
      <w:r w:rsidR="00712D43" w:rsidRPr="0053163B">
        <w:t xml:space="preserve"> to the operationalization of the principles of respect, consent, and privacy. These principles are core aspects of all ethical research involving human subjects but have often been neglected in the treatment of research subjects who are disabled.</w:t>
      </w:r>
      <w:r w:rsidR="00712D43" w:rsidRPr="0053163B">
        <w:rPr>
          <w:rStyle w:val="FootnoteReference"/>
        </w:rPr>
        <w:footnoteReference w:id="20"/>
      </w:r>
      <w:r w:rsidR="00CB26A6" w:rsidRPr="0053163B">
        <w:t xml:space="preserve">  </w:t>
      </w:r>
    </w:p>
    <w:p w14:paraId="38822C62" w14:textId="00EE67B9" w:rsidR="00D604F1" w:rsidRDefault="00765D65" w:rsidP="00301BA0">
      <w:pPr>
        <w:spacing w:line="360" w:lineRule="auto"/>
      </w:pPr>
      <w:r w:rsidRPr="0053163B">
        <w:lastRenderedPageBreak/>
        <w:t xml:space="preserve">Article 31 states explicitly that ethical research practice requires all research participants to be treated with respect. </w:t>
      </w:r>
      <w:r w:rsidR="00D604F1" w:rsidRPr="0053163B">
        <w:t xml:space="preserve">The principle of respect is </w:t>
      </w:r>
      <w:r w:rsidR="00D604F1">
        <w:t xml:space="preserve">also </w:t>
      </w:r>
      <w:r w:rsidR="00D604F1" w:rsidRPr="0053163B">
        <w:t>addressed in CRPD Articles 3, 17</w:t>
      </w:r>
      <w:r w:rsidR="00D604F1">
        <w:t xml:space="preserve"> and</w:t>
      </w:r>
      <w:r w:rsidR="00D604F1" w:rsidRPr="0053163B">
        <w:t xml:space="preserve"> 22.</w:t>
      </w:r>
      <w:r w:rsidR="00D604F1">
        <w:t xml:space="preserve"> </w:t>
      </w:r>
      <w:r w:rsidR="00CB26A6" w:rsidRPr="0053163B">
        <w:t>Th</w:t>
      </w:r>
      <w:r w:rsidRPr="0053163B">
        <w:t>e</w:t>
      </w:r>
      <w:r w:rsidR="00CB26A6" w:rsidRPr="0053163B">
        <w:t xml:space="preserve"> principle includes respect for disabled people’s dignity and for ensuring anonymity, privacy, and confidentiality at all stages of the research, including dissemination of research results and data storage/disposal. </w:t>
      </w:r>
      <w:r w:rsidR="006F6AAA" w:rsidRPr="0053163B">
        <w:t>To ensure that the principle of respect is upheld, researchers can be trained in disability awareness</w:t>
      </w:r>
      <w:r w:rsidR="008E1B83">
        <w:t xml:space="preserve"> as a minimum requirement</w:t>
      </w:r>
      <w:r w:rsidR="006F6AAA" w:rsidRPr="0053163B">
        <w:t>. Strategies for respectful research practice (including respect for privacy and for seeking consent) require planning</w:t>
      </w:r>
      <w:r w:rsidR="0006422E" w:rsidRPr="0053163B">
        <w:t>. For example, in</w:t>
      </w:r>
      <w:r w:rsidR="006F6AAA" w:rsidRPr="0053163B">
        <w:t xml:space="preserve"> settings where privacy may be difficult to ensure or where interpreters may need to be used to facilitate communication between researchers and participants. </w:t>
      </w:r>
    </w:p>
    <w:p w14:paraId="52784D64" w14:textId="21BF434F" w:rsidR="006F6AAA" w:rsidRPr="0053163B" w:rsidRDefault="006F6AAA" w:rsidP="00301BA0">
      <w:pPr>
        <w:spacing w:line="360" w:lineRule="auto"/>
      </w:pPr>
      <w:r w:rsidRPr="0053163B">
        <w:t>Other CRPD Articles</w:t>
      </w:r>
      <w:r w:rsidR="00D604F1">
        <w:t>,</w:t>
      </w:r>
      <w:r w:rsidRPr="0053163B">
        <w:t xml:space="preserve"> while not specifically addressing research ethics</w:t>
      </w:r>
      <w:r w:rsidR="00D604F1">
        <w:t>,</w:t>
      </w:r>
      <w:r w:rsidRPr="0053163B">
        <w:t xml:space="preserve"> have implications for ethics </w:t>
      </w:r>
      <w:r w:rsidR="00CB26A6" w:rsidRPr="0053163B">
        <w:t xml:space="preserve">and practising the principle of respect </w:t>
      </w:r>
      <w:r w:rsidRPr="0053163B">
        <w:t>in disability research. Article 3</w:t>
      </w:r>
      <w:r w:rsidR="00CB26A6" w:rsidRPr="0053163B">
        <w:t>, for example,</w:t>
      </w:r>
      <w:r w:rsidRPr="0053163B">
        <w:t xml:space="preserve"> addresses the following: </w:t>
      </w:r>
    </w:p>
    <w:p w14:paraId="6C3DD7A2" w14:textId="77777777" w:rsidR="006F6AAA" w:rsidRPr="0053163B" w:rsidRDefault="006F6AAA" w:rsidP="00AC7513">
      <w:pPr>
        <w:numPr>
          <w:ilvl w:val="0"/>
          <w:numId w:val="12"/>
        </w:numPr>
        <w:spacing w:line="360" w:lineRule="auto"/>
        <w:contextualSpacing/>
      </w:pPr>
      <w:r w:rsidRPr="0053163B">
        <w:t xml:space="preserve">Respect for inherent dignity, individual autonomy including the freedom to make one's own choices, and independence of </w:t>
      </w:r>
      <w:proofErr w:type="gramStart"/>
      <w:r w:rsidRPr="0053163B">
        <w:t>persons</w:t>
      </w:r>
      <w:proofErr w:type="gramEnd"/>
      <w:r w:rsidRPr="0053163B">
        <w:t xml:space="preserve"> </w:t>
      </w:r>
    </w:p>
    <w:p w14:paraId="1B8647AF" w14:textId="77777777" w:rsidR="006F6AAA" w:rsidRPr="0053163B" w:rsidRDefault="006F6AAA" w:rsidP="00AC7513">
      <w:pPr>
        <w:numPr>
          <w:ilvl w:val="0"/>
          <w:numId w:val="13"/>
        </w:numPr>
        <w:spacing w:line="360" w:lineRule="auto"/>
        <w:contextualSpacing/>
      </w:pPr>
      <w:r w:rsidRPr="0053163B">
        <w:t xml:space="preserve">Respect for difference and acceptance of persons with disabilities as part of human diversity and humanity </w:t>
      </w:r>
    </w:p>
    <w:p w14:paraId="0978B25C" w14:textId="77777777" w:rsidR="006F6AAA" w:rsidRPr="0053163B" w:rsidRDefault="006F6AAA" w:rsidP="00AC7513">
      <w:pPr>
        <w:numPr>
          <w:ilvl w:val="0"/>
          <w:numId w:val="13"/>
        </w:numPr>
        <w:spacing w:line="360" w:lineRule="auto"/>
        <w:contextualSpacing/>
      </w:pPr>
      <w:r w:rsidRPr="0053163B">
        <w:t xml:space="preserve">Non-discrimination </w:t>
      </w:r>
    </w:p>
    <w:p w14:paraId="765F2638" w14:textId="77777777" w:rsidR="006F6AAA" w:rsidRPr="0053163B" w:rsidRDefault="006F6AAA" w:rsidP="00AC7513">
      <w:pPr>
        <w:numPr>
          <w:ilvl w:val="0"/>
          <w:numId w:val="13"/>
        </w:numPr>
        <w:spacing w:line="360" w:lineRule="auto"/>
        <w:contextualSpacing/>
      </w:pPr>
      <w:r w:rsidRPr="0053163B">
        <w:t>Full and effective participation and inclusion</w:t>
      </w:r>
    </w:p>
    <w:p w14:paraId="3B4A3864" w14:textId="77777777" w:rsidR="006F6AAA" w:rsidRPr="0053163B" w:rsidRDefault="006F6AAA" w:rsidP="00AC7513">
      <w:pPr>
        <w:numPr>
          <w:ilvl w:val="0"/>
          <w:numId w:val="13"/>
        </w:numPr>
        <w:spacing w:line="360" w:lineRule="auto"/>
        <w:contextualSpacing/>
      </w:pPr>
      <w:r w:rsidRPr="0053163B">
        <w:t xml:space="preserve">Equality of opportunity </w:t>
      </w:r>
    </w:p>
    <w:p w14:paraId="29622C85" w14:textId="77777777" w:rsidR="006F6AAA" w:rsidRPr="0053163B" w:rsidRDefault="006F6AAA" w:rsidP="00AC7513">
      <w:pPr>
        <w:numPr>
          <w:ilvl w:val="0"/>
          <w:numId w:val="13"/>
        </w:numPr>
        <w:spacing w:line="360" w:lineRule="auto"/>
        <w:contextualSpacing/>
      </w:pPr>
      <w:r w:rsidRPr="0053163B">
        <w:t>Accessibility</w:t>
      </w:r>
    </w:p>
    <w:p w14:paraId="3652BC24" w14:textId="77777777" w:rsidR="006F6AAA" w:rsidRPr="0053163B" w:rsidRDefault="006F6AAA" w:rsidP="00AC7513">
      <w:pPr>
        <w:numPr>
          <w:ilvl w:val="0"/>
          <w:numId w:val="13"/>
        </w:numPr>
        <w:spacing w:line="360" w:lineRule="auto"/>
        <w:contextualSpacing/>
      </w:pPr>
      <w:r w:rsidRPr="0053163B">
        <w:t xml:space="preserve">Equality between men and women </w:t>
      </w:r>
    </w:p>
    <w:p w14:paraId="75393575" w14:textId="6AAE43CD" w:rsidR="002E1CB9" w:rsidRDefault="00125C16" w:rsidP="00301BA0">
      <w:pPr>
        <w:spacing w:line="360" w:lineRule="auto"/>
      </w:pPr>
      <w:bookmarkStart w:id="19" w:name="_Hlk146539155"/>
      <w:r>
        <w:t>While Article 4</w:t>
      </w:r>
      <w:r w:rsidR="006D0782">
        <w:t>.3</w:t>
      </w:r>
      <w:r>
        <w:t xml:space="preserve"> of the CRPD does not address research specifically, </w:t>
      </w:r>
      <w:r w:rsidRPr="00125C16">
        <w:t xml:space="preserve">the content of </w:t>
      </w:r>
      <w:r>
        <w:t>Article</w:t>
      </w:r>
      <w:r w:rsidRPr="00125C16">
        <w:t xml:space="preserve"> </w:t>
      </w:r>
      <w:r>
        <w:t>4</w:t>
      </w:r>
      <w:r w:rsidR="006D0782">
        <w:t>.3</w:t>
      </w:r>
      <w:r>
        <w:t xml:space="preserve"> </w:t>
      </w:r>
      <w:r w:rsidRPr="00125C16">
        <w:t>is of cross-cutting application, since it contains overarching principles that permeate the text of the C</w:t>
      </w:r>
      <w:r>
        <w:t>RPD,</w:t>
      </w:r>
      <w:r w:rsidRPr="00125C16">
        <w:rPr>
          <w:sz w:val="22"/>
          <w:szCs w:val="20"/>
        </w:rPr>
        <w:t xml:space="preserve"> </w:t>
      </w:r>
      <w:r>
        <w:t>including the p</w:t>
      </w:r>
      <w:r w:rsidRPr="00125C16">
        <w:t>romot</w:t>
      </w:r>
      <w:r>
        <w:t>ion</w:t>
      </w:r>
      <w:r w:rsidRPr="00125C16">
        <w:t xml:space="preserve"> of all </w:t>
      </w:r>
      <w:r w:rsidRPr="00125C16">
        <w:lastRenderedPageBreak/>
        <w:t>human rights and fundamental freedoms for all persons with disabilities</w:t>
      </w:r>
      <w:bookmarkEnd w:id="19"/>
      <w:r>
        <w:t>.</w:t>
      </w:r>
      <w:r w:rsidRPr="00125C16">
        <w:rPr>
          <w:rStyle w:val="FootnoteReference"/>
        </w:rPr>
        <w:t xml:space="preserve"> </w:t>
      </w:r>
      <w:r>
        <w:rPr>
          <w:rStyle w:val="FootnoteReference"/>
        </w:rPr>
        <w:footnoteReference w:id="21"/>
      </w:r>
      <w:r>
        <w:t xml:space="preserve"> </w:t>
      </w:r>
      <w:r w:rsidR="002E1CB9">
        <w:t xml:space="preserve">The NDA states </w:t>
      </w:r>
      <w:r w:rsidR="008601B8">
        <w:t>in Participation Matter</w:t>
      </w:r>
      <w:r w:rsidR="00D64428">
        <w:t>s</w:t>
      </w:r>
      <w:r w:rsidR="008601B8">
        <w:t xml:space="preserve"> 2022:</w:t>
      </w:r>
      <w:r w:rsidR="008601B8">
        <w:rPr>
          <w:rStyle w:val="FootnoteReference"/>
        </w:rPr>
        <w:footnoteReference w:id="22"/>
      </w:r>
      <w:r w:rsidR="002E1CB9">
        <w:t xml:space="preserve"> </w:t>
      </w:r>
    </w:p>
    <w:p w14:paraId="756DF62F" w14:textId="55F8EDAA" w:rsidR="002E1CB9" w:rsidRDefault="002E1CB9" w:rsidP="00583583">
      <w:pPr>
        <w:spacing w:line="360" w:lineRule="auto"/>
        <w:ind w:left="454" w:right="454"/>
      </w:pPr>
      <w:r w:rsidRPr="008B0501">
        <w:t>Engagement with DPOs must take place on legislation and policies to implement the Convention, and in other decision-making processes relating to persons with disabilities. Other decision</w:t>
      </w:r>
      <w:r w:rsidR="008601B8" w:rsidRPr="008B0501">
        <w:t>-</w:t>
      </w:r>
      <w:r w:rsidRPr="008B0501">
        <w:t>making processes include, for example, research projects, developing policy advice, developing strategies, guidelines, standards</w:t>
      </w:r>
      <w:r w:rsidR="008601B8" w:rsidRPr="008B0501">
        <w:t>,</w:t>
      </w:r>
      <w:r w:rsidRPr="008B0501">
        <w:t xml:space="preserve"> and codes of practice.</w:t>
      </w:r>
      <w:r w:rsidRPr="002E1CB9">
        <w:t xml:space="preserve"> </w:t>
      </w:r>
    </w:p>
    <w:p w14:paraId="026C214D" w14:textId="22AF5781" w:rsidR="009E46E5" w:rsidRPr="00996A2E" w:rsidRDefault="001B04D4" w:rsidP="008B0501">
      <w:pPr>
        <w:pStyle w:val="PlainText"/>
        <w:spacing w:line="360" w:lineRule="auto"/>
        <w:rPr>
          <w:rFonts w:ascii="Gill Sans MT" w:hAnsi="Gill Sans MT"/>
          <w:sz w:val="26"/>
          <w:szCs w:val="26"/>
        </w:rPr>
      </w:pPr>
      <w:r w:rsidRPr="00583583">
        <w:rPr>
          <w:rFonts w:ascii="Gill Sans MT" w:hAnsi="Gill Sans MT"/>
          <w:sz w:val="26"/>
          <w:szCs w:val="26"/>
        </w:rPr>
        <w:t xml:space="preserve">Research </w:t>
      </w:r>
      <w:r w:rsidR="00FF09BE">
        <w:rPr>
          <w:rFonts w:ascii="Gill Sans MT" w:hAnsi="Gill Sans MT"/>
          <w:sz w:val="26"/>
          <w:szCs w:val="26"/>
        </w:rPr>
        <w:t xml:space="preserve">should </w:t>
      </w:r>
      <w:r w:rsidR="009E46E5">
        <w:rPr>
          <w:rFonts w:ascii="Gill Sans MT" w:hAnsi="Gill Sans MT"/>
          <w:sz w:val="26"/>
          <w:szCs w:val="26"/>
        </w:rPr>
        <w:t xml:space="preserve">always </w:t>
      </w:r>
      <w:r w:rsidR="00FF09BE">
        <w:rPr>
          <w:rFonts w:ascii="Gill Sans MT" w:hAnsi="Gill Sans MT"/>
          <w:sz w:val="26"/>
          <w:szCs w:val="26"/>
        </w:rPr>
        <w:t xml:space="preserve">be </w:t>
      </w:r>
      <w:r w:rsidRPr="00583583">
        <w:rPr>
          <w:rFonts w:ascii="Gill Sans MT" w:hAnsi="Gill Sans MT"/>
          <w:sz w:val="26"/>
          <w:szCs w:val="26"/>
        </w:rPr>
        <w:t xml:space="preserve">conducted within the Human Rights model. </w:t>
      </w:r>
      <w:bookmarkStart w:id="20" w:name="_Hlk148016358"/>
      <w:r w:rsidR="009E46E5" w:rsidRPr="00B530B0">
        <w:rPr>
          <w:rFonts w:ascii="Gill Sans MT" w:hAnsi="Gill Sans MT"/>
          <w:sz w:val="26"/>
          <w:szCs w:val="26"/>
        </w:rPr>
        <w:t xml:space="preserve">Research agendas can often overlook the rights and needs of those with </w:t>
      </w:r>
      <w:r w:rsidR="005B3734">
        <w:rPr>
          <w:rFonts w:ascii="Gill Sans MT" w:hAnsi="Gill Sans MT"/>
          <w:sz w:val="26"/>
          <w:szCs w:val="26"/>
        </w:rPr>
        <w:t xml:space="preserve">the </w:t>
      </w:r>
      <w:r w:rsidR="009E46E5" w:rsidRPr="00B530B0">
        <w:rPr>
          <w:rFonts w:ascii="Gill Sans MT" w:hAnsi="Gill Sans MT"/>
          <w:sz w:val="26"/>
          <w:szCs w:val="26"/>
        </w:rPr>
        <w:t xml:space="preserve">least resources and supports </w:t>
      </w:r>
      <w:r w:rsidR="005B3734">
        <w:rPr>
          <w:rFonts w:ascii="Gill Sans MT" w:hAnsi="Gill Sans MT"/>
          <w:sz w:val="26"/>
          <w:szCs w:val="26"/>
        </w:rPr>
        <w:t xml:space="preserve">and </w:t>
      </w:r>
      <w:r w:rsidR="008E1B83" w:rsidRPr="008E1B83">
        <w:rPr>
          <w:rFonts w:ascii="Gill Sans MT" w:hAnsi="Gill Sans MT"/>
          <w:sz w:val="26"/>
          <w:szCs w:val="26"/>
          <w:lang w:val="x-none"/>
        </w:rPr>
        <w:t>those who communicate using non</w:t>
      </w:r>
      <w:r w:rsidR="008E1B83">
        <w:rPr>
          <w:rFonts w:ascii="Gill Sans MT" w:hAnsi="Gill Sans MT"/>
          <w:sz w:val="26"/>
          <w:szCs w:val="26"/>
        </w:rPr>
        <w:t>-</w:t>
      </w:r>
      <w:r w:rsidR="008E1B83" w:rsidRPr="008E1B83">
        <w:rPr>
          <w:rFonts w:ascii="Gill Sans MT" w:hAnsi="Gill Sans MT"/>
          <w:sz w:val="26"/>
          <w:szCs w:val="26"/>
          <w:lang w:val="x-none"/>
        </w:rPr>
        <w:t>verbal means</w:t>
      </w:r>
      <w:r w:rsidR="005B3734">
        <w:rPr>
          <w:rFonts w:ascii="Gill Sans MT" w:hAnsi="Gill Sans MT"/>
          <w:sz w:val="26"/>
          <w:szCs w:val="26"/>
        </w:rPr>
        <w:t>.</w:t>
      </w:r>
      <w:bookmarkEnd w:id="20"/>
      <w:r w:rsidR="005B3734">
        <w:rPr>
          <w:rFonts w:ascii="Gill Sans MT" w:hAnsi="Gill Sans MT"/>
          <w:sz w:val="26"/>
          <w:szCs w:val="26"/>
        </w:rPr>
        <w:t xml:space="preserve"> I</w:t>
      </w:r>
      <w:r w:rsidR="009E46E5" w:rsidRPr="00B530B0">
        <w:rPr>
          <w:rFonts w:ascii="Gill Sans MT" w:hAnsi="Gill Sans MT"/>
          <w:sz w:val="26"/>
          <w:szCs w:val="26"/>
        </w:rPr>
        <w:t>t is more difficult to get participants from this part of the population</w:t>
      </w:r>
      <w:r w:rsidR="005B3734">
        <w:rPr>
          <w:rFonts w:ascii="Gill Sans MT" w:hAnsi="Gill Sans MT"/>
          <w:sz w:val="26"/>
          <w:szCs w:val="26"/>
        </w:rPr>
        <w:t xml:space="preserve"> and protecting h</w:t>
      </w:r>
      <w:r w:rsidRPr="00583583">
        <w:rPr>
          <w:rFonts w:ascii="Gill Sans MT" w:hAnsi="Gill Sans MT"/>
          <w:sz w:val="26"/>
          <w:szCs w:val="26"/>
        </w:rPr>
        <w:t xml:space="preserve">uman </w:t>
      </w:r>
      <w:r w:rsidR="009E46E5">
        <w:rPr>
          <w:rFonts w:ascii="Gill Sans MT" w:hAnsi="Gill Sans MT"/>
          <w:sz w:val="26"/>
          <w:szCs w:val="26"/>
        </w:rPr>
        <w:t>r</w:t>
      </w:r>
      <w:r w:rsidRPr="00583583">
        <w:rPr>
          <w:rFonts w:ascii="Gill Sans MT" w:hAnsi="Gill Sans MT"/>
          <w:sz w:val="26"/>
          <w:szCs w:val="26"/>
        </w:rPr>
        <w:t xml:space="preserve">ights </w:t>
      </w:r>
      <w:r w:rsidR="009E46E5">
        <w:rPr>
          <w:rFonts w:ascii="Gill Sans MT" w:hAnsi="Gill Sans MT"/>
          <w:sz w:val="26"/>
          <w:szCs w:val="26"/>
        </w:rPr>
        <w:t xml:space="preserve">include </w:t>
      </w:r>
      <w:r w:rsidR="00FF09BE">
        <w:rPr>
          <w:rFonts w:ascii="Gill Sans MT" w:hAnsi="Gill Sans MT"/>
          <w:sz w:val="26"/>
          <w:szCs w:val="26"/>
        </w:rPr>
        <w:t xml:space="preserve">learning how to </w:t>
      </w:r>
      <w:r w:rsidRPr="00583583">
        <w:rPr>
          <w:rFonts w:ascii="Gill Sans MT" w:hAnsi="Gill Sans MT"/>
          <w:sz w:val="26"/>
          <w:szCs w:val="26"/>
        </w:rPr>
        <w:t>protect the rights of minorities</w:t>
      </w:r>
      <w:r w:rsidR="009E46E5" w:rsidRPr="00583583">
        <w:rPr>
          <w:rFonts w:ascii="Gill Sans MT" w:hAnsi="Gill Sans MT"/>
          <w:sz w:val="26"/>
          <w:szCs w:val="26"/>
        </w:rPr>
        <w:t>.</w:t>
      </w:r>
      <w:r w:rsidRPr="00583583">
        <w:rPr>
          <w:rFonts w:ascii="Gill Sans MT" w:hAnsi="Gill Sans MT"/>
          <w:sz w:val="26"/>
          <w:szCs w:val="26"/>
        </w:rPr>
        <w:t xml:space="preserve"> For example, if a focus group of </w:t>
      </w:r>
      <w:r w:rsidR="009E46E5" w:rsidRPr="00583583">
        <w:rPr>
          <w:rFonts w:ascii="Gill Sans MT" w:hAnsi="Gill Sans MT"/>
          <w:sz w:val="26"/>
          <w:szCs w:val="26"/>
        </w:rPr>
        <w:t>ten</w:t>
      </w:r>
      <w:r w:rsidRPr="00583583">
        <w:rPr>
          <w:rFonts w:ascii="Gill Sans MT" w:hAnsi="Gill Sans MT"/>
          <w:sz w:val="26"/>
          <w:szCs w:val="26"/>
        </w:rPr>
        <w:t xml:space="preserve"> visually impaired people respond that none </w:t>
      </w:r>
      <w:r w:rsidRPr="00583583">
        <w:rPr>
          <w:rFonts w:ascii="Gill Sans MT" w:hAnsi="Gill Sans MT"/>
          <w:sz w:val="26"/>
          <w:szCs w:val="26"/>
        </w:rPr>
        <w:lastRenderedPageBreak/>
        <w:t>of them could read braille, and as such, the availability of braille was not a concern for them</w:t>
      </w:r>
      <w:r w:rsidR="00FF09BE">
        <w:rPr>
          <w:rFonts w:ascii="Gill Sans MT" w:hAnsi="Gill Sans MT"/>
          <w:sz w:val="26"/>
          <w:szCs w:val="26"/>
        </w:rPr>
        <w:t>, this</w:t>
      </w:r>
      <w:r w:rsidRPr="00583583">
        <w:rPr>
          <w:rFonts w:ascii="Gill Sans MT" w:hAnsi="Gill Sans MT"/>
          <w:sz w:val="26"/>
          <w:szCs w:val="26"/>
        </w:rPr>
        <w:t xml:space="preserve"> could run the risk of ignoring the fact that access to braille is a </w:t>
      </w:r>
      <w:r w:rsidR="009E46E5">
        <w:rPr>
          <w:rFonts w:ascii="Gill Sans MT" w:hAnsi="Gill Sans MT"/>
          <w:sz w:val="26"/>
          <w:szCs w:val="26"/>
        </w:rPr>
        <w:t>h</w:t>
      </w:r>
      <w:r w:rsidRPr="00583583">
        <w:rPr>
          <w:rFonts w:ascii="Gill Sans MT" w:hAnsi="Gill Sans MT"/>
          <w:sz w:val="26"/>
          <w:szCs w:val="26"/>
        </w:rPr>
        <w:t xml:space="preserve">uman </w:t>
      </w:r>
      <w:r w:rsidR="009E46E5">
        <w:rPr>
          <w:rFonts w:ascii="Gill Sans MT" w:hAnsi="Gill Sans MT"/>
          <w:sz w:val="26"/>
          <w:szCs w:val="26"/>
        </w:rPr>
        <w:t>r</w:t>
      </w:r>
      <w:r w:rsidRPr="00583583">
        <w:rPr>
          <w:rFonts w:ascii="Gill Sans MT" w:hAnsi="Gill Sans MT"/>
          <w:sz w:val="26"/>
          <w:szCs w:val="26"/>
        </w:rPr>
        <w:t xml:space="preserve">ight, regardless of </w:t>
      </w:r>
      <w:r w:rsidR="009E46E5" w:rsidRPr="00583583">
        <w:rPr>
          <w:rFonts w:ascii="Gill Sans MT" w:hAnsi="Gill Sans MT"/>
          <w:sz w:val="26"/>
          <w:szCs w:val="26"/>
        </w:rPr>
        <w:t xml:space="preserve">the </w:t>
      </w:r>
      <w:r w:rsidR="00FF09BE">
        <w:rPr>
          <w:rFonts w:ascii="Gill Sans MT" w:hAnsi="Gill Sans MT"/>
          <w:sz w:val="26"/>
          <w:szCs w:val="26"/>
        </w:rPr>
        <w:t xml:space="preserve">actual </w:t>
      </w:r>
      <w:r w:rsidRPr="00583583">
        <w:rPr>
          <w:rFonts w:ascii="Gill Sans MT" w:hAnsi="Gill Sans MT"/>
          <w:sz w:val="26"/>
          <w:szCs w:val="26"/>
        </w:rPr>
        <w:t>number</w:t>
      </w:r>
      <w:r w:rsidR="00FF09BE">
        <w:rPr>
          <w:rFonts w:ascii="Gill Sans MT" w:hAnsi="Gill Sans MT"/>
          <w:sz w:val="26"/>
          <w:szCs w:val="26"/>
        </w:rPr>
        <w:t>s</w:t>
      </w:r>
      <w:r w:rsidRPr="00583583">
        <w:rPr>
          <w:rFonts w:ascii="Gill Sans MT" w:hAnsi="Gill Sans MT"/>
          <w:sz w:val="26"/>
          <w:szCs w:val="26"/>
        </w:rPr>
        <w:t xml:space="preserve"> of </w:t>
      </w:r>
      <w:r w:rsidR="009E46E5" w:rsidRPr="00583583">
        <w:rPr>
          <w:rFonts w:ascii="Gill Sans MT" w:hAnsi="Gill Sans MT"/>
          <w:sz w:val="26"/>
          <w:szCs w:val="26"/>
        </w:rPr>
        <w:t xml:space="preserve">Braille </w:t>
      </w:r>
      <w:r w:rsidRPr="00583583">
        <w:rPr>
          <w:rFonts w:ascii="Gill Sans MT" w:hAnsi="Gill Sans MT"/>
          <w:sz w:val="26"/>
          <w:szCs w:val="26"/>
        </w:rPr>
        <w:t>readers</w:t>
      </w:r>
      <w:r w:rsidR="009E46E5" w:rsidRPr="00583583">
        <w:rPr>
          <w:rFonts w:ascii="Gill Sans MT" w:hAnsi="Gill Sans MT"/>
          <w:sz w:val="26"/>
          <w:szCs w:val="26"/>
        </w:rPr>
        <w:t xml:space="preserve">. </w:t>
      </w:r>
      <w:r w:rsidR="00FF09BE">
        <w:rPr>
          <w:rFonts w:ascii="Gill Sans MT" w:hAnsi="Gill Sans MT"/>
          <w:sz w:val="26"/>
          <w:szCs w:val="26"/>
        </w:rPr>
        <w:t xml:space="preserve">Closely </w:t>
      </w:r>
      <w:r w:rsidR="00FF09BE" w:rsidRPr="00996A2E">
        <w:rPr>
          <w:rFonts w:ascii="Gill Sans MT" w:hAnsi="Gill Sans MT"/>
          <w:sz w:val="26"/>
          <w:szCs w:val="26"/>
        </w:rPr>
        <w:t xml:space="preserve">consulting with DPOs from the start of and during the research process can mitigate </w:t>
      </w:r>
      <w:r w:rsidR="009E46E5" w:rsidRPr="00996A2E">
        <w:rPr>
          <w:rFonts w:ascii="Gill Sans MT" w:eastAsia="Calibri" w:hAnsi="Gill Sans MT"/>
          <w:sz w:val="26"/>
          <w:szCs w:val="26"/>
        </w:rPr>
        <w:t>against such biases</w:t>
      </w:r>
      <w:r w:rsidR="00583583" w:rsidRPr="00996A2E">
        <w:rPr>
          <w:rFonts w:ascii="Gill Sans MT" w:eastAsia="Calibri" w:hAnsi="Gill Sans MT"/>
          <w:sz w:val="26"/>
          <w:szCs w:val="26"/>
        </w:rPr>
        <w:t xml:space="preserve"> </w:t>
      </w:r>
      <w:r w:rsidR="009E46E5" w:rsidRPr="00996A2E">
        <w:rPr>
          <w:rFonts w:ascii="Gill Sans MT" w:eastAsia="Calibri" w:hAnsi="Gill Sans MT"/>
          <w:sz w:val="26"/>
          <w:szCs w:val="26"/>
        </w:rPr>
        <w:t>and allow for research which is more accessible for visually impaired people in general, and not just the model minority.</w:t>
      </w:r>
      <w:r w:rsidR="00583583" w:rsidRPr="00996A2E">
        <w:rPr>
          <w:rFonts w:ascii="Gill Sans MT" w:eastAsia="Calibri" w:hAnsi="Gill Sans MT"/>
          <w:sz w:val="26"/>
          <w:szCs w:val="26"/>
        </w:rPr>
        <w:t xml:space="preserve"> </w:t>
      </w:r>
      <w:r w:rsidR="009E46E5" w:rsidRPr="00996A2E">
        <w:rPr>
          <w:rFonts w:ascii="Gill Sans MT" w:eastAsia="Calibri" w:hAnsi="Gill Sans MT"/>
          <w:sz w:val="26"/>
          <w:szCs w:val="26"/>
        </w:rPr>
        <w:t xml:space="preserve">Such close consultation from the concept stage </w:t>
      </w:r>
      <w:r w:rsidR="00583583" w:rsidRPr="00996A2E">
        <w:rPr>
          <w:rFonts w:ascii="Gill Sans MT" w:eastAsia="Calibri" w:hAnsi="Gill Sans MT"/>
          <w:sz w:val="26"/>
          <w:szCs w:val="26"/>
        </w:rPr>
        <w:t xml:space="preserve">can </w:t>
      </w:r>
      <w:r w:rsidR="009E46E5" w:rsidRPr="00996A2E">
        <w:rPr>
          <w:rFonts w:ascii="Gill Sans MT" w:eastAsia="Calibri" w:hAnsi="Gill Sans MT"/>
          <w:sz w:val="26"/>
          <w:szCs w:val="26"/>
        </w:rPr>
        <w:t>also ensure that there</w:t>
      </w:r>
      <w:r w:rsidR="00583583" w:rsidRPr="00996A2E">
        <w:rPr>
          <w:rFonts w:ascii="Gill Sans MT" w:eastAsia="Calibri" w:hAnsi="Gill Sans MT"/>
          <w:sz w:val="26"/>
          <w:szCs w:val="26"/>
        </w:rPr>
        <w:t xml:space="preserve"> is </w:t>
      </w:r>
      <w:r w:rsidR="009E46E5" w:rsidRPr="00996A2E">
        <w:rPr>
          <w:rFonts w:ascii="Gill Sans MT" w:eastAsia="Calibri" w:hAnsi="Gill Sans MT"/>
          <w:sz w:val="26"/>
          <w:szCs w:val="26"/>
        </w:rPr>
        <w:t>no unnecessary replication of previous research.</w:t>
      </w:r>
    </w:p>
    <w:p w14:paraId="09463D13" w14:textId="77777777" w:rsidR="009E46E5" w:rsidRPr="009E46E5" w:rsidRDefault="009E46E5" w:rsidP="008B0501">
      <w:pPr>
        <w:spacing w:after="0" w:line="360" w:lineRule="auto"/>
        <w:rPr>
          <w:rFonts w:ascii="Calibri" w:eastAsia="Calibri" w:hAnsi="Calibri"/>
          <w:sz w:val="22"/>
          <w:szCs w:val="21"/>
        </w:rPr>
      </w:pPr>
    </w:p>
    <w:p w14:paraId="2B47267A" w14:textId="2503B098" w:rsidR="00216B51" w:rsidRDefault="003E1798" w:rsidP="00301BA0">
      <w:pPr>
        <w:spacing w:line="360" w:lineRule="auto"/>
        <w:rPr>
          <w:lang w:val="en-GB"/>
        </w:rPr>
      </w:pPr>
      <w:r>
        <w:rPr>
          <w:lang w:val="en-GB"/>
        </w:rPr>
        <w:t>Disability r</w:t>
      </w:r>
      <w:r w:rsidRPr="004C1D75">
        <w:rPr>
          <w:lang w:val="en-GB"/>
        </w:rPr>
        <w:t xml:space="preserve">esearch </w:t>
      </w:r>
      <w:r>
        <w:rPr>
          <w:lang w:val="en-GB"/>
        </w:rPr>
        <w:t xml:space="preserve">can track progress in social participation and inclusion and the attainment of human rights as </w:t>
      </w:r>
      <w:r w:rsidR="008D61C1">
        <w:rPr>
          <w:lang w:val="en-GB"/>
        </w:rPr>
        <w:t xml:space="preserve">specified </w:t>
      </w:r>
      <w:r>
        <w:rPr>
          <w:lang w:val="en-GB"/>
        </w:rPr>
        <w:t xml:space="preserve">in the CRPD; </w:t>
      </w:r>
      <w:r w:rsidR="008D61C1" w:rsidRPr="004C1D75">
        <w:rPr>
          <w:lang w:val="en-GB"/>
        </w:rPr>
        <w:t>evaluat</w:t>
      </w:r>
      <w:r w:rsidR="008D61C1">
        <w:rPr>
          <w:lang w:val="en-GB"/>
        </w:rPr>
        <w:t xml:space="preserve">e if the supports and services provided are giving equal opportunities to disabled people to live their lives as fully as possible; and </w:t>
      </w:r>
      <w:r>
        <w:rPr>
          <w:lang w:val="en-GB"/>
        </w:rPr>
        <w:t xml:space="preserve">investigate </w:t>
      </w:r>
      <w:r w:rsidRPr="004C1D75">
        <w:rPr>
          <w:lang w:val="en-GB"/>
        </w:rPr>
        <w:t xml:space="preserve">how social and economic change </w:t>
      </w:r>
      <w:r>
        <w:rPr>
          <w:lang w:val="en-GB"/>
        </w:rPr>
        <w:t>are affecting</w:t>
      </w:r>
      <w:r w:rsidRPr="004C1D75">
        <w:rPr>
          <w:lang w:val="en-GB"/>
        </w:rPr>
        <w:t xml:space="preserve"> </w:t>
      </w:r>
      <w:r>
        <w:rPr>
          <w:lang w:val="en-GB"/>
        </w:rPr>
        <w:t xml:space="preserve">disabled people. </w:t>
      </w:r>
      <w:r w:rsidR="00C93FD2">
        <w:rPr>
          <w:lang w:val="en-GB"/>
        </w:rPr>
        <w:t xml:space="preserve">As well as being </w:t>
      </w:r>
      <w:r w:rsidR="00C93FD2" w:rsidRPr="00C93FD2">
        <w:rPr>
          <w:lang w:val="en-GB"/>
        </w:rPr>
        <w:t>highlighted by the CRPD and the EU</w:t>
      </w:r>
      <w:r w:rsidR="00C93FD2">
        <w:rPr>
          <w:lang w:val="en-GB"/>
        </w:rPr>
        <w:t>, t</w:t>
      </w:r>
      <w:r w:rsidR="00DF55EA" w:rsidRPr="004C1D75">
        <w:rPr>
          <w:lang w:val="en-GB"/>
        </w:rPr>
        <w:t xml:space="preserve">he importance of research and data related to disability </w:t>
      </w:r>
      <w:r w:rsidR="00232D87">
        <w:rPr>
          <w:lang w:val="en-GB"/>
        </w:rPr>
        <w:t xml:space="preserve">was </w:t>
      </w:r>
      <w:r w:rsidR="00DF55EA" w:rsidRPr="004C1D75">
        <w:rPr>
          <w:lang w:val="en-GB"/>
        </w:rPr>
        <w:t xml:space="preserve">underscored </w:t>
      </w:r>
      <w:r w:rsidR="00DF55EA">
        <w:rPr>
          <w:lang w:val="en-GB"/>
        </w:rPr>
        <w:t>in</w:t>
      </w:r>
      <w:r w:rsidR="008D61C1">
        <w:rPr>
          <w:lang w:val="en-GB"/>
        </w:rPr>
        <w:t xml:space="preserve"> Ireland</w:t>
      </w:r>
      <w:r w:rsidR="00DF55EA">
        <w:rPr>
          <w:lang w:val="en-GB"/>
        </w:rPr>
        <w:t xml:space="preserve"> </w:t>
      </w:r>
      <w:r w:rsidR="008D61C1">
        <w:rPr>
          <w:lang w:val="en-GB"/>
        </w:rPr>
        <w:t xml:space="preserve">in </w:t>
      </w:r>
      <w:r w:rsidR="00DF55EA" w:rsidRPr="004C1D75">
        <w:rPr>
          <w:lang w:val="en-GB"/>
        </w:rPr>
        <w:t xml:space="preserve">the </w:t>
      </w:r>
      <w:r w:rsidR="00DF55EA" w:rsidRPr="00C7726D">
        <w:rPr>
          <w:lang w:val="en-GB"/>
        </w:rPr>
        <w:t xml:space="preserve">Report of the Commission on the Status of People with Disabilities </w:t>
      </w:r>
      <w:r w:rsidR="00DF55EA" w:rsidRPr="004C1D75">
        <w:rPr>
          <w:lang w:val="en-GB"/>
        </w:rPr>
        <w:t>(1996)</w:t>
      </w:r>
      <w:r w:rsidR="0071669B">
        <w:rPr>
          <w:rStyle w:val="FootnoteReference"/>
          <w:lang w:val="en-GB"/>
        </w:rPr>
        <w:footnoteReference w:id="23"/>
      </w:r>
      <w:r w:rsidR="00C93FD2">
        <w:rPr>
          <w:lang w:val="en-GB"/>
        </w:rPr>
        <w:t xml:space="preserve"> </w:t>
      </w:r>
      <w:r w:rsidRPr="004C1D75">
        <w:rPr>
          <w:lang w:val="en-GB"/>
        </w:rPr>
        <w:t>and</w:t>
      </w:r>
      <w:r>
        <w:rPr>
          <w:lang w:val="en-GB"/>
        </w:rPr>
        <w:t xml:space="preserve">, in an ongoing way by the </w:t>
      </w:r>
      <w:r w:rsidR="00C93FD2">
        <w:rPr>
          <w:lang w:val="en-GB"/>
        </w:rPr>
        <w:t xml:space="preserve">Irish </w:t>
      </w:r>
      <w:r>
        <w:rPr>
          <w:lang w:val="en-GB"/>
        </w:rPr>
        <w:t xml:space="preserve">government and </w:t>
      </w:r>
      <w:r w:rsidR="00C93FD2">
        <w:rPr>
          <w:lang w:val="en-GB"/>
        </w:rPr>
        <w:t xml:space="preserve">various </w:t>
      </w:r>
      <w:r>
        <w:rPr>
          <w:lang w:val="en-GB"/>
        </w:rPr>
        <w:t xml:space="preserve">national statutory bodies. </w:t>
      </w:r>
      <w:r w:rsidR="00216B51">
        <w:rPr>
          <w:lang w:val="en-GB"/>
        </w:rPr>
        <w:t xml:space="preserve">A recent initiative by the Government of Ireland called Creating Our Future, facilitated a national conversation on research in Ireland. Over </w:t>
      </w:r>
      <w:r w:rsidR="00583583">
        <w:rPr>
          <w:lang w:val="en-GB"/>
        </w:rPr>
        <w:t xml:space="preserve">eighteen </w:t>
      </w:r>
      <w:r w:rsidR="00216B51">
        <w:rPr>
          <w:lang w:val="en-GB"/>
        </w:rPr>
        <w:t>thousand submissions were received</w:t>
      </w:r>
      <w:r w:rsidR="00611716">
        <w:rPr>
          <w:lang w:val="en-GB"/>
        </w:rPr>
        <w:t>,</w:t>
      </w:r>
      <w:r w:rsidR="00216B51">
        <w:rPr>
          <w:lang w:val="en-GB"/>
        </w:rPr>
        <w:t xml:space="preserve"> and these were summarised into 16 themes. Several themes are relevant to the lives of disabled people including enhancing a </w:t>
      </w:r>
      <w:r w:rsidR="006F6AAA">
        <w:rPr>
          <w:lang w:val="en-GB"/>
        </w:rPr>
        <w:t>person-centred</w:t>
      </w:r>
      <w:r w:rsidR="00216B51">
        <w:rPr>
          <w:lang w:val="en-GB"/>
        </w:rPr>
        <w:t xml:space="preserve"> approach to health and social care, promoting equality, </w:t>
      </w:r>
      <w:proofErr w:type="gramStart"/>
      <w:r w:rsidR="00216B51">
        <w:rPr>
          <w:lang w:val="en-GB"/>
        </w:rPr>
        <w:t>diversity</w:t>
      </w:r>
      <w:proofErr w:type="gramEnd"/>
      <w:r w:rsidR="00216B51">
        <w:rPr>
          <w:lang w:val="en-GB"/>
        </w:rPr>
        <w:t xml:space="preserve"> and inclusion in Ireland, and valuing and connecting community.</w:t>
      </w:r>
      <w:r w:rsidR="00216B51">
        <w:rPr>
          <w:rStyle w:val="FootnoteReference"/>
          <w:lang w:val="en-GB"/>
        </w:rPr>
        <w:footnoteReference w:id="24"/>
      </w:r>
      <w:r w:rsidR="00216B51">
        <w:rPr>
          <w:lang w:val="en-GB"/>
        </w:rPr>
        <w:t xml:space="preserve"> </w:t>
      </w:r>
    </w:p>
    <w:p w14:paraId="7DC5AC16" w14:textId="365F2AAF" w:rsidR="00E636DA" w:rsidRPr="00E636DA" w:rsidRDefault="005F09E7" w:rsidP="00301BA0">
      <w:pPr>
        <w:spacing w:line="360" w:lineRule="auto"/>
      </w:pPr>
      <w:r>
        <w:lastRenderedPageBreak/>
        <w:t>H</w:t>
      </w:r>
      <w:r w:rsidR="00C93FD2">
        <w:t xml:space="preserve">ow </w:t>
      </w:r>
      <w:r>
        <w:t>disability research data</w:t>
      </w:r>
      <w:r w:rsidR="00C93FD2">
        <w:t xml:space="preserve"> is reported and disseminated </w:t>
      </w:r>
      <w:r w:rsidR="00E636DA" w:rsidRPr="00E636DA">
        <w:t xml:space="preserve">is </w:t>
      </w:r>
      <w:r w:rsidR="00C93FD2">
        <w:t xml:space="preserve">an important </w:t>
      </w:r>
      <w:r w:rsidR="00E636DA" w:rsidRPr="00E636DA">
        <w:t>part of the research process and must be conducted under the same ethical principles</w:t>
      </w:r>
      <w:r w:rsidR="00E636DA">
        <w:t xml:space="preserve">, i.e., </w:t>
      </w:r>
      <w:r w:rsidR="008D61C1">
        <w:t xml:space="preserve">data </w:t>
      </w:r>
      <w:r w:rsidR="00C93FD2">
        <w:t xml:space="preserve">should be </w:t>
      </w:r>
      <w:r w:rsidR="00E636DA">
        <w:t xml:space="preserve">accessible, disaggregated as appropriate and used to </w:t>
      </w:r>
      <w:r w:rsidR="00E636DA" w:rsidRPr="00E636DA">
        <w:rPr>
          <w:iCs/>
        </w:rPr>
        <w:t>address the barriers faced by disabled persons in exercising their rights</w:t>
      </w:r>
      <w:r w:rsidR="00E636DA">
        <w:rPr>
          <w:iCs/>
        </w:rPr>
        <w:t>.</w:t>
      </w:r>
      <w:r w:rsidR="00A4421F">
        <w:rPr>
          <w:iCs/>
        </w:rPr>
        <w:t xml:space="preserve"> </w:t>
      </w:r>
      <w:r w:rsidR="00E636DA" w:rsidRPr="00E636DA">
        <w:rPr>
          <w:iCs/>
        </w:rPr>
        <w:t xml:space="preserve">Researchers </w:t>
      </w:r>
      <w:r w:rsidR="00E636DA">
        <w:rPr>
          <w:iCs/>
        </w:rPr>
        <w:t xml:space="preserve">need to </w:t>
      </w:r>
      <w:r w:rsidR="00E636DA" w:rsidRPr="00E636DA">
        <w:rPr>
          <w:iCs/>
        </w:rPr>
        <w:t xml:space="preserve">be cognisant of the potential harms of reporting and take care in </w:t>
      </w:r>
      <w:r w:rsidR="008D61C1">
        <w:rPr>
          <w:iCs/>
        </w:rPr>
        <w:t xml:space="preserve">the </w:t>
      </w:r>
      <w:r w:rsidR="00E636DA" w:rsidRPr="00E636DA">
        <w:rPr>
          <w:iCs/>
        </w:rPr>
        <w:t>interpret</w:t>
      </w:r>
      <w:r w:rsidR="008D61C1">
        <w:rPr>
          <w:iCs/>
        </w:rPr>
        <w:t>ation</w:t>
      </w:r>
      <w:r w:rsidR="00E636DA" w:rsidRPr="00E636DA">
        <w:rPr>
          <w:iCs/>
        </w:rPr>
        <w:t xml:space="preserve"> and </w:t>
      </w:r>
      <w:r w:rsidR="008D61C1" w:rsidRPr="00E636DA">
        <w:rPr>
          <w:iCs/>
        </w:rPr>
        <w:t>publicat</w:t>
      </w:r>
      <w:r w:rsidR="008D61C1">
        <w:rPr>
          <w:iCs/>
        </w:rPr>
        <w:t>ion of</w:t>
      </w:r>
      <w:r w:rsidR="00E636DA" w:rsidRPr="00E636DA">
        <w:rPr>
          <w:iCs/>
        </w:rPr>
        <w:t xml:space="preserve"> study results</w:t>
      </w:r>
      <w:r w:rsidR="00E636DA">
        <w:rPr>
          <w:iCs/>
        </w:rPr>
        <w:t>.</w:t>
      </w:r>
      <w:r w:rsidR="00E636DA">
        <w:rPr>
          <w:rStyle w:val="FootnoteReference"/>
          <w:iCs/>
        </w:rPr>
        <w:footnoteReference w:id="25"/>
      </w:r>
      <w:r w:rsidR="00216B51">
        <w:rPr>
          <w:iCs/>
        </w:rPr>
        <w:t xml:space="preserve"> The pending National Data Equality Strategy should be helpful in this regard. </w:t>
      </w:r>
    </w:p>
    <w:p w14:paraId="2E0B6222" w14:textId="42E87D4E" w:rsidR="00FF73C1" w:rsidRPr="004D1BCA" w:rsidRDefault="00E05807" w:rsidP="00301BA0">
      <w:pPr>
        <w:spacing w:line="360" w:lineRule="auto"/>
        <w:rPr>
          <w:lang w:val="en-GB"/>
        </w:rPr>
      </w:pPr>
      <w:r>
        <w:rPr>
          <w:lang w:val="en-GB"/>
        </w:rPr>
        <w:t>While the development of ethical practice has progressed, there is a documented history of abuse, particularly in health research, where participants’ interests were sacrificed for scientific/state gain.</w:t>
      </w:r>
      <w:r>
        <w:rPr>
          <w:rStyle w:val="FootnoteReference"/>
          <w:lang w:val="en-GB"/>
        </w:rPr>
        <w:footnoteReference w:id="26"/>
      </w:r>
      <w:r>
        <w:rPr>
          <w:lang w:val="en-GB"/>
        </w:rPr>
        <w:t xml:space="preserve"> </w:t>
      </w:r>
      <w:r w:rsidR="000A5465" w:rsidRPr="004D1BCA">
        <w:rPr>
          <w:iCs/>
        </w:rPr>
        <w:t xml:space="preserve">Disability research </w:t>
      </w:r>
      <w:r w:rsidR="00FF73C1" w:rsidRPr="004D1BCA">
        <w:rPr>
          <w:iCs/>
          <w:lang w:val="en-GB"/>
        </w:rPr>
        <w:t xml:space="preserve">can present challenges to operationalizing research ethics principles, such as informed consent, confidentiality, privacy, respect, and equality. </w:t>
      </w:r>
      <w:r w:rsidR="00FF73C1" w:rsidRPr="004D1BCA">
        <w:rPr>
          <w:iCs/>
        </w:rPr>
        <w:t xml:space="preserve">Ethical </w:t>
      </w:r>
      <w:r w:rsidR="000A5465" w:rsidRPr="004D1BCA">
        <w:rPr>
          <w:iCs/>
        </w:rPr>
        <w:t>requirements are not always met where researchers, along</w:t>
      </w:r>
      <w:r w:rsidR="00FF73C1" w:rsidRPr="004D1BCA">
        <w:rPr>
          <w:iCs/>
        </w:rPr>
        <w:t xml:space="preserve">side </w:t>
      </w:r>
      <w:r w:rsidR="000A5465" w:rsidRPr="004D1BCA">
        <w:rPr>
          <w:iCs/>
        </w:rPr>
        <w:t xml:space="preserve">research funders and managers, are not well trained or informed in the field. Indeed, some practitioners </w:t>
      </w:r>
      <w:r w:rsidR="00FF73C1" w:rsidRPr="004D1BCA">
        <w:rPr>
          <w:iCs/>
        </w:rPr>
        <w:t xml:space="preserve">may </w:t>
      </w:r>
      <w:r w:rsidR="000A5465" w:rsidRPr="004D1BCA">
        <w:rPr>
          <w:iCs/>
        </w:rPr>
        <w:t xml:space="preserve">avoid ethical requirements because of their resource implications. </w:t>
      </w:r>
      <w:r w:rsidR="004D1BCA" w:rsidRPr="004D1BCA">
        <w:rPr>
          <w:iCs/>
        </w:rPr>
        <w:t>Indeed, Good contends that w</w:t>
      </w:r>
      <w:r w:rsidR="000A5465" w:rsidRPr="004D1BCA">
        <w:rPr>
          <w:iCs/>
        </w:rPr>
        <w:t xml:space="preserve">hen </w:t>
      </w:r>
      <w:r w:rsidRPr="004D1BCA">
        <w:rPr>
          <w:iCs/>
        </w:rPr>
        <w:t>ethical</w:t>
      </w:r>
      <w:r w:rsidR="000A5465" w:rsidRPr="004D1BCA">
        <w:rPr>
          <w:iCs/>
        </w:rPr>
        <w:t xml:space="preserve"> principles are inadequately addressed, the resulting </w:t>
      </w:r>
      <w:r w:rsidR="00FF73C1" w:rsidRPr="004D1BCA">
        <w:rPr>
          <w:iCs/>
        </w:rPr>
        <w:t xml:space="preserve">reduced quality </w:t>
      </w:r>
      <w:r w:rsidR="000A5465" w:rsidRPr="004D1BCA">
        <w:rPr>
          <w:iCs/>
        </w:rPr>
        <w:t xml:space="preserve">research can damage trust in the research process among disabled people. </w:t>
      </w:r>
      <w:r w:rsidR="00FF73C1" w:rsidRPr="004D1BCA">
        <w:rPr>
          <w:iCs/>
        </w:rPr>
        <w:t>P</w:t>
      </w:r>
      <w:r w:rsidR="000A5465" w:rsidRPr="004D1BCA">
        <w:rPr>
          <w:iCs/>
        </w:rPr>
        <w:t xml:space="preserve">oor-quality research conducted without careful attention to ethical practice leads to a poor knowledge base underpinning changes in policy </w:t>
      </w:r>
      <w:r w:rsidR="000A5465" w:rsidRPr="004D1BCA">
        <w:rPr>
          <w:iCs/>
        </w:rPr>
        <w:lastRenderedPageBreak/>
        <w:t xml:space="preserve">and service provision for disabled people. </w:t>
      </w:r>
      <w:r w:rsidR="00FF73C1" w:rsidRPr="004D1BCA">
        <w:rPr>
          <w:iCs/>
        </w:rPr>
        <w:t xml:space="preserve">The </w:t>
      </w:r>
      <w:r w:rsidR="000A5465" w:rsidRPr="004D1BCA">
        <w:rPr>
          <w:iCs/>
        </w:rPr>
        <w:t>implement</w:t>
      </w:r>
      <w:r w:rsidR="00FF73C1" w:rsidRPr="004D1BCA">
        <w:rPr>
          <w:iCs/>
        </w:rPr>
        <w:t>ation of</w:t>
      </w:r>
      <w:r w:rsidR="000A5465" w:rsidRPr="004D1BCA">
        <w:rPr>
          <w:iCs/>
        </w:rPr>
        <w:t xml:space="preserve"> the CRPD has the potential to </w:t>
      </w:r>
      <w:r w:rsidRPr="004D1BCA">
        <w:rPr>
          <w:iCs/>
        </w:rPr>
        <w:t xml:space="preserve">greatly </w:t>
      </w:r>
      <w:r w:rsidR="00FF73C1" w:rsidRPr="004D1BCA">
        <w:rPr>
          <w:iCs/>
        </w:rPr>
        <w:t xml:space="preserve">improve </w:t>
      </w:r>
      <w:r w:rsidR="000A5465" w:rsidRPr="004D1BCA">
        <w:rPr>
          <w:iCs/>
        </w:rPr>
        <w:t>ethical practice in disability research</w:t>
      </w:r>
      <w:r w:rsidR="003E1798" w:rsidRPr="004D1BCA">
        <w:rPr>
          <w:lang w:val="en-GB"/>
        </w:rPr>
        <w:t>.</w:t>
      </w:r>
      <w:r w:rsidR="003E1798" w:rsidRPr="004D1BCA">
        <w:rPr>
          <w:rStyle w:val="FootnoteReference"/>
          <w:lang w:val="en-GB"/>
        </w:rPr>
        <w:footnoteReference w:id="27"/>
      </w:r>
      <w:r w:rsidR="003E1798" w:rsidRPr="004D1BCA">
        <w:rPr>
          <w:lang w:val="en-GB"/>
        </w:rPr>
        <w:t xml:space="preserve"> </w:t>
      </w:r>
    </w:p>
    <w:p w14:paraId="5551A8DC" w14:textId="38123EC6" w:rsidR="00E43D3B" w:rsidRPr="00196650" w:rsidRDefault="00A22359" w:rsidP="00301BA0">
      <w:pPr>
        <w:pStyle w:val="Heading2"/>
        <w:spacing w:line="360" w:lineRule="auto"/>
        <w:ind w:left="720"/>
        <w:rPr>
          <w:lang w:val="en-GB"/>
        </w:rPr>
      </w:pPr>
      <w:bookmarkStart w:id="21" w:name="_Toc140081156"/>
      <w:bookmarkStart w:id="22" w:name="_Toc150873263"/>
      <w:bookmarkStart w:id="23" w:name="_Toc156380492"/>
      <w:r>
        <w:rPr>
          <w:lang w:val="en-GB"/>
        </w:rPr>
        <w:t>2.2.</w:t>
      </w:r>
      <w:r>
        <w:rPr>
          <w:lang w:val="en-GB"/>
        </w:rPr>
        <w:tab/>
      </w:r>
      <w:r w:rsidR="00196650" w:rsidRPr="00196650">
        <w:rPr>
          <w:lang w:val="en-GB"/>
        </w:rPr>
        <w:t>Research and ethics</w:t>
      </w:r>
      <w:bookmarkEnd w:id="21"/>
      <w:bookmarkEnd w:id="22"/>
      <w:bookmarkEnd w:id="23"/>
    </w:p>
    <w:p w14:paraId="76024D31" w14:textId="35861F83" w:rsidR="00243902" w:rsidRDefault="00801377" w:rsidP="00301BA0">
      <w:pPr>
        <w:spacing w:line="360" w:lineRule="auto"/>
        <w:rPr>
          <w:lang w:val="en-GB"/>
        </w:rPr>
      </w:pPr>
      <w:r>
        <w:rPr>
          <w:lang w:val="en-GB"/>
        </w:rPr>
        <w:t>R</w:t>
      </w:r>
      <w:r w:rsidR="00250A43">
        <w:rPr>
          <w:lang w:val="en-GB"/>
        </w:rPr>
        <w:t xml:space="preserve">esearch </w:t>
      </w:r>
      <w:r>
        <w:rPr>
          <w:lang w:val="en-GB"/>
        </w:rPr>
        <w:t xml:space="preserve">can be defined </w:t>
      </w:r>
      <w:r w:rsidR="00250A43" w:rsidRPr="00250A43">
        <w:t>as any form of disciplined inquiry that aims to contribute to a body of knowledge.</w:t>
      </w:r>
      <w:r w:rsidR="00250A43">
        <w:rPr>
          <w:rStyle w:val="FootnoteReference"/>
        </w:rPr>
        <w:footnoteReference w:id="28"/>
      </w:r>
      <w:r w:rsidR="00465CF5">
        <w:rPr>
          <w:lang w:val="en-GB"/>
        </w:rPr>
        <w:t xml:space="preserve"> </w:t>
      </w:r>
      <w:r w:rsidR="00D54D30">
        <w:rPr>
          <w:lang w:val="en-GB"/>
        </w:rPr>
        <w:t xml:space="preserve">It </w:t>
      </w:r>
      <w:r w:rsidR="006776A4" w:rsidRPr="004C1D75">
        <w:rPr>
          <w:lang w:val="en-GB"/>
        </w:rPr>
        <w:t>is</w:t>
      </w:r>
      <w:r w:rsidR="006776A4">
        <w:rPr>
          <w:lang w:val="en-GB"/>
        </w:rPr>
        <w:t xml:space="preserve"> undertaken to expand </w:t>
      </w:r>
      <w:r w:rsidR="007B7B91">
        <w:rPr>
          <w:lang w:val="en-GB"/>
        </w:rPr>
        <w:t xml:space="preserve">understanding and </w:t>
      </w:r>
      <w:r w:rsidR="006776A4">
        <w:rPr>
          <w:lang w:val="en-GB"/>
        </w:rPr>
        <w:t xml:space="preserve">knowledge </w:t>
      </w:r>
      <w:r w:rsidR="006776A4" w:rsidRPr="004C1D75">
        <w:rPr>
          <w:lang w:val="en-GB"/>
        </w:rPr>
        <w:t xml:space="preserve">and </w:t>
      </w:r>
      <w:r w:rsidR="00D54D30">
        <w:rPr>
          <w:lang w:val="en-GB"/>
        </w:rPr>
        <w:t xml:space="preserve">to </w:t>
      </w:r>
      <w:r w:rsidR="006776A4" w:rsidRPr="004C1D75">
        <w:rPr>
          <w:lang w:val="en-GB"/>
        </w:rPr>
        <w:t xml:space="preserve">provide </w:t>
      </w:r>
      <w:r w:rsidR="006776A4">
        <w:rPr>
          <w:lang w:val="en-GB"/>
        </w:rPr>
        <w:t xml:space="preserve">robust </w:t>
      </w:r>
      <w:r w:rsidR="006776A4" w:rsidRPr="004C1D75">
        <w:rPr>
          <w:lang w:val="en-GB"/>
        </w:rPr>
        <w:t xml:space="preserve">evidence for practitioners, policymakers, and legislators. </w:t>
      </w:r>
      <w:r w:rsidR="00FF09BE" w:rsidRPr="00FF09BE">
        <w:t xml:space="preserve">A core value for researchers is rigorous implementation of appropriate research methodologies to derive findings and report the results honestly, attending to relevant quality standards in accordance </w:t>
      </w:r>
      <w:proofErr w:type="gramStart"/>
      <w:r w:rsidR="00FF09BE" w:rsidRPr="00FF09BE">
        <w:t>to</w:t>
      </w:r>
      <w:proofErr w:type="gramEnd"/>
      <w:r w:rsidR="00FF09BE" w:rsidRPr="00FF09BE">
        <w:t xml:space="preserve"> the methodology used</w:t>
      </w:r>
    </w:p>
    <w:p w14:paraId="7815D5E1" w14:textId="152DC3EE" w:rsidR="006D0923" w:rsidRPr="008F3D42" w:rsidRDefault="00526024" w:rsidP="00301BA0">
      <w:pPr>
        <w:spacing w:line="360" w:lineRule="auto"/>
        <w:rPr>
          <w:lang w:val="en-GB"/>
        </w:rPr>
      </w:pPr>
      <w:r w:rsidRPr="00526024">
        <w:t xml:space="preserve">Research </w:t>
      </w:r>
      <w:r w:rsidRPr="00526024">
        <w:rPr>
          <w:lang w:val="en-GB"/>
        </w:rPr>
        <w:t xml:space="preserve">ethics applies ethical principles that flow from human rights to research activities to ensure that </w:t>
      </w:r>
      <w:r w:rsidRPr="00526024">
        <w:rPr>
          <w:bCs/>
          <w:iCs/>
          <w:lang w:val="en-GB"/>
        </w:rPr>
        <w:t xml:space="preserve">they are conducted ethically. </w:t>
      </w:r>
      <w:r w:rsidRPr="00526024">
        <w:rPr>
          <w:lang w:val="en-GB"/>
        </w:rPr>
        <w:t xml:space="preserve">Disability research ethics is located within this wider research ethics framework. Research ethics can be defined </w:t>
      </w:r>
      <w:r w:rsidRPr="00526024">
        <w:t>as the principles and practices guiding research, from inception through to completion and publication of results and beyond, for example, the curation of data</w:t>
      </w:r>
      <w:r w:rsidRPr="00526024">
        <w:rPr>
          <w:vertAlign w:val="superscript"/>
        </w:rPr>
        <w:footnoteReference w:id="29"/>
      </w:r>
      <w:r w:rsidRPr="00526024">
        <w:t xml:space="preserve"> and physical samples, knowledge exchange and impact activities after the research has been published.</w:t>
      </w:r>
      <w:r w:rsidRPr="00526024">
        <w:rPr>
          <w:vertAlign w:val="superscript"/>
        </w:rPr>
        <w:footnoteReference w:id="30"/>
      </w:r>
      <w:r w:rsidRPr="00526024">
        <w:rPr>
          <w:lang w:val="en-GB"/>
        </w:rPr>
        <w:t xml:space="preserve"> It clarifies what people ought to do to respect human rights and fulfil their research obligations. It </w:t>
      </w:r>
      <w:r w:rsidRPr="00526024">
        <w:rPr>
          <w:iCs/>
          <w:lang w:val="en-GB"/>
        </w:rPr>
        <w:t xml:space="preserve">requires that </w:t>
      </w:r>
      <w:r>
        <w:rPr>
          <w:iCs/>
          <w:lang w:val="en-GB"/>
        </w:rPr>
        <w:t xml:space="preserve">those conducting </w:t>
      </w:r>
      <w:r w:rsidRPr="00526024">
        <w:rPr>
          <w:iCs/>
          <w:lang w:val="en-GB"/>
        </w:rPr>
        <w:t xml:space="preserve">research respect the human rights of everyone involved, </w:t>
      </w:r>
      <w:r w:rsidRPr="00526024">
        <w:rPr>
          <w:lang w:val="en-GB"/>
        </w:rPr>
        <w:t xml:space="preserve">including ongoing </w:t>
      </w:r>
      <w:r w:rsidRPr="00526024">
        <w:t xml:space="preserve">considerations </w:t>
      </w:r>
      <w:r>
        <w:t xml:space="preserve">by </w:t>
      </w:r>
      <w:r w:rsidRPr="00526024">
        <w:t xml:space="preserve">those carrying out research throughout the research process. “It covers those questions about what ought and what not ought to be </w:t>
      </w:r>
      <w:r w:rsidRPr="00526024">
        <w:lastRenderedPageBreak/>
        <w:t>done by researchers when undertaking social research”.</w:t>
      </w:r>
      <w:r w:rsidRPr="00526024">
        <w:rPr>
          <w:vertAlign w:val="superscript"/>
        </w:rPr>
        <w:footnoteReference w:id="31"/>
      </w:r>
      <w:r w:rsidRPr="00526024">
        <w:rPr>
          <w:lang w:val="en-GB"/>
        </w:rPr>
        <w:t xml:space="preserve"> </w:t>
      </w:r>
      <w:bookmarkStart w:id="24" w:name="_Hlk148016680"/>
      <w:r w:rsidR="00306861" w:rsidRPr="00306861">
        <w:rPr>
          <w:lang w:val="en-GB"/>
        </w:rPr>
        <w:t xml:space="preserve">A simple way to think about research ethics in terms of best practices </w:t>
      </w:r>
      <w:r w:rsidR="00306861">
        <w:rPr>
          <w:lang w:val="en-GB"/>
        </w:rPr>
        <w:t xml:space="preserve">in </w:t>
      </w:r>
      <w:r w:rsidR="00306861" w:rsidRPr="00306861">
        <w:rPr>
          <w:lang w:val="en-GB"/>
        </w:rPr>
        <w:t xml:space="preserve">every aspect of </w:t>
      </w:r>
      <w:r w:rsidR="00306861">
        <w:rPr>
          <w:lang w:val="en-GB"/>
        </w:rPr>
        <w:t xml:space="preserve">a </w:t>
      </w:r>
      <w:r w:rsidR="00306861" w:rsidRPr="00306861">
        <w:rPr>
          <w:lang w:val="en-GB"/>
        </w:rPr>
        <w:t xml:space="preserve">research </w:t>
      </w:r>
      <w:r w:rsidR="00306861">
        <w:rPr>
          <w:lang w:val="en-GB"/>
        </w:rPr>
        <w:t xml:space="preserve">programme </w:t>
      </w:r>
      <w:r w:rsidR="00306861" w:rsidRPr="00306861">
        <w:rPr>
          <w:lang w:val="en-GB"/>
        </w:rPr>
        <w:t>is to think how to maximise benefits while doing no or minimising any harm.</w:t>
      </w:r>
      <w:r w:rsidR="00306861" w:rsidRPr="00306861">
        <w:rPr>
          <w:vertAlign w:val="superscript"/>
          <w:lang w:val="en-GB"/>
        </w:rPr>
        <w:footnoteReference w:id="32"/>
      </w:r>
    </w:p>
    <w:p w14:paraId="22B0C1F7" w14:textId="77777777" w:rsidR="00306861" w:rsidRDefault="00306861" w:rsidP="00301BA0">
      <w:pPr>
        <w:spacing w:line="360" w:lineRule="auto"/>
        <w:rPr>
          <w:lang w:val="en-GB"/>
        </w:rPr>
      </w:pPr>
      <w:r w:rsidRPr="00C166DC">
        <w:rPr>
          <w:lang w:val="en-GB"/>
        </w:rPr>
        <w:t xml:space="preserve">The extent to which both </w:t>
      </w:r>
      <w:r>
        <w:rPr>
          <w:lang w:val="en-GB"/>
        </w:rPr>
        <w:t xml:space="preserve">scientific </w:t>
      </w:r>
      <w:r w:rsidRPr="00C166DC">
        <w:rPr>
          <w:lang w:val="en-GB"/>
        </w:rPr>
        <w:t>and ethical val</w:t>
      </w:r>
      <w:r>
        <w:rPr>
          <w:lang w:val="en-GB"/>
        </w:rPr>
        <w:t xml:space="preserve">ues are adhered to influences research </w:t>
      </w:r>
      <w:r w:rsidRPr="00C166DC">
        <w:rPr>
          <w:lang w:val="en-GB"/>
        </w:rPr>
        <w:t xml:space="preserve">quality and its outcomes. Research cannot be ethical unless it meets scientific standards, but research that meets scientific standards may or may not be ethical. </w:t>
      </w:r>
      <w:r w:rsidRPr="00284D85">
        <w:rPr>
          <w:lang w:val="en-GB"/>
        </w:rPr>
        <w:t>Only research that meets both scientific and ethical standards can be called ‘</w:t>
      </w:r>
      <w:r>
        <w:rPr>
          <w:lang w:val="en-GB"/>
        </w:rPr>
        <w:t xml:space="preserve">good’ or ‘excellent’ research. </w:t>
      </w:r>
    </w:p>
    <w:bookmarkEnd w:id="24"/>
    <w:p w14:paraId="3BF544FC" w14:textId="7573AF84" w:rsidR="00CE48C0" w:rsidRDefault="00CE48C0" w:rsidP="00301BA0">
      <w:pPr>
        <w:spacing w:line="360" w:lineRule="auto"/>
      </w:pPr>
      <w:r>
        <w:t>While r</w:t>
      </w:r>
      <w:r w:rsidRPr="00FE0CE4">
        <w:t xml:space="preserve">esearch ethics </w:t>
      </w:r>
      <w:r>
        <w:t xml:space="preserve">has been </w:t>
      </w:r>
      <w:r w:rsidRPr="00FE0CE4">
        <w:t>most dev</w:t>
      </w:r>
      <w:r>
        <w:t xml:space="preserve">eloped in medical research, ethical </w:t>
      </w:r>
      <w:r w:rsidRPr="00FE0CE4">
        <w:t>principles a</w:t>
      </w:r>
      <w:r>
        <w:t>pply to all fields of research. I</w:t>
      </w:r>
      <w:r w:rsidRPr="00FE0CE4">
        <w:t>nformed consent and confid</w:t>
      </w:r>
      <w:r>
        <w:t>entiality, for example, are just as important for sociological studies</w:t>
      </w:r>
      <w:r w:rsidRPr="00FE0CE4">
        <w:t xml:space="preserve"> as they are for clinical research.</w:t>
      </w:r>
      <w:r>
        <w:rPr>
          <w:rStyle w:val="FootnoteReference"/>
        </w:rPr>
        <w:footnoteReference w:id="33"/>
      </w:r>
      <w:r>
        <w:rPr>
          <w:lang w:val="en-GB"/>
        </w:rPr>
        <w:t xml:space="preserve"> </w:t>
      </w:r>
      <w:r w:rsidR="00D253E1">
        <w:rPr>
          <w:lang w:val="en-GB"/>
        </w:rPr>
        <w:t>E</w:t>
      </w:r>
      <w:r w:rsidR="006C6672" w:rsidRPr="006C6672">
        <w:rPr>
          <w:lang w:val="en-GB"/>
        </w:rPr>
        <w:t xml:space="preserve">thical guidelines for social research cover </w:t>
      </w:r>
      <w:r>
        <w:rPr>
          <w:lang w:val="en-GB"/>
        </w:rPr>
        <w:t xml:space="preserve">most </w:t>
      </w:r>
      <w:r w:rsidR="006C6672" w:rsidRPr="006C6672">
        <w:rPr>
          <w:lang w:val="en-GB"/>
        </w:rPr>
        <w:t>of the ethical issues for</w:t>
      </w:r>
      <w:r>
        <w:rPr>
          <w:lang w:val="en-GB"/>
        </w:rPr>
        <w:t xml:space="preserve"> </w:t>
      </w:r>
      <w:r w:rsidR="006C6672" w:rsidRPr="006C6672">
        <w:rPr>
          <w:lang w:val="en-GB"/>
        </w:rPr>
        <w:t>research with</w:t>
      </w:r>
      <w:r w:rsidR="006C6672">
        <w:rPr>
          <w:lang w:val="en-GB"/>
        </w:rPr>
        <w:t xml:space="preserve"> disabled persons</w:t>
      </w:r>
      <w:r w:rsidR="006C6672" w:rsidRPr="006C6672">
        <w:rPr>
          <w:lang w:val="en-GB"/>
        </w:rPr>
        <w:t xml:space="preserve">. However, </w:t>
      </w:r>
      <w:r>
        <w:rPr>
          <w:lang w:val="en-GB"/>
        </w:rPr>
        <w:t xml:space="preserve">in some circumstances, </w:t>
      </w:r>
      <w:r w:rsidR="006C6672" w:rsidRPr="006C6672">
        <w:rPr>
          <w:lang w:val="en-GB"/>
        </w:rPr>
        <w:t>specific strategies are needed to ensure respect for the dignity, equality, autonomy</w:t>
      </w:r>
      <w:r w:rsidR="006C6672">
        <w:rPr>
          <w:lang w:val="en-GB"/>
        </w:rPr>
        <w:t>,</w:t>
      </w:r>
      <w:r w:rsidR="006C6672" w:rsidRPr="006C6672">
        <w:rPr>
          <w:lang w:val="en-GB"/>
        </w:rPr>
        <w:t xml:space="preserve"> and difference of disabled people. For example, particular steps may be needed to ensure </w:t>
      </w:r>
      <w:r>
        <w:rPr>
          <w:lang w:val="en-GB"/>
        </w:rPr>
        <w:t xml:space="preserve">privacy, </w:t>
      </w:r>
      <w:r w:rsidR="006C6672" w:rsidRPr="006C6672">
        <w:rPr>
          <w:lang w:val="en-GB"/>
        </w:rPr>
        <w:t>confidentiality</w:t>
      </w:r>
      <w:r w:rsidR="00DF514A">
        <w:rPr>
          <w:lang w:val="en-GB"/>
        </w:rPr>
        <w:t>,</w:t>
      </w:r>
      <w:r w:rsidR="006C6672" w:rsidRPr="006C6672">
        <w:rPr>
          <w:lang w:val="en-GB"/>
        </w:rPr>
        <w:t xml:space="preserve"> </w:t>
      </w:r>
      <w:r>
        <w:rPr>
          <w:lang w:val="en-GB"/>
        </w:rPr>
        <w:t xml:space="preserve">and anonymity </w:t>
      </w:r>
      <w:r w:rsidR="006C6672" w:rsidRPr="006C6672">
        <w:rPr>
          <w:lang w:val="en-GB"/>
        </w:rPr>
        <w:t>in settings where advocates</w:t>
      </w:r>
      <w:r>
        <w:rPr>
          <w:lang w:val="en-GB"/>
        </w:rPr>
        <w:t xml:space="preserve"> and </w:t>
      </w:r>
      <w:r w:rsidR="006C6672" w:rsidRPr="006C6672">
        <w:rPr>
          <w:lang w:val="en-GB"/>
        </w:rPr>
        <w:t xml:space="preserve">interpreters are used; and in situations where other people, besides the researcher(s) and the participants, are involved in aspects of the data collection. These and other issues should be considered when research is at the design stage. </w:t>
      </w:r>
      <w:r w:rsidR="00642499" w:rsidRPr="00196650">
        <w:t xml:space="preserve">Adhering to ethical principles </w:t>
      </w:r>
      <w:r w:rsidR="00642499" w:rsidRPr="00196650">
        <w:rPr>
          <w:bCs/>
        </w:rPr>
        <w:t xml:space="preserve">promotes research aims </w:t>
      </w:r>
      <w:r w:rsidR="001103FF">
        <w:rPr>
          <w:bCs/>
        </w:rPr>
        <w:t xml:space="preserve">such as </w:t>
      </w:r>
      <w:r w:rsidR="00642499">
        <w:t>advanc</w:t>
      </w:r>
      <w:r w:rsidR="00FD0F2B">
        <w:t>ing</w:t>
      </w:r>
      <w:r w:rsidR="00642499">
        <w:t xml:space="preserve"> knowledge, representing research data truthfully</w:t>
      </w:r>
      <w:r w:rsidR="001103FF">
        <w:t>,</w:t>
      </w:r>
      <w:r w:rsidR="00642499">
        <w:t xml:space="preserve"> avoiding</w:t>
      </w:r>
      <w:r w:rsidR="001103FF">
        <w:t>,</w:t>
      </w:r>
      <w:r w:rsidR="00642499">
        <w:t xml:space="preserve"> and minimising </w:t>
      </w:r>
      <w:r w:rsidR="00642499" w:rsidRPr="00463E74">
        <w:t>error</w:t>
      </w:r>
      <w:r w:rsidR="00642499">
        <w:t xml:space="preserve">s; </w:t>
      </w:r>
      <w:r w:rsidR="00D253E1">
        <w:t xml:space="preserve">practising </w:t>
      </w:r>
      <w:r w:rsidR="00642499">
        <w:t xml:space="preserve">essential </w:t>
      </w:r>
      <w:r w:rsidR="00642499" w:rsidRPr="00196650">
        <w:rPr>
          <w:bCs/>
        </w:rPr>
        <w:t xml:space="preserve">values </w:t>
      </w:r>
      <w:r w:rsidR="00642499" w:rsidRPr="00196650">
        <w:t>such as trust, mutual respect, fairness</w:t>
      </w:r>
      <w:r w:rsidR="00642499" w:rsidRPr="00196650">
        <w:rPr>
          <w:bCs/>
        </w:rPr>
        <w:t xml:space="preserve">, </w:t>
      </w:r>
      <w:r w:rsidR="00642499">
        <w:t>accountability</w:t>
      </w:r>
      <w:r w:rsidR="00642499" w:rsidRPr="00196650">
        <w:rPr>
          <w:bCs/>
        </w:rPr>
        <w:t xml:space="preserve">; </w:t>
      </w:r>
      <w:r w:rsidR="00642499" w:rsidRPr="00196650">
        <w:rPr>
          <w:bCs/>
        </w:rPr>
        <w:lastRenderedPageBreak/>
        <w:t>social responsibility, human rights, public health</w:t>
      </w:r>
      <w:r w:rsidR="00DF514A">
        <w:rPr>
          <w:bCs/>
        </w:rPr>
        <w:t>,</w:t>
      </w:r>
      <w:r w:rsidR="00642499" w:rsidRPr="00196650">
        <w:rPr>
          <w:bCs/>
        </w:rPr>
        <w:t xml:space="preserve"> and safety</w:t>
      </w:r>
      <w:r w:rsidR="00642499">
        <w:rPr>
          <w:bCs/>
        </w:rPr>
        <w:t>.</w:t>
      </w:r>
      <w:r w:rsidR="00642499" w:rsidRPr="00463E74">
        <w:t xml:space="preserve"> </w:t>
      </w:r>
      <w:r w:rsidR="00642499" w:rsidRPr="00196650">
        <w:t>Th</w:t>
      </w:r>
      <w:r w:rsidR="00642499">
        <w:t>e requirement to adhere to ethical</w:t>
      </w:r>
      <w:r w:rsidR="00642499" w:rsidRPr="00196650">
        <w:t xml:space="preserve"> principles means that researchers can be held accountable to the public and build support for research becaus</w:t>
      </w:r>
      <w:r w:rsidR="00642499">
        <w:t>e of its quality and integrity.</w:t>
      </w:r>
      <w:r w:rsidR="00642499">
        <w:rPr>
          <w:rStyle w:val="FootnoteReference"/>
          <w:bCs/>
        </w:rPr>
        <w:footnoteReference w:id="34"/>
      </w:r>
      <w:r w:rsidR="00642499" w:rsidRPr="00196650">
        <w:t xml:space="preserve"> </w:t>
      </w:r>
    </w:p>
    <w:p w14:paraId="641679E7" w14:textId="71ADDA92" w:rsidR="000D1668" w:rsidRPr="000722B4" w:rsidRDefault="00553A15" w:rsidP="00301BA0">
      <w:pPr>
        <w:pStyle w:val="Heading2"/>
        <w:spacing w:line="360" w:lineRule="auto"/>
        <w:rPr>
          <w:lang w:val="en-GB"/>
        </w:rPr>
      </w:pPr>
      <w:bookmarkStart w:id="25" w:name="_Toc150873264"/>
      <w:bookmarkStart w:id="26" w:name="_Toc156380493"/>
      <w:r>
        <w:rPr>
          <w:lang w:val="en-GB"/>
        </w:rPr>
        <w:t xml:space="preserve">2.3. </w:t>
      </w:r>
      <w:r w:rsidR="000D1668" w:rsidRPr="001F4AA5">
        <w:rPr>
          <w:lang w:val="en-GB"/>
        </w:rPr>
        <w:t>Values/principles</w:t>
      </w:r>
      <w:r w:rsidR="00890525">
        <w:rPr>
          <w:lang w:val="en-GB"/>
        </w:rPr>
        <w:t>/standards</w:t>
      </w:r>
      <w:r w:rsidR="000D1668" w:rsidRPr="001F4AA5">
        <w:rPr>
          <w:lang w:val="en-GB"/>
        </w:rPr>
        <w:t xml:space="preserve"> of ethical research</w:t>
      </w:r>
      <w:bookmarkEnd w:id="25"/>
      <w:bookmarkEnd w:id="26"/>
      <w:r w:rsidR="000D1668" w:rsidRPr="001F4AA5">
        <w:rPr>
          <w:lang w:val="en-GB"/>
        </w:rPr>
        <w:tab/>
      </w:r>
    </w:p>
    <w:p w14:paraId="5D057EBD" w14:textId="6E44013B" w:rsidR="00E05452" w:rsidRPr="00E05452" w:rsidRDefault="000D1668" w:rsidP="00301BA0">
      <w:pPr>
        <w:spacing w:line="360" w:lineRule="auto"/>
      </w:pPr>
      <w:r w:rsidRPr="00E05452">
        <w:rPr>
          <w:lang w:val="en-GB"/>
        </w:rPr>
        <w:t>Values</w:t>
      </w:r>
      <w:r w:rsidR="00890525" w:rsidRPr="00E05452">
        <w:rPr>
          <w:lang w:val="en-GB"/>
        </w:rPr>
        <w:t>,</w:t>
      </w:r>
      <w:r w:rsidRPr="00E05452">
        <w:rPr>
          <w:lang w:val="en-GB"/>
        </w:rPr>
        <w:t xml:space="preserve"> principles</w:t>
      </w:r>
      <w:r w:rsidR="00890525" w:rsidRPr="00E05452">
        <w:rPr>
          <w:lang w:val="en-GB"/>
        </w:rPr>
        <w:t>,</w:t>
      </w:r>
      <w:r w:rsidRPr="00E05452">
        <w:rPr>
          <w:lang w:val="en-GB"/>
        </w:rPr>
        <w:t xml:space="preserve"> </w:t>
      </w:r>
      <w:r w:rsidR="00890525" w:rsidRPr="00E05452">
        <w:rPr>
          <w:lang w:val="en-GB"/>
        </w:rPr>
        <w:t xml:space="preserve">and standards </w:t>
      </w:r>
      <w:r w:rsidRPr="00E05452">
        <w:rPr>
          <w:lang w:val="en-GB"/>
        </w:rPr>
        <w:t>are closely inter-related, indeed, often interchangeable, and difficult to separate in practice. While there is diversity nationally and internationally in how principles/values</w:t>
      </w:r>
      <w:r w:rsidR="00890525" w:rsidRPr="00E05452">
        <w:rPr>
          <w:lang w:val="en-GB"/>
        </w:rPr>
        <w:t>/standards</w:t>
      </w:r>
      <w:r w:rsidRPr="00E05452">
        <w:rPr>
          <w:lang w:val="en-GB"/>
        </w:rPr>
        <w:t xml:space="preserve"> are defined and delimited, they largely cover the same ground because they derive from human rights, which </w:t>
      </w:r>
      <w:r w:rsidRPr="00E05452">
        <w:t xml:space="preserve">are rooted in the human being, and thus are shared </w:t>
      </w:r>
      <w:r w:rsidR="00890525" w:rsidRPr="00E05452">
        <w:t xml:space="preserve">by all people </w:t>
      </w:r>
      <w:r w:rsidRPr="00E05452">
        <w:t xml:space="preserve">across </w:t>
      </w:r>
      <w:r w:rsidR="00890525" w:rsidRPr="00E05452">
        <w:t xml:space="preserve">all </w:t>
      </w:r>
      <w:r w:rsidRPr="00E05452">
        <w:t>cultures, religions, and philosophies. Human rights recognise the dignity, equality, personal freedom</w:t>
      </w:r>
      <w:r w:rsidR="00890525" w:rsidRPr="00E05452">
        <w:t xml:space="preserve">, </w:t>
      </w:r>
      <w:r w:rsidRPr="00E05452">
        <w:t>responsibility</w:t>
      </w:r>
      <w:r w:rsidR="00890525" w:rsidRPr="00E05452">
        <w:t>,</w:t>
      </w:r>
      <w:r w:rsidRPr="00E05452">
        <w:t xml:space="preserve"> and mutual respect that pertain to every human being. </w:t>
      </w:r>
    </w:p>
    <w:p w14:paraId="241E7FC1" w14:textId="02086FD8" w:rsidR="00B760C9" w:rsidRPr="00E05452" w:rsidRDefault="00890525" w:rsidP="00301BA0">
      <w:pPr>
        <w:spacing w:before="240" w:after="120" w:line="360" w:lineRule="auto"/>
        <w:rPr>
          <w:bCs/>
        </w:rPr>
      </w:pPr>
      <w:r w:rsidRPr="00E05452">
        <w:rPr>
          <w:bCs/>
        </w:rPr>
        <w:t xml:space="preserve">National </w:t>
      </w:r>
      <w:r w:rsidR="00B760C9" w:rsidRPr="00E05452">
        <w:rPr>
          <w:bCs/>
        </w:rPr>
        <w:t>and international guidelines on the conduct of ethical research involving human participants</w:t>
      </w:r>
      <w:r w:rsidR="00E05452">
        <w:rPr>
          <w:bCs/>
        </w:rPr>
        <w:t>,</w:t>
      </w:r>
      <w:r w:rsidR="00B760C9" w:rsidRPr="00E05452">
        <w:rPr>
          <w:bCs/>
        </w:rPr>
        <w:t xml:space="preserve"> </w:t>
      </w:r>
      <w:r w:rsidRPr="00E05452">
        <w:rPr>
          <w:bCs/>
        </w:rPr>
        <w:t>outlin</w:t>
      </w:r>
      <w:r w:rsidR="0098423F" w:rsidRPr="00E05452">
        <w:rPr>
          <w:bCs/>
        </w:rPr>
        <w:t>e</w:t>
      </w:r>
      <w:r w:rsidRPr="00E05452">
        <w:rPr>
          <w:bCs/>
        </w:rPr>
        <w:t xml:space="preserve"> values/principles/standards </w:t>
      </w:r>
      <w:r w:rsidR="00E05452">
        <w:rPr>
          <w:bCs/>
        </w:rPr>
        <w:t>that</w:t>
      </w:r>
      <w:r w:rsidR="0098423F" w:rsidRPr="00E05452">
        <w:rPr>
          <w:bCs/>
        </w:rPr>
        <w:t xml:space="preserve"> </w:t>
      </w:r>
      <w:r w:rsidR="00B760C9" w:rsidRPr="00E05452">
        <w:rPr>
          <w:bCs/>
        </w:rPr>
        <w:t>includ</w:t>
      </w:r>
      <w:r w:rsidR="0098423F" w:rsidRPr="00E05452">
        <w:rPr>
          <w:bCs/>
        </w:rPr>
        <w:t>e</w:t>
      </w:r>
      <w:r w:rsidR="00B760C9" w:rsidRPr="00E05452">
        <w:rPr>
          <w:bCs/>
        </w:rPr>
        <w:t xml:space="preserve"> the following. </w:t>
      </w:r>
    </w:p>
    <w:p w14:paraId="4117C583" w14:textId="63440D82" w:rsidR="00B760C9" w:rsidRPr="004D1BCA" w:rsidRDefault="00B760C9" w:rsidP="00AC7513">
      <w:pPr>
        <w:numPr>
          <w:ilvl w:val="0"/>
          <w:numId w:val="22"/>
        </w:numPr>
        <w:spacing w:line="360" w:lineRule="auto"/>
        <w:ind w:left="357" w:hanging="357"/>
        <w:rPr>
          <w:bCs/>
        </w:rPr>
      </w:pPr>
      <w:r w:rsidRPr="00E05452">
        <w:rPr>
          <w:bCs/>
        </w:rPr>
        <w:t>The Nuremberg Code of 1947 lays down standards for carrying out human experimentation, emphasising the subjects’ voluntary consent.</w:t>
      </w:r>
      <w:r w:rsidR="00A079D6" w:rsidRPr="004D1BCA">
        <w:rPr>
          <w:rStyle w:val="FootnoteReference"/>
          <w:bCs/>
        </w:rPr>
        <w:footnoteReference w:id="35"/>
      </w:r>
      <w:r w:rsidRPr="004D1BCA">
        <w:rPr>
          <w:bCs/>
        </w:rPr>
        <w:t xml:space="preserve"> </w:t>
      </w:r>
    </w:p>
    <w:p w14:paraId="4801077C" w14:textId="7159FA95" w:rsidR="00B760C9" w:rsidRPr="004D1BCA" w:rsidRDefault="00B760C9" w:rsidP="00AC7513">
      <w:pPr>
        <w:numPr>
          <w:ilvl w:val="0"/>
          <w:numId w:val="22"/>
        </w:numPr>
        <w:spacing w:line="360" w:lineRule="auto"/>
        <w:ind w:left="357" w:hanging="357"/>
        <w:rPr>
          <w:bCs/>
        </w:rPr>
      </w:pPr>
      <w:r w:rsidRPr="004D1BCA">
        <w:rPr>
          <w:bCs/>
        </w:rPr>
        <w:t xml:space="preserve">The Declaration of Helsinki of 1964 (with several revisions) is regarded as </w:t>
      </w:r>
      <w:r w:rsidR="0098423F" w:rsidRPr="004D1BCA">
        <w:rPr>
          <w:bCs/>
        </w:rPr>
        <w:t xml:space="preserve">a key </w:t>
      </w:r>
      <w:r w:rsidRPr="004D1BCA">
        <w:rPr>
          <w:bCs/>
        </w:rPr>
        <w:t>document presenting ethical principles regarding human experimentation. The fundamental principle is respect for the individual, their right to self-determination, and the right to make informed decisions regarding participation in research.</w:t>
      </w:r>
      <w:r w:rsidRPr="004D1BCA">
        <w:rPr>
          <w:bCs/>
          <w:lang w:val="en"/>
        </w:rPr>
        <w:t xml:space="preserve"> Although the Declaration was initially meant for physicians conducting medical research, it was later applied to all human </w:t>
      </w:r>
      <w:r w:rsidRPr="004D1BCA">
        <w:rPr>
          <w:bCs/>
          <w:lang w:val="en"/>
        </w:rPr>
        <w:lastRenderedPageBreak/>
        <w:t>subject research to ensure that the research</w:t>
      </w:r>
      <w:r w:rsidR="0098423F" w:rsidRPr="004D1BCA">
        <w:rPr>
          <w:bCs/>
          <w:lang w:val="en"/>
        </w:rPr>
        <w:t>ers</w:t>
      </w:r>
      <w:r w:rsidRPr="004D1BCA">
        <w:rPr>
          <w:bCs/>
          <w:lang w:val="en"/>
        </w:rPr>
        <w:t xml:space="preserve"> provide adequate safeguards for protecting the safety, rights, and welfare of research participants.</w:t>
      </w:r>
    </w:p>
    <w:p w14:paraId="6A88F22A" w14:textId="77777777" w:rsidR="00B760C9" w:rsidRPr="004D1BCA" w:rsidRDefault="00B760C9" w:rsidP="00AC7513">
      <w:pPr>
        <w:numPr>
          <w:ilvl w:val="0"/>
          <w:numId w:val="22"/>
        </w:numPr>
        <w:spacing w:line="360" w:lineRule="auto"/>
        <w:ind w:left="357" w:hanging="357"/>
        <w:rPr>
          <w:bCs/>
        </w:rPr>
      </w:pPr>
      <w:r w:rsidRPr="004D1BCA">
        <w:rPr>
          <w:bCs/>
        </w:rPr>
        <w:t>The Belmont Report: Ethical Principles and Guidelines for the Protection of Human Subjects of Research (1979).</w:t>
      </w:r>
    </w:p>
    <w:p w14:paraId="22BF3876" w14:textId="77777777" w:rsidR="00B760C9" w:rsidRPr="004D1BCA" w:rsidRDefault="00B760C9" w:rsidP="00AC7513">
      <w:pPr>
        <w:numPr>
          <w:ilvl w:val="0"/>
          <w:numId w:val="22"/>
        </w:numPr>
        <w:spacing w:line="360" w:lineRule="auto"/>
        <w:ind w:left="357" w:hanging="357"/>
        <w:rPr>
          <w:bCs/>
        </w:rPr>
      </w:pPr>
      <w:r w:rsidRPr="004D1BCA">
        <w:rPr>
          <w:bCs/>
        </w:rPr>
        <w:t>EU Clinical Trials Directive (2001/20/EC) central to research governance for clinical trials.</w:t>
      </w:r>
    </w:p>
    <w:p w14:paraId="1CE5BC5E" w14:textId="77777777" w:rsidR="00B760C9" w:rsidRPr="004D1BCA" w:rsidRDefault="00B760C9" w:rsidP="00AC7513">
      <w:pPr>
        <w:numPr>
          <w:ilvl w:val="0"/>
          <w:numId w:val="22"/>
        </w:numPr>
        <w:spacing w:line="360" w:lineRule="auto"/>
        <w:ind w:left="357" w:hanging="357"/>
        <w:rPr>
          <w:bCs/>
          <w:lang w:val="en"/>
        </w:rPr>
      </w:pPr>
      <w:r w:rsidRPr="004D1BCA">
        <w:rPr>
          <w:bCs/>
          <w:iCs/>
        </w:rPr>
        <w:t>The 2005 Universal Declaration on Bioethics and Human Rights (UNESCO, 2005).</w:t>
      </w:r>
    </w:p>
    <w:p w14:paraId="34783026" w14:textId="77777777" w:rsidR="00B760C9" w:rsidRPr="004D1BCA" w:rsidRDefault="00B760C9" w:rsidP="00AC7513">
      <w:pPr>
        <w:numPr>
          <w:ilvl w:val="0"/>
          <w:numId w:val="22"/>
        </w:numPr>
        <w:spacing w:line="360" w:lineRule="auto"/>
        <w:ind w:left="357" w:hanging="357"/>
        <w:rPr>
          <w:bCs/>
          <w:lang w:val="en"/>
        </w:rPr>
      </w:pPr>
      <w:r w:rsidRPr="004D1BCA">
        <w:rPr>
          <w:bCs/>
          <w:iCs/>
        </w:rPr>
        <w:t>The 2016 International Ethical Guidelines for Health-related Research involving Humans crafted by the Council for International Organizations of Medical Sciences (CIOMS, 2016)</w:t>
      </w:r>
      <w:r w:rsidRPr="004D1BCA">
        <w:rPr>
          <w:bCs/>
        </w:rPr>
        <w:t>.</w:t>
      </w:r>
    </w:p>
    <w:p w14:paraId="01DBFF05" w14:textId="006DF96E" w:rsidR="00B760C9" w:rsidRPr="004D1BCA" w:rsidRDefault="00B760C9" w:rsidP="00301BA0">
      <w:pPr>
        <w:pStyle w:val="NormalAfterList"/>
        <w:spacing w:line="360" w:lineRule="auto"/>
      </w:pPr>
      <w:r w:rsidRPr="004D1BCA">
        <w:rPr>
          <w:lang w:val="en"/>
        </w:rPr>
        <w:t xml:space="preserve">The regulations and recommendations contained within these codes are adapted into institutional operational guidance to be used at local level to guide the planning, review, approval, and conduct of human research. For example, the HSE (2021) cite an ethical framework that elucidates seven principles of research ethics review based on these international guidelines, which provides </w:t>
      </w:r>
      <w:r w:rsidRPr="004D1BCA">
        <w:t>guidance to all clinical research stakeholders in all research settings (pp.53-54, HSE, 2021):</w:t>
      </w:r>
    </w:p>
    <w:p w14:paraId="6FD314CA" w14:textId="77777777" w:rsidR="00B760C9" w:rsidRPr="004D1BCA" w:rsidRDefault="00B760C9" w:rsidP="00AC7513">
      <w:pPr>
        <w:pStyle w:val="NormalAfterList"/>
        <w:numPr>
          <w:ilvl w:val="0"/>
          <w:numId w:val="24"/>
        </w:numPr>
        <w:spacing w:line="360" w:lineRule="auto"/>
        <w:ind w:left="714" w:hanging="357"/>
      </w:pPr>
      <w:r w:rsidRPr="004D1BCA">
        <w:t>Value</w:t>
      </w:r>
    </w:p>
    <w:p w14:paraId="0FD18F83" w14:textId="77777777" w:rsidR="00B760C9" w:rsidRPr="004D1BCA" w:rsidRDefault="00B760C9" w:rsidP="00AC7513">
      <w:pPr>
        <w:pStyle w:val="NormalAfterList"/>
        <w:numPr>
          <w:ilvl w:val="0"/>
          <w:numId w:val="24"/>
        </w:numPr>
        <w:spacing w:line="360" w:lineRule="auto"/>
        <w:ind w:left="714" w:hanging="357"/>
      </w:pPr>
      <w:r w:rsidRPr="004D1BCA">
        <w:t>Validity</w:t>
      </w:r>
    </w:p>
    <w:p w14:paraId="1B4E86D9" w14:textId="77777777" w:rsidR="00646B8E" w:rsidRPr="004D1BCA" w:rsidRDefault="00646B8E" w:rsidP="00AC7513">
      <w:pPr>
        <w:pStyle w:val="NormalAfterList"/>
        <w:numPr>
          <w:ilvl w:val="0"/>
          <w:numId w:val="24"/>
        </w:numPr>
        <w:spacing w:line="360" w:lineRule="auto"/>
        <w:ind w:left="714" w:hanging="357"/>
      </w:pPr>
      <w:r w:rsidRPr="004D1BCA">
        <w:t>Respect for the person</w:t>
      </w:r>
    </w:p>
    <w:p w14:paraId="036D2C19" w14:textId="77777777" w:rsidR="00646B8E" w:rsidRPr="004D1BCA" w:rsidRDefault="00646B8E" w:rsidP="00AC7513">
      <w:pPr>
        <w:pStyle w:val="NormalAfterList"/>
        <w:numPr>
          <w:ilvl w:val="0"/>
          <w:numId w:val="24"/>
        </w:numPr>
        <w:spacing w:line="360" w:lineRule="auto"/>
        <w:ind w:left="714" w:hanging="357"/>
        <w:rPr>
          <w:lang w:val="en"/>
        </w:rPr>
      </w:pPr>
      <w:r w:rsidRPr="004D1BCA">
        <w:t>Informed consent</w:t>
      </w:r>
    </w:p>
    <w:p w14:paraId="5E5F4023" w14:textId="77777777" w:rsidR="00346FEF" w:rsidRPr="004D1BCA" w:rsidRDefault="00346FEF" w:rsidP="00AC7513">
      <w:pPr>
        <w:pStyle w:val="NormalAfterList"/>
        <w:numPr>
          <w:ilvl w:val="0"/>
          <w:numId w:val="24"/>
        </w:numPr>
        <w:spacing w:line="360" w:lineRule="auto"/>
        <w:ind w:left="714" w:hanging="357"/>
      </w:pPr>
      <w:r w:rsidRPr="004D1BCA">
        <w:t>Favourable risk-benefit ratio</w:t>
      </w:r>
    </w:p>
    <w:p w14:paraId="757B3E06" w14:textId="77777777" w:rsidR="00B760C9" w:rsidRPr="004D1BCA" w:rsidRDefault="00B760C9" w:rsidP="00AC7513">
      <w:pPr>
        <w:pStyle w:val="NormalAfterList"/>
        <w:numPr>
          <w:ilvl w:val="0"/>
          <w:numId w:val="24"/>
        </w:numPr>
        <w:spacing w:line="360" w:lineRule="auto"/>
        <w:ind w:left="714" w:hanging="357"/>
      </w:pPr>
      <w:r w:rsidRPr="004D1BCA">
        <w:lastRenderedPageBreak/>
        <w:t>Fair subject selection</w:t>
      </w:r>
    </w:p>
    <w:p w14:paraId="78A841DF" w14:textId="77777777" w:rsidR="00B760C9" w:rsidRPr="004D1BCA" w:rsidRDefault="00B760C9" w:rsidP="00AC7513">
      <w:pPr>
        <w:pStyle w:val="NormalAfterList"/>
        <w:numPr>
          <w:ilvl w:val="0"/>
          <w:numId w:val="24"/>
        </w:numPr>
        <w:spacing w:line="360" w:lineRule="auto"/>
        <w:ind w:left="714" w:hanging="357"/>
      </w:pPr>
      <w:r w:rsidRPr="004D1BCA">
        <w:t>Independent review</w:t>
      </w:r>
    </w:p>
    <w:p w14:paraId="2309B7BA" w14:textId="30D533F3" w:rsidR="008B69F2" w:rsidRPr="008B69F2" w:rsidRDefault="004A6C2B" w:rsidP="00301BA0">
      <w:pPr>
        <w:spacing w:before="240" w:line="360" w:lineRule="auto"/>
        <w:rPr>
          <w:rFonts w:eastAsia="SimSun" w:cs="ArialMT"/>
          <w:bCs/>
          <w:iCs/>
          <w:szCs w:val="26"/>
          <w:lang w:val="en-GB" w:eastAsia="en-IE"/>
        </w:rPr>
      </w:pPr>
      <w:r w:rsidRPr="004D1BCA">
        <w:rPr>
          <w:rFonts w:eastAsia="SimSun" w:cs="ArialMT"/>
          <w:szCs w:val="26"/>
          <w:lang w:eastAsia="en-IE"/>
        </w:rPr>
        <w:t>Various organisations and professional research associations have drafted documents that set out the principles and values that should underpin research. Although the values and principles are the same,</w:t>
      </w:r>
      <w:r w:rsidR="002E1BBA" w:rsidRPr="004D1BCA">
        <w:rPr>
          <w:rStyle w:val="FootnoteReference"/>
          <w:rFonts w:eastAsia="SimSun" w:cs="ArialMT"/>
          <w:szCs w:val="26"/>
          <w:lang w:eastAsia="en-IE"/>
        </w:rPr>
        <w:footnoteReference w:id="36"/>
      </w:r>
      <w:r w:rsidRPr="004D1BCA">
        <w:rPr>
          <w:rFonts w:eastAsia="SimSun" w:cs="ArialMT"/>
          <w:szCs w:val="26"/>
          <w:lang w:eastAsia="en-IE"/>
        </w:rPr>
        <w:t xml:space="preserve"> they are presented in different ways with distinct nuances and different level of detail. Examples of how principles/values are presented in different documents are shown </w:t>
      </w:r>
      <w:r w:rsidR="008B69F2" w:rsidRPr="004D1BCA">
        <w:rPr>
          <w:rFonts w:eastAsia="SimSun" w:cs="ArialMT"/>
          <w:szCs w:val="26"/>
          <w:lang w:eastAsia="en-IE"/>
        </w:rPr>
        <w:t xml:space="preserve">in Appendix 1 (the HSE National Policy for Consent in Health and Social Care Research, </w:t>
      </w:r>
      <w:r w:rsidR="008B69F2" w:rsidRPr="004D1BCA">
        <w:rPr>
          <w:rFonts w:eastAsia="SimSun" w:cs="ArialMT"/>
          <w:szCs w:val="26"/>
          <w:lang w:val="en-GB" w:eastAsia="en-IE"/>
        </w:rPr>
        <w:t>the Nursing and Midwifery Board of Ireland,</w:t>
      </w:r>
      <w:r w:rsidR="008B69F2" w:rsidRPr="004D1BCA">
        <w:rPr>
          <w:bCs/>
          <w:iCs/>
        </w:rPr>
        <w:t xml:space="preserve"> </w:t>
      </w:r>
      <w:r w:rsidR="008B69F2" w:rsidRPr="004D1BCA">
        <w:rPr>
          <w:rFonts w:eastAsia="SimSun" w:cs="ArialMT"/>
          <w:bCs/>
          <w:iCs/>
          <w:szCs w:val="26"/>
          <w:lang w:eastAsia="en-IE"/>
        </w:rPr>
        <w:t>the 2005 Universal Declaration on Bioethics and Human Rights</w:t>
      </w:r>
      <w:r w:rsidR="008B69F2" w:rsidRPr="004D1BCA">
        <w:rPr>
          <w:lang w:val="en-GB"/>
        </w:rPr>
        <w:t>, t</w:t>
      </w:r>
      <w:r w:rsidR="008B69F2" w:rsidRPr="004D1BCA">
        <w:rPr>
          <w:rFonts w:eastAsia="SimSun" w:cs="ArialMT"/>
          <w:bCs/>
          <w:iCs/>
          <w:szCs w:val="26"/>
          <w:lang w:val="en-GB" w:eastAsia="en-IE"/>
        </w:rPr>
        <w:t>he National Ethical Research Standards for Health and Disability research in New Zealand (NEAC, 2019).</w:t>
      </w:r>
      <w:r w:rsidR="008B69F2">
        <w:rPr>
          <w:rFonts w:eastAsia="SimSun" w:cs="ArialMT"/>
          <w:bCs/>
          <w:iCs/>
          <w:szCs w:val="26"/>
          <w:lang w:val="en-GB" w:eastAsia="en-IE"/>
        </w:rPr>
        <w:t xml:space="preserve"> </w:t>
      </w:r>
    </w:p>
    <w:p w14:paraId="0A16915D" w14:textId="71AD56D0" w:rsidR="00C7726D" w:rsidRDefault="00553A15" w:rsidP="00301BA0">
      <w:pPr>
        <w:pStyle w:val="Heading2"/>
        <w:spacing w:line="360" w:lineRule="auto"/>
        <w:ind w:left="720"/>
      </w:pPr>
      <w:bookmarkStart w:id="27" w:name="_Toc140081158"/>
      <w:bookmarkStart w:id="28" w:name="_Toc150873265"/>
      <w:bookmarkStart w:id="29" w:name="_Toc156380494"/>
      <w:r>
        <w:t>2.4.</w:t>
      </w:r>
      <w:r>
        <w:tab/>
      </w:r>
      <w:r w:rsidR="00C7726D">
        <w:t xml:space="preserve">Research </w:t>
      </w:r>
      <w:r w:rsidR="00FA0FE0">
        <w:t>ethics</w:t>
      </w:r>
      <w:r w:rsidR="007F3DA8">
        <w:t xml:space="preserve">, </w:t>
      </w:r>
      <w:r w:rsidR="00C7726D">
        <w:t>governance</w:t>
      </w:r>
      <w:bookmarkEnd w:id="27"/>
      <w:r w:rsidR="002F68C8">
        <w:t>,</w:t>
      </w:r>
      <w:r w:rsidR="007F3DA8">
        <w:t xml:space="preserve"> and legislation</w:t>
      </w:r>
      <w:bookmarkEnd w:id="28"/>
      <w:bookmarkEnd w:id="29"/>
    </w:p>
    <w:p w14:paraId="2F2EC24A" w14:textId="120CFFFD" w:rsidR="00CF3F71" w:rsidRPr="00C47BA8" w:rsidRDefault="004760F9" w:rsidP="00301BA0">
      <w:pPr>
        <w:spacing w:line="360" w:lineRule="auto"/>
        <w:rPr>
          <w:rFonts w:cs="Arial"/>
          <w:szCs w:val="26"/>
          <w:lang w:val="en-GB"/>
        </w:rPr>
      </w:pPr>
      <w:r w:rsidRPr="004760F9">
        <w:rPr>
          <w:bCs/>
        </w:rPr>
        <w:t>Research governance can be defined as the regulations, principles and standards of good practice that ensure high quality research.</w:t>
      </w:r>
      <w:r>
        <w:rPr>
          <w:rStyle w:val="FootnoteReference"/>
          <w:bCs/>
        </w:rPr>
        <w:footnoteReference w:id="37"/>
      </w:r>
      <w:r w:rsidR="008B1D98">
        <w:rPr>
          <w:bCs/>
        </w:rPr>
        <w:t xml:space="preserve"> Its </w:t>
      </w:r>
      <w:r w:rsidR="00FA0FE0">
        <w:rPr>
          <w:bCs/>
        </w:rPr>
        <w:t>purpose is to promote good practice, enhance</w:t>
      </w:r>
      <w:r w:rsidR="00FA0FE0" w:rsidRPr="00E2409C">
        <w:rPr>
          <w:bCs/>
        </w:rPr>
        <w:t xml:space="preserve"> </w:t>
      </w:r>
      <w:r w:rsidR="009A2321">
        <w:rPr>
          <w:bCs/>
        </w:rPr>
        <w:t xml:space="preserve">the quality of </w:t>
      </w:r>
      <w:r w:rsidR="00FA0FE0" w:rsidRPr="00E2409C">
        <w:rPr>
          <w:bCs/>
        </w:rPr>
        <w:t xml:space="preserve">ethical and scientific </w:t>
      </w:r>
      <w:r w:rsidR="00FA0FE0">
        <w:rPr>
          <w:bCs/>
        </w:rPr>
        <w:t>research</w:t>
      </w:r>
      <w:r w:rsidR="00FA0FE0" w:rsidRPr="00E2409C">
        <w:rPr>
          <w:bCs/>
        </w:rPr>
        <w:t xml:space="preserve">, </w:t>
      </w:r>
      <w:r w:rsidR="00FA0FE0">
        <w:rPr>
          <w:bCs/>
        </w:rPr>
        <w:t>reduce adverse incidents, and ensure</w:t>
      </w:r>
      <w:r w:rsidR="00FA0FE0" w:rsidRPr="00E2409C">
        <w:rPr>
          <w:bCs/>
        </w:rPr>
        <w:t xml:space="preserve"> </w:t>
      </w:r>
      <w:r w:rsidR="00FA0FE0">
        <w:rPr>
          <w:bCs/>
        </w:rPr>
        <w:t xml:space="preserve">that </w:t>
      </w:r>
      <w:r w:rsidR="00FA0FE0" w:rsidRPr="00E2409C">
        <w:rPr>
          <w:bCs/>
        </w:rPr>
        <w:t>le</w:t>
      </w:r>
      <w:r w:rsidR="00FA0FE0">
        <w:rPr>
          <w:bCs/>
        </w:rPr>
        <w:t>ssons are learned that prevent</w:t>
      </w:r>
      <w:r w:rsidR="00FA0FE0" w:rsidRPr="00E2409C">
        <w:rPr>
          <w:bCs/>
        </w:rPr>
        <w:t xml:space="preserve"> </w:t>
      </w:r>
      <w:r w:rsidR="00FA0FE0">
        <w:rPr>
          <w:bCs/>
        </w:rPr>
        <w:t xml:space="preserve">inadequate </w:t>
      </w:r>
      <w:r w:rsidR="00FA0FE0" w:rsidRPr="00E2409C">
        <w:rPr>
          <w:bCs/>
        </w:rPr>
        <w:t>performance and misconduct</w:t>
      </w:r>
      <w:r w:rsidR="00FA0FE0">
        <w:rPr>
          <w:bCs/>
        </w:rPr>
        <w:t xml:space="preserve"> in the future</w:t>
      </w:r>
      <w:r w:rsidR="00FA0FE0" w:rsidRPr="00E2409C">
        <w:rPr>
          <w:bCs/>
        </w:rPr>
        <w:t>.</w:t>
      </w:r>
      <w:r w:rsidR="00FA0FE0" w:rsidRPr="00E3359C">
        <w:t xml:space="preserve"> </w:t>
      </w:r>
      <w:r w:rsidR="00FA0FE0">
        <w:t xml:space="preserve">It involves </w:t>
      </w:r>
      <w:r w:rsidR="00FA0FE0">
        <w:rPr>
          <w:bCs/>
        </w:rPr>
        <w:t>setting</w:t>
      </w:r>
      <w:r w:rsidR="00FA0FE0" w:rsidRPr="00E2409C">
        <w:rPr>
          <w:bCs/>
        </w:rPr>
        <w:t xml:space="preserve"> standards to improve research </w:t>
      </w:r>
      <w:r w:rsidR="00FA0FE0">
        <w:rPr>
          <w:bCs/>
        </w:rPr>
        <w:t xml:space="preserve">quality and </w:t>
      </w:r>
      <w:r w:rsidR="0021659C">
        <w:rPr>
          <w:bCs/>
        </w:rPr>
        <w:t xml:space="preserve">to </w:t>
      </w:r>
      <w:r w:rsidR="00FA0FE0">
        <w:rPr>
          <w:bCs/>
        </w:rPr>
        <w:t>safeguard the public</w:t>
      </w:r>
      <w:r w:rsidR="00FA0FE0" w:rsidRPr="00E2409C">
        <w:rPr>
          <w:bCs/>
        </w:rPr>
        <w:t xml:space="preserve">. </w:t>
      </w:r>
      <w:r w:rsidR="00CF3F71" w:rsidRPr="00FD3589">
        <w:rPr>
          <w:bCs/>
        </w:rPr>
        <w:t>Many countries have legal instruments to govern research with human participants</w:t>
      </w:r>
      <w:r w:rsidR="00CF3F71">
        <w:rPr>
          <w:bCs/>
        </w:rPr>
        <w:t>.</w:t>
      </w:r>
      <w:r w:rsidR="00CF3F71" w:rsidRPr="00FD3589">
        <w:rPr>
          <w:bCs/>
        </w:rPr>
        <w:t xml:space="preserve"> </w:t>
      </w:r>
      <w:r w:rsidR="00553A15">
        <w:rPr>
          <w:bCs/>
        </w:rPr>
        <w:t xml:space="preserve">Research organisations, </w:t>
      </w:r>
      <w:r w:rsidR="00553A15">
        <w:rPr>
          <w:rFonts w:cs="Arial"/>
          <w:szCs w:val="26"/>
          <w:lang w:val="en-GB"/>
        </w:rPr>
        <w:t>r</w:t>
      </w:r>
      <w:r w:rsidR="00CF3F71" w:rsidRPr="00D34A26">
        <w:rPr>
          <w:rFonts w:cs="Arial"/>
          <w:szCs w:val="26"/>
          <w:lang w:val="en-GB"/>
        </w:rPr>
        <w:t>esearchers</w:t>
      </w:r>
      <w:r w:rsidR="00553A15">
        <w:rPr>
          <w:rFonts w:cs="Arial"/>
          <w:szCs w:val="26"/>
          <w:lang w:val="en-GB"/>
        </w:rPr>
        <w:t>, professional associations</w:t>
      </w:r>
      <w:r w:rsidR="00CF3F71" w:rsidRPr="00D34A26">
        <w:rPr>
          <w:rFonts w:cs="Arial"/>
          <w:szCs w:val="26"/>
          <w:lang w:val="en-GB"/>
        </w:rPr>
        <w:t xml:space="preserve"> </w:t>
      </w:r>
      <w:r w:rsidR="00CF3F71">
        <w:rPr>
          <w:rFonts w:cs="Arial"/>
          <w:szCs w:val="26"/>
          <w:lang w:val="en-GB"/>
        </w:rPr>
        <w:t xml:space="preserve">and those commissioning and funding research </w:t>
      </w:r>
      <w:r w:rsidR="00CF3F71" w:rsidRPr="00D34A26">
        <w:rPr>
          <w:rFonts w:cs="Arial"/>
          <w:szCs w:val="26"/>
          <w:lang w:val="en-GB"/>
        </w:rPr>
        <w:t>need to read, comprehend</w:t>
      </w:r>
      <w:r w:rsidR="00CF3F71">
        <w:rPr>
          <w:rFonts w:cs="Arial"/>
          <w:szCs w:val="26"/>
          <w:lang w:val="en-GB"/>
        </w:rPr>
        <w:t>,</w:t>
      </w:r>
      <w:r w:rsidR="00CF3F71" w:rsidRPr="00D34A26">
        <w:rPr>
          <w:rFonts w:cs="Arial"/>
          <w:szCs w:val="26"/>
          <w:lang w:val="en-GB"/>
        </w:rPr>
        <w:t xml:space="preserve"> and comply with </w:t>
      </w:r>
      <w:r w:rsidR="00CF3F71">
        <w:rPr>
          <w:rFonts w:cs="Arial"/>
          <w:szCs w:val="26"/>
          <w:lang w:val="en-GB"/>
        </w:rPr>
        <w:t xml:space="preserve">the </w:t>
      </w:r>
      <w:r w:rsidR="00CF3F71" w:rsidRPr="00D34A26">
        <w:rPr>
          <w:rFonts w:cs="Arial"/>
          <w:szCs w:val="26"/>
          <w:lang w:val="en-GB"/>
        </w:rPr>
        <w:t>l</w:t>
      </w:r>
      <w:r w:rsidR="00CF3F71">
        <w:rPr>
          <w:rFonts w:cs="Arial"/>
          <w:szCs w:val="26"/>
          <w:lang w:val="en-GB"/>
        </w:rPr>
        <w:t>egislation</w:t>
      </w:r>
      <w:r w:rsidR="00CF3F71" w:rsidRPr="00D34A26">
        <w:rPr>
          <w:rFonts w:cs="Arial"/>
          <w:szCs w:val="26"/>
          <w:lang w:val="en-GB"/>
        </w:rPr>
        <w:t xml:space="preserve"> that appl</w:t>
      </w:r>
      <w:r w:rsidR="00CF3F71">
        <w:rPr>
          <w:rFonts w:cs="Arial"/>
          <w:szCs w:val="26"/>
          <w:lang w:val="en-GB"/>
        </w:rPr>
        <w:t>ies</w:t>
      </w:r>
      <w:r w:rsidR="00CF3F71" w:rsidRPr="00D34A26">
        <w:rPr>
          <w:rFonts w:cs="Arial"/>
          <w:szCs w:val="26"/>
          <w:lang w:val="en-GB"/>
        </w:rPr>
        <w:t xml:space="preserve"> </w:t>
      </w:r>
      <w:r w:rsidR="00CF3F71">
        <w:rPr>
          <w:rFonts w:cs="Arial"/>
          <w:szCs w:val="26"/>
          <w:lang w:val="en-GB"/>
        </w:rPr>
        <w:t xml:space="preserve">to </w:t>
      </w:r>
      <w:r w:rsidR="00CF3F71" w:rsidRPr="00D34A26">
        <w:rPr>
          <w:rFonts w:cs="Arial"/>
          <w:szCs w:val="26"/>
          <w:lang w:val="en-GB"/>
        </w:rPr>
        <w:t>research</w:t>
      </w:r>
      <w:r w:rsidR="00553A15">
        <w:rPr>
          <w:rFonts w:cs="Arial"/>
          <w:szCs w:val="26"/>
          <w:lang w:val="en-GB"/>
        </w:rPr>
        <w:t xml:space="preserve"> and</w:t>
      </w:r>
      <w:r w:rsidR="00FF09BE">
        <w:rPr>
          <w:rFonts w:cs="Arial"/>
          <w:szCs w:val="26"/>
          <w:lang w:val="en-GB"/>
        </w:rPr>
        <w:t xml:space="preserve"> need </w:t>
      </w:r>
      <w:r w:rsidR="00672593">
        <w:rPr>
          <w:rFonts w:cs="Arial"/>
          <w:szCs w:val="26"/>
          <w:lang w:val="en-GB"/>
        </w:rPr>
        <w:t>a</w:t>
      </w:r>
      <w:r w:rsidR="00553A15">
        <w:rPr>
          <w:rFonts w:cs="Arial"/>
          <w:szCs w:val="26"/>
          <w:lang w:val="en-GB"/>
        </w:rPr>
        <w:t xml:space="preserve"> </w:t>
      </w:r>
      <w:r w:rsidR="005F379B" w:rsidRPr="005F379B">
        <w:rPr>
          <w:bCs/>
          <w:iCs/>
          <w:lang w:val="en-GB"/>
        </w:rPr>
        <w:t xml:space="preserve">shared understanding of </w:t>
      </w:r>
      <w:r w:rsidR="00553A15">
        <w:rPr>
          <w:bCs/>
          <w:iCs/>
          <w:lang w:val="en-GB"/>
        </w:rPr>
        <w:t xml:space="preserve">the </w:t>
      </w:r>
      <w:r w:rsidR="005F379B" w:rsidRPr="005F379B">
        <w:rPr>
          <w:bCs/>
          <w:iCs/>
          <w:lang w:val="en-GB"/>
        </w:rPr>
        <w:t xml:space="preserve">pertinent legislation, </w:t>
      </w:r>
      <w:r w:rsidR="005F379B" w:rsidRPr="005F379B">
        <w:rPr>
          <w:bCs/>
          <w:iCs/>
          <w:lang w:val="en-GB"/>
        </w:rPr>
        <w:lastRenderedPageBreak/>
        <w:t>governance, accountability, and ethical constraints.</w:t>
      </w:r>
      <w:r w:rsidR="005F379B" w:rsidRPr="005F379B">
        <w:rPr>
          <w:bCs/>
          <w:iCs/>
          <w:vertAlign w:val="superscript"/>
          <w:lang w:val="en-GB"/>
        </w:rPr>
        <w:footnoteReference w:id="38"/>
      </w:r>
      <w:r w:rsidR="00CF3F71" w:rsidRPr="00CF3F71">
        <w:rPr>
          <w:rFonts w:cs="Arial"/>
          <w:szCs w:val="26"/>
          <w:lang w:val="en-GB"/>
        </w:rPr>
        <w:t xml:space="preserve"> </w:t>
      </w:r>
      <w:r w:rsidR="00CF3F71">
        <w:rPr>
          <w:rFonts w:cs="Arial"/>
          <w:szCs w:val="26"/>
          <w:lang w:val="en-GB"/>
        </w:rPr>
        <w:t xml:space="preserve"> They </w:t>
      </w:r>
      <w:r w:rsidR="00CF3F71" w:rsidRPr="00D34A26">
        <w:rPr>
          <w:rFonts w:cs="Arial"/>
          <w:szCs w:val="26"/>
          <w:lang w:val="en-GB"/>
        </w:rPr>
        <w:t>should be familiar with the national legislative framework relating to the rights of people with disabilities</w:t>
      </w:r>
      <w:r w:rsidR="00CF3F71">
        <w:rPr>
          <w:rFonts w:cs="Arial"/>
          <w:szCs w:val="26"/>
          <w:lang w:val="en-GB"/>
        </w:rPr>
        <w:t xml:space="preserve"> and</w:t>
      </w:r>
      <w:r w:rsidR="00CF3F71" w:rsidRPr="00D34A26">
        <w:rPr>
          <w:rFonts w:cs="Arial"/>
          <w:szCs w:val="26"/>
          <w:lang w:val="en-GB"/>
        </w:rPr>
        <w:t xml:space="preserve"> the content and implications of </w:t>
      </w:r>
      <w:r w:rsidR="00CF3F71">
        <w:rPr>
          <w:rFonts w:cs="Arial"/>
          <w:szCs w:val="26"/>
          <w:lang w:val="en-GB"/>
        </w:rPr>
        <w:t xml:space="preserve">relevant instruments such as the CRPD, </w:t>
      </w:r>
      <w:r w:rsidR="00CF3F71" w:rsidRPr="00D34A26">
        <w:rPr>
          <w:rFonts w:cs="Arial"/>
          <w:szCs w:val="26"/>
          <w:lang w:val="en-GB"/>
        </w:rPr>
        <w:t>2006</w:t>
      </w:r>
      <w:r w:rsidR="00CF3F71">
        <w:rPr>
          <w:rFonts w:cs="Arial"/>
          <w:szCs w:val="26"/>
          <w:lang w:val="en-GB"/>
        </w:rPr>
        <w:t>.</w:t>
      </w:r>
      <w:r w:rsidR="00CF3F71">
        <w:rPr>
          <w:bCs/>
        </w:rPr>
        <w:t xml:space="preserve"> </w:t>
      </w:r>
      <w:r w:rsidR="00CF3F71">
        <w:rPr>
          <w:rFonts w:cs="Arial"/>
          <w:szCs w:val="26"/>
          <w:lang w:val="en-GB"/>
        </w:rPr>
        <w:t xml:space="preserve"> </w:t>
      </w:r>
      <w:r w:rsidR="0021659C">
        <w:rPr>
          <w:rFonts w:cs="Arial"/>
          <w:szCs w:val="26"/>
          <w:lang w:val="en-GB"/>
        </w:rPr>
        <w:t xml:space="preserve">In Ireland </w:t>
      </w:r>
      <w:r w:rsidR="00814449" w:rsidRPr="00814449">
        <w:rPr>
          <w:rFonts w:cs="Arial"/>
          <w:bCs/>
          <w:szCs w:val="26"/>
        </w:rPr>
        <w:t xml:space="preserve">the Assisted Decision-Making Capacity Act 2015 as amended by the Assisted Decision-Making Capacity (Amendment) Act 2022 </w:t>
      </w:r>
      <w:r w:rsidR="002F68C8" w:rsidRPr="00D34A26">
        <w:rPr>
          <w:rFonts w:cs="Arial"/>
          <w:szCs w:val="26"/>
          <w:lang w:val="en-GB"/>
        </w:rPr>
        <w:t>safeguard</w:t>
      </w:r>
      <w:r w:rsidR="00553A15">
        <w:rPr>
          <w:rFonts w:cs="Arial"/>
          <w:szCs w:val="26"/>
          <w:lang w:val="en-GB"/>
        </w:rPr>
        <w:t>s</w:t>
      </w:r>
      <w:r w:rsidR="002F68C8" w:rsidRPr="00D34A26">
        <w:rPr>
          <w:rFonts w:cs="Arial"/>
          <w:szCs w:val="26"/>
          <w:lang w:val="en-GB"/>
        </w:rPr>
        <w:t xml:space="preserve"> citizens </w:t>
      </w:r>
      <w:r w:rsidR="00844D5A" w:rsidRPr="00583583">
        <w:rPr>
          <w:rFonts w:cs="Arial"/>
          <w:szCs w:val="26"/>
        </w:rPr>
        <w:t xml:space="preserve">whose capacity to consent to participation in a particular research project may be </w:t>
      </w:r>
      <w:r w:rsidR="00844D5A">
        <w:rPr>
          <w:rFonts w:cs="Arial"/>
          <w:szCs w:val="26"/>
        </w:rPr>
        <w:t xml:space="preserve">called </w:t>
      </w:r>
      <w:r w:rsidR="00844D5A" w:rsidRPr="00583583">
        <w:rPr>
          <w:rFonts w:cs="Arial"/>
          <w:szCs w:val="26"/>
        </w:rPr>
        <w:t>in</w:t>
      </w:r>
      <w:r w:rsidR="00844D5A">
        <w:rPr>
          <w:rFonts w:cs="Arial"/>
          <w:szCs w:val="26"/>
        </w:rPr>
        <w:t>to</w:t>
      </w:r>
      <w:r w:rsidR="00844D5A" w:rsidRPr="00583583">
        <w:rPr>
          <w:rFonts w:cs="Arial"/>
          <w:szCs w:val="26"/>
        </w:rPr>
        <w:t xml:space="preserve"> question</w:t>
      </w:r>
      <w:r w:rsidR="00844D5A" w:rsidRPr="00844D5A">
        <w:rPr>
          <w:rFonts w:cs="Arial"/>
          <w:szCs w:val="26"/>
          <w:lang w:val="en-GB"/>
        </w:rPr>
        <w:t xml:space="preserve"> </w:t>
      </w:r>
      <w:r w:rsidR="002B605D">
        <w:rPr>
          <w:rFonts w:cs="Arial"/>
          <w:szCs w:val="26"/>
          <w:lang w:val="en-GB"/>
        </w:rPr>
        <w:t>(</w:t>
      </w:r>
      <w:r w:rsidR="00814449">
        <w:rPr>
          <w:rFonts w:cs="Arial"/>
          <w:szCs w:val="26"/>
          <w:lang w:val="en-GB"/>
        </w:rPr>
        <w:t xml:space="preserve">.  </w:t>
      </w:r>
      <w:r w:rsidR="006B1A3F" w:rsidRPr="006B1A3F">
        <w:rPr>
          <w:rFonts w:cs="Arial"/>
          <w:bCs/>
          <w:szCs w:val="26"/>
          <w:lang w:val="x-none"/>
        </w:rPr>
        <w:t xml:space="preserve">Each person </w:t>
      </w:r>
      <w:r w:rsidR="006B1A3F">
        <w:rPr>
          <w:rFonts w:cs="Arial"/>
          <w:bCs/>
          <w:szCs w:val="26"/>
        </w:rPr>
        <w:t xml:space="preserve">is </w:t>
      </w:r>
      <w:r w:rsidR="006B1A3F" w:rsidRPr="006B1A3F">
        <w:rPr>
          <w:rFonts w:cs="Arial"/>
          <w:bCs/>
          <w:szCs w:val="26"/>
          <w:lang w:val="x-none"/>
        </w:rPr>
        <w:t xml:space="preserve">at the </w:t>
      </w:r>
      <w:r w:rsidR="006B1A3F">
        <w:rPr>
          <w:rFonts w:cs="Arial"/>
          <w:bCs/>
          <w:szCs w:val="26"/>
        </w:rPr>
        <w:t>heart</w:t>
      </w:r>
      <w:r w:rsidR="006B1A3F" w:rsidRPr="006B1A3F">
        <w:rPr>
          <w:rFonts w:cs="Arial"/>
          <w:bCs/>
          <w:szCs w:val="26"/>
          <w:lang w:val="x-none"/>
        </w:rPr>
        <w:t xml:space="preserve"> of decision-making in everything that concerns him</w:t>
      </w:r>
      <w:r w:rsidR="006B1A3F">
        <w:rPr>
          <w:rFonts w:cs="Arial"/>
          <w:bCs/>
          <w:szCs w:val="26"/>
        </w:rPr>
        <w:t>/</w:t>
      </w:r>
      <w:r w:rsidR="006B1A3F" w:rsidRPr="006B1A3F">
        <w:rPr>
          <w:rFonts w:cs="Arial"/>
          <w:bCs/>
          <w:szCs w:val="26"/>
          <w:lang w:val="x-none"/>
        </w:rPr>
        <w:t>her</w:t>
      </w:r>
      <w:r w:rsidR="006B1A3F">
        <w:rPr>
          <w:rFonts w:cs="Arial"/>
          <w:bCs/>
          <w:szCs w:val="26"/>
        </w:rPr>
        <w:t>.</w:t>
      </w:r>
      <w:r w:rsidR="00AB5E35" w:rsidRPr="00AB5E35">
        <w:rPr>
          <w:rFonts w:cs="Arial"/>
          <w:bCs/>
          <w:szCs w:val="26"/>
        </w:rPr>
        <w:t xml:space="preserve"> </w:t>
      </w:r>
      <w:r w:rsidR="00AB5E35" w:rsidRPr="00844D5A">
        <w:rPr>
          <w:rFonts w:cs="Arial"/>
          <w:bCs/>
          <w:szCs w:val="26"/>
        </w:rPr>
        <w:t>The ADM</w:t>
      </w:r>
      <w:r w:rsidR="004C7827">
        <w:rPr>
          <w:rFonts w:cs="Arial"/>
          <w:bCs/>
          <w:szCs w:val="26"/>
        </w:rPr>
        <w:t>C</w:t>
      </w:r>
      <w:r w:rsidR="00AB5E35" w:rsidRPr="00844D5A">
        <w:rPr>
          <w:rFonts w:cs="Arial"/>
          <w:bCs/>
          <w:szCs w:val="26"/>
        </w:rPr>
        <w:t xml:space="preserve">A </w:t>
      </w:r>
      <w:r w:rsidR="00AB5E35">
        <w:rPr>
          <w:rFonts w:cs="Arial"/>
          <w:bCs/>
          <w:szCs w:val="26"/>
        </w:rPr>
        <w:t xml:space="preserve">2022 legislation </w:t>
      </w:r>
      <w:r w:rsidR="00AB5E35" w:rsidRPr="00844D5A">
        <w:rPr>
          <w:rFonts w:cs="Arial"/>
          <w:bCs/>
          <w:szCs w:val="26"/>
        </w:rPr>
        <w:t xml:space="preserve">assumes </w:t>
      </w:r>
      <w:r w:rsidR="00CF3F71">
        <w:rPr>
          <w:rFonts w:cs="Arial"/>
          <w:bCs/>
          <w:szCs w:val="26"/>
        </w:rPr>
        <w:t xml:space="preserve">mental </w:t>
      </w:r>
      <w:r w:rsidR="00AB5E35" w:rsidRPr="00844D5A">
        <w:rPr>
          <w:rFonts w:cs="Arial"/>
          <w:bCs/>
          <w:szCs w:val="26"/>
        </w:rPr>
        <w:t>capacity</w:t>
      </w:r>
      <w:r w:rsidR="00AB5E35">
        <w:rPr>
          <w:rFonts w:cs="Arial"/>
          <w:bCs/>
          <w:szCs w:val="26"/>
        </w:rPr>
        <w:t>.</w:t>
      </w:r>
      <w:r w:rsidR="00553A15">
        <w:rPr>
          <w:rStyle w:val="FootnoteReference"/>
          <w:rFonts w:cs="Arial"/>
          <w:bCs/>
          <w:szCs w:val="26"/>
        </w:rPr>
        <w:footnoteReference w:id="39"/>
      </w:r>
      <w:r w:rsidR="00AB5E35">
        <w:rPr>
          <w:rFonts w:cs="Arial"/>
          <w:bCs/>
          <w:szCs w:val="26"/>
        </w:rPr>
        <w:t xml:space="preserve"> If </w:t>
      </w:r>
      <w:r w:rsidR="00AB5E35" w:rsidRPr="00844D5A">
        <w:rPr>
          <w:rFonts w:cs="Arial"/>
          <w:bCs/>
          <w:szCs w:val="26"/>
        </w:rPr>
        <w:t xml:space="preserve">a person's capacity to consent to participation in </w:t>
      </w:r>
      <w:r w:rsidR="00AB5E35">
        <w:rPr>
          <w:rFonts w:cs="Arial"/>
          <w:bCs/>
          <w:szCs w:val="26"/>
        </w:rPr>
        <w:t xml:space="preserve">a </w:t>
      </w:r>
      <w:r w:rsidR="00AB5E35" w:rsidRPr="00844D5A">
        <w:rPr>
          <w:rFonts w:cs="Arial"/>
          <w:bCs/>
          <w:szCs w:val="26"/>
        </w:rPr>
        <w:t xml:space="preserve">specific research </w:t>
      </w:r>
      <w:r w:rsidR="00AB5E35">
        <w:rPr>
          <w:rFonts w:cs="Arial"/>
          <w:bCs/>
          <w:szCs w:val="26"/>
        </w:rPr>
        <w:t xml:space="preserve">project is called into </w:t>
      </w:r>
      <w:r w:rsidR="00AB5E35" w:rsidRPr="00844D5A">
        <w:rPr>
          <w:rFonts w:cs="Arial"/>
          <w:bCs/>
          <w:szCs w:val="26"/>
        </w:rPr>
        <w:t xml:space="preserve">question, good practice requires a documented </w:t>
      </w:r>
      <w:r w:rsidR="00877598">
        <w:rPr>
          <w:rFonts w:cs="Arial"/>
          <w:bCs/>
          <w:szCs w:val="26"/>
        </w:rPr>
        <w:t xml:space="preserve">functional </w:t>
      </w:r>
      <w:r w:rsidR="00AB5E35" w:rsidRPr="00844D5A">
        <w:rPr>
          <w:rFonts w:cs="Arial"/>
          <w:bCs/>
          <w:szCs w:val="26"/>
        </w:rPr>
        <w:t>assessment of capacity for informed consent,</w:t>
      </w:r>
      <w:r w:rsidR="00AB5E35">
        <w:rPr>
          <w:rFonts w:cs="Arial"/>
          <w:bCs/>
          <w:szCs w:val="26"/>
        </w:rPr>
        <w:t xml:space="preserve"> </w:t>
      </w:r>
      <w:r w:rsidR="00AB5E35" w:rsidRPr="00844D5A">
        <w:rPr>
          <w:rFonts w:cs="Arial"/>
          <w:bCs/>
          <w:szCs w:val="26"/>
        </w:rPr>
        <w:t>consistent with the standards outlined in the ADM</w:t>
      </w:r>
      <w:r w:rsidR="00C47BA8">
        <w:rPr>
          <w:rFonts w:cs="Arial"/>
          <w:bCs/>
          <w:szCs w:val="26"/>
        </w:rPr>
        <w:t>C</w:t>
      </w:r>
      <w:r w:rsidR="00AB5E35" w:rsidRPr="00844D5A">
        <w:rPr>
          <w:rFonts w:cs="Arial"/>
          <w:bCs/>
          <w:szCs w:val="26"/>
        </w:rPr>
        <w:t>A</w:t>
      </w:r>
      <w:r w:rsidR="00AB5E35">
        <w:rPr>
          <w:rFonts w:cs="Arial"/>
          <w:bCs/>
          <w:szCs w:val="26"/>
        </w:rPr>
        <w:t xml:space="preserve"> </w:t>
      </w:r>
      <w:r w:rsidR="00CF3F71">
        <w:rPr>
          <w:rFonts w:cs="Arial"/>
          <w:bCs/>
          <w:szCs w:val="26"/>
        </w:rPr>
        <w:t xml:space="preserve">2022 </w:t>
      </w:r>
      <w:r w:rsidR="00AB5E35">
        <w:rPr>
          <w:rFonts w:cs="Arial"/>
          <w:bCs/>
          <w:szCs w:val="26"/>
        </w:rPr>
        <w:t>Act. C</w:t>
      </w:r>
      <w:r w:rsidR="00AB5E35" w:rsidRPr="00844D5A">
        <w:rPr>
          <w:rFonts w:cs="Arial"/>
          <w:bCs/>
          <w:szCs w:val="26"/>
        </w:rPr>
        <w:t xml:space="preserve">apacity assessment </w:t>
      </w:r>
      <w:r w:rsidR="00CF3F71">
        <w:rPr>
          <w:rFonts w:cs="Arial"/>
          <w:bCs/>
          <w:szCs w:val="26"/>
        </w:rPr>
        <w:t xml:space="preserve">is </w:t>
      </w:r>
      <w:r w:rsidR="00AB5E35">
        <w:rPr>
          <w:rFonts w:cs="Arial"/>
          <w:bCs/>
          <w:szCs w:val="26"/>
        </w:rPr>
        <w:t>used where</w:t>
      </w:r>
      <w:r w:rsidR="00AB5E35" w:rsidRPr="00844D5A">
        <w:rPr>
          <w:rFonts w:cs="Arial"/>
          <w:bCs/>
          <w:szCs w:val="26"/>
        </w:rPr>
        <w:t xml:space="preserve"> </w:t>
      </w:r>
      <w:r w:rsidR="00AB5E35">
        <w:rPr>
          <w:rFonts w:cs="Arial"/>
          <w:bCs/>
          <w:szCs w:val="26"/>
        </w:rPr>
        <w:t xml:space="preserve">appropriate </w:t>
      </w:r>
      <w:r w:rsidR="00AB5E35" w:rsidRPr="00844D5A">
        <w:rPr>
          <w:rFonts w:cs="Arial"/>
          <w:bCs/>
          <w:szCs w:val="26"/>
        </w:rPr>
        <w:t>information has been provide</w:t>
      </w:r>
      <w:r w:rsidR="00AB5E35">
        <w:rPr>
          <w:rFonts w:cs="Arial"/>
          <w:bCs/>
          <w:szCs w:val="26"/>
        </w:rPr>
        <w:t>d</w:t>
      </w:r>
      <w:r w:rsidR="00AB5E35" w:rsidRPr="00844D5A">
        <w:rPr>
          <w:rFonts w:cs="Arial"/>
          <w:bCs/>
          <w:szCs w:val="26"/>
        </w:rPr>
        <w:t xml:space="preserve"> in an individualised way</w:t>
      </w:r>
      <w:r w:rsidR="00AB5E35">
        <w:rPr>
          <w:rFonts w:cs="Arial"/>
          <w:bCs/>
          <w:szCs w:val="26"/>
        </w:rPr>
        <w:t xml:space="preserve"> </w:t>
      </w:r>
      <w:r w:rsidR="00AB5E35" w:rsidRPr="00844D5A">
        <w:rPr>
          <w:rFonts w:cs="Arial"/>
          <w:bCs/>
          <w:szCs w:val="26"/>
        </w:rPr>
        <w:t xml:space="preserve">but concerns </w:t>
      </w:r>
      <w:r w:rsidR="00AB5E35">
        <w:rPr>
          <w:rFonts w:cs="Arial"/>
          <w:bCs/>
          <w:szCs w:val="26"/>
        </w:rPr>
        <w:t xml:space="preserve">still </w:t>
      </w:r>
      <w:r w:rsidR="00AB5E35" w:rsidRPr="00844D5A">
        <w:rPr>
          <w:rFonts w:cs="Arial"/>
          <w:bCs/>
          <w:szCs w:val="26"/>
        </w:rPr>
        <w:t>arise</w:t>
      </w:r>
      <w:r w:rsidR="00AB5E35">
        <w:rPr>
          <w:rFonts w:cs="Arial"/>
          <w:bCs/>
          <w:szCs w:val="26"/>
        </w:rPr>
        <w:t xml:space="preserve"> about </w:t>
      </w:r>
      <w:r w:rsidR="00CF3F71">
        <w:rPr>
          <w:rFonts w:cs="Arial"/>
          <w:bCs/>
          <w:szCs w:val="26"/>
        </w:rPr>
        <w:t xml:space="preserve">the </w:t>
      </w:r>
      <w:r w:rsidR="00AB5E35">
        <w:rPr>
          <w:rFonts w:cs="Arial"/>
          <w:bCs/>
          <w:szCs w:val="26"/>
        </w:rPr>
        <w:t xml:space="preserve">ability </w:t>
      </w:r>
      <w:r w:rsidR="00CF3F71">
        <w:rPr>
          <w:rFonts w:cs="Arial"/>
          <w:bCs/>
          <w:szCs w:val="26"/>
        </w:rPr>
        <w:t xml:space="preserve">of a person to understand and </w:t>
      </w:r>
      <w:r w:rsidR="00AB5E35">
        <w:rPr>
          <w:rFonts w:cs="Arial"/>
          <w:bCs/>
          <w:szCs w:val="26"/>
        </w:rPr>
        <w:t>consent</w:t>
      </w:r>
      <w:r w:rsidR="00CF3F71">
        <w:rPr>
          <w:rFonts w:cs="Arial"/>
          <w:bCs/>
          <w:szCs w:val="26"/>
        </w:rPr>
        <w:t xml:space="preserve"> to participation in the research</w:t>
      </w:r>
      <w:r w:rsidR="00AB5E35">
        <w:rPr>
          <w:rFonts w:cs="Arial"/>
          <w:bCs/>
          <w:szCs w:val="26"/>
        </w:rPr>
        <w:t>. J</w:t>
      </w:r>
      <w:r w:rsidR="00AB5E35" w:rsidRPr="00E05452">
        <w:rPr>
          <w:rFonts w:cs="Arial"/>
          <w:bCs/>
          <w:szCs w:val="26"/>
        </w:rPr>
        <w:t xml:space="preserve">udgement of capacity should </w:t>
      </w:r>
      <w:r w:rsidR="00AB5E35">
        <w:rPr>
          <w:rFonts w:cs="Arial"/>
          <w:bCs/>
          <w:szCs w:val="26"/>
        </w:rPr>
        <w:t>not</w:t>
      </w:r>
      <w:r w:rsidR="00AB5E35" w:rsidRPr="00E05452">
        <w:rPr>
          <w:rFonts w:cs="Arial"/>
          <w:bCs/>
          <w:szCs w:val="26"/>
        </w:rPr>
        <w:t xml:space="preserve"> be based on a medical diagnosis</w:t>
      </w:r>
      <w:r w:rsidR="00AB5E35">
        <w:rPr>
          <w:rFonts w:cs="Arial"/>
          <w:bCs/>
          <w:szCs w:val="26"/>
        </w:rPr>
        <w:t xml:space="preserve">. </w:t>
      </w:r>
      <w:r w:rsidR="00CF3F71">
        <w:rPr>
          <w:rFonts w:cs="Arial"/>
          <w:bCs/>
          <w:szCs w:val="26"/>
          <w:lang w:val="en-GB"/>
        </w:rPr>
        <w:t>The</w:t>
      </w:r>
      <w:r w:rsidR="00CF3F71" w:rsidRPr="004A446C">
        <w:rPr>
          <w:rFonts w:cs="Arial"/>
          <w:bCs/>
          <w:szCs w:val="26"/>
          <w:lang w:val="en-GB"/>
        </w:rPr>
        <w:t xml:space="preserve"> legal requirement of providing a fully supported process before concluding that a person lacks capacity has the potential to enable </w:t>
      </w:r>
      <w:r w:rsidR="00672593">
        <w:rPr>
          <w:rFonts w:cs="Arial"/>
          <w:bCs/>
          <w:szCs w:val="26"/>
          <w:lang w:val="en-GB"/>
        </w:rPr>
        <w:t xml:space="preserve">many </w:t>
      </w:r>
      <w:r w:rsidR="00CF3F71" w:rsidRPr="004A446C">
        <w:rPr>
          <w:rFonts w:cs="Arial"/>
          <w:bCs/>
          <w:szCs w:val="26"/>
          <w:lang w:val="en-GB"/>
        </w:rPr>
        <w:t xml:space="preserve">more people to make their own decisions and have them respected. </w:t>
      </w:r>
    </w:p>
    <w:p w14:paraId="2B6050A2" w14:textId="6DFDC12B" w:rsidR="00814449" w:rsidRDefault="00814449" w:rsidP="00814449">
      <w:pPr>
        <w:spacing w:line="360" w:lineRule="auto"/>
        <w:rPr>
          <w:rFonts w:cs="Arial"/>
          <w:szCs w:val="26"/>
          <w:lang w:val="en-GB"/>
        </w:rPr>
      </w:pPr>
      <w:r>
        <w:rPr>
          <w:rFonts w:cs="Arial"/>
          <w:szCs w:val="26"/>
          <w:lang w:val="en-GB"/>
        </w:rPr>
        <w:t xml:space="preserve">There are laws to </w:t>
      </w:r>
      <w:r w:rsidRPr="00D34A26">
        <w:rPr>
          <w:rFonts w:cs="Arial"/>
          <w:szCs w:val="26"/>
          <w:lang w:val="en-GB"/>
        </w:rPr>
        <w:t xml:space="preserve">protect data and information </w:t>
      </w:r>
      <w:r>
        <w:rPr>
          <w:rFonts w:cs="Arial"/>
          <w:szCs w:val="26"/>
          <w:lang w:val="en-GB"/>
        </w:rPr>
        <w:t>through t</w:t>
      </w:r>
      <w:r w:rsidRPr="003D3360">
        <w:t xml:space="preserve">he </w:t>
      </w:r>
      <w:r>
        <w:t xml:space="preserve">EUs </w:t>
      </w:r>
      <w:r w:rsidRPr="003D3360">
        <w:t>General Data Protection Regulation (GDPR)</w:t>
      </w:r>
      <w:r>
        <w:t>. This</w:t>
      </w:r>
      <w:r w:rsidRPr="003D3360">
        <w:t xml:space="preserve"> applies to the processing of personal data across the EU, </w:t>
      </w:r>
      <w:r>
        <w:t xml:space="preserve">including Ireland, </w:t>
      </w:r>
      <w:r w:rsidRPr="003D3360">
        <w:t xml:space="preserve">along with </w:t>
      </w:r>
      <w:r>
        <w:t xml:space="preserve">the </w:t>
      </w:r>
      <w:r w:rsidRPr="003D3360">
        <w:t>national rules set out in the Irish Data Protection Act</w:t>
      </w:r>
      <w:r>
        <w:t>,</w:t>
      </w:r>
      <w:r w:rsidRPr="003D3360">
        <w:t xml:space="preserve"> 2018</w:t>
      </w:r>
      <w:r>
        <w:t xml:space="preserve">. </w:t>
      </w:r>
      <w:r w:rsidRPr="00E55BC3">
        <w:t>The Health Research Consent Declaration Committee (HRCDC) was established as part of the Health Research Regulations</w:t>
      </w:r>
      <w:r>
        <w:rPr>
          <w:rStyle w:val="FootnoteReference"/>
        </w:rPr>
        <w:footnoteReference w:id="40"/>
      </w:r>
      <w:r w:rsidRPr="00E55BC3">
        <w:t xml:space="preserve"> </w:t>
      </w:r>
      <w:r>
        <w:t>which were provided for</w:t>
      </w:r>
      <w:r w:rsidRPr="00AF12BD">
        <w:t xml:space="preserve"> under the Data Protection Act, 2018</w:t>
      </w:r>
      <w:r>
        <w:t xml:space="preserve"> </w:t>
      </w:r>
      <w:r>
        <w:lastRenderedPageBreak/>
        <w:t>(Section 26(2))</w:t>
      </w:r>
      <w:r w:rsidRPr="00AF12BD">
        <w:t>.</w:t>
      </w:r>
      <w:r>
        <w:t xml:space="preserve"> </w:t>
      </w:r>
      <w:r w:rsidRPr="00AF12BD">
        <w:t>The Regulations</w:t>
      </w:r>
      <w:r>
        <w:t>, originally created in 2018 through a statutory instrument (S.I. No. 314 of 2018 and later amended in 2021)</w:t>
      </w:r>
      <w:r w:rsidRPr="00CD7406">
        <w:t xml:space="preserve"> ensure that access to sensitive personal data of participants in health research is valid and lawful.</w:t>
      </w:r>
      <w:r>
        <w:rPr>
          <w:rStyle w:val="FootnoteReference"/>
        </w:rPr>
        <w:footnoteReference w:id="41"/>
      </w:r>
      <w:r>
        <w:rPr>
          <w:rFonts w:cs="Arial"/>
          <w:szCs w:val="26"/>
          <w:lang w:val="en-GB"/>
        </w:rPr>
        <w:t xml:space="preserve"> </w:t>
      </w:r>
    </w:p>
    <w:p w14:paraId="1CBCF649" w14:textId="77777777" w:rsidR="0023550F" w:rsidRDefault="002F68C8" w:rsidP="00301BA0">
      <w:pPr>
        <w:spacing w:line="360" w:lineRule="auto"/>
        <w:rPr>
          <w:bCs/>
        </w:rPr>
      </w:pPr>
      <w:r>
        <w:rPr>
          <w:bCs/>
        </w:rPr>
        <w:t xml:space="preserve">Many </w:t>
      </w:r>
      <w:r w:rsidR="007F3DA8">
        <w:rPr>
          <w:bCs/>
        </w:rPr>
        <w:t xml:space="preserve">countries </w:t>
      </w:r>
      <w:r>
        <w:rPr>
          <w:bCs/>
        </w:rPr>
        <w:t xml:space="preserve">have </w:t>
      </w:r>
      <w:r w:rsidR="007F3DA8">
        <w:rPr>
          <w:bCs/>
        </w:rPr>
        <w:t>e</w:t>
      </w:r>
      <w:r w:rsidR="009A5009">
        <w:rPr>
          <w:bCs/>
        </w:rPr>
        <w:t>stablish</w:t>
      </w:r>
      <w:r>
        <w:rPr>
          <w:bCs/>
        </w:rPr>
        <w:t>ed</w:t>
      </w:r>
      <w:r w:rsidR="009A5009">
        <w:rPr>
          <w:bCs/>
        </w:rPr>
        <w:t xml:space="preserve"> </w:t>
      </w:r>
      <w:r w:rsidR="00C7726D" w:rsidRPr="00FD3589">
        <w:rPr>
          <w:bCs/>
        </w:rPr>
        <w:t xml:space="preserve">national bodies </w:t>
      </w:r>
      <w:r w:rsidR="009A5009">
        <w:rPr>
          <w:bCs/>
        </w:rPr>
        <w:t>to oversee</w:t>
      </w:r>
      <w:r w:rsidR="00C7726D" w:rsidRPr="00FD3589">
        <w:rPr>
          <w:bCs/>
        </w:rPr>
        <w:t xml:space="preserve"> research ethics committees</w:t>
      </w:r>
      <w:r w:rsidR="00C7726D">
        <w:rPr>
          <w:bCs/>
        </w:rPr>
        <w:t xml:space="preserve"> (RECs)</w:t>
      </w:r>
      <w:r>
        <w:rPr>
          <w:bCs/>
        </w:rPr>
        <w:t xml:space="preserve"> with s</w:t>
      </w:r>
      <w:r w:rsidR="00C7726D">
        <w:rPr>
          <w:bCs/>
        </w:rPr>
        <w:t xml:space="preserve">ome </w:t>
      </w:r>
      <w:r w:rsidR="00C7726D" w:rsidRPr="00CC2329">
        <w:rPr>
          <w:bCs/>
        </w:rPr>
        <w:t>n</w:t>
      </w:r>
      <w:r w:rsidR="00C7726D">
        <w:rPr>
          <w:bCs/>
        </w:rPr>
        <w:t xml:space="preserve">ational bodies </w:t>
      </w:r>
      <w:r w:rsidR="00C7726D" w:rsidRPr="00CC2329">
        <w:rPr>
          <w:bCs/>
        </w:rPr>
        <w:t>serv</w:t>
      </w:r>
      <w:r>
        <w:rPr>
          <w:bCs/>
        </w:rPr>
        <w:t>ing</w:t>
      </w:r>
      <w:r w:rsidR="00C7726D" w:rsidRPr="00CC2329">
        <w:rPr>
          <w:bCs/>
        </w:rPr>
        <w:t xml:space="preserve"> as ethi</w:t>
      </w:r>
      <w:r w:rsidR="00C7726D">
        <w:rPr>
          <w:bCs/>
        </w:rPr>
        <w:t xml:space="preserve">cs review committees themselves. </w:t>
      </w:r>
      <w:r w:rsidR="00DD7DA8" w:rsidRPr="00284D85">
        <w:rPr>
          <w:bCs/>
          <w:lang w:val="en-GB"/>
        </w:rPr>
        <w:t xml:space="preserve">In Ireland, </w:t>
      </w:r>
      <w:r w:rsidR="00DD7DA8">
        <w:rPr>
          <w:bCs/>
          <w:lang w:val="en-GB"/>
        </w:rPr>
        <w:t xml:space="preserve">there are ongoing efforts to develop, strengthen and harmonise </w:t>
      </w:r>
      <w:r w:rsidR="00DD7DA8" w:rsidRPr="00284D85">
        <w:rPr>
          <w:bCs/>
          <w:lang w:val="en-GB"/>
        </w:rPr>
        <w:t xml:space="preserve">a </w:t>
      </w:r>
      <w:r w:rsidR="00DD7DA8">
        <w:rPr>
          <w:bCs/>
          <w:lang w:val="en-GB"/>
        </w:rPr>
        <w:t xml:space="preserve">robust </w:t>
      </w:r>
      <w:r w:rsidR="00DD7DA8" w:rsidRPr="00284D85">
        <w:rPr>
          <w:bCs/>
          <w:lang w:val="en-GB"/>
        </w:rPr>
        <w:t>framework for human participant resear</w:t>
      </w:r>
      <w:r w:rsidR="00DD7DA8">
        <w:rPr>
          <w:bCs/>
          <w:lang w:val="en-GB"/>
        </w:rPr>
        <w:t xml:space="preserve">ch ethics governance </w:t>
      </w:r>
      <w:r w:rsidR="00DD7DA8">
        <w:rPr>
          <w:bCs/>
        </w:rPr>
        <w:t>and address ethical challenges to safeguard the r</w:t>
      </w:r>
      <w:r w:rsidR="00DD7DA8" w:rsidRPr="0066495D">
        <w:rPr>
          <w:bCs/>
        </w:rPr>
        <w:t>ights of research participants.</w:t>
      </w:r>
      <w:r w:rsidR="00DD7DA8" w:rsidRPr="006112D3">
        <w:rPr>
          <w:rStyle w:val="FootnoteReference"/>
          <w:bCs/>
        </w:rPr>
        <w:t xml:space="preserve"> </w:t>
      </w:r>
    </w:p>
    <w:p w14:paraId="11514ED5" w14:textId="52F56F64" w:rsidR="00D61801" w:rsidRDefault="00CD798A" w:rsidP="00301BA0">
      <w:pPr>
        <w:spacing w:line="360" w:lineRule="auto"/>
        <w:rPr>
          <w:bCs/>
        </w:rPr>
      </w:pPr>
      <w:r>
        <w:t>A</w:t>
      </w:r>
      <w:r w:rsidRPr="00FD4C2A">
        <w:t>n independent office with a statutory function</w:t>
      </w:r>
      <w:r>
        <w:t>,</w:t>
      </w:r>
      <w:r>
        <w:rPr>
          <w:lang w:val="en-GB"/>
        </w:rPr>
        <w:t xml:space="preserve"> </w:t>
      </w:r>
      <w:r w:rsidR="00FD4C2A">
        <w:rPr>
          <w:lang w:val="en-GB"/>
        </w:rPr>
        <w:t xml:space="preserve">the </w:t>
      </w:r>
      <w:r w:rsidR="00FD4C2A" w:rsidRPr="00FD4C2A">
        <w:t>National Office for Research Ethics Committees</w:t>
      </w:r>
      <w:r>
        <w:t>,</w:t>
      </w:r>
      <w:r w:rsidR="00FD4C2A" w:rsidRPr="00FD4C2A">
        <w:t xml:space="preserve"> was established in 2020</w:t>
      </w:r>
      <w:r>
        <w:t>,</w:t>
      </w:r>
      <w:r w:rsidR="00FD4C2A" w:rsidRPr="00FD4C2A">
        <w:t xml:space="preserve"> as a component of the reform of the research ethics committee framework in Ireland led by the Department of Health.</w:t>
      </w:r>
      <w:r w:rsidR="00D61801">
        <w:rPr>
          <w:rStyle w:val="FootnoteReference"/>
        </w:rPr>
        <w:footnoteReference w:id="42"/>
      </w:r>
      <w:r>
        <w:t xml:space="preserve"> Its role includes creating a cohesive research ethics review system </w:t>
      </w:r>
      <w:r w:rsidRPr="00FD4C2A">
        <w:t>that strengthens </w:t>
      </w:r>
      <w:r>
        <w:t>the national</w:t>
      </w:r>
      <w:r w:rsidRPr="00FD4C2A" w:rsidDel="00CD798A">
        <w:rPr>
          <w:b/>
          <w:bCs/>
        </w:rPr>
        <w:t xml:space="preserve"> </w:t>
      </w:r>
      <w:r w:rsidRPr="00FD4C2A">
        <w:t>research infra</w:t>
      </w:r>
      <w:r>
        <w:t>-</w:t>
      </w:r>
      <w:r w:rsidRPr="00FD4C2A">
        <w:t>structure</w:t>
      </w:r>
      <w:r>
        <w:t>, which includes establishing and supporting National Research Ethics Committees in specific areas of health research.</w:t>
      </w:r>
      <w:r w:rsidR="00D61801">
        <w:t xml:space="preserve"> To date however, the National Office</w:t>
      </w:r>
      <w:r w:rsidR="00F53DE8">
        <w:t xml:space="preserve"> priorities are clinical trials of medicinal products for human use, clinical investigations of medical devices and performance studies of in vitro diagnostic medical devices. </w:t>
      </w:r>
      <w:r w:rsidR="00D61801">
        <w:t xml:space="preserve"> </w:t>
      </w:r>
      <w:r w:rsidR="00D61801">
        <w:rPr>
          <w:bCs/>
        </w:rPr>
        <w:t xml:space="preserve">To realise </w:t>
      </w:r>
      <w:r w:rsidR="00D61801" w:rsidRPr="00CC2329">
        <w:rPr>
          <w:bCs/>
        </w:rPr>
        <w:t xml:space="preserve">their potential, national bodies </w:t>
      </w:r>
      <w:r w:rsidR="00D61801">
        <w:rPr>
          <w:bCs/>
        </w:rPr>
        <w:t xml:space="preserve">need to </w:t>
      </w:r>
      <w:r w:rsidR="00D61801" w:rsidRPr="00CC2329">
        <w:rPr>
          <w:bCs/>
        </w:rPr>
        <w:t xml:space="preserve">be adequately staffed and funded </w:t>
      </w:r>
      <w:r w:rsidR="00D61801">
        <w:rPr>
          <w:bCs/>
        </w:rPr>
        <w:t xml:space="preserve">to cover all human participant research, rather than </w:t>
      </w:r>
      <w:r w:rsidR="00D61801" w:rsidRPr="00CC2329">
        <w:rPr>
          <w:bCs/>
        </w:rPr>
        <w:t>clinical trials</w:t>
      </w:r>
      <w:r w:rsidR="00D61801">
        <w:rPr>
          <w:bCs/>
        </w:rPr>
        <w:t xml:space="preserve"> only</w:t>
      </w:r>
      <w:r w:rsidR="00D61801" w:rsidRPr="00CC2329">
        <w:rPr>
          <w:bCs/>
        </w:rPr>
        <w:t>.</w:t>
      </w:r>
      <w:r w:rsidR="00D61801">
        <w:rPr>
          <w:bCs/>
        </w:rPr>
        <w:t xml:space="preserve"> </w:t>
      </w:r>
    </w:p>
    <w:p w14:paraId="295C44C9" w14:textId="675AB093" w:rsidR="00DD7DA8" w:rsidRDefault="00D61801" w:rsidP="00301BA0">
      <w:pPr>
        <w:spacing w:line="360" w:lineRule="auto"/>
        <w:rPr>
          <w:lang w:val="en-GB"/>
        </w:rPr>
      </w:pPr>
      <w:r>
        <w:t xml:space="preserve">The </w:t>
      </w:r>
      <w:r>
        <w:rPr>
          <w:bCs/>
        </w:rPr>
        <w:t>HSE (Health Service Executive) set out a ten-year plan in 2019</w:t>
      </w:r>
      <w:r w:rsidR="00A56CF9">
        <w:rPr>
          <w:rStyle w:val="FootnoteReference"/>
          <w:bCs/>
        </w:rPr>
        <w:footnoteReference w:id="43"/>
      </w:r>
      <w:r w:rsidR="00A56CF9">
        <w:rPr>
          <w:bCs/>
        </w:rPr>
        <w:t xml:space="preserve"> </w:t>
      </w:r>
      <w:r>
        <w:rPr>
          <w:bCs/>
        </w:rPr>
        <w:t xml:space="preserve">to establish, develop, embed, and consolidate a HSE governance framework for health research. In 2021 they published </w:t>
      </w:r>
      <w:r w:rsidR="00077441">
        <w:rPr>
          <w:bCs/>
        </w:rPr>
        <w:t>the</w:t>
      </w:r>
      <w:r w:rsidRPr="006112D3">
        <w:rPr>
          <w:bCs/>
        </w:rPr>
        <w:t xml:space="preserve"> </w:t>
      </w:r>
      <w:r>
        <w:rPr>
          <w:bCs/>
        </w:rPr>
        <w:t xml:space="preserve">HSE </w:t>
      </w:r>
      <w:r w:rsidRPr="006112D3">
        <w:rPr>
          <w:bCs/>
        </w:rPr>
        <w:t xml:space="preserve">National Framework for Governance, </w:t>
      </w:r>
      <w:r w:rsidRPr="006112D3">
        <w:rPr>
          <w:bCs/>
        </w:rPr>
        <w:lastRenderedPageBreak/>
        <w:t>Management and Sup</w:t>
      </w:r>
      <w:r>
        <w:rPr>
          <w:bCs/>
        </w:rPr>
        <w:t>port of Health Research.</w:t>
      </w:r>
      <w:r w:rsidR="00077441">
        <w:rPr>
          <w:rStyle w:val="FootnoteReference"/>
          <w:bCs/>
        </w:rPr>
        <w:footnoteReference w:id="44"/>
      </w:r>
      <w:r w:rsidR="00077441">
        <w:rPr>
          <w:bCs/>
        </w:rPr>
        <w:t xml:space="preserve"> This framework outlines how both ethical and institutional oversight are necessary for the appropriate governance of health research.</w:t>
      </w:r>
      <w:r>
        <w:rPr>
          <w:bCs/>
        </w:rPr>
        <w:t xml:space="preserve"> </w:t>
      </w:r>
      <w:r w:rsidRPr="006112D3">
        <w:rPr>
          <w:bCs/>
        </w:rPr>
        <w:t xml:space="preserve">In 2022 </w:t>
      </w:r>
      <w:r w:rsidR="00077441">
        <w:rPr>
          <w:bCs/>
        </w:rPr>
        <w:t>required reforms were</w:t>
      </w:r>
      <w:r w:rsidRPr="006112D3">
        <w:rPr>
          <w:bCs/>
        </w:rPr>
        <w:t xml:space="preserve"> published in the Standard Code of Governance and Management Required for HSE Reference Research Ethics Committees</w:t>
      </w:r>
      <w:r>
        <w:rPr>
          <w:bCs/>
        </w:rPr>
        <w:t xml:space="preserve"> </w:t>
      </w:r>
      <w:r w:rsidRPr="008749AF">
        <w:t>HSE (2022)</w:t>
      </w:r>
      <w:r>
        <w:t>.</w:t>
      </w:r>
      <w:r w:rsidRPr="008749AF">
        <w:t xml:space="preserve"> </w:t>
      </w:r>
      <w:r w:rsidR="00424C82" w:rsidRPr="00424C82">
        <w:rPr>
          <w:rStyle w:val="FootnoteReference"/>
          <w:bCs/>
        </w:rPr>
        <w:t xml:space="preserve"> </w:t>
      </w:r>
      <w:r w:rsidR="00424C82">
        <w:rPr>
          <w:rStyle w:val="FootnoteReference"/>
          <w:bCs/>
        </w:rPr>
        <w:footnoteReference w:id="45"/>
      </w:r>
      <w:r w:rsidR="00424C82" w:rsidRPr="00A00F0D">
        <w:rPr>
          <w:lang w:val="en-GB"/>
        </w:rPr>
        <w:t xml:space="preserve"> </w:t>
      </w:r>
      <w:r w:rsidR="00077441">
        <w:rPr>
          <w:lang w:val="en-GB"/>
        </w:rPr>
        <w:t>In addition</w:t>
      </w:r>
      <w:r w:rsidR="00A56CF9">
        <w:rPr>
          <w:lang w:val="en-GB"/>
        </w:rPr>
        <w:t>,</w:t>
      </w:r>
      <w:r w:rsidR="00077441">
        <w:rPr>
          <w:lang w:val="en-GB"/>
        </w:rPr>
        <w:t xml:space="preserve"> in 2023 the HSE published their National Policy for Consent in Health and Social Care Research.</w:t>
      </w:r>
      <w:r w:rsidR="00077441">
        <w:rPr>
          <w:rStyle w:val="FootnoteReference"/>
          <w:lang w:val="en-GB"/>
        </w:rPr>
        <w:footnoteReference w:id="46"/>
      </w:r>
      <w:r w:rsidR="00CD798A">
        <w:t xml:space="preserve"> </w:t>
      </w:r>
      <w:r w:rsidR="00DD7DA8">
        <w:rPr>
          <w:lang w:val="en-GB"/>
        </w:rPr>
        <w:t xml:space="preserve"> </w:t>
      </w:r>
    </w:p>
    <w:p w14:paraId="33F0F212" w14:textId="160690A9" w:rsidR="00EF09EC" w:rsidRDefault="00EF09EC" w:rsidP="00301BA0">
      <w:pPr>
        <w:spacing w:line="360" w:lineRule="auto"/>
        <w:rPr>
          <w:lang w:val="en-GB"/>
        </w:rPr>
      </w:pPr>
      <w:r>
        <w:rPr>
          <w:lang w:val="en-GB"/>
        </w:rPr>
        <w:t xml:space="preserve">While the objective view of a Research Ethics Committee is important in safeguarding potential participants and highlighting potential ethical issues there can be challenges where research is restricted due to overly zealous committees that fail to adequately balance the necessity and potential benefits of research with potential ethical issues that may arise. </w:t>
      </w:r>
      <w:r w:rsidRPr="003017DD">
        <w:rPr>
          <w:lang w:val="en-GB"/>
        </w:rPr>
        <w:t>Coggon</w:t>
      </w:r>
      <w:r>
        <w:rPr>
          <w:rStyle w:val="FootnoteReference"/>
          <w:lang w:val="en-GB"/>
        </w:rPr>
        <w:footnoteReference w:id="47"/>
      </w:r>
      <w:r w:rsidR="000D4C39">
        <w:rPr>
          <w:lang w:val="en-GB"/>
        </w:rPr>
        <w:t xml:space="preserve"> </w:t>
      </w:r>
      <w:r w:rsidRPr="003017DD">
        <w:rPr>
          <w:lang w:val="en-GB"/>
        </w:rPr>
        <w:t>gives practical examples where the process of independent ethical review can be described as weighted against the researchers and the research. “In these examples, ‘devotion to protocol’, without justification, contributes nothing to the ethical conduct of the research and only adds to the intrinsic costs of the research and frustrations of the researcher”</w:t>
      </w:r>
      <w:r>
        <w:rPr>
          <w:lang w:val="en-GB"/>
        </w:rPr>
        <w:t>:</w:t>
      </w:r>
      <w:r w:rsidRPr="003017DD">
        <w:rPr>
          <w:lang w:val="en-GB"/>
        </w:rPr>
        <w:t xml:space="preserve"> It is important that independent ethical reviews by RECs make an important contribution to the overall research process rather than being identified as an imposed, unnecessary burden</w:t>
      </w:r>
      <w:r>
        <w:rPr>
          <w:lang w:val="en-GB"/>
        </w:rPr>
        <w:t>.</w:t>
      </w:r>
      <w:r>
        <w:rPr>
          <w:rStyle w:val="FootnoteReference"/>
          <w:lang w:val="en-GB"/>
        </w:rPr>
        <w:footnoteReference w:id="48"/>
      </w:r>
      <w:r>
        <w:rPr>
          <w:lang w:val="en-GB"/>
        </w:rPr>
        <w:t xml:space="preserve"> </w:t>
      </w:r>
      <w:r w:rsidRPr="003017DD">
        <w:rPr>
          <w:lang w:val="en-GB"/>
        </w:rPr>
        <w:t xml:space="preserve"> </w:t>
      </w:r>
    </w:p>
    <w:p w14:paraId="653F6159" w14:textId="58EA8428" w:rsidR="002840C1" w:rsidRDefault="00A22359" w:rsidP="00301BA0">
      <w:pPr>
        <w:pStyle w:val="Heading2"/>
        <w:spacing w:line="360" w:lineRule="auto"/>
      </w:pPr>
      <w:bookmarkStart w:id="30" w:name="_Toc150873266"/>
      <w:bookmarkStart w:id="31" w:name="_Toc156380495"/>
      <w:r>
        <w:t>2.</w:t>
      </w:r>
      <w:r w:rsidR="00553A15">
        <w:t>5</w:t>
      </w:r>
      <w:r>
        <w:t>.</w:t>
      </w:r>
      <w:r>
        <w:tab/>
      </w:r>
      <w:r w:rsidR="002840C1">
        <w:t xml:space="preserve">Participation and </w:t>
      </w:r>
      <w:r w:rsidR="00324DEE">
        <w:t>c</w:t>
      </w:r>
      <w:r w:rsidR="002840C1">
        <w:t>ollaborat</w:t>
      </w:r>
      <w:r w:rsidR="00E4361D">
        <w:t>ive research</w:t>
      </w:r>
      <w:bookmarkEnd w:id="30"/>
      <w:bookmarkEnd w:id="31"/>
      <w:r w:rsidR="00E4361D">
        <w:t xml:space="preserve"> </w:t>
      </w:r>
    </w:p>
    <w:p w14:paraId="7FD2E957" w14:textId="17C54C9A" w:rsidR="00CD798A" w:rsidRPr="00F978E1" w:rsidRDefault="00CD798A" w:rsidP="00301BA0">
      <w:pPr>
        <w:spacing w:line="360" w:lineRule="auto"/>
        <w:rPr>
          <w:b/>
          <w:bCs/>
        </w:rPr>
      </w:pPr>
      <w:r>
        <w:rPr>
          <w:lang w:val="en-GB"/>
        </w:rPr>
        <w:t xml:space="preserve">In the last decades there has been </w:t>
      </w:r>
      <w:r w:rsidRPr="00F977EB">
        <w:rPr>
          <w:lang w:val="en-GB"/>
        </w:rPr>
        <w:t xml:space="preserve">a shift from doing research on and about populations </w:t>
      </w:r>
      <w:r>
        <w:rPr>
          <w:lang w:val="en-GB"/>
        </w:rPr>
        <w:t xml:space="preserve">to doing research </w:t>
      </w:r>
      <w:r w:rsidRPr="000D4C39">
        <w:rPr>
          <w:b/>
          <w:bCs/>
          <w:lang w:val="en-GB"/>
        </w:rPr>
        <w:t>with populations</w:t>
      </w:r>
      <w:r w:rsidRPr="00F977EB">
        <w:rPr>
          <w:lang w:val="en-GB"/>
        </w:rPr>
        <w:t>.</w:t>
      </w:r>
      <w:r>
        <w:rPr>
          <w:lang w:val="en-GB"/>
        </w:rPr>
        <w:t xml:space="preserve"> Since 2005, </w:t>
      </w:r>
      <w:r w:rsidRPr="00284D85">
        <w:rPr>
          <w:lang w:val="en-GB"/>
        </w:rPr>
        <w:t xml:space="preserve">Research </w:t>
      </w:r>
      <w:r w:rsidRPr="00284D85">
        <w:rPr>
          <w:lang w:val="en-GB"/>
        </w:rPr>
        <w:lastRenderedPageBreak/>
        <w:t>Governance Framework for Health and Social Care</w:t>
      </w:r>
      <w:r>
        <w:rPr>
          <w:rStyle w:val="FootnoteReference"/>
          <w:lang w:val="en-GB"/>
        </w:rPr>
        <w:footnoteReference w:id="49"/>
      </w:r>
      <w:r>
        <w:rPr>
          <w:lang w:val="en-GB"/>
        </w:rPr>
        <w:t xml:space="preserve"> </w:t>
      </w:r>
      <w:r w:rsidR="00077441">
        <w:rPr>
          <w:lang w:val="en-GB"/>
        </w:rPr>
        <w:t>published by t</w:t>
      </w:r>
      <w:r w:rsidR="00077441" w:rsidRPr="00284D85">
        <w:rPr>
          <w:lang w:val="en-GB"/>
        </w:rPr>
        <w:t xml:space="preserve">he UK </w:t>
      </w:r>
      <w:r w:rsidR="00077441">
        <w:rPr>
          <w:lang w:val="en-GB"/>
        </w:rPr>
        <w:t xml:space="preserve">Department of Health </w:t>
      </w:r>
      <w:r>
        <w:rPr>
          <w:lang w:val="en-GB"/>
        </w:rPr>
        <w:t>has required</w:t>
      </w:r>
      <w:r w:rsidRPr="00284D85">
        <w:rPr>
          <w:lang w:val="en-GB"/>
        </w:rPr>
        <w:t xml:space="preserve"> researchers, wherever possible, to involve service-users and carers or their representative groups in the design, conduct, analysis</w:t>
      </w:r>
      <w:r>
        <w:rPr>
          <w:lang w:val="en-GB"/>
        </w:rPr>
        <w:t>,</w:t>
      </w:r>
      <w:r w:rsidRPr="00284D85">
        <w:rPr>
          <w:lang w:val="en-GB"/>
        </w:rPr>
        <w:t xml:space="preserve"> and reporting of research.</w:t>
      </w:r>
      <w:r>
        <w:rPr>
          <w:lang w:val="en-GB"/>
        </w:rPr>
        <w:t xml:space="preserve"> With regards disabled people, since the 1970s, </w:t>
      </w:r>
      <w:r w:rsidRPr="006A4377">
        <w:t>co-produced participatory research</w:t>
      </w:r>
      <w:r>
        <w:t xml:space="preserve"> has been emphasised. This entails </w:t>
      </w:r>
      <w:r w:rsidRPr="006A4377">
        <w:t xml:space="preserve">disabled people working with </w:t>
      </w:r>
      <w:r>
        <w:t xml:space="preserve">researchers </w:t>
      </w:r>
      <w:r w:rsidRPr="006A4377">
        <w:t xml:space="preserve">to </w:t>
      </w:r>
      <w:r>
        <w:t xml:space="preserve">contribute to the </w:t>
      </w:r>
      <w:r w:rsidRPr="006A4377">
        <w:t>produc</w:t>
      </w:r>
      <w:r>
        <w:t>tion of</w:t>
      </w:r>
      <w:r w:rsidRPr="006A4377">
        <w:t xml:space="preserve"> research </w:t>
      </w:r>
      <w:r>
        <w:t>that is informed by their input</w:t>
      </w:r>
      <w:r w:rsidRPr="006A4377">
        <w:t>.</w:t>
      </w:r>
      <w:r>
        <w:rPr>
          <w:rStyle w:val="FootnoteReference"/>
        </w:rPr>
        <w:footnoteReference w:id="50"/>
      </w:r>
      <w:r w:rsidRPr="006A4377">
        <w:t> </w:t>
      </w:r>
      <w:r>
        <w:t xml:space="preserve"> The NDA’s 2022 ‘</w:t>
      </w:r>
      <w:r w:rsidRPr="00F978E1">
        <w:t>Conducting Collaborative Research with People with Disabilities: A Literature Review</w:t>
      </w:r>
      <w:r>
        <w:t xml:space="preserve">’ summarises the </w:t>
      </w:r>
      <w:r w:rsidRPr="00FD0F2B">
        <w:t>many advantages of collaborative research</w:t>
      </w:r>
      <w:r w:rsidR="00A666E8">
        <w:t>.</w:t>
      </w:r>
      <w:r>
        <w:rPr>
          <w:rStyle w:val="FootnoteReference"/>
        </w:rPr>
        <w:footnoteReference w:id="51"/>
      </w:r>
      <w:r w:rsidRPr="00FD0F2B">
        <w:t xml:space="preserve"> </w:t>
      </w:r>
      <w:r w:rsidR="00187FD5">
        <w:t xml:space="preserve">NDA </w:t>
      </w:r>
      <w:r w:rsidR="00187FD5" w:rsidRPr="00187FD5">
        <w:t xml:space="preserve">guidance </w:t>
      </w:r>
      <w:r w:rsidR="00187FD5">
        <w:t xml:space="preserve">on conducting collaborative research </w:t>
      </w:r>
      <w:r w:rsidR="0075412D">
        <w:t>was published</w:t>
      </w:r>
      <w:r w:rsidR="00187FD5" w:rsidRPr="00187FD5">
        <w:t xml:space="preserve"> in October</w:t>
      </w:r>
      <w:r w:rsidR="00A666E8">
        <w:t xml:space="preserve"> 2023</w:t>
      </w:r>
      <w:r w:rsidR="00187FD5" w:rsidRPr="00187FD5">
        <w:t>.</w:t>
      </w:r>
      <w:r w:rsidR="00723DCE">
        <w:rPr>
          <w:rStyle w:val="FootnoteReference"/>
        </w:rPr>
        <w:footnoteReference w:id="52"/>
      </w:r>
    </w:p>
    <w:p w14:paraId="1D41965D" w14:textId="50DE5E1B" w:rsidR="00CC0E05" w:rsidRDefault="00AA536E" w:rsidP="00301BA0">
      <w:pPr>
        <w:spacing w:line="360" w:lineRule="auto"/>
      </w:pPr>
      <w:r>
        <w:t xml:space="preserve">Disabled people should be eligible to be research participants alongside their non-disabled peers and </w:t>
      </w:r>
      <w:r w:rsidR="002840C1" w:rsidRPr="00D07629">
        <w:t>disabled people and DPOs</w:t>
      </w:r>
      <w:r w:rsidR="00F4208B">
        <w:t xml:space="preserve"> should be involved in research</w:t>
      </w:r>
      <w:r w:rsidR="002840C1" w:rsidRPr="00D07629">
        <w:t xml:space="preserve"> when the research focus </w:t>
      </w:r>
      <w:r w:rsidR="002840C1">
        <w:t xml:space="preserve">is </w:t>
      </w:r>
      <w:r w:rsidR="002840C1" w:rsidRPr="00D07629">
        <w:t>on a disability issue</w:t>
      </w:r>
      <w:r w:rsidR="0048214A">
        <w:t xml:space="preserve"> (collaboration)</w:t>
      </w:r>
      <w:r w:rsidR="002840C1" w:rsidRPr="00D07629">
        <w:t>, following the maxim: ‘Nothing about us, without us.’</w:t>
      </w:r>
      <w:r w:rsidR="002840C1" w:rsidRPr="00D07629">
        <w:rPr>
          <w:lang w:val="en-GB"/>
        </w:rPr>
        <w:t xml:space="preserve"> </w:t>
      </w:r>
      <w:r w:rsidR="00BC0D78" w:rsidRPr="00BC0D78">
        <w:rPr>
          <w:lang w:val="en-GB"/>
        </w:rPr>
        <w:t xml:space="preserve">The 2022 NDA guidelines </w:t>
      </w:r>
      <w:r w:rsidR="00BC0D78" w:rsidRPr="00AA536E">
        <w:t>'Participation Matters: Guidelines on implementing the obligation to meaningfully engage with disabled people in public decision making'</w:t>
      </w:r>
      <w:r w:rsidR="00923CD2">
        <w:rPr>
          <w:rStyle w:val="FootnoteReference"/>
        </w:rPr>
        <w:footnoteReference w:id="53"/>
      </w:r>
      <w:r w:rsidR="00BC0D78" w:rsidRPr="00AA536E">
        <w:t xml:space="preserve"> </w:t>
      </w:r>
      <w:r w:rsidR="00BC0D78" w:rsidRPr="00BC0D78">
        <w:t xml:space="preserve">are a practical resource to support </w:t>
      </w:r>
      <w:r w:rsidR="00F4208B">
        <w:t xml:space="preserve">the </w:t>
      </w:r>
      <w:r w:rsidR="00BC0D78" w:rsidRPr="00BC0D78">
        <w:t>involve</w:t>
      </w:r>
      <w:r w:rsidR="00F4208B">
        <w:t>ment of</w:t>
      </w:r>
      <w:r w:rsidR="00BC0D78" w:rsidRPr="00BC0D78">
        <w:t xml:space="preserve"> disabled people and their representative organisations</w:t>
      </w:r>
      <w:r w:rsidR="00BC0D78">
        <w:t>, DPOs,</w:t>
      </w:r>
      <w:r w:rsidR="00BC0D78" w:rsidRPr="00BC0D78">
        <w:t xml:space="preserve"> in </w:t>
      </w:r>
      <w:r w:rsidR="00F4208B">
        <w:t xml:space="preserve">research as well as in </w:t>
      </w:r>
      <w:r w:rsidR="00BC0D78" w:rsidRPr="00BC0D78">
        <w:t>policy development</w:t>
      </w:r>
      <w:r w:rsidR="00F4208B">
        <w:t xml:space="preserve"> </w:t>
      </w:r>
      <w:r w:rsidR="00BC0D78" w:rsidRPr="00BC0D78">
        <w:t xml:space="preserve">and other processes. </w:t>
      </w:r>
      <w:r w:rsidR="00CC0E05" w:rsidRPr="00BC0D78">
        <w:t>The</w:t>
      </w:r>
      <w:r w:rsidR="00F4208B">
        <w:t xml:space="preserve"> Guidelines</w:t>
      </w:r>
      <w:r w:rsidR="00CC0E05" w:rsidRPr="00BC0D78">
        <w:t xml:space="preserve"> take a universal design approach to consultation and participation processes so that disabled people participate on an equal basis with others. The Guidelines are available in Irish Sign Language</w:t>
      </w:r>
      <w:r w:rsidR="00CC0E05">
        <w:t xml:space="preserve"> and</w:t>
      </w:r>
      <w:r w:rsidR="00CC0E05" w:rsidRPr="00BC0D78">
        <w:t xml:space="preserve"> Easy-to-Read formats</w:t>
      </w:r>
      <w:r w:rsidR="00CC0E05">
        <w:t>.</w:t>
      </w:r>
      <w:r w:rsidR="00CC0E05" w:rsidRPr="00BC0D78">
        <w:t xml:space="preserve"> </w:t>
      </w:r>
    </w:p>
    <w:p w14:paraId="06E499E3" w14:textId="4FEF9DC8" w:rsidR="00AA536E" w:rsidRPr="00D07629" w:rsidRDefault="00AA536E" w:rsidP="00301BA0">
      <w:pPr>
        <w:spacing w:line="360" w:lineRule="auto"/>
        <w:rPr>
          <w:lang w:val="en-GB"/>
        </w:rPr>
      </w:pPr>
      <w:r w:rsidRPr="00D07629">
        <w:rPr>
          <w:lang w:val="en-GB"/>
        </w:rPr>
        <w:lastRenderedPageBreak/>
        <w:t xml:space="preserve">Collaboration and consultation with disabled people and DPOs early in the design process, can lead to more effective and ethical research and prevent harmful assumptions. It </w:t>
      </w:r>
      <w:r w:rsidR="00BC0D78">
        <w:rPr>
          <w:lang w:val="en-GB"/>
        </w:rPr>
        <w:t xml:space="preserve">can </w:t>
      </w:r>
      <w:r w:rsidRPr="00D07629">
        <w:rPr>
          <w:lang w:val="en-GB"/>
        </w:rPr>
        <w:t xml:space="preserve">foster trust and builds relationships, </w:t>
      </w:r>
      <w:r w:rsidRPr="00D07629">
        <w:t xml:space="preserve">a fundamental aspect of ethical research. </w:t>
      </w:r>
      <w:r w:rsidRPr="00D07629">
        <w:rPr>
          <w:lang w:val="en-GB"/>
        </w:rPr>
        <w:t>It can help researchers frame research questions, devise appropriate methodology, interpret findings</w:t>
      </w:r>
      <w:r w:rsidR="00CC0E05">
        <w:rPr>
          <w:lang w:val="en-GB"/>
        </w:rPr>
        <w:t>, and</w:t>
      </w:r>
      <w:r w:rsidRPr="00D07629">
        <w:rPr>
          <w:lang w:val="en-GB"/>
        </w:rPr>
        <w:t xml:space="preserve"> avoid an ‘ableist’ bias</w:t>
      </w:r>
      <w:r w:rsidR="00CC0E05">
        <w:rPr>
          <w:lang w:val="en-GB"/>
        </w:rPr>
        <w:t>.</w:t>
      </w:r>
      <w:r w:rsidRPr="00D07629">
        <w:rPr>
          <w:rFonts w:ascii="Gill Sans" w:hAnsi="Gill Sans"/>
          <w:sz w:val="22"/>
          <w:vertAlign w:val="superscript"/>
          <w:lang w:val="en-GB"/>
        </w:rPr>
        <w:footnoteReference w:id="54"/>
      </w:r>
      <w:r w:rsidRPr="00D07629">
        <w:rPr>
          <w:lang w:val="en-GB"/>
        </w:rPr>
        <w:t xml:space="preserve"> It can provide opportunities for shared learning</w:t>
      </w:r>
      <w:r w:rsidR="00CC0E05">
        <w:rPr>
          <w:lang w:val="en-GB"/>
        </w:rPr>
        <w:t xml:space="preserve">, </w:t>
      </w:r>
      <w:r w:rsidRPr="00D07629">
        <w:rPr>
          <w:lang w:val="en-GB"/>
        </w:rPr>
        <w:t>increased knowledge production and dissemination.</w:t>
      </w:r>
      <w:r w:rsidRPr="00D07629">
        <w:rPr>
          <w:rFonts w:ascii="Gill Sans" w:hAnsi="Gill Sans"/>
          <w:sz w:val="22"/>
          <w:vertAlign w:val="superscript"/>
          <w:lang w:val="en-GB"/>
        </w:rPr>
        <w:footnoteReference w:id="55"/>
      </w:r>
      <w:r w:rsidRPr="00D07629">
        <w:rPr>
          <w:lang w:val="en-GB"/>
        </w:rPr>
        <w:t xml:space="preserve"> </w:t>
      </w:r>
      <w:r w:rsidR="0075412D">
        <w:rPr>
          <w:lang w:val="en-GB"/>
        </w:rPr>
        <w:t xml:space="preserve">Disabled people may also have a more extensive role in the research process and conduct fieldwork, and input into the analysis of data. The contribution of disabled people that play a significant role in the research process should be appropriately recognised. </w:t>
      </w:r>
      <w:r w:rsidRPr="00D07629">
        <w:rPr>
          <w:lang w:val="en-GB"/>
        </w:rPr>
        <w:t xml:space="preserve">Active participation </w:t>
      </w:r>
      <w:r w:rsidR="00F20315">
        <w:rPr>
          <w:lang w:val="en-GB"/>
        </w:rPr>
        <w:t xml:space="preserve">and engagement </w:t>
      </w:r>
      <w:r w:rsidRPr="00D07629">
        <w:rPr>
          <w:lang w:val="en-GB"/>
        </w:rPr>
        <w:t xml:space="preserve">of people with disabilities </w:t>
      </w:r>
      <w:r w:rsidR="00F20315">
        <w:rPr>
          <w:lang w:val="en-GB"/>
        </w:rPr>
        <w:t xml:space="preserve">in the research process </w:t>
      </w:r>
      <w:r w:rsidRPr="00D07629">
        <w:rPr>
          <w:lang w:val="en-GB"/>
        </w:rPr>
        <w:t>can promote informed consent</w:t>
      </w:r>
      <w:r w:rsidR="001C1F4B">
        <w:rPr>
          <w:lang w:val="en-GB"/>
        </w:rPr>
        <w:t xml:space="preserve"> because they </w:t>
      </w:r>
      <w:r w:rsidR="00A30BA8">
        <w:rPr>
          <w:lang w:val="en-GB"/>
        </w:rPr>
        <w:t xml:space="preserve">access more </w:t>
      </w:r>
      <w:r w:rsidR="001C1F4B">
        <w:rPr>
          <w:lang w:val="en-GB"/>
        </w:rPr>
        <w:t xml:space="preserve">information </w:t>
      </w:r>
      <w:r w:rsidR="00A30BA8">
        <w:rPr>
          <w:lang w:val="en-GB"/>
        </w:rPr>
        <w:t xml:space="preserve">about the </w:t>
      </w:r>
      <w:r w:rsidR="00F20315">
        <w:rPr>
          <w:lang w:val="en-GB"/>
        </w:rPr>
        <w:t xml:space="preserve">project </w:t>
      </w:r>
      <w:r w:rsidR="006F7FF6">
        <w:rPr>
          <w:lang w:val="en-GB"/>
        </w:rPr>
        <w:t xml:space="preserve">and can </w:t>
      </w:r>
      <w:r w:rsidR="00F20315">
        <w:rPr>
          <w:lang w:val="en-GB"/>
        </w:rPr>
        <w:t xml:space="preserve">help other persons with disabilities to </w:t>
      </w:r>
      <w:r w:rsidR="00A30BA8">
        <w:rPr>
          <w:lang w:val="en-GB"/>
        </w:rPr>
        <w:t xml:space="preserve">make </w:t>
      </w:r>
      <w:r w:rsidR="006F7FF6">
        <w:rPr>
          <w:lang w:val="en-GB"/>
        </w:rPr>
        <w:t xml:space="preserve">more </w:t>
      </w:r>
      <w:r w:rsidR="00A30BA8">
        <w:rPr>
          <w:lang w:val="en-GB"/>
        </w:rPr>
        <w:t>informed decision</w:t>
      </w:r>
      <w:r w:rsidR="00F20315">
        <w:rPr>
          <w:lang w:val="en-GB"/>
        </w:rPr>
        <w:t>s</w:t>
      </w:r>
      <w:r w:rsidR="00A30BA8">
        <w:rPr>
          <w:lang w:val="en-GB"/>
        </w:rPr>
        <w:t>.</w:t>
      </w:r>
      <w:r w:rsidR="006F7FF6">
        <w:rPr>
          <w:rStyle w:val="FootnoteReference"/>
          <w:lang w:val="en-GB"/>
        </w:rPr>
        <w:footnoteReference w:id="56"/>
      </w:r>
      <w:r w:rsidRPr="00D07629">
        <w:rPr>
          <w:lang w:val="en-GB"/>
        </w:rPr>
        <w:t xml:space="preserve"> </w:t>
      </w:r>
      <w:r w:rsidR="00F20315">
        <w:rPr>
          <w:lang w:val="en-GB"/>
        </w:rPr>
        <w:t xml:space="preserve">More generally, the more information one has on the project, the more likely one is to make a decision that is </w:t>
      </w:r>
      <w:r w:rsidR="006F7FF6">
        <w:rPr>
          <w:lang w:val="en-GB"/>
        </w:rPr>
        <w:t>informed.  In summary, w</w:t>
      </w:r>
      <w:r w:rsidRPr="00D07629">
        <w:rPr>
          <w:lang w:val="en-GB"/>
        </w:rPr>
        <w:t xml:space="preserve">hen carried out well </w:t>
      </w:r>
      <w:r w:rsidR="00F20315">
        <w:rPr>
          <w:lang w:val="en-GB"/>
        </w:rPr>
        <w:t>participation</w:t>
      </w:r>
      <w:r w:rsidRPr="00D07629">
        <w:rPr>
          <w:lang w:val="en-GB"/>
        </w:rPr>
        <w:t xml:space="preserve"> is more likely to result in ethical research because </w:t>
      </w:r>
      <w:r w:rsidR="006F7FF6">
        <w:rPr>
          <w:lang w:val="en-GB"/>
        </w:rPr>
        <w:t xml:space="preserve">it </w:t>
      </w:r>
      <w:r w:rsidRPr="00D07629">
        <w:rPr>
          <w:lang w:val="en-GB"/>
        </w:rPr>
        <w:t>will tend to be</w:t>
      </w:r>
      <w:r w:rsidRPr="00D07629">
        <w:rPr>
          <w:vertAlign w:val="superscript"/>
          <w:lang w:val="en-GB"/>
        </w:rPr>
        <w:footnoteReference w:id="57"/>
      </w:r>
      <w:r w:rsidRPr="00D07629">
        <w:rPr>
          <w:lang w:val="en-GB"/>
        </w:rPr>
        <w:t xml:space="preserve"> </w:t>
      </w:r>
    </w:p>
    <w:p w14:paraId="0AF044C7" w14:textId="77777777" w:rsidR="00AA536E" w:rsidRPr="00D07629" w:rsidRDefault="00AA536E" w:rsidP="00AC7513">
      <w:pPr>
        <w:numPr>
          <w:ilvl w:val="0"/>
          <w:numId w:val="8"/>
        </w:numPr>
        <w:spacing w:after="0" w:line="360" w:lineRule="auto"/>
        <w:contextualSpacing/>
      </w:pPr>
      <w:r w:rsidRPr="00D07629">
        <w:rPr>
          <w:lang w:val="en-GB"/>
        </w:rPr>
        <w:lastRenderedPageBreak/>
        <w:t xml:space="preserve">More relevant to the people it is trying to </w:t>
      </w:r>
      <w:proofErr w:type="gramStart"/>
      <w:r w:rsidRPr="00D07629">
        <w:rPr>
          <w:lang w:val="en-GB"/>
        </w:rPr>
        <w:t>help</w:t>
      </w:r>
      <w:proofErr w:type="gramEnd"/>
    </w:p>
    <w:p w14:paraId="6D77F3AC" w14:textId="316250AA" w:rsidR="00CC0E05" w:rsidRPr="00CC0E05" w:rsidRDefault="00AA536E" w:rsidP="00AC7513">
      <w:pPr>
        <w:numPr>
          <w:ilvl w:val="0"/>
          <w:numId w:val="8"/>
        </w:numPr>
        <w:spacing w:after="0" w:line="360" w:lineRule="auto"/>
        <w:contextualSpacing/>
        <w:rPr>
          <w:rFonts w:cs="Arial"/>
          <w:color w:val="000000"/>
          <w:szCs w:val="26"/>
          <w:lang w:val="en-GB"/>
        </w:rPr>
      </w:pPr>
      <w:r w:rsidRPr="00D07629">
        <w:rPr>
          <w:lang w:val="en-GB"/>
        </w:rPr>
        <w:t>Beneficial in terms of delivering meaningful outcomes for the participants and the population they represent</w:t>
      </w:r>
      <w:r w:rsidR="006F7FF6">
        <w:rPr>
          <w:lang w:val="en-GB"/>
        </w:rPr>
        <w:t>.</w:t>
      </w:r>
    </w:p>
    <w:p w14:paraId="035EF729" w14:textId="42E432D2" w:rsidR="00AA536E" w:rsidRPr="00A22359" w:rsidRDefault="00AA536E" w:rsidP="00AC7513">
      <w:pPr>
        <w:numPr>
          <w:ilvl w:val="0"/>
          <w:numId w:val="8"/>
        </w:numPr>
        <w:spacing w:after="0" w:line="360" w:lineRule="auto"/>
        <w:contextualSpacing/>
        <w:rPr>
          <w:rFonts w:cs="Arial"/>
          <w:color w:val="000000"/>
          <w:szCs w:val="26"/>
          <w:lang w:val="en-GB"/>
        </w:rPr>
      </w:pPr>
      <w:r w:rsidRPr="00CC0E05">
        <w:rPr>
          <w:lang w:val="en-GB"/>
        </w:rPr>
        <w:t>Conducted in a way that is sensitive to the needs of the research participants</w:t>
      </w:r>
      <w:r w:rsidR="006F7FF6">
        <w:rPr>
          <w:lang w:val="en-GB"/>
        </w:rPr>
        <w:t>.</w:t>
      </w:r>
    </w:p>
    <w:p w14:paraId="389D94E1" w14:textId="6D02C380" w:rsidR="00A22359" w:rsidRDefault="00A22359" w:rsidP="00301BA0">
      <w:pPr>
        <w:spacing w:after="0" w:line="360" w:lineRule="auto"/>
        <w:rPr>
          <w:lang w:val="en-GB"/>
        </w:rPr>
      </w:pPr>
      <w:r>
        <w:rPr>
          <w:lang w:val="en-GB"/>
        </w:rPr>
        <w:br w:type="page"/>
      </w:r>
    </w:p>
    <w:p w14:paraId="0BB49B7F" w14:textId="66F589EC" w:rsidR="00B208B1" w:rsidRPr="00662F84" w:rsidRDefault="002E20B0" w:rsidP="00301BA0">
      <w:pPr>
        <w:pStyle w:val="Heading1"/>
        <w:spacing w:line="360" w:lineRule="auto"/>
        <w:ind w:left="0"/>
        <w:rPr>
          <w:i/>
          <w:lang w:val="en-GB"/>
        </w:rPr>
      </w:pPr>
      <w:bookmarkStart w:id="34" w:name="_Toc140081160"/>
      <w:bookmarkStart w:id="35" w:name="_Toc150873267"/>
      <w:bookmarkStart w:id="36" w:name="_Toc156380496"/>
      <w:bookmarkEnd w:id="16"/>
      <w:bookmarkEnd w:id="17"/>
      <w:bookmarkEnd w:id="18"/>
      <w:r>
        <w:rPr>
          <w:lang w:val="en-GB"/>
        </w:rPr>
        <w:lastRenderedPageBreak/>
        <w:t>3.0.</w:t>
      </w:r>
      <w:r>
        <w:rPr>
          <w:lang w:val="en-GB"/>
        </w:rPr>
        <w:tab/>
      </w:r>
      <w:r w:rsidR="00500AFB">
        <w:rPr>
          <w:lang w:val="en-GB"/>
        </w:rPr>
        <w:t>Understanding</w:t>
      </w:r>
      <w:r w:rsidR="007E50E4">
        <w:rPr>
          <w:lang w:val="en-GB"/>
        </w:rPr>
        <w:t xml:space="preserve"> and practising </w:t>
      </w:r>
      <w:r w:rsidR="00663C2B">
        <w:rPr>
          <w:lang w:val="en-GB"/>
        </w:rPr>
        <w:t xml:space="preserve">ethical </w:t>
      </w:r>
      <w:r w:rsidR="00662F84">
        <w:rPr>
          <w:lang w:val="en-GB"/>
        </w:rPr>
        <w:t>research</w:t>
      </w:r>
      <w:bookmarkEnd w:id="34"/>
      <w:bookmarkEnd w:id="35"/>
      <w:bookmarkEnd w:id="36"/>
      <w:r w:rsidR="00662F84">
        <w:rPr>
          <w:lang w:val="en-GB"/>
        </w:rPr>
        <w:t xml:space="preserve"> </w:t>
      </w:r>
    </w:p>
    <w:p w14:paraId="3A99CA10" w14:textId="19BE5E2F" w:rsidR="000722B4" w:rsidRDefault="00A22359" w:rsidP="00301BA0">
      <w:pPr>
        <w:spacing w:line="360" w:lineRule="auto"/>
        <w:rPr>
          <w:lang w:val="en-GB"/>
        </w:rPr>
      </w:pPr>
      <w:r>
        <w:rPr>
          <w:lang w:val="en-GB"/>
        </w:rPr>
        <w:t>T</w:t>
      </w:r>
      <w:r w:rsidR="000722B4" w:rsidRPr="000722B4">
        <w:rPr>
          <w:lang w:val="en-GB"/>
        </w:rPr>
        <w:t xml:space="preserve">his section, after </w:t>
      </w:r>
      <w:r w:rsidR="00B20604">
        <w:rPr>
          <w:lang w:val="en-GB"/>
        </w:rPr>
        <w:t>underl</w:t>
      </w:r>
      <w:r>
        <w:rPr>
          <w:lang w:val="en-GB"/>
        </w:rPr>
        <w:t xml:space="preserve">ining </w:t>
      </w:r>
      <w:r w:rsidR="00B20604">
        <w:rPr>
          <w:lang w:val="en-GB"/>
        </w:rPr>
        <w:t xml:space="preserve">that </w:t>
      </w:r>
      <w:bookmarkStart w:id="37" w:name="_Hlk145328925"/>
      <w:r w:rsidR="00B20604">
        <w:rPr>
          <w:lang w:val="en-GB"/>
        </w:rPr>
        <w:t xml:space="preserve">ethical responsibilities apply throughout the research and </w:t>
      </w:r>
      <w:r>
        <w:rPr>
          <w:lang w:val="en-GB"/>
        </w:rPr>
        <w:t xml:space="preserve">after </w:t>
      </w:r>
      <w:r w:rsidR="000722B4" w:rsidRPr="000722B4">
        <w:rPr>
          <w:lang w:val="en-GB"/>
        </w:rPr>
        <w:t>overview</w:t>
      </w:r>
      <w:r w:rsidR="00B20604">
        <w:rPr>
          <w:lang w:val="en-GB"/>
        </w:rPr>
        <w:t xml:space="preserve">ing the </w:t>
      </w:r>
      <w:r w:rsidR="000722B4" w:rsidRPr="000722B4">
        <w:rPr>
          <w:lang w:val="en-GB"/>
        </w:rPr>
        <w:t>values/principles</w:t>
      </w:r>
      <w:r w:rsidR="00B20604">
        <w:rPr>
          <w:lang w:val="en-GB"/>
        </w:rPr>
        <w:t xml:space="preserve"> that underpin ethical research</w:t>
      </w:r>
      <w:r w:rsidR="000722B4" w:rsidRPr="000722B4">
        <w:rPr>
          <w:lang w:val="en-GB"/>
        </w:rPr>
        <w:t xml:space="preserve">, </w:t>
      </w:r>
      <w:r>
        <w:rPr>
          <w:lang w:val="en-GB"/>
        </w:rPr>
        <w:t xml:space="preserve">looks at </w:t>
      </w:r>
      <w:r w:rsidR="00B20604">
        <w:rPr>
          <w:lang w:val="en-GB"/>
        </w:rPr>
        <w:t xml:space="preserve">how to apply the values/principles to practise ethical research. </w:t>
      </w:r>
    </w:p>
    <w:p w14:paraId="1C5C4A7C" w14:textId="542F3C1A" w:rsidR="00DF514A" w:rsidRDefault="00B20604" w:rsidP="00301BA0">
      <w:pPr>
        <w:pStyle w:val="Heading2"/>
        <w:spacing w:line="360" w:lineRule="auto"/>
        <w:rPr>
          <w:lang w:val="en-GB"/>
        </w:rPr>
      </w:pPr>
      <w:bookmarkStart w:id="38" w:name="_Toc150873268"/>
      <w:bookmarkStart w:id="39" w:name="_Toc156380497"/>
      <w:bookmarkEnd w:id="37"/>
      <w:r>
        <w:rPr>
          <w:lang w:val="en-GB"/>
        </w:rPr>
        <w:t>3.1.</w:t>
      </w:r>
      <w:r>
        <w:rPr>
          <w:lang w:val="en-GB"/>
        </w:rPr>
        <w:tab/>
      </w:r>
      <w:r w:rsidR="00AD19C1">
        <w:rPr>
          <w:lang w:val="en-GB"/>
        </w:rPr>
        <w:t>Continuous e</w:t>
      </w:r>
      <w:r w:rsidR="00DF514A" w:rsidRPr="00A9642E">
        <w:rPr>
          <w:lang w:val="en-GB"/>
        </w:rPr>
        <w:t>thical responsibilities</w:t>
      </w:r>
      <w:bookmarkEnd w:id="38"/>
      <w:bookmarkEnd w:id="39"/>
      <w:r w:rsidR="00DF514A" w:rsidRPr="00A9642E">
        <w:rPr>
          <w:lang w:val="en-GB"/>
        </w:rPr>
        <w:t xml:space="preserve"> </w:t>
      </w:r>
    </w:p>
    <w:p w14:paraId="1BA23A8F" w14:textId="3321A3C9" w:rsidR="00DF514A" w:rsidRPr="00A9642E" w:rsidRDefault="00DF514A" w:rsidP="00301BA0">
      <w:pPr>
        <w:spacing w:line="360" w:lineRule="auto"/>
        <w:rPr>
          <w:rFonts w:cs="Arial"/>
          <w:bCs/>
          <w:iCs/>
          <w:color w:val="000000"/>
          <w:szCs w:val="26"/>
          <w:lang w:val="en-GB"/>
        </w:rPr>
      </w:pPr>
      <w:r w:rsidRPr="00A9642E">
        <w:rPr>
          <w:rFonts w:cs="Arial"/>
          <w:bCs/>
          <w:iCs/>
          <w:color w:val="000000"/>
          <w:szCs w:val="26"/>
          <w:lang w:val="en-GB"/>
        </w:rPr>
        <w:t xml:space="preserve">Applying ethical guidance in individual research projects </w:t>
      </w:r>
      <w:r>
        <w:rPr>
          <w:rFonts w:cs="Arial"/>
          <w:bCs/>
          <w:iCs/>
          <w:color w:val="000000"/>
          <w:szCs w:val="26"/>
          <w:lang w:val="en-GB"/>
        </w:rPr>
        <w:t xml:space="preserve">is </w:t>
      </w:r>
      <w:r w:rsidRPr="00A9642E">
        <w:rPr>
          <w:rFonts w:cs="Arial"/>
          <w:bCs/>
          <w:iCs/>
          <w:color w:val="000000"/>
          <w:szCs w:val="26"/>
          <w:lang w:val="en-GB"/>
        </w:rPr>
        <w:t xml:space="preserve">an ongoing </w:t>
      </w:r>
      <w:r>
        <w:rPr>
          <w:rFonts w:cs="Arial"/>
          <w:bCs/>
          <w:iCs/>
          <w:color w:val="000000"/>
          <w:szCs w:val="26"/>
          <w:lang w:val="en-GB"/>
        </w:rPr>
        <w:t xml:space="preserve">process </w:t>
      </w:r>
      <w:r w:rsidRPr="00A9642E">
        <w:rPr>
          <w:rFonts w:cs="Arial"/>
          <w:bCs/>
          <w:iCs/>
          <w:color w:val="000000"/>
          <w:szCs w:val="26"/>
          <w:lang w:val="en-GB"/>
        </w:rPr>
        <w:t xml:space="preserve">of judgment and good research practice. </w:t>
      </w:r>
      <w:r>
        <w:rPr>
          <w:rFonts w:cs="Arial"/>
          <w:bCs/>
          <w:iCs/>
          <w:color w:val="000000"/>
          <w:szCs w:val="26"/>
          <w:lang w:val="en-GB"/>
        </w:rPr>
        <w:t xml:space="preserve">This means that </w:t>
      </w:r>
      <w:r w:rsidRPr="00A9642E">
        <w:rPr>
          <w:rFonts w:cs="Arial"/>
          <w:bCs/>
          <w:iCs/>
          <w:color w:val="000000"/>
          <w:szCs w:val="26"/>
          <w:lang w:val="en-GB"/>
        </w:rPr>
        <w:t>‘permission</w:t>
      </w:r>
      <w:r>
        <w:rPr>
          <w:rFonts w:cs="Arial"/>
          <w:bCs/>
          <w:iCs/>
          <w:color w:val="000000"/>
          <w:szCs w:val="26"/>
          <w:lang w:val="en-GB"/>
        </w:rPr>
        <w:t>’</w:t>
      </w:r>
      <w:r w:rsidRPr="00A9642E">
        <w:rPr>
          <w:rFonts w:cs="Arial"/>
          <w:bCs/>
          <w:iCs/>
          <w:color w:val="000000"/>
          <w:szCs w:val="26"/>
          <w:lang w:val="en-GB"/>
        </w:rPr>
        <w:t xml:space="preserve"> from an ethics committee t</w:t>
      </w:r>
      <w:r>
        <w:rPr>
          <w:rFonts w:cs="Arial"/>
          <w:bCs/>
          <w:iCs/>
          <w:color w:val="000000"/>
          <w:szCs w:val="26"/>
          <w:lang w:val="en-GB"/>
        </w:rPr>
        <w:t xml:space="preserve">o proceed with the research is only </w:t>
      </w:r>
      <w:r w:rsidRPr="00A9642E">
        <w:rPr>
          <w:rFonts w:cs="Arial"/>
          <w:bCs/>
          <w:iCs/>
          <w:color w:val="000000"/>
          <w:szCs w:val="26"/>
          <w:lang w:val="en-GB"/>
        </w:rPr>
        <w:t>the beginning of a process of se</w:t>
      </w:r>
      <w:r>
        <w:rPr>
          <w:rFonts w:cs="Arial"/>
          <w:bCs/>
          <w:iCs/>
          <w:color w:val="000000"/>
          <w:szCs w:val="26"/>
          <w:lang w:val="en-GB"/>
        </w:rPr>
        <w:t>lf-monitoring by the researcher.</w:t>
      </w:r>
      <w:r>
        <w:rPr>
          <w:rStyle w:val="FootnoteReference"/>
          <w:rFonts w:cs="Arial"/>
          <w:bCs/>
          <w:iCs/>
          <w:color w:val="000000"/>
          <w:szCs w:val="26"/>
          <w:lang w:val="en-GB"/>
        </w:rPr>
        <w:footnoteReference w:id="58"/>
      </w:r>
      <w:r>
        <w:rPr>
          <w:rFonts w:cs="Arial"/>
          <w:bCs/>
          <w:iCs/>
          <w:color w:val="000000"/>
          <w:szCs w:val="26"/>
          <w:lang w:val="en-GB"/>
        </w:rPr>
        <w:t xml:space="preserve"> </w:t>
      </w:r>
      <w:r w:rsidRPr="00A9642E">
        <w:rPr>
          <w:rFonts w:cs="Arial"/>
          <w:bCs/>
          <w:iCs/>
          <w:color w:val="000000"/>
          <w:szCs w:val="26"/>
          <w:lang w:val="en-GB"/>
        </w:rPr>
        <w:t xml:space="preserve">Researchers cannot consider their ethical responsibilities as fulfilled once ethical approval for a research project has been obtained. </w:t>
      </w:r>
      <w:r>
        <w:rPr>
          <w:rFonts w:cs="Arial"/>
          <w:bCs/>
          <w:iCs/>
          <w:color w:val="000000"/>
          <w:szCs w:val="26"/>
          <w:lang w:val="en-GB"/>
        </w:rPr>
        <w:t>I</w:t>
      </w:r>
      <w:r w:rsidRPr="009628FE">
        <w:rPr>
          <w:rFonts w:cs="Arial"/>
          <w:bCs/>
          <w:iCs/>
          <w:color w:val="000000"/>
          <w:szCs w:val="26"/>
          <w:lang w:val="en-GB"/>
        </w:rPr>
        <w:t xml:space="preserve">n complex research situations, structures for supervision and </w:t>
      </w:r>
      <w:r>
        <w:rPr>
          <w:rFonts w:cs="Arial"/>
          <w:bCs/>
          <w:iCs/>
          <w:color w:val="000000"/>
          <w:szCs w:val="26"/>
          <w:lang w:val="en-GB"/>
        </w:rPr>
        <w:t xml:space="preserve">access to </w:t>
      </w:r>
      <w:r w:rsidRPr="009628FE">
        <w:rPr>
          <w:rFonts w:cs="Arial"/>
          <w:bCs/>
          <w:iCs/>
          <w:color w:val="000000"/>
          <w:szCs w:val="26"/>
          <w:lang w:val="en-GB"/>
        </w:rPr>
        <w:t>ethical advice fo</w:t>
      </w:r>
      <w:r>
        <w:rPr>
          <w:rFonts w:cs="Arial"/>
          <w:bCs/>
          <w:iCs/>
          <w:color w:val="000000"/>
          <w:szCs w:val="26"/>
          <w:lang w:val="en-GB"/>
        </w:rPr>
        <w:t>r the researchers are essential</w:t>
      </w:r>
      <w:r>
        <w:rPr>
          <w:rStyle w:val="FootnoteReference"/>
          <w:rFonts w:cs="Arial"/>
          <w:bCs/>
          <w:iCs/>
          <w:color w:val="000000"/>
          <w:szCs w:val="26"/>
          <w:lang w:val="en-GB"/>
        </w:rPr>
        <w:footnoteReference w:id="59"/>
      </w:r>
      <w:r>
        <w:rPr>
          <w:rFonts w:cs="Arial"/>
          <w:bCs/>
          <w:iCs/>
          <w:color w:val="000000"/>
          <w:szCs w:val="26"/>
          <w:lang w:val="en-GB"/>
        </w:rPr>
        <w:t xml:space="preserve"> such as the </w:t>
      </w:r>
      <w:r w:rsidRPr="009628FE">
        <w:rPr>
          <w:rFonts w:cs="Arial"/>
          <w:bCs/>
          <w:iCs/>
          <w:color w:val="000000"/>
          <w:szCs w:val="26"/>
          <w:lang w:val="en-GB"/>
        </w:rPr>
        <w:t>appointment of a research advisory group with a named responsi</w:t>
      </w:r>
      <w:r>
        <w:rPr>
          <w:rFonts w:cs="Arial"/>
          <w:bCs/>
          <w:iCs/>
          <w:color w:val="000000"/>
          <w:szCs w:val="26"/>
          <w:lang w:val="en-GB"/>
        </w:rPr>
        <w:t>bility for ethical standards. At the same time, i</w:t>
      </w:r>
      <w:r w:rsidRPr="00A9642E">
        <w:rPr>
          <w:rFonts w:cs="Arial"/>
          <w:bCs/>
          <w:iCs/>
          <w:color w:val="000000"/>
          <w:szCs w:val="26"/>
          <w:lang w:val="en-GB"/>
        </w:rPr>
        <w:t xml:space="preserve">ssues </w:t>
      </w:r>
      <w:r w:rsidR="00A22359">
        <w:rPr>
          <w:rFonts w:cs="Arial"/>
          <w:bCs/>
          <w:iCs/>
          <w:color w:val="000000"/>
          <w:szCs w:val="26"/>
          <w:lang w:val="en-GB"/>
        </w:rPr>
        <w:t xml:space="preserve">with </w:t>
      </w:r>
      <w:r>
        <w:rPr>
          <w:rFonts w:cs="Arial"/>
          <w:bCs/>
          <w:iCs/>
          <w:color w:val="000000"/>
          <w:szCs w:val="26"/>
          <w:lang w:val="en-GB"/>
        </w:rPr>
        <w:t>ethical implications</w:t>
      </w:r>
      <w:r w:rsidR="00A22359">
        <w:rPr>
          <w:rFonts w:cs="Arial"/>
          <w:bCs/>
          <w:iCs/>
          <w:color w:val="000000"/>
          <w:szCs w:val="26"/>
          <w:lang w:val="en-GB"/>
        </w:rPr>
        <w:t xml:space="preserve"> </w:t>
      </w:r>
      <w:r w:rsidR="00AD19C1">
        <w:rPr>
          <w:rFonts w:cs="Arial"/>
          <w:bCs/>
          <w:iCs/>
          <w:color w:val="000000"/>
          <w:szCs w:val="26"/>
          <w:lang w:val="en-GB"/>
        </w:rPr>
        <w:t xml:space="preserve">may </w:t>
      </w:r>
      <w:r w:rsidR="00A22359">
        <w:rPr>
          <w:rFonts w:cs="Arial"/>
          <w:bCs/>
          <w:iCs/>
          <w:color w:val="000000"/>
          <w:szCs w:val="26"/>
          <w:lang w:val="en-GB"/>
        </w:rPr>
        <w:t>arise</w:t>
      </w:r>
      <w:r>
        <w:rPr>
          <w:rFonts w:cs="Arial"/>
          <w:bCs/>
          <w:iCs/>
          <w:color w:val="000000"/>
          <w:szCs w:val="26"/>
          <w:lang w:val="en-GB"/>
        </w:rPr>
        <w:t xml:space="preserve"> </w:t>
      </w:r>
      <w:r w:rsidRPr="00A9642E">
        <w:rPr>
          <w:rFonts w:cs="Arial"/>
          <w:bCs/>
          <w:iCs/>
          <w:color w:val="000000"/>
          <w:szCs w:val="26"/>
          <w:lang w:val="en-GB"/>
        </w:rPr>
        <w:t>during fieldwork</w:t>
      </w:r>
      <w:r>
        <w:rPr>
          <w:rFonts w:cs="Arial"/>
          <w:bCs/>
          <w:iCs/>
          <w:color w:val="000000"/>
          <w:szCs w:val="26"/>
          <w:lang w:val="en-GB"/>
        </w:rPr>
        <w:t>. Indeed, “e</w:t>
      </w:r>
      <w:r w:rsidRPr="009628FE">
        <w:rPr>
          <w:rFonts w:cs="Arial"/>
          <w:bCs/>
          <w:iCs/>
          <w:color w:val="000000"/>
          <w:szCs w:val="26"/>
          <w:lang w:val="en-GB"/>
        </w:rPr>
        <w:t>thically important moments</w:t>
      </w:r>
      <w:r>
        <w:rPr>
          <w:rFonts w:cs="Arial"/>
          <w:bCs/>
          <w:iCs/>
          <w:color w:val="000000"/>
          <w:szCs w:val="26"/>
          <w:lang w:val="en-GB"/>
        </w:rPr>
        <w:t>”</w:t>
      </w:r>
      <w:r w:rsidRPr="009628FE">
        <w:rPr>
          <w:rFonts w:cs="Arial"/>
          <w:bCs/>
          <w:iCs/>
          <w:color w:val="000000"/>
          <w:szCs w:val="26"/>
          <w:lang w:val="en-GB"/>
        </w:rPr>
        <w:t xml:space="preserve"> can arise at different points during the research process, when they cannot be passed on </w:t>
      </w:r>
      <w:r>
        <w:rPr>
          <w:rFonts w:cs="Arial"/>
          <w:bCs/>
          <w:iCs/>
          <w:color w:val="000000"/>
          <w:szCs w:val="26"/>
          <w:lang w:val="en-GB"/>
        </w:rPr>
        <w:t xml:space="preserve">to managers or </w:t>
      </w:r>
      <w:r w:rsidR="00A22359">
        <w:rPr>
          <w:rFonts w:cs="Arial"/>
          <w:bCs/>
          <w:iCs/>
          <w:color w:val="000000"/>
          <w:szCs w:val="26"/>
          <w:lang w:val="en-GB"/>
        </w:rPr>
        <w:t xml:space="preserve">a </w:t>
      </w:r>
      <w:r>
        <w:rPr>
          <w:rFonts w:cs="Arial"/>
          <w:bCs/>
          <w:iCs/>
          <w:color w:val="000000"/>
          <w:szCs w:val="26"/>
          <w:lang w:val="en-GB"/>
        </w:rPr>
        <w:t>committee. This places</w:t>
      </w:r>
      <w:r w:rsidRPr="009628FE">
        <w:rPr>
          <w:rFonts w:cs="Arial"/>
          <w:bCs/>
          <w:iCs/>
          <w:color w:val="000000"/>
          <w:szCs w:val="26"/>
          <w:lang w:val="en-GB"/>
        </w:rPr>
        <w:t xml:space="preserve"> responsibility upon the </w:t>
      </w:r>
      <w:r>
        <w:rPr>
          <w:rFonts w:cs="Arial"/>
          <w:bCs/>
          <w:iCs/>
          <w:color w:val="000000"/>
          <w:szCs w:val="26"/>
          <w:lang w:val="en-GB"/>
        </w:rPr>
        <w:t xml:space="preserve">individual </w:t>
      </w:r>
      <w:r w:rsidRPr="009628FE">
        <w:rPr>
          <w:rFonts w:cs="Arial"/>
          <w:bCs/>
          <w:iCs/>
          <w:color w:val="000000"/>
          <w:szCs w:val="26"/>
          <w:lang w:val="en-GB"/>
        </w:rPr>
        <w:t xml:space="preserve">researcher. </w:t>
      </w:r>
      <w:r>
        <w:rPr>
          <w:rFonts w:cs="Arial"/>
          <w:bCs/>
          <w:iCs/>
          <w:color w:val="000000"/>
          <w:szCs w:val="26"/>
          <w:lang w:val="en-GB"/>
        </w:rPr>
        <w:t>I</w:t>
      </w:r>
      <w:r w:rsidRPr="00A9642E">
        <w:rPr>
          <w:rFonts w:cs="Arial"/>
          <w:bCs/>
          <w:iCs/>
          <w:color w:val="000000"/>
          <w:szCs w:val="26"/>
          <w:lang w:val="en-GB"/>
        </w:rPr>
        <w:t>n relation to issues of informed consent</w:t>
      </w:r>
      <w:r>
        <w:rPr>
          <w:rFonts w:cs="Arial"/>
          <w:bCs/>
          <w:iCs/>
          <w:color w:val="000000"/>
          <w:szCs w:val="26"/>
          <w:lang w:val="en-GB"/>
        </w:rPr>
        <w:t xml:space="preserve"> throughout the research process</w:t>
      </w:r>
      <w:r w:rsidRPr="00A9642E">
        <w:rPr>
          <w:rFonts w:cs="Arial"/>
          <w:bCs/>
          <w:iCs/>
          <w:color w:val="000000"/>
          <w:szCs w:val="26"/>
          <w:lang w:val="en-GB"/>
        </w:rPr>
        <w:t xml:space="preserve">, </w:t>
      </w:r>
      <w:r>
        <w:rPr>
          <w:rFonts w:cs="Arial"/>
          <w:bCs/>
          <w:iCs/>
          <w:color w:val="000000"/>
          <w:szCs w:val="26"/>
          <w:lang w:val="en-GB"/>
        </w:rPr>
        <w:t xml:space="preserve">for example, </w:t>
      </w:r>
      <w:r w:rsidRPr="00A9642E">
        <w:rPr>
          <w:rFonts w:cs="Arial"/>
          <w:bCs/>
          <w:iCs/>
          <w:color w:val="000000"/>
          <w:szCs w:val="26"/>
          <w:lang w:val="en-GB"/>
        </w:rPr>
        <w:t>there are no simple solutions that can be applied universally to resolve all ethical dilemmas.</w:t>
      </w:r>
      <w:r>
        <w:rPr>
          <w:rStyle w:val="FootnoteReference"/>
          <w:rFonts w:cs="Arial"/>
          <w:bCs/>
          <w:iCs/>
          <w:color w:val="000000"/>
          <w:szCs w:val="26"/>
          <w:lang w:val="en-GB"/>
        </w:rPr>
        <w:footnoteReference w:id="60"/>
      </w:r>
      <w:r w:rsidRPr="00A9642E">
        <w:rPr>
          <w:rFonts w:cs="Arial"/>
          <w:bCs/>
          <w:iCs/>
          <w:color w:val="000000"/>
          <w:szCs w:val="26"/>
          <w:lang w:val="en-GB"/>
        </w:rPr>
        <w:t xml:space="preserve"> Rather, researchers need</w:t>
      </w:r>
      <w:r>
        <w:rPr>
          <w:rFonts w:cs="Arial"/>
          <w:bCs/>
          <w:iCs/>
          <w:color w:val="000000"/>
          <w:szCs w:val="26"/>
          <w:lang w:val="en-GB"/>
        </w:rPr>
        <w:t>,</w:t>
      </w:r>
      <w:r w:rsidRPr="00A9642E">
        <w:rPr>
          <w:rFonts w:cs="Arial"/>
          <w:bCs/>
          <w:iCs/>
          <w:color w:val="000000"/>
          <w:szCs w:val="26"/>
          <w:lang w:val="en-GB"/>
        </w:rPr>
        <w:t xml:space="preserve"> at </w:t>
      </w:r>
      <w:r>
        <w:rPr>
          <w:rFonts w:cs="Arial"/>
          <w:bCs/>
          <w:iCs/>
          <w:color w:val="000000"/>
          <w:szCs w:val="26"/>
          <w:lang w:val="en-GB"/>
        </w:rPr>
        <w:t xml:space="preserve">every </w:t>
      </w:r>
      <w:r w:rsidRPr="00A9642E">
        <w:rPr>
          <w:rFonts w:cs="Arial"/>
          <w:bCs/>
          <w:iCs/>
          <w:color w:val="000000"/>
          <w:szCs w:val="26"/>
          <w:lang w:val="en-GB"/>
        </w:rPr>
        <w:t>stage of the research process</w:t>
      </w:r>
      <w:r>
        <w:rPr>
          <w:rFonts w:cs="Arial"/>
          <w:bCs/>
          <w:iCs/>
          <w:color w:val="000000"/>
          <w:szCs w:val="26"/>
          <w:lang w:val="en-GB"/>
        </w:rPr>
        <w:t>,</w:t>
      </w:r>
      <w:r w:rsidRPr="00A9642E">
        <w:rPr>
          <w:rFonts w:cs="Arial"/>
          <w:bCs/>
          <w:iCs/>
          <w:color w:val="000000"/>
          <w:szCs w:val="26"/>
          <w:lang w:val="en-GB"/>
        </w:rPr>
        <w:t xml:space="preserve"> to be mindful of the </w:t>
      </w:r>
      <w:r>
        <w:rPr>
          <w:rFonts w:cs="Arial"/>
          <w:bCs/>
          <w:iCs/>
          <w:color w:val="000000"/>
          <w:szCs w:val="26"/>
          <w:lang w:val="en-GB"/>
        </w:rPr>
        <w:t xml:space="preserve">relevant legislation and guidance and be familiar with the </w:t>
      </w:r>
      <w:r w:rsidRPr="00A9642E">
        <w:rPr>
          <w:rFonts w:cs="Arial"/>
          <w:bCs/>
          <w:iCs/>
          <w:color w:val="000000"/>
          <w:szCs w:val="26"/>
          <w:lang w:val="en-GB"/>
        </w:rPr>
        <w:t xml:space="preserve">issues </w:t>
      </w:r>
      <w:r>
        <w:rPr>
          <w:rFonts w:cs="Arial"/>
          <w:bCs/>
          <w:iCs/>
          <w:color w:val="000000"/>
          <w:szCs w:val="26"/>
          <w:lang w:val="en-GB"/>
        </w:rPr>
        <w:t>arising</w:t>
      </w:r>
      <w:r w:rsidRPr="00A9642E">
        <w:rPr>
          <w:rFonts w:cs="Arial"/>
          <w:bCs/>
          <w:iCs/>
          <w:color w:val="000000"/>
          <w:szCs w:val="26"/>
          <w:lang w:val="en-GB"/>
        </w:rPr>
        <w:t xml:space="preserve"> in the context of thei</w:t>
      </w:r>
      <w:r>
        <w:rPr>
          <w:rFonts w:cs="Arial"/>
          <w:bCs/>
          <w:iCs/>
          <w:color w:val="000000"/>
          <w:szCs w:val="26"/>
          <w:lang w:val="en-GB"/>
        </w:rPr>
        <w:t xml:space="preserve">r individual research projects that </w:t>
      </w:r>
      <w:r w:rsidRPr="00A9642E">
        <w:rPr>
          <w:rFonts w:cs="Arial"/>
          <w:bCs/>
          <w:iCs/>
          <w:color w:val="000000"/>
          <w:szCs w:val="26"/>
          <w:lang w:val="en-GB"/>
        </w:rPr>
        <w:t>relate to:</w:t>
      </w:r>
    </w:p>
    <w:p w14:paraId="39AD4CAD" w14:textId="77777777" w:rsidR="00DF514A" w:rsidRPr="00A9642E" w:rsidRDefault="00DF514A" w:rsidP="00301BA0">
      <w:pPr>
        <w:pStyle w:val="ListBullet"/>
        <w:spacing w:line="360" w:lineRule="auto"/>
        <w:ind w:left="357" w:hanging="357"/>
        <w:rPr>
          <w:lang w:val="en-GB"/>
        </w:rPr>
      </w:pPr>
      <w:r>
        <w:rPr>
          <w:lang w:val="en-GB"/>
        </w:rPr>
        <w:lastRenderedPageBreak/>
        <w:t>T</w:t>
      </w:r>
      <w:r w:rsidRPr="00A9642E">
        <w:rPr>
          <w:lang w:val="en-GB"/>
        </w:rPr>
        <w:t xml:space="preserve">he needs of participants </w:t>
      </w:r>
    </w:p>
    <w:p w14:paraId="486362B0" w14:textId="77777777" w:rsidR="00DF514A" w:rsidRPr="00A9642E" w:rsidRDefault="00DF514A" w:rsidP="00301BA0">
      <w:pPr>
        <w:pStyle w:val="ListBullet"/>
        <w:spacing w:line="360" w:lineRule="auto"/>
        <w:ind w:left="357" w:hanging="357"/>
        <w:rPr>
          <w:lang w:val="en-GB"/>
        </w:rPr>
      </w:pPr>
      <w:r>
        <w:rPr>
          <w:lang w:val="en-GB"/>
        </w:rPr>
        <w:t>E</w:t>
      </w:r>
      <w:r w:rsidRPr="00A9642E">
        <w:rPr>
          <w:lang w:val="en-GB"/>
        </w:rPr>
        <w:t xml:space="preserve">nsuring ongoing consent </w:t>
      </w:r>
    </w:p>
    <w:p w14:paraId="27CDCB9C" w14:textId="77777777" w:rsidR="00DF514A" w:rsidRPr="00A9642E" w:rsidRDefault="00DF514A" w:rsidP="00301BA0">
      <w:pPr>
        <w:pStyle w:val="ListBullet"/>
        <w:spacing w:line="360" w:lineRule="auto"/>
        <w:ind w:left="357" w:hanging="357"/>
        <w:rPr>
          <w:lang w:val="en-GB"/>
        </w:rPr>
      </w:pPr>
      <w:r>
        <w:rPr>
          <w:lang w:val="en-GB"/>
        </w:rPr>
        <w:t>H</w:t>
      </w:r>
      <w:r w:rsidRPr="00A9642E">
        <w:rPr>
          <w:lang w:val="en-GB"/>
        </w:rPr>
        <w:t xml:space="preserve">andling relationships that develop during the research process </w:t>
      </w:r>
    </w:p>
    <w:p w14:paraId="1D08F910" w14:textId="77777777" w:rsidR="00DF514A" w:rsidRPr="00A9642E" w:rsidRDefault="00DF514A" w:rsidP="00301BA0">
      <w:pPr>
        <w:pStyle w:val="ListBullet"/>
        <w:spacing w:line="360" w:lineRule="auto"/>
        <w:ind w:left="357" w:hanging="357"/>
        <w:rPr>
          <w:lang w:val="en-GB"/>
        </w:rPr>
      </w:pPr>
      <w:r>
        <w:rPr>
          <w:lang w:val="en-GB"/>
        </w:rPr>
        <w:t>Dealing with u</w:t>
      </w:r>
      <w:r w:rsidRPr="00A9642E">
        <w:rPr>
          <w:lang w:val="en-GB"/>
        </w:rPr>
        <w:t>nanticipated, distressing emotions</w:t>
      </w:r>
    </w:p>
    <w:p w14:paraId="7C47A909" w14:textId="2A91B1C9" w:rsidR="00DF514A" w:rsidRDefault="00DF514A" w:rsidP="00301BA0">
      <w:pPr>
        <w:pStyle w:val="ListBullet"/>
        <w:spacing w:line="360" w:lineRule="auto"/>
        <w:ind w:left="357" w:hanging="357"/>
        <w:rPr>
          <w:lang w:val="en-GB"/>
        </w:rPr>
      </w:pPr>
      <w:r>
        <w:rPr>
          <w:lang w:val="en-GB"/>
        </w:rPr>
        <w:t>Tackling unexpected revelations</w:t>
      </w:r>
    </w:p>
    <w:p w14:paraId="325E342D" w14:textId="1BBD7DF5" w:rsidR="008E1B83" w:rsidRPr="00A9642E" w:rsidRDefault="008E1B83" w:rsidP="00301BA0">
      <w:pPr>
        <w:pStyle w:val="ListBullet"/>
        <w:spacing w:line="360" w:lineRule="auto"/>
        <w:ind w:left="357" w:hanging="357"/>
        <w:rPr>
          <w:lang w:val="en-GB"/>
        </w:rPr>
      </w:pPr>
      <w:r>
        <w:t>Dealing with r</w:t>
      </w:r>
      <w:r w:rsidRPr="008E1B83">
        <w:t>e-traumatisation</w:t>
      </w:r>
    </w:p>
    <w:p w14:paraId="642CB062" w14:textId="594FCBDA" w:rsidR="00DF514A" w:rsidRPr="00A9642E" w:rsidRDefault="00DF514A" w:rsidP="00301BA0">
      <w:pPr>
        <w:spacing w:line="360" w:lineRule="auto"/>
        <w:rPr>
          <w:rFonts w:cs="Arial"/>
          <w:bCs/>
          <w:iCs/>
          <w:color w:val="000000"/>
          <w:szCs w:val="26"/>
          <w:lang w:val="en-GB"/>
        </w:rPr>
      </w:pPr>
      <w:r w:rsidRPr="009628FE">
        <w:rPr>
          <w:rFonts w:cs="Arial"/>
          <w:bCs/>
          <w:iCs/>
          <w:color w:val="000000"/>
          <w:szCs w:val="26"/>
          <w:lang w:val="en-GB"/>
        </w:rPr>
        <w:t xml:space="preserve">Researchers need to </w:t>
      </w:r>
      <w:r>
        <w:rPr>
          <w:rFonts w:cs="Arial"/>
          <w:bCs/>
          <w:iCs/>
          <w:color w:val="000000"/>
          <w:szCs w:val="26"/>
          <w:lang w:val="en-GB"/>
        </w:rPr>
        <w:t xml:space="preserve">understand </w:t>
      </w:r>
      <w:r w:rsidR="00B20604">
        <w:rPr>
          <w:rFonts w:cs="Arial"/>
          <w:bCs/>
          <w:iCs/>
          <w:color w:val="000000"/>
          <w:szCs w:val="26"/>
          <w:lang w:val="en-GB"/>
        </w:rPr>
        <w:t xml:space="preserve">the </w:t>
      </w:r>
      <w:r>
        <w:rPr>
          <w:rFonts w:cs="Arial"/>
          <w:bCs/>
          <w:iCs/>
          <w:color w:val="000000"/>
          <w:szCs w:val="26"/>
          <w:lang w:val="en-GB"/>
        </w:rPr>
        <w:t xml:space="preserve">challenges that arise and learn to </w:t>
      </w:r>
      <w:r w:rsidRPr="009628FE">
        <w:rPr>
          <w:rFonts w:cs="Arial"/>
          <w:bCs/>
          <w:iCs/>
          <w:color w:val="000000"/>
          <w:szCs w:val="26"/>
          <w:lang w:val="en-GB"/>
        </w:rPr>
        <w:t xml:space="preserve">balance </w:t>
      </w:r>
      <w:r w:rsidR="005F379B">
        <w:rPr>
          <w:rFonts w:cs="Arial"/>
          <w:bCs/>
          <w:iCs/>
          <w:color w:val="000000"/>
          <w:szCs w:val="26"/>
          <w:lang w:val="en-GB"/>
        </w:rPr>
        <w:t xml:space="preserve">their </w:t>
      </w:r>
      <w:r w:rsidRPr="009628FE">
        <w:rPr>
          <w:rFonts w:cs="Arial"/>
          <w:bCs/>
          <w:iCs/>
          <w:color w:val="000000"/>
          <w:szCs w:val="26"/>
          <w:lang w:val="en-GB"/>
        </w:rPr>
        <w:t>responsibilities to sponsors, employers, profession</w:t>
      </w:r>
      <w:r>
        <w:rPr>
          <w:rFonts w:cs="Arial"/>
          <w:bCs/>
          <w:iCs/>
          <w:color w:val="000000"/>
          <w:szCs w:val="26"/>
          <w:lang w:val="en-GB"/>
        </w:rPr>
        <w:t>als,</w:t>
      </w:r>
      <w:r w:rsidRPr="009628FE">
        <w:rPr>
          <w:rFonts w:cs="Arial"/>
          <w:bCs/>
          <w:iCs/>
          <w:color w:val="000000"/>
          <w:szCs w:val="26"/>
          <w:lang w:val="en-GB"/>
        </w:rPr>
        <w:t xml:space="preserve"> and respondents. </w:t>
      </w:r>
      <w:r w:rsidRPr="00A9642E">
        <w:rPr>
          <w:rFonts w:cs="Arial"/>
          <w:bCs/>
          <w:iCs/>
          <w:color w:val="000000"/>
          <w:szCs w:val="26"/>
          <w:lang w:val="en-GB"/>
        </w:rPr>
        <w:t xml:space="preserve">It </w:t>
      </w:r>
      <w:r>
        <w:rPr>
          <w:rFonts w:cs="Arial"/>
          <w:bCs/>
          <w:iCs/>
          <w:color w:val="000000"/>
          <w:szCs w:val="26"/>
          <w:lang w:val="en-GB"/>
        </w:rPr>
        <w:t>may</w:t>
      </w:r>
      <w:r w:rsidRPr="00A9642E">
        <w:rPr>
          <w:rFonts w:cs="Arial"/>
          <w:bCs/>
          <w:iCs/>
          <w:color w:val="000000"/>
          <w:szCs w:val="26"/>
          <w:lang w:val="en-GB"/>
        </w:rPr>
        <w:t xml:space="preserve"> be helpful to differentiate between procedural ethics (what happens in research design and in research ethics committees) and ethics in practice (what happens in the interactions between researcher and participants and in the way </w:t>
      </w:r>
      <w:r>
        <w:rPr>
          <w:rFonts w:cs="Arial"/>
          <w:bCs/>
          <w:iCs/>
          <w:color w:val="000000"/>
          <w:szCs w:val="26"/>
          <w:lang w:val="en-GB"/>
        </w:rPr>
        <w:t xml:space="preserve">that </w:t>
      </w:r>
      <w:r w:rsidRPr="00A9642E">
        <w:rPr>
          <w:rFonts w:cs="Arial"/>
          <w:bCs/>
          <w:iCs/>
          <w:color w:val="000000"/>
          <w:szCs w:val="26"/>
          <w:lang w:val="en-GB"/>
        </w:rPr>
        <w:t>data are interpreted, communicated, and used). Ethics in practice is enhanced by procedural ethics</w:t>
      </w:r>
      <w:r>
        <w:rPr>
          <w:rFonts w:cs="Arial"/>
          <w:bCs/>
          <w:iCs/>
          <w:color w:val="000000"/>
          <w:szCs w:val="26"/>
          <w:lang w:val="en-GB"/>
        </w:rPr>
        <w:t xml:space="preserve"> as t</w:t>
      </w:r>
      <w:r w:rsidRPr="00A9642E">
        <w:rPr>
          <w:rFonts w:cs="Arial"/>
          <w:bCs/>
          <w:iCs/>
          <w:color w:val="000000"/>
          <w:szCs w:val="26"/>
          <w:lang w:val="en-GB"/>
        </w:rPr>
        <w:t>he underlying values are the same</w:t>
      </w:r>
      <w:r>
        <w:rPr>
          <w:rFonts w:cs="Arial"/>
          <w:bCs/>
          <w:iCs/>
          <w:color w:val="000000"/>
          <w:szCs w:val="26"/>
          <w:lang w:val="en-GB"/>
        </w:rPr>
        <w:t>.</w:t>
      </w:r>
      <w:r>
        <w:rPr>
          <w:rStyle w:val="FootnoteReference"/>
          <w:rFonts w:cs="Arial"/>
          <w:bCs/>
          <w:iCs/>
          <w:color w:val="000000"/>
          <w:szCs w:val="26"/>
          <w:lang w:val="en-GB"/>
        </w:rPr>
        <w:footnoteReference w:id="61"/>
      </w:r>
      <w:r>
        <w:rPr>
          <w:rFonts w:cs="Arial"/>
          <w:bCs/>
          <w:iCs/>
          <w:color w:val="000000"/>
          <w:szCs w:val="26"/>
          <w:lang w:val="en-GB"/>
        </w:rPr>
        <w:t xml:space="preserve"> However, procedural </w:t>
      </w:r>
      <w:r w:rsidRPr="00DA24F6">
        <w:rPr>
          <w:rFonts w:cs="Arial"/>
          <w:bCs/>
          <w:iCs/>
          <w:color w:val="000000"/>
          <w:szCs w:val="26"/>
        </w:rPr>
        <w:t xml:space="preserve">ethics </w:t>
      </w:r>
      <w:r>
        <w:rPr>
          <w:rFonts w:cs="Arial"/>
          <w:bCs/>
          <w:iCs/>
          <w:color w:val="000000"/>
          <w:szCs w:val="26"/>
        </w:rPr>
        <w:t xml:space="preserve">cannot </w:t>
      </w:r>
      <w:r w:rsidRPr="00DA24F6">
        <w:rPr>
          <w:rFonts w:cs="Arial"/>
          <w:bCs/>
          <w:iCs/>
          <w:color w:val="000000"/>
          <w:szCs w:val="26"/>
        </w:rPr>
        <w:t xml:space="preserve">address </w:t>
      </w:r>
      <w:r>
        <w:rPr>
          <w:rFonts w:cs="Arial"/>
          <w:bCs/>
          <w:iCs/>
          <w:color w:val="000000"/>
          <w:szCs w:val="26"/>
        </w:rPr>
        <w:t xml:space="preserve">all the </w:t>
      </w:r>
      <w:r w:rsidRPr="00DA24F6">
        <w:rPr>
          <w:rFonts w:cs="Arial"/>
          <w:bCs/>
          <w:iCs/>
          <w:color w:val="000000"/>
          <w:szCs w:val="26"/>
        </w:rPr>
        <w:t xml:space="preserve">ethical dilemmas that arise </w:t>
      </w:r>
      <w:r>
        <w:rPr>
          <w:rFonts w:cs="Arial"/>
          <w:bCs/>
          <w:iCs/>
          <w:color w:val="000000"/>
          <w:szCs w:val="26"/>
        </w:rPr>
        <w:t xml:space="preserve">during the research process. Therefore, researchers must be alert </w:t>
      </w:r>
      <w:r w:rsidR="00B20604">
        <w:rPr>
          <w:rFonts w:cs="Arial"/>
          <w:bCs/>
          <w:iCs/>
          <w:color w:val="000000"/>
          <w:szCs w:val="26"/>
        </w:rPr>
        <w:t xml:space="preserve">to the need to adequately address </w:t>
      </w:r>
      <w:r>
        <w:rPr>
          <w:rFonts w:cs="Arial"/>
          <w:bCs/>
          <w:iCs/>
          <w:color w:val="000000"/>
          <w:szCs w:val="26"/>
        </w:rPr>
        <w:t xml:space="preserve">the ethical issues that arise </w:t>
      </w:r>
      <w:r w:rsidR="00B20604">
        <w:rPr>
          <w:rFonts w:cs="Arial"/>
          <w:bCs/>
          <w:iCs/>
          <w:color w:val="000000"/>
          <w:szCs w:val="26"/>
        </w:rPr>
        <w:t>throughout the research process</w:t>
      </w:r>
      <w:r>
        <w:rPr>
          <w:rFonts w:cs="Arial"/>
          <w:bCs/>
          <w:iCs/>
          <w:color w:val="000000"/>
          <w:szCs w:val="26"/>
        </w:rPr>
        <w:t xml:space="preserve">. </w:t>
      </w:r>
      <w:r w:rsidRPr="00A9642E">
        <w:rPr>
          <w:rFonts w:cs="Arial"/>
          <w:bCs/>
          <w:iCs/>
          <w:color w:val="000000"/>
          <w:szCs w:val="26"/>
          <w:lang w:val="en-GB"/>
        </w:rPr>
        <w:t>Ethical considerations that emerge as the research proceeds include view</w:t>
      </w:r>
      <w:r>
        <w:rPr>
          <w:rFonts w:cs="Arial"/>
          <w:bCs/>
          <w:iCs/>
          <w:color w:val="000000"/>
          <w:szCs w:val="26"/>
          <w:lang w:val="en-GB"/>
        </w:rPr>
        <w:t>ing</w:t>
      </w:r>
      <w:r w:rsidRPr="00A9642E">
        <w:rPr>
          <w:rFonts w:cs="Arial"/>
          <w:bCs/>
          <w:iCs/>
          <w:color w:val="000000"/>
          <w:szCs w:val="26"/>
          <w:lang w:val="en-GB"/>
        </w:rPr>
        <w:t xml:space="preserve"> consent and trust</w:t>
      </w:r>
      <w:r>
        <w:rPr>
          <w:rFonts w:cs="Arial"/>
          <w:bCs/>
          <w:iCs/>
          <w:color w:val="000000"/>
          <w:szCs w:val="26"/>
          <w:lang w:val="en-GB"/>
        </w:rPr>
        <w:t>,</w:t>
      </w:r>
      <w:r w:rsidRPr="00A9642E">
        <w:rPr>
          <w:rFonts w:cs="Arial"/>
          <w:bCs/>
          <w:iCs/>
          <w:color w:val="000000"/>
          <w:szCs w:val="26"/>
          <w:lang w:val="en-GB"/>
        </w:rPr>
        <w:t xml:space="preserve"> not as ‘one-off’ events</w:t>
      </w:r>
      <w:r>
        <w:rPr>
          <w:rFonts w:cs="Arial"/>
          <w:bCs/>
          <w:iCs/>
          <w:color w:val="000000"/>
          <w:szCs w:val="26"/>
          <w:lang w:val="en-GB"/>
        </w:rPr>
        <w:t>,</w:t>
      </w:r>
      <w:r w:rsidRPr="00A9642E">
        <w:rPr>
          <w:rFonts w:cs="Arial"/>
          <w:bCs/>
          <w:iCs/>
          <w:color w:val="000000"/>
          <w:szCs w:val="26"/>
          <w:lang w:val="en-GB"/>
        </w:rPr>
        <w:t xml:space="preserve"> but as a process that </w:t>
      </w:r>
      <w:r>
        <w:rPr>
          <w:rFonts w:cs="Arial"/>
          <w:bCs/>
          <w:iCs/>
          <w:color w:val="000000"/>
          <w:szCs w:val="26"/>
          <w:lang w:val="en-GB"/>
        </w:rPr>
        <w:t xml:space="preserve">is </w:t>
      </w:r>
      <w:r w:rsidRPr="00A9642E">
        <w:rPr>
          <w:rFonts w:cs="Arial"/>
          <w:bCs/>
          <w:iCs/>
          <w:color w:val="000000"/>
          <w:szCs w:val="26"/>
          <w:lang w:val="en-GB"/>
        </w:rPr>
        <w:t>renewed and re-established duri</w:t>
      </w:r>
      <w:r>
        <w:rPr>
          <w:rFonts w:cs="Arial"/>
          <w:bCs/>
          <w:iCs/>
          <w:color w:val="000000"/>
          <w:szCs w:val="26"/>
          <w:lang w:val="en-GB"/>
        </w:rPr>
        <w:t xml:space="preserve">ng the research. </w:t>
      </w:r>
      <w:r w:rsidRPr="00A9642E">
        <w:rPr>
          <w:rFonts w:cs="Arial"/>
          <w:bCs/>
          <w:iCs/>
          <w:color w:val="000000"/>
          <w:szCs w:val="26"/>
          <w:lang w:val="en-GB"/>
        </w:rPr>
        <w:t>This involves, for example:</w:t>
      </w:r>
      <w:r>
        <w:rPr>
          <w:rStyle w:val="FootnoteReference"/>
          <w:rFonts w:cs="Arial"/>
          <w:bCs/>
          <w:iCs/>
          <w:color w:val="000000"/>
          <w:szCs w:val="26"/>
          <w:lang w:val="en-GB"/>
        </w:rPr>
        <w:footnoteReference w:id="62"/>
      </w:r>
      <w:r w:rsidRPr="00A9642E">
        <w:rPr>
          <w:rFonts w:cs="Arial"/>
          <w:bCs/>
          <w:iCs/>
          <w:color w:val="000000"/>
          <w:szCs w:val="26"/>
          <w:lang w:val="en-GB"/>
        </w:rPr>
        <w:t xml:space="preserve"> </w:t>
      </w:r>
    </w:p>
    <w:p w14:paraId="03298B4F" w14:textId="77777777" w:rsidR="00DF514A" w:rsidRPr="00B8600D" w:rsidRDefault="00DF514A" w:rsidP="00AC7513">
      <w:pPr>
        <w:pStyle w:val="ListParagraph"/>
        <w:numPr>
          <w:ilvl w:val="0"/>
          <w:numId w:val="7"/>
        </w:numPr>
        <w:spacing w:line="360" w:lineRule="auto"/>
        <w:rPr>
          <w:rFonts w:cs="Arial"/>
          <w:bCs/>
          <w:iCs/>
          <w:color w:val="000000"/>
          <w:szCs w:val="26"/>
          <w:lang w:val="en-GB"/>
        </w:rPr>
      </w:pPr>
      <w:r>
        <w:rPr>
          <w:rFonts w:cs="Arial"/>
          <w:bCs/>
          <w:iCs/>
          <w:color w:val="000000"/>
          <w:szCs w:val="26"/>
          <w:lang w:val="en-GB"/>
        </w:rPr>
        <w:t>Reminding participants of the</w:t>
      </w:r>
      <w:r w:rsidRPr="00B8600D">
        <w:rPr>
          <w:rFonts w:cs="Arial"/>
          <w:bCs/>
          <w:iCs/>
          <w:color w:val="000000"/>
          <w:szCs w:val="26"/>
          <w:lang w:val="en-GB"/>
        </w:rPr>
        <w:t xml:space="preserve"> right to withdraw from the study at any </w:t>
      </w:r>
      <w:proofErr w:type="gramStart"/>
      <w:r w:rsidRPr="00B8600D">
        <w:rPr>
          <w:rFonts w:cs="Arial"/>
          <w:bCs/>
          <w:iCs/>
          <w:color w:val="000000"/>
          <w:szCs w:val="26"/>
          <w:lang w:val="en-GB"/>
        </w:rPr>
        <w:t>time</w:t>
      </w:r>
      <w:proofErr w:type="gramEnd"/>
      <w:r w:rsidRPr="00B8600D">
        <w:rPr>
          <w:rFonts w:cs="Arial"/>
          <w:bCs/>
          <w:iCs/>
          <w:color w:val="000000"/>
          <w:szCs w:val="26"/>
          <w:lang w:val="en-GB"/>
        </w:rPr>
        <w:t xml:space="preserve"> </w:t>
      </w:r>
    </w:p>
    <w:p w14:paraId="72B4823D" w14:textId="4D460932" w:rsidR="008E1B83" w:rsidRPr="008E1B83" w:rsidRDefault="00DF514A" w:rsidP="008E1B83">
      <w:pPr>
        <w:pStyle w:val="ListParagraph"/>
        <w:numPr>
          <w:ilvl w:val="0"/>
          <w:numId w:val="7"/>
        </w:numPr>
        <w:spacing w:line="360" w:lineRule="auto"/>
        <w:rPr>
          <w:rFonts w:cs="Arial"/>
          <w:bCs/>
          <w:iCs/>
          <w:color w:val="000000"/>
          <w:szCs w:val="26"/>
          <w:lang w:val="x-none"/>
        </w:rPr>
      </w:pPr>
      <w:r w:rsidRPr="00B8600D">
        <w:rPr>
          <w:rFonts w:cs="Arial"/>
          <w:bCs/>
          <w:iCs/>
          <w:color w:val="000000"/>
          <w:szCs w:val="26"/>
          <w:lang w:val="en-GB"/>
        </w:rPr>
        <w:t>A sensitive and tactful completion of the research process</w:t>
      </w:r>
      <w:r w:rsidR="008E1B83">
        <w:rPr>
          <w:rFonts w:cs="Arial"/>
          <w:bCs/>
          <w:iCs/>
          <w:color w:val="000000"/>
          <w:szCs w:val="26"/>
          <w:lang w:val="en-GB"/>
        </w:rPr>
        <w:t xml:space="preserve"> including, e.g.,</w:t>
      </w:r>
      <w:r w:rsidRPr="00B8600D">
        <w:rPr>
          <w:rFonts w:cs="Arial"/>
          <w:bCs/>
          <w:iCs/>
          <w:color w:val="000000"/>
          <w:szCs w:val="26"/>
          <w:lang w:val="en-GB"/>
        </w:rPr>
        <w:t xml:space="preserve"> </w:t>
      </w:r>
      <w:r w:rsidR="008E1B83" w:rsidRPr="008E1B83">
        <w:rPr>
          <w:rFonts w:cs="Arial"/>
          <w:bCs/>
          <w:iCs/>
          <w:color w:val="000000"/>
          <w:szCs w:val="26"/>
          <w:lang w:val="x-none"/>
        </w:rPr>
        <w:t>debriefing or having support structures available after their participation</w:t>
      </w:r>
      <w:r w:rsidR="008E1B83">
        <w:rPr>
          <w:rFonts w:cs="Arial"/>
          <w:bCs/>
          <w:iCs/>
          <w:color w:val="000000"/>
          <w:szCs w:val="26"/>
        </w:rPr>
        <w:t xml:space="preserve"> if they need them. </w:t>
      </w:r>
    </w:p>
    <w:p w14:paraId="724CA550" w14:textId="77777777" w:rsidR="00DF514A" w:rsidRDefault="00DF514A" w:rsidP="00AC7513">
      <w:pPr>
        <w:pStyle w:val="ListParagraph"/>
        <w:numPr>
          <w:ilvl w:val="0"/>
          <w:numId w:val="7"/>
        </w:numPr>
        <w:spacing w:line="360" w:lineRule="auto"/>
        <w:rPr>
          <w:rFonts w:cs="Arial"/>
          <w:bCs/>
          <w:iCs/>
          <w:color w:val="000000"/>
          <w:szCs w:val="26"/>
          <w:lang w:val="en-GB"/>
        </w:rPr>
      </w:pPr>
      <w:r w:rsidRPr="00B8600D">
        <w:rPr>
          <w:rFonts w:cs="Arial"/>
          <w:bCs/>
          <w:iCs/>
          <w:color w:val="000000"/>
          <w:szCs w:val="26"/>
          <w:lang w:val="en-GB"/>
        </w:rPr>
        <w:lastRenderedPageBreak/>
        <w:t xml:space="preserve">Making participants aware of their right to check how they are represented in transcripts/field </w:t>
      </w:r>
      <w:proofErr w:type="gramStart"/>
      <w:r w:rsidRPr="00B8600D">
        <w:rPr>
          <w:rFonts w:cs="Arial"/>
          <w:bCs/>
          <w:iCs/>
          <w:color w:val="000000"/>
          <w:szCs w:val="26"/>
          <w:lang w:val="en-GB"/>
        </w:rPr>
        <w:t>notes</w:t>
      </w:r>
      <w:proofErr w:type="gramEnd"/>
      <w:r w:rsidRPr="00B8600D">
        <w:rPr>
          <w:rFonts w:cs="Arial"/>
          <w:bCs/>
          <w:iCs/>
          <w:color w:val="000000"/>
          <w:szCs w:val="26"/>
          <w:lang w:val="en-GB"/>
        </w:rPr>
        <w:t xml:space="preserve"> </w:t>
      </w:r>
    </w:p>
    <w:p w14:paraId="4885C87C" w14:textId="5069A510" w:rsidR="00DF514A" w:rsidRDefault="00B20604" w:rsidP="00301BA0">
      <w:pPr>
        <w:spacing w:line="360" w:lineRule="auto"/>
        <w:rPr>
          <w:rFonts w:cs="Arial"/>
          <w:bCs/>
          <w:iCs/>
          <w:color w:val="000000"/>
          <w:szCs w:val="26"/>
          <w:lang w:val="en-GB"/>
        </w:rPr>
      </w:pPr>
      <w:r>
        <w:rPr>
          <w:rFonts w:cs="Arial"/>
          <w:bCs/>
          <w:iCs/>
          <w:color w:val="000000"/>
          <w:szCs w:val="26"/>
          <w:lang w:val="en-GB"/>
        </w:rPr>
        <w:t xml:space="preserve">The </w:t>
      </w:r>
      <w:r w:rsidRPr="00A9642E">
        <w:rPr>
          <w:rFonts w:cs="Arial"/>
          <w:bCs/>
          <w:iCs/>
          <w:color w:val="000000"/>
          <w:szCs w:val="26"/>
          <w:lang w:val="en-GB"/>
        </w:rPr>
        <w:t>‘</w:t>
      </w:r>
      <w:r>
        <w:rPr>
          <w:rFonts w:cs="Arial"/>
          <w:bCs/>
          <w:iCs/>
          <w:color w:val="000000"/>
          <w:szCs w:val="26"/>
          <w:lang w:val="en-GB"/>
        </w:rPr>
        <w:t>e</w:t>
      </w:r>
      <w:r w:rsidRPr="00A9642E">
        <w:rPr>
          <w:rFonts w:cs="Arial"/>
          <w:bCs/>
          <w:iCs/>
          <w:color w:val="000000"/>
          <w:szCs w:val="26"/>
          <w:lang w:val="en-GB"/>
        </w:rPr>
        <w:t>thics as process’ model</w:t>
      </w:r>
      <w:r>
        <w:rPr>
          <w:rFonts w:cs="Arial"/>
          <w:bCs/>
          <w:iCs/>
          <w:color w:val="000000"/>
          <w:szCs w:val="26"/>
          <w:lang w:val="en-GB"/>
        </w:rPr>
        <w:t xml:space="preserve"> has been proposed </w:t>
      </w:r>
      <w:r w:rsidRPr="00A9642E">
        <w:rPr>
          <w:rFonts w:cs="Arial"/>
          <w:bCs/>
          <w:iCs/>
          <w:color w:val="000000"/>
          <w:szCs w:val="26"/>
          <w:lang w:val="en-GB"/>
        </w:rPr>
        <w:t xml:space="preserve">as </w:t>
      </w:r>
      <w:r>
        <w:rPr>
          <w:rFonts w:cs="Arial"/>
          <w:bCs/>
          <w:iCs/>
          <w:color w:val="000000"/>
          <w:szCs w:val="26"/>
          <w:lang w:val="en-GB"/>
        </w:rPr>
        <w:t xml:space="preserve">particularly </w:t>
      </w:r>
      <w:r w:rsidRPr="00A9642E">
        <w:rPr>
          <w:rFonts w:cs="Arial"/>
          <w:bCs/>
          <w:iCs/>
          <w:color w:val="000000"/>
          <w:szCs w:val="26"/>
          <w:lang w:val="en-GB"/>
        </w:rPr>
        <w:t>suitable for qualitative research where the research design emerges as the research proceeds</w:t>
      </w:r>
      <w:r>
        <w:rPr>
          <w:rFonts w:cs="Arial"/>
          <w:bCs/>
          <w:iCs/>
          <w:color w:val="000000"/>
          <w:szCs w:val="26"/>
          <w:lang w:val="en-GB"/>
        </w:rPr>
        <w:t>,</w:t>
      </w:r>
      <w:r>
        <w:rPr>
          <w:rStyle w:val="FootnoteReference"/>
          <w:rFonts w:cs="Arial"/>
          <w:bCs/>
          <w:iCs/>
          <w:color w:val="000000"/>
          <w:szCs w:val="26"/>
          <w:lang w:val="en-GB"/>
        </w:rPr>
        <w:footnoteReference w:id="63"/>
      </w:r>
      <w:r w:rsidRPr="00A9642E">
        <w:rPr>
          <w:rFonts w:cs="Arial"/>
          <w:bCs/>
          <w:iCs/>
          <w:color w:val="000000"/>
          <w:szCs w:val="26"/>
          <w:lang w:val="en-GB"/>
        </w:rPr>
        <w:t xml:space="preserve"> </w:t>
      </w:r>
      <w:r>
        <w:rPr>
          <w:rFonts w:cs="Arial"/>
          <w:bCs/>
          <w:iCs/>
          <w:color w:val="000000"/>
          <w:szCs w:val="26"/>
          <w:lang w:val="en-GB"/>
        </w:rPr>
        <w:t xml:space="preserve">but it </w:t>
      </w:r>
      <w:r w:rsidR="00CD5D98">
        <w:rPr>
          <w:rFonts w:cs="Arial"/>
          <w:bCs/>
          <w:iCs/>
          <w:color w:val="000000"/>
          <w:szCs w:val="26"/>
          <w:lang w:val="en-GB"/>
        </w:rPr>
        <w:t xml:space="preserve">is applicable to </w:t>
      </w:r>
      <w:r w:rsidRPr="00A9642E">
        <w:rPr>
          <w:rFonts w:cs="Arial"/>
          <w:bCs/>
          <w:iCs/>
          <w:color w:val="000000"/>
          <w:szCs w:val="26"/>
          <w:lang w:val="en-GB"/>
        </w:rPr>
        <w:t>all research.</w:t>
      </w:r>
      <w:r>
        <w:rPr>
          <w:rFonts w:cs="Arial"/>
          <w:bCs/>
          <w:iCs/>
          <w:color w:val="000000"/>
          <w:szCs w:val="26"/>
          <w:lang w:val="en-GB"/>
        </w:rPr>
        <w:t xml:space="preserve"> Ongoing consideration of ethical issues </w:t>
      </w:r>
      <w:r w:rsidR="00CD5D98">
        <w:rPr>
          <w:rFonts w:cs="Arial"/>
          <w:bCs/>
          <w:iCs/>
          <w:color w:val="000000"/>
          <w:szCs w:val="26"/>
          <w:lang w:val="en-GB"/>
        </w:rPr>
        <w:t xml:space="preserve">is essential as it </w:t>
      </w:r>
      <w:r w:rsidRPr="00A9642E">
        <w:rPr>
          <w:rFonts w:cs="Arial"/>
          <w:bCs/>
          <w:iCs/>
          <w:color w:val="000000"/>
          <w:szCs w:val="26"/>
          <w:lang w:val="en-GB"/>
        </w:rPr>
        <w:t>ensure</w:t>
      </w:r>
      <w:r>
        <w:rPr>
          <w:rFonts w:cs="Arial"/>
          <w:bCs/>
          <w:iCs/>
          <w:color w:val="000000"/>
          <w:szCs w:val="26"/>
          <w:lang w:val="en-GB"/>
        </w:rPr>
        <w:t>s</w:t>
      </w:r>
      <w:r w:rsidRPr="00A9642E">
        <w:rPr>
          <w:rFonts w:cs="Arial"/>
          <w:bCs/>
          <w:iCs/>
          <w:color w:val="000000"/>
          <w:szCs w:val="26"/>
          <w:lang w:val="en-GB"/>
        </w:rPr>
        <w:t xml:space="preserve"> that the benefit to risk ratio in </w:t>
      </w:r>
      <w:r>
        <w:rPr>
          <w:rFonts w:cs="Arial"/>
          <w:bCs/>
          <w:iCs/>
          <w:color w:val="000000"/>
          <w:szCs w:val="26"/>
          <w:lang w:val="en-GB"/>
        </w:rPr>
        <w:t>r</w:t>
      </w:r>
      <w:r w:rsidRPr="00A9642E">
        <w:rPr>
          <w:rFonts w:cs="Arial"/>
          <w:bCs/>
          <w:iCs/>
          <w:color w:val="000000"/>
          <w:szCs w:val="26"/>
          <w:lang w:val="en-GB"/>
        </w:rPr>
        <w:t>esearch remains on the side of benefit</w:t>
      </w:r>
      <w:r>
        <w:rPr>
          <w:rFonts w:cs="Arial"/>
          <w:bCs/>
          <w:iCs/>
          <w:color w:val="000000"/>
          <w:szCs w:val="26"/>
          <w:lang w:val="en-GB"/>
        </w:rPr>
        <w:t xml:space="preserve"> for participants</w:t>
      </w:r>
      <w:r w:rsidRPr="00A9642E">
        <w:rPr>
          <w:rFonts w:cs="Arial"/>
          <w:bCs/>
          <w:iCs/>
          <w:color w:val="000000"/>
          <w:szCs w:val="26"/>
          <w:lang w:val="en-GB"/>
        </w:rPr>
        <w:t>.</w:t>
      </w:r>
    </w:p>
    <w:p w14:paraId="00A3AACA" w14:textId="054E792F" w:rsidR="00CD0BD1" w:rsidRPr="000722B4" w:rsidRDefault="000B1245" w:rsidP="00301BA0">
      <w:pPr>
        <w:spacing w:line="360" w:lineRule="auto"/>
      </w:pPr>
      <w:r w:rsidRPr="000722B4">
        <w:rPr>
          <w:lang w:val="en-GB"/>
        </w:rPr>
        <w:t xml:space="preserve">Each person </w:t>
      </w:r>
      <w:r>
        <w:rPr>
          <w:lang w:val="en-GB"/>
        </w:rPr>
        <w:t xml:space="preserve">must be </w:t>
      </w:r>
      <w:r w:rsidRPr="000722B4">
        <w:rPr>
          <w:lang w:val="en-GB"/>
        </w:rPr>
        <w:t xml:space="preserve">seen as a subject at the centre of decision-making in everything that concerns him or her. How </w:t>
      </w:r>
      <w:r w:rsidR="00CD5D98">
        <w:rPr>
          <w:lang w:val="en-GB"/>
        </w:rPr>
        <w:t xml:space="preserve">to do this </w:t>
      </w:r>
      <w:r w:rsidRPr="000722B4">
        <w:rPr>
          <w:lang w:val="en-GB"/>
        </w:rPr>
        <w:t xml:space="preserve">needs to be </w:t>
      </w:r>
      <w:r>
        <w:rPr>
          <w:lang w:val="en-GB"/>
        </w:rPr>
        <w:t xml:space="preserve">established </w:t>
      </w:r>
      <w:r w:rsidRPr="000722B4">
        <w:rPr>
          <w:lang w:val="en-GB"/>
        </w:rPr>
        <w:t>at the design and planning stages a</w:t>
      </w:r>
      <w:r w:rsidR="00CD5D98">
        <w:rPr>
          <w:lang w:val="en-GB"/>
        </w:rPr>
        <w:t>s well as</w:t>
      </w:r>
      <w:r w:rsidRPr="000722B4">
        <w:rPr>
          <w:lang w:val="en-GB"/>
        </w:rPr>
        <w:t xml:space="preserve"> throughout the research process. </w:t>
      </w:r>
      <w:r w:rsidR="00CD0BD1" w:rsidRPr="000722B4">
        <w:t>Ethical issues in disability research go beyond ensuring that the disabled people participating in one's research do not encounter any risk or harm. It involves being attentive to disabled people's perspectives and their concerns as well as catering for any impairment-related requirements they might have throughout the research process.</w:t>
      </w:r>
      <w:r w:rsidR="00CD0BD1" w:rsidRPr="000722B4">
        <w:rPr>
          <w:vertAlign w:val="superscript"/>
        </w:rPr>
        <w:footnoteReference w:id="64"/>
      </w:r>
      <w:r w:rsidR="00CD0BD1" w:rsidRPr="000722B4">
        <w:t xml:space="preserve"> Their expertise and time should </w:t>
      </w:r>
      <w:r w:rsidR="008E1B83">
        <w:t xml:space="preserve">be valued </w:t>
      </w:r>
      <w:r w:rsidR="00CD0BD1" w:rsidRPr="000722B4">
        <w:t>and they should benefit, where possible, from the research they are involved in.</w:t>
      </w:r>
    </w:p>
    <w:p w14:paraId="61D1E353" w14:textId="3F110647" w:rsidR="002D1AE9" w:rsidRDefault="004C2815" w:rsidP="00301BA0">
      <w:pPr>
        <w:pStyle w:val="Heading2"/>
        <w:spacing w:line="360" w:lineRule="auto"/>
        <w:rPr>
          <w:lang w:val="en-GB"/>
        </w:rPr>
      </w:pPr>
      <w:bookmarkStart w:id="40" w:name="_Toc150873269"/>
      <w:bookmarkStart w:id="41" w:name="_Toc156380498"/>
      <w:r>
        <w:rPr>
          <w:lang w:val="en-GB"/>
        </w:rPr>
        <w:t>3.2.</w:t>
      </w:r>
      <w:r>
        <w:rPr>
          <w:lang w:val="en-GB"/>
        </w:rPr>
        <w:tab/>
      </w:r>
      <w:r w:rsidR="002D1AE9">
        <w:rPr>
          <w:lang w:val="en-GB"/>
        </w:rPr>
        <w:t>Maximising benefits and minimising harm</w:t>
      </w:r>
      <w:bookmarkEnd w:id="40"/>
      <w:bookmarkEnd w:id="41"/>
    </w:p>
    <w:p w14:paraId="0DB86841" w14:textId="08DE0A9F" w:rsidR="00120BC2" w:rsidRDefault="00A666E8" w:rsidP="00301BA0">
      <w:pPr>
        <w:pStyle w:val="Heading3"/>
        <w:spacing w:line="360" w:lineRule="auto"/>
      </w:pPr>
      <w:r>
        <w:t>3.2.1.</w:t>
      </w:r>
      <w:r>
        <w:tab/>
      </w:r>
      <w:r w:rsidR="00120BC2">
        <w:t>Beneficence and non-</w:t>
      </w:r>
      <w:r w:rsidR="00F53DE8">
        <w:t>maleficence</w:t>
      </w:r>
    </w:p>
    <w:p w14:paraId="5392EDB6" w14:textId="77777777" w:rsidR="005B2E02" w:rsidRDefault="000722B4" w:rsidP="005B2E02">
      <w:pPr>
        <w:spacing w:line="360" w:lineRule="auto"/>
        <w:rPr>
          <w:rFonts w:cs="Arial"/>
          <w:bCs/>
          <w:szCs w:val="26"/>
          <w:lang w:val="en-GB"/>
        </w:rPr>
      </w:pPr>
      <w:r w:rsidRPr="000722B4">
        <w:rPr>
          <w:rFonts w:cs="Arial"/>
          <w:szCs w:val="26"/>
        </w:rPr>
        <w:t>Beneficence and non-maleficence are technical terms sometimes used in research ethics</w:t>
      </w:r>
      <w:r w:rsidR="00336577">
        <w:rPr>
          <w:rFonts w:cs="Arial"/>
          <w:szCs w:val="26"/>
        </w:rPr>
        <w:t xml:space="preserve">. These terms mean respectively to </w:t>
      </w:r>
      <w:r w:rsidRPr="000722B4">
        <w:rPr>
          <w:rFonts w:cs="Arial"/>
          <w:szCs w:val="26"/>
        </w:rPr>
        <w:t>seek to benefit individual participants and society</w:t>
      </w:r>
      <w:r w:rsidRPr="000722B4">
        <w:rPr>
          <w:rFonts w:cs="Arial"/>
          <w:szCs w:val="26"/>
          <w:vertAlign w:val="superscript"/>
        </w:rPr>
        <w:footnoteReference w:id="65"/>
      </w:r>
      <w:r w:rsidRPr="000722B4">
        <w:rPr>
          <w:rFonts w:cs="Arial"/>
          <w:szCs w:val="26"/>
        </w:rPr>
        <w:t xml:space="preserve"> and </w:t>
      </w:r>
      <w:r w:rsidR="002524E5">
        <w:rPr>
          <w:rFonts w:cs="Arial"/>
          <w:szCs w:val="26"/>
        </w:rPr>
        <w:t xml:space="preserve">to </w:t>
      </w:r>
      <w:r w:rsidRPr="000722B4">
        <w:rPr>
          <w:rFonts w:cs="Arial"/>
          <w:szCs w:val="26"/>
        </w:rPr>
        <w:t>promote the</w:t>
      </w:r>
      <w:r w:rsidR="002524E5">
        <w:rPr>
          <w:rFonts w:cs="Arial"/>
          <w:szCs w:val="26"/>
        </w:rPr>
        <w:t>ir welfare</w:t>
      </w:r>
      <w:r w:rsidRPr="000722B4">
        <w:rPr>
          <w:rFonts w:cs="Arial"/>
          <w:szCs w:val="26"/>
          <w:vertAlign w:val="superscript"/>
        </w:rPr>
        <w:footnoteReference w:id="66"/>
      </w:r>
      <w:r w:rsidRPr="000722B4">
        <w:rPr>
          <w:rFonts w:cs="Arial"/>
          <w:szCs w:val="26"/>
        </w:rPr>
        <w:t xml:space="preserve"> </w:t>
      </w:r>
      <w:r w:rsidR="00336577">
        <w:rPr>
          <w:rFonts w:cs="Arial"/>
          <w:szCs w:val="26"/>
        </w:rPr>
        <w:t xml:space="preserve">and </w:t>
      </w:r>
      <w:r w:rsidR="00793FC9" w:rsidRPr="000722B4">
        <w:rPr>
          <w:rFonts w:cs="Arial"/>
          <w:szCs w:val="26"/>
        </w:rPr>
        <w:t>seek to do no harm and n</w:t>
      </w:r>
      <w:r w:rsidR="002524E5">
        <w:rPr>
          <w:rFonts w:cs="Arial"/>
          <w:szCs w:val="26"/>
        </w:rPr>
        <w:t>ever</w:t>
      </w:r>
      <w:r w:rsidR="00793FC9" w:rsidRPr="000722B4">
        <w:rPr>
          <w:rFonts w:cs="Arial"/>
          <w:szCs w:val="26"/>
        </w:rPr>
        <w:t xml:space="preserve"> </w:t>
      </w:r>
      <w:r w:rsidR="00793FC9" w:rsidRPr="000722B4">
        <w:rPr>
          <w:rFonts w:cs="Arial"/>
          <w:szCs w:val="26"/>
        </w:rPr>
        <w:lastRenderedPageBreak/>
        <w:t>to deceive</w:t>
      </w:r>
      <w:r w:rsidR="00793FC9" w:rsidRPr="000722B4">
        <w:rPr>
          <w:rFonts w:cs="Arial"/>
          <w:szCs w:val="26"/>
          <w:vertAlign w:val="superscript"/>
        </w:rPr>
        <w:footnoteReference w:id="67"/>
      </w:r>
      <w:r w:rsidR="00336577">
        <w:rPr>
          <w:rFonts w:cs="Arial"/>
          <w:szCs w:val="26"/>
        </w:rPr>
        <w:t>,</w:t>
      </w:r>
      <w:r w:rsidR="00793FC9" w:rsidRPr="000722B4">
        <w:rPr>
          <w:rFonts w:cs="Arial"/>
          <w:szCs w:val="26"/>
        </w:rPr>
        <w:t xml:space="preserve"> balanc</w:t>
      </w:r>
      <w:r w:rsidR="00336577">
        <w:rPr>
          <w:rFonts w:cs="Arial"/>
          <w:szCs w:val="26"/>
        </w:rPr>
        <w:t>ing</w:t>
      </w:r>
      <w:r w:rsidR="00793FC9" w:rsidRPr="000722B4">
        <w:rPr>
          <w:rFonts w:cs="Arial"/>
          <w:szCs w:val="26"/>
        </w:rPr>
        <w:t xml:space="preserve"> potential benefits against risks by reducing </w:t>
      </w:r>
      <w:r w:rsidR="00336577">
        <w:rPr>
          <w:rFonts w:cs="Arial"/>
          <w:szCs w:val="26"/>
        </w:rPr>
        <w:t xml:space="preserve">the </w:t>
      </w:r>
      <w:r w:rsidR="00793FC9" w:rsidRPr="000722B4">
        <w:rPr>
          <w:rFonts w:cs="Arial"/>
          <w:szCs w:val="26"/>
        </w:rPr>
        <w:t>possible risks and safeguarding participants.</w:t>
      </w:r>
      <w:r w:rsidR="00793FC9" w:rsidRPr="000722B4">
        <w:rPr>
          <w:rFonts w:cs="Arial"/>
          <w:szCs w:val="26"/>
          <w:vertAlign w:val="superscript"/>
        </w:rPr>
        <w:footnoteReference w:id="68"/>
      </w:r>
      <w:r w:rsidR="0025449A">
        <w:rPr>
          <w:rFonts w:cs="Arial"/>
          <w:szCs w:val="26"/>
        </w:rPr>
        <w:t xml:space="preserve"> </w:t>
      </w:r>
      <w:r w:rsidR="005B2E02" w:rsidRPr="000722B4">
        <w:rPr>
          <w:rFonts w:cs="Arial"/>
          <w:szCs w:val="26"/>
        </w:rPr>
        <w:t>Beneficence can be personal and may differ between individuals. In qualitative research participants may not directly benefit from their involvement in a research study but participants may experience a cathartic effect from telling and having their story heard.</w:t>
      </w:r>
      <w:r w:rsidR="005B2E02" w:rsidRPr="000722B4">
        <w:rPr>
          <w:rFonts w:cs="Arial"/>
          <w:szCs w:val="26"/>
          <w:vertAlign w:val="superscript"/>
        </w:rPr>
        <w:footnoteReference w:id="69"/>
      </w:r>
    </w:p>
    <w:p w14:paraId="38A6557E" w14:textId="0605343F" w:rsidR="0025449A" w:rsidRPr="000722B4" w:rsidRDefault="0025449A" w:rsidP="00301BA0">
      <w:pPr>
        <w:spacing w:line="360" w:lineRule="auto"/>
        <w:rPr>
          <w:rFonts w:cs="Arial"/>
          <w:szCs w:val="26"/>
          <w:lang w:val="en-GB"/>
        </w:rPr>
      </w:pPr>
      <w:r>
        <w:rPr>
          <w:rFonts w:cs="Arial"/>
          <w:szCs w:val="26"/>
        </w:rPr>
        <w:t>Re</w:t>
      </w:r>
      <w:r w:rsidRPr="000722B4">
        <w:rPr>
          <w:rFonts w:cs="Arial"/>
          <w:szCs w:val="26"/>
        </w:rPr>
        <w:t xml:space="preserve">searchers </w:t>
      </w:r>
      <w:r>
        <w:rPr>
          <w:rFonts w:cs="Arial"/>
          <w:szCs w:val="26"/>
        </w:rPr>
        <w:t xml:space="preserve">can </w:t>
      </w:r>
      <w:r w:rsidRPr="000722B4">
        <w:rPr>
          <w:rFonts w:cs="Arial"/>
          <w:szCs w:val="26"/>
        </w:rPr>
        <w:t>consider and articulate potential and perceived benefits and risks and plan how to support research participants before, during and after engaging with them</w:t>
      </w:r>
      <w:r>
        <w:rPr>
          <w:rFonts w:cs="Arial"/>
          <w:szCs w:val="26"/>
        </w:rPr>
        <w:t xml:space="preserve"> in the research process</w:t>
      </w:r>
      <w:r w:rsidRPr="000722B4">
        <w:rPr>
          <w:rFonts w:cs="Arial"/>
          <w:szCs w:val="26"/>
        </w:rPr>
        <w:t>.</w:t>
      </w:r>
      <w:r w:rsidRPr="000722B4">
        <w:rPr>
          <w:rFonts w:cs="Arial"/>
          <w:szCs w:val="26"/>
          <w:vertAlign w:val="superscript"/>
        </w:rPr>
        <w:footnoteReference w:id="70"/>
      </w:r>
      <w:r w:rsidRPr="000722B4">
        <w:rPr>
          <w:rFonts w:cs="Arial"/>
          <w:szCs w:val="26"/>
        </w:rPr>
        <w:t xml:space="preserve"> </w:t>
      </w:r>
      <w:r w:rsidRPr="000722B4">
        <w:rPr>
          <w:rFonts w:cs="Arial"/>
          <w:szCs w:val="26"/>
          <w:lang w:val="en-GB"/>
        </w:rPr>
        <w:t xml:space="preserve">Research risks need to be assessed with respect to their physical, social, and psychological effects on participants. </w:t>
      </w:r>
      <w:r w:rsidRPr="000722B4">
        <w:rPr>
          <w:rFonts w:cs="Arial"/>
          <w:szCs w:val="26"/>
        </w:rPr>
        <w:t>Risks should be commensurate with the expectation of benefit to participants, or the importance of the area being explored.</w:t>
      </w:r>
      <w:r w:rsidRPr="000722B4">
        <w:rPr>
          <w:rFonts w:cs="Arial"/>
          <w:szCs w:val="26"/>
          <w:lang w:val="en-GB"/>
        </w:rPr>
        <w:t xml:space="preserve"> All research should conform to legal obligations. </w:t>
      </w:r>
    </w:p>
    <w:p w14:paraId="602A8828" w14:textId="77777777" w:rsidR="0025449A" w:rsidRPr="000722B4" w:rsidRDefault="0025449A" w:rsidP="00301BA0">
      <w:pPr>
        <w:spacing w:line="360" w:lineRule="auto"/>
        <w:rPr>
          <w:rFonts w:cs="Arial"/>
          <w:szCs w:val="26"/>
          <w:lang w:val="en-GB"/>
        </w:rPr>
      </w:pPr>
      <w:r w:rsidRPr="000722B4">
        <w:rPr>
          <w:rFonts w:cs="Arial"/>
          <w:szCs w:val="26"/>
          <w:lang w:val="en-GB"/>
        </w:rPr>
        <w:t>Possible sources of harm include:</w:t>
      </w:r>
    </w:p>
    <w:p w14:paraId="5AB64803"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t>Any breach of confidentiality</w:t>
      </w:r>
    </w:p>
    <w:p w14:paraId="1DF580FF"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t xml:space="preserve">Coercion or manipulation to participate in </w:t>
      </w:r>
      <w:proofErr w:type="gramStart"/>
      <w:r w:rsidRPr="000722B4">
        <w:rPr>
          <w:rFonts w:cs="Arial"/>
          <w:szCs w:val="26"/>
          <w:lang w:val="en-GB"/>
        </w:rPr>
        <w:t>research</w:t>
      </w:r>
      <w:proofErr w:type="gramEnd"/>
    </w:p>
    <w:p w14:paraId="6E626B4F"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t xml:space="preserve">Drugs or invasive procedures in clinical trials </w:t>
      </w:r>
    </w:p>
    <w:p w14:paraId="50BBAA23"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t>Disruption of the relationship between individuals and their carer(s)</w:t>
      </w:r>
    </w:p>
    <w:p w14:paraId="4A7AE50B"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t xml:space="preserve">The nature of the interaction between researcher and participants </w:t>
      </w:r>
    </w:p>
    <w:p w14:paraId="67B1B926" w14:textId="10082370" w:rsidR="0025449A" w:rsidRPr="000722B4" w:rsidRDefault="0025449A" w:rsidP="00671DD9">
      <w:pPr>
        <w:numPr>
          <w:ilvl w:val="0"/>
          <w:numId w:val="16"/>
        </w:numPr>
        <w:ind w:left="714" w:hanging="357"/>
        <w:rPr>
          <w:rFonts w:cs="Arial"/>
          <w:szCs w:val="26"/>
          <w:lang w:val="en-GB"/>
        </w:rPr>
      </w:pPr>
      <w:r w:rsidRPr="000722B4">
        <w:rPr>
          <w:rFonts w:cs="Arial"/>
          <w:szCs w:val="26"/>
          <w:lang w:val="en-GB"/>
        </w:rPr>
        <w:t>In-depth interviewing</w:t>
      </w:r>
      <w:r w:rsidR="00672593">
        <w:rPr>
          <w:rFonts w:cs="Arial"/>
          <w:szCs w:val="26"/>
          <w:lang w:val="en-GB"/>
        </w:rPr>
        <w:t xml:space="preserve"> about intrusive topics</w:t>
      </w:r>
      <w:r w:rsidRPr="000722B4">
        <w:rPr>
          <w:rFonts w:cs="Arial"/>
          <w:szCs w:val="26"/>
          <w:lang w:val="en-GB"/>
        </w:rPr>
        <w:t xml:space="preserve">, which may bring up traumatic </w:t>
      </w:r>
      <w:proofErr w:type="gramStart"/>
      <w:r w:rsidRPr="000722B4">
        <w:rPr>
          <w:rFonts w:cs="Arial"/>
          <w:szCs w:val="26"/>
          <w:lang w:val="en-GB"/>
        </w:rPr>
        <w:t>memories</w:t>
      </w:r>
      <w:proofErr w:type="gramEnd"/>
    </w:p>
    <w:p w14:paraId="2818E510" w14:textId="77777777" w:rsidR="0025449A" w:rsidRPr="000722B4" w:rsidRDefault="0025449A" w:rsidP="00671DD9">
      <w:pPr>
        <w:numPr>
          <w:ilvl w:val="0"/>
          <w:numId w:val="16"/>
        </w:numPr>
        <w:ind w:left="714" w:hanging="357"/>
        <w:rPr>
          <w:rFonts w:cs="Arial"/>
          <w:szCs w:val="26"/>
          <w:lang w:val="en-GB"/>
        </w:rPr>
      </w:pPr>
      <w:r w:rsidRPr="000722B4">
        <w:rPr>
          <w:rFonts w:cs="Arial"/>
          <w:szCs w:val="26"/>
          <w:lang w:val="en-GB"/>
        </w:rPr>
        <w:lastRenderedPageBreak/>
        <w:t xml:space="preserve">Research methods such as participant observation. </w:t>
      </w:r>
    </w:p>
    <w:p w14:paraId="552735C9" w14:textId="0B2FDD5E" w:rsidR="008234F7" w:rsidRDefault="005B2E02" w:rsidP="008234F7">
      <w:pPr>
        <w:spacing w:line="360" w:lineRule="auto"/>
        <w:rPr>
          <w:lang w:val="en-GB"/>
        </w:rPr>
      </w:pPr>
      <w:r>
        <w:rPr>
          <w:rFonts w:cs="Arial"/>
          <w:szCs w:val="26"/>
        </w:rPr>
        <w:t xml:space="preserve">Research </w:t>
      </w:r>
      <w:r w:rsidR="000722B4" w:rsidRPr="000722B4">
        <w:rPr>
          <w:rFonts w:cs="Arial"/>
          <w:szCs w:val="26"/>
        </w:rPr>
        <w:t xml:space="preserve">that </w:t>
      </w:r>
      <w:r w:rsidR="000722B4" w:rsidRPr="000722B4">
        <w:rPr>
          <w:lang w:val="en-GB"/>
        </w:rPr>
        <w:t>analysed reactions to research participation, personal benefits, perceived drawbacks, and emotional reactions concluded that: ‘if research is carried out in a respectful and private manner with a clearly communicated and reasonable goal, participants’ expressed emotion or distress may not undermine their assessment of the potential costs and benefits of participation’.</w:t>
      </w:r>
      <w:r w:rsidR="00793FC9">
        <w:rPr>
          <w:rStyle w:val="FootnoteReference"/>
          <w:lang w:val="en-GB"/>
        </w:rPr>
        <w:footnoteReference w:id="71"/>
      </w:r>
      <w:r w:rsidR="000722B4" w:rsidRPr="000722B4">
        <w:rPr>
          <w:lang w:val="en-GB"/>
        </w:rPr>
        <w:t xml:space="preserve"> </w:t>
      </w:r>
      <w:r w:rsidR="00507983">
        <w:rPr>
          <w:lang w:val="en-GB"/>
        </w:rPr>
        <w:t>O</w:t>
      </w:r>
      <w:r w:rsidR="008234F7">
        <w:rPr>
          <w:lang w:val="en-GB"/>
        </w:rPr>
        <w:t xml:space="preserve">ther </w:t>
      </w:r>
      <w:r>
        <w:rPr>
          <w:lang w:val="en-GB"/>
        </w:rPr>
        <w:t xml:space="preserve">research </w:t>
      </w:r>
      <w:r w:rsidR="008234F7">
        <w:rPr>
          <w:lang w:val="en-GB"/>
        </w:rPr>
        <w:t xml:space="preserve">on participant experience stressed </w:t>
      </w:r>
      <w:r w:rsidR="00507983">
        <w:rPr>
          <w:lang w:val="en-GB"/>
        </w:rPr>
        <w:t xml:space="preserve">several </w:t>
      </w:r>
      <w:r w:rsidR="008234F7">
        <w:rPr>
          <w:lang w:val="en-GB"/>
        </w:rPr>
        <w:t xml:space="preserve">elements, which can improve the quality of the research </w:t>
      </w:r>
      <w:r w:rsidR="00463B8E">
        <w:rPr>
          <w:lang w:val="en-GB"/>
        </w:rPr>
        <w:t xml:space="preserve">experience </w:t>
      </w:r>
      <w:r w:rsidR="008234F7">
        <w:rPr>
          <w:lang w:val="en-GB"/>
        </w:rPr>
        <w:t xml:space="preserve">and care </w:t>
      </w:r>
      <w:r w:rsidR="00507983">
        <w:rPr>
          <w:lang w:val="en-GB"/>
        </w:rPr>
        <w:t xml:space="preserve">of </w:t>
      </w:r>
      <w:r w:rsidR="008234F7">
        <w:rPr>
          <w:lang w:val="en-GB"/>
        </w:rPr>
        <w:t>participants</w:t>
      </w:r>
      <w:r w:rsidR="00463B8E">
        <w:rPr>
          <w:lang w:val="en-GB"/>
        </w:rPr>
        <w:t xml:space="preserve"> as well as </w:t>
      </w:r>
      <w:r w:rsidR="00507983">
        <w:rPr>
          <w:lang w:val="en-GB"/>
        </w:rPr>
        <w:t xml:space="preserve">potentially improving </w:t>
      </w:r>
      <w:r w:rsidR="00463B8E">
        <w:rPr>
          <w:lang w:val="en-GB"/>
        </w:rPr>
        <w:t xml:space="preserve">the </w:t>
      </w:r>
      <w:r w:rsidR="00507983">
        <w:rPr>
          <w:lang w:val="en-GB"/>
        </w:rPr>
        <w:t xml:space="preserve">quality of the </w:t>
      </w:r>
      <w:r w:rsidR="00463B8E">
        <w:rPr>
          <w:lang w:val="en-GB"/>
        </w:rPr>
        <w:t>research</w:t>
      </w:r>
      <w:r w:rsidR="00507983">
        <w:rPr>
          <w:lang w:val="en-GB"/>
        </w:rPr>
        <w:t xml:space="preserve"> findings</w:t>
      </w:r>
      <w:r w:rsidR="008234F7">
        <w:rPr>
          <w:lang w:val="en-GB"/>
        </w:rPr>
        <w:t>:</w:t>
      </w:r>
      <w:r w:rsidR="008234F7" w:rsidRPr="00316CA4">
        <w:rPr>
          <w:rStyle w:val="FootnoteReference"/>
          <w:lang w:val="en-GB"/>
        </w:rPr>
        <w:t xml:space="preserve"> </w:t>
      </w:r>
      <w:r w:rsidR="008234F7">
        <w:rPr>
          <w:rStyle w:val="FootnoteReference"/>
          <w:lang w:val="en-GB"/>
        </w:rPr>
        <w:footnoteReference w:id="72"/>
      </w:r>
    </w:p>
    <w:p w14:paraId="5C474A7E" w14:textId="2912F5D7" w:rsidR="008234F7" w:rsidRDefault="008234F7" w:rsidP="00AC7513">
      <w:pPr>
        <w:pStyle w:val="ListParagraph"/>
        <w:numPr>
          <w:ilvl w:val="0"/>
          <w:numId w:val="31"/>
        </w:numPr>
        <w:spacing w:line="360" w:lineRule="auto"/>
      </w:pPr>
      <w:r w:rsidRPr="00316CA4">
        <w:rPr>
          <w:lang w:val="en-GB"/>
        </w:rPr>
        <w:t xml:space="preserve">Interviewers play a critical role in whether participants </w:t>
      </w:r>
      <w:r w:rsidR="00F750F2">
        <w:rPr>
          <w:lang w:val="en-GB"/>
        </w:rPr>
        <w:t>are happy with</w:t>
      </w:r>
      <w:r w:rsidRPr="00316CA4">
        <w:rPr>
          <w:lang w:val="en-GB"/>
        </w:rPr>
        <w:t xml:space="preserve"> participation</w:t>
      </w:r>
      <w:r>
        <w:rPr>
          <w:lang w:val="en-GB"/>
        </w:rPr>
        <w:t>,</w:t>
      </w:r>
      <w:r w:rsidRPr="00316CA4">
        <w:rPr>
          <w:lang w:val="en-GB"/>
        </w:rPr>
        <w:t xml:space="preserve"> and </w:t>
      </w:r>
      <w:r>
        <w:t xml:space="preserve">this </w:t>
      </w:r>
      <w:r w:rsidRPr="000722B4">
        <w:t xml:space="preserve">has implications for who should carry out interviews and how they should be trained and supported. </w:t>
      </w:r>
    </w:p>
    <w:p w14:paraId="741EC883" w14:textId="77777777" w:rsidR="005B2E02" w:rsidRPr="005B2E02" w:rsidRDefault="008234F7" w:rsidP="00AC7513">
      <w:pPr>
        <w:pStyle w:val="ListParagraph"/>
        <w:numPr>
          <w:ilvl w:val="0"/>
          <w:numId w:val="31"/>
        </w:numPr>
        <w:spacing w:line="360" w:lineRule="auto"/>
        <w:rPr>
          <w:rFonts w:cs="Arial"/>
          <w:szCs w:val="26"/>
        </w:rPr>
      </w:pPr>
      <w:r w:rsidRPr="005B2E02">
        <w:rPr>
          <w:lang w:val="en-GB"/>
        </w:rPr>
        <w:t>Voluntariness in participation and being mentally prepared for research interview</w:t>
      </w:r>
      <w:r w:rsidR="005B2E02" w:rsidRPr="005B2E02">
        <w:rPr>
          <w:lang w:val="en-GB"/>
        </w:rPr>
        <w:t>s</w:t>
      </w:r>
      <w:r w:rsidRPr="005B2E02">
        <w:rPr>
          <w:lang w:val="en-GB"/>
        </w:rPr>
        <w:t xml:space="preserve"> is particularly important when topics are sensitive</w:t>
      </w:r>
      <w:r w:rsidR="005B2E02" w:rsidRPr="005B2E02">
        <w:rPr>
          <w:lang w:val="en-GB"/>
        </w:rPr>
        <w:t xml:space="preserve"> ones</w:t>
      </w:r>
      <w:r w:rsidR="005B2E02">
        <w:rPr>
          <w:lang w:val="en-GB"/>
        </w:rPr>
        <w:t>.</w:t>
      </w:r>
      <w:r w:rsidRPr="005B2E02">
        <w:rPr>
          <w:lang w:val="en-GB"/>
        </w:rPr>
        <w:t xml:space="preserve"> </w:t>
      </w:r>
    </w:p>
    <w:p w14:paraId="3601A1E2" w14:textId="754B2EE8" w:rsidR="008234F7" w:rsidRPr="005B2E02" w:rsidRDefault="005B2E02" w:rsidP="00AC7513">
      <w:pPr>
        <w:pStyle w:val="ListParagraph"/>
        <w:numPr>
          <w:ilvl w:val="0"/>
          <w:numId w:val="31"/>
        </w:numPr>
        <w:spacing w:line="360" w:lineRule="auto"/>
        <w:rPr>
          <w:rFonts w:cs="Arial"/>
          <w:szCs w:val="26"/>
        </w:rPr>
      </w:pPr>
      <w:r>
        <w:t>H</w:t>
      </w:r>
      <w:r w:rsidR="008234F7" w:rsidRPr="008234F7">
        <w:t xml:space="preserve">aving scope for self-expression and </w:t>
      </w:r>
      <w:r w:rsidR="008234F7">
        <w:t xml:space="preserve">being able </w:t>
      </w:r>
      <w:r w:rsidR="008234F7" w:rsidRPr="008234F7">
        <w:t>to withhold information when they d</w:t>
      </w:r>
      <w:r>
        <w:t>o not</w:t>
      </w:r>
      <w:r w:rsidR="008234F7" w:rsidRPr="008234F7">
        <w:t xml:space="preserve"> want to share it.</w:t>
      </w:r>
    </w:p>
    <w:p w14:paraId="0BE38640" w14:textId="3BCFB171" w:rsidR="008234F7" w:rsidRDefault="008234F7" w:rsidP="00AC7513">
      <w:pPr>
        <w:pStyle w:val="ListParagraph"/>
        <w:numPr>
          <w:ilvl w:val="0"/>
          <w:numId w:val="31"/>
        </w:numPr>
        <w:spacing w:line="360" w:lineRule="auto"/>
        <w:rPr>
          <w:rFonts w:cs="Arial"/>
          <w:szCs w:val="26"/>
        </w:rPr>
      </w:pPr>
      <w:r>
        <w:rPr>
          <w:rFonts w:cs="Arial"/>
          <w:szCs w:val="26"/>
        </w:rPr>
        <w:t xml:space="preserve">Knowing that findings </w:t>
      </w:r>
      <w:r w:rsidR="005B2E02">
        <w:rPr>
          <w:rFonts w:cs="Arial"/>
          <w:szCs w:val="26"/>
        </w:rPr>
        <w:t xml:space="preserve">from the research </w:t>
      </w:r>
      <w:r>
        <w:rPr>
          <w:rFonts w:cs="Arial"/>
          <w:szCs w:val="26"/>
        </w:rPr>
        <w:t>are</w:t>
      </w:r>
      <w:r w:rsidR="005B2E02">
        <w:rPr>
          <w:rFonts w:cs="Arial"/>
          <w:szCs w:val="26"/>
        </w:rPr>
        <w:t xml:space="preserve"> </w:t>
      </w:r>
      <w:r>
        <w:rPr>
          <w:rFonts w:cs="Arial"/>
          <w:szCs w:val="26"/>
        </w:rPr>
        <w:t xml:space="preserve">used and receiving feedback on research results. </w:t>
      </w:r>
    </w:p>
    <w:p w14:paraId="7DB8B1AD" w14:textId="160DF973" w:rsidR="008234F7" w:rsidRPr="005B2E02" w:rsidRDefault="008234F7" w:rsidP="00AC7513">
      <w:pPr>
        <w:pStyle w:val="ListParagraph"/>
        <w:numPr>
          <w:ilvl w:val="0"/>
          <w:numId w:val="31"/>
        </w:numPr>
        <w:spacing w:line="360" w:lineRule="auto"/>
        <w:rPr>
          <w:rFonts w:cs="Arial"/>
          <w:szCs w:val="26"/>
        </w:rPr>
      </w:pPr>
      <w:r>
        <w:t>T</w:t>
      </w:r>
      <w:r w:rsidRPr="000722B4">
        <w:t xml:space="preserve">rust </w:t>
      </w:r>
      <w:r w:rsidR="005B2E02">
        <w:t xml:space="preserve">and confidentiality are </w:t>
      </w:r>
      <w:r>
        <w:t>crucial</w:t>
      </w:r>
      <w:r w:rsidR="005B2E02">
        <w:t xml:space="preserve">. </w:t>
      </w:r>
      <w:r w:rsidRPr="000722B4">
        <w:t xml:space="preserve">Understanding of confidentiality </w:t>
      </w:r>
      <w:r>
        <w:t xml:space="preserve">can vary </w:t>
      </w:r>
      <w:r w:rsidRPr="000722B4">
        <w:t xml:space="preserve">and participants </w:t>
      </w:r>
      <w:r w:rsidR="00463B8E">
        <w:t xml:space="preserve">do not often </w:t>
      </w:r>
      <w:r w:rsidRPr="000722B4">
        <w:t xml:space="preserve">assess what they are told questioningly. The </w:t>
      </w:r>
      <w:r>
        <w:t>research</w:t>
      </w:r>
      <w:r w:rsidRPr="000722B4">
        <w:t xml:space="preserve"> suggests a need for </w:t>
      </w:r>
      <w:r>
        <w:t xml:space="preserve">giving potential participants </w:t>
      </w:r>
      <w:r w:rsidRPr="000722B4">
        <w:t>more information, both before and after the interview</w:t>
      </w:r>
      <w:r>
        <w:t xml:space="preserve">. </w:t>
      </w:r>
      <w:r w:rsidR="00463B8E">
        <w:t xml:space="preserve">As </w:t>
      </w:r>
      <w:r w:rsidRPr="008234F7">
        <w:t>research is unfamiliar</w:t>
      </w:r>
      <w:r w:rsidR="00463B8E">
        <w:t xml:space="preserve"> </w:t>
      </w:r>
      <w:r w:rsidR="00463B8E">
        <w:lastRenderedPageBreak/>
        <w:t>to most potential participants</w:t>
      </w:r>
      <w:r>
        <w:t>,</w:t>
      </w:r>
      <w:r w:rsidRPr="008234F7">
        <w:t xml:space="preserve"> there is scope to encourage </w:t>
      </w:r>
      <w:r w:rsidR="00463B8E">
        <w:t xml:space="preserve">them to </w:t>
      </w:r>
      <w:r w:rsidRPr="008234F7">
        <w:t xml:space="preserve">learn </w:t>
      </w:r>
      <w:r w:rsidR="00671DD9">
        <w:t xml:space="preserve">                                                                   </w:t>
      </w:r>
      <w:r w:rsidRPr="008234F7">
        <w:t>more about it.</w:t>
      </w:r>
    </w:p>
    <w:p w14:paraId="3C40FA48" w14:textId="1F45740A" w:rsidR="005B2E02" w:rsidRDefault="005B2E02" w:rsidP="00301BA0">
      <w:pPr>
        <w:spacing w:line="360" w:lineRule="auto"/>
        <w:rPr>
          <w:rFonts w:cs="Arial"/>
          <w:bCs/>
          <w:szCs w:val="26"/>
          <w:lang w:val="en-GB"/>
        </w:rPr>
      </w:pPr>
      <w:r>
        <w:rPr>
          <w:rFonts w:cs="Arial"/>
          <w:bCs/>
          <w:szCs w:val="26"/>
          <w:lang w:val="en-GB"/>
        </w:rPr>
        <w:t>The following are important considerations for researchers:</w:t>
      </w:r>
    </w:p>
    <w:p w14:paraId="1C7F8B11" w14:textId="77777777" w:rsidR="005B2E02" w:rsidRPr="005B2E02" w:rsidRDefault="000722B4" w:rsidP="00AC7513">
      <w:pPr>
        <w:pStyle w:val="ListParagraph"/>
        <w:numPr>
          <w:ilvl w:val="0"/>
          <w:numId w:val="32"/>
        </w:numPr>
        <w:spacing w:line="360" w:lineRule="auto"/>
        <w:rPr>
          <w:rFonts w:cs="Arial"/>
          <w:bCs/>
          <w:szCs w:val="26"/>
          <w:lang w:val="en-GB"/>
        </w:rPr>
      </w:pPr>
      <w:r w:rsidRPr="005B2E02">
        <w:rPr>
          <w:rFonts w:cs="Arial"/>
          <w:bCs/>
          <w:szCs w:val="26"/>
          <w:lang w:val="en-GB"/>
        </w:rPr>
        <w:t xml:space="preserve">It is always unethical to place </w:t>
      </w:r>
      <w:r w:rsidR="00CD0BD1" w:rsidRPr="005B2E02">
        <w:rPr>
          <w:rFonts w:cs="Arial"/>
          <w:bCs/>
          <w:szCs w:val="26"/>
          <w:lang w:val="en-GB"/>
        </w:rPr>
        <w:t xml:space="preserve">weighty </w:t>
      </w:r>
      <w:r w:rsidRPr="005B2E02">
        <w:rPr>
          <w:rFonts w:cs="Arial"/>
          <w:szCs w:val="26"/>
        </w:rPr>
        <w:t>physical, emotional, or psychological demands on participants</w:t>
      </w:r>
      <w:r w:rsidR="00CD0BD1" w:rsidRPr="005B2E02">
        <w:rPr>
          <w:rFonts w:cs="Arial"/>
          <w:szCs w:val="26"/>
        </w:rPr>
        <w:t>,</w:t>
      </w:r>
      <w:r w:rsidRPr="000722B4">
        <w:rPr>
          <w:vertAlign w:val="superscript"/>
        </w:rPr>
        <w:footnoteReference w:id="73"/>
      </w:r>
      <w:r w:rsidRPr="005B2E02">
        <w:rPr>
          <w:rFonts w:cs="Arial"/>
          <w:szCs w:val="26"/>
        </w:rPr>
        <w:t xml:space="preserve"> </w:t>
      </w:r>
      <w:r w:rsidR="00CD0BD1" w:rsidRPr="005B2E02">
        <w:rPr>
          <w:rFonts w:cs="Arial"/>
          <w:bCs/>
          <w:szCs w:val="26"/>
          <w:lang w:val="en-GB"/>
        </w:rPr>
        <w:t>or to use a</w:t>
      </w:r>
      <w:r w:rsidRPr="005B2E02">
        <w:rPr>
          <w:rFonts w:cs="Arial"/>
          <w:bCs/>
          <w:szCs w:val="26"/>
          <w:lang w:val="en-GB"/>
        </w:rPr>
        <w:t>ny form of coercion, manipulation, or undue influence to participate in research.</w:t>
      </w:r>
      <w:r w:rsidRPr="005B2E02">
        <w:rPr>
          <w:rFonts w:cs="Arial"/>
          <w:szCs w:val="26"/>
          <w:lang w:val="en-GB"/>
        </w:rPr>
        <w:t xml:space="preserve"> </w:t>
      </w:r>
      <w:r w:rsidR="005B2E02" w:rsidRPr="005B2E02">
        <w:rPr>
          <w:rFonts w:cs="Arial"/>
          <w:bCs/>
          <w:szCs w:val="26"/>
        </w:rPr>
        <w:t>While physical harm is likely to be recognised and therefore avoided or diminished, emotional, social, or economic factors may be less apparent</w:t>
      </w:r>
      <w:r w:rsidR="005B2E02" w:rsidRPr="005B2E02">
        <w:rPr>
          <w:rFonts w:cs="Arial"/>
          <w:bCs/>
          <w:szCs w:val="26"/>
          <w:lang w:val="en-GB"/>
        </w:rPr>
        <w:t xml:space="preserve">. </w:t>
      </w:r>
    </w:p>
    <w:p w14:paraId="32D0DB7C" w14:textId="2F629D81" w:rsidR="005B2E02" w:rsidRDefault="00AC7513" w:rsidP="00AC7513">
      <w:pPr>
        <w:pStyle w:val="ListParagraph"/>
        <w:numPr>
          <w:ilvl w:val="0"/>
          <w:numId w:val="32"/>
        </w:numPr>
        <w:spacing w:line="360" w:lineRule="auto"/>
        <w:rPr>
          <w:rFonts w:cs="Arial"/>
          <w:szCs w:val="26"/>
          <w:lang w:val="en-GB"/>
        </w:rPr>
      </w:pPr>
      <w:r w:rsidRPr="005B2E02">
        <w:rPr>
          <w:rFonts w:cs="Arial"/>
          <w:bCs/>
          <w:szCs w:val="26"/>
          <w:lang w:val="en-GB"/>
        </w:rPr>
        <w:t>The researcher must avoid pressurising participants and manage suggestibility and compliance in research participants. It is important for researchers not to overstate the potential benefits of the research.</w:t>
      </w:r>
      <w:r w:rsidRPr="000722B4">
        <w:rPr>
          <w:rFonts w:cs="Arial"/>
          <w:bCs/>
          <w:szCs w:val="26"/>
          <w:vertAlign w:val="superscript"/>
          <w:lang w:val="en-GB"/>
        </w:rPr>
        <w:footnoteReference w:id="74"/>
      </w:r>
      <w:r w:rsidRPr="005B2E02">
        <w:rPr>
          <w:rFonts w:cs="Arial"/>
          <w:bCs/>
          <w:szCs w:val="26"/>
          <w:lang w:val="en-GB"/>
        </w:rPr>
        <w:t xml:space="preserve"> </w:t>
      </w:r>
      <w:r w:rsidRPr="005B2E02">
        <w:rPr>
          <w:rFonts w:cs="Arial"/>
          <w:szCs w:val="26"/>
        </w:rPr>
        <w:t>Some participants may overestimate the benefits of taking part in experimental treatments seeing it as a chance to gain access to better services and supports.</w:t>
      </w:r>
      <w:r w:rsidRPr="000722B4">
        <w:rPr>
          <w:rFonts w:cs="Arial"/>
          <w:szCs w:val="26"/>
          <w:vertAlign w:val="superscript"/>
        </w:rPr>
        <w:footnoteReference w:id="75"/>
      </w:r>
    </w:p>
    <w:p w14:paraId="26B60EDF" w14:textId="4B3E49F7" w:rsidR="00AC7513" w:rsidRPr="00AC7513" w:rsidRDefault="00AC7513" w:rsidP="00AC7513">
      <w:pPr>
        <w:pStyle w:val="ListParagraph"/>
        <w:numPr>
          <w:ilvl w:val="0"/>
          <w:numId w:val="32"/>
        </w:numPr>
        <w:spacing w:line="360" w:lineRule="auto"/>
        <w:rPr>
          <w:rFonts w:cs="Arial"/>
          <w:bCs/>
          <w:szCs w:val="26"/>
          <w:lang w:val="en-GB"/>
        </w:rPr>
      </w:pPr>
      <w:r w:rsidRPr="002524E5">
        <w:t xml:space="preserve">All people </w:t>
      </w:r>
      <w:r>
        <w:t xml:space="preserve">are at </w:t>
      </w:r>
      <w:r w:rsidRPr="002524E5">
        <w:t xml:space="preserve">risk </w:t>
      </w:r>
      <w:r>
        <w:t xml:space="preserve">of </w:t>
      </w:r>
      <w:r w:rsidRPr="002524E5">
        <w:t>being subject to undue influence</w:t>
      </w:r>
      <w:r w:rsidR="00C37488">
        <w:rPr>
          <w:rStyle w:val="FootnoteReference"/>
        </w:rPr>
        <w:footnoteReference w:id="76"/>
      </w:r>
      <w:r>
        <w:t xml:space="preserve">, but </w:t>
      </w:r>
      <w:r w:rsidRPr="002524E5">
        <w:t xml:space="preserve">this risk may be exacerbated for those who rely on the support of others to make decisions. </w:t>
      </w:r>
      <w:r w:rsidRPr="005B2E02">
        <w:rPr>
          <w:rFonts w:cs="Arial"/>
          <w:szCs w:val="26"/>
          <w:lang w:val="en-GB"/>
        </w:rPr>
        <w:t>Researchers should take steps to satisfy themselves that there would be no negative consequences for those who choose not to participate, and that this fact is communicated in a credible way to potential participants.</w:t>
      </w:r>
    </w:p>
    <w:p w14:paraId="73A6BE27" w14:textId="30F87EC9" w:rsidR="00AC7513" w:rsidRPr="00AC7513" w:rsidRDefault="00AC7513" w:rsidP="00AC7513">
      <w:pPr>
        <w:pStyle w:val="ListParagraph"/>
        <w:numPr>
          <w:ilvl w:val="0"/>
          <w:numId w:val="32"/>
        </w:numPr>
        <w:spacing w:line="360" w:lineRule="auto"/>
      </w:pPr>
      <w:r w:rsidRPr="005B2E02">
        <w:rPr>
          <w:rFonts w:cs="Arial"/>
          <w:szCs w:val="26"/>
          <w:lang w:val="en-GB"/>
        </w:rPr>
        <w:lastRenderedPageBreak/>
        <w:t xml:space="preserve">Care needs to be exercised in situations where disabled persons might feel more pressurised to participate, for example, when carers or service-providers are used to recruit research participants. This carries a risk that disabled persons may think that there might be negative consequences in terms of their care or support if they declined to participate. Thus, special caution needs to be taken when recruiting research participants </w:t>
      </w:r>
      <w:r w:rsidR="00100DB6">
        <w:rPr>
          <w:rFonts w:cs="Arial"/>
          <w:szCs w:val="26"/>
        </w:rPr>
        <w:t>d</w:t>
      </w:r>
      <w:r w:rsidR="00100DB6" w:rsidRPr="00100DB6">
        <w:rPr>
          <w:rFonts w:cs="Arial"/>
          <w:szCs w:val="26"/>
        </w:rPr>
        <w:t>ependant on care related to the research topic</w:t>
      </w:r>
      <w:r w:rsidR="00100DB6" w:rsidRPr="00100DB6">
        <w:rPr>
          <w:rFonts w:cs="Arial"/>
          <w:szCs w:val="26"/>
          <w:lang w:val="en-GB"/>
        </w:rPr>
        <w:t xml:space="preserve"> </w:t>
      </w:r>
      <w:r w:rsidRPr="005B2E02">
        <w:rPr>
          <w:rFonts w:cs="Arial"/>
          <w:szCs w:val="26"/>
          <w:lang w:val="en-GB"/>
        </w:rPr>
        <w:t xml:space="preserve">and conducting research in such settings or where advocates, interpreters, proxies, or </w:t>
      </w:r>
      <w:r w:rsidRPr="005B2E02">
        <w:rPr>
          <w:rFonts w:cs="Arial"/>
          <w:szCs w:val="26"/>
          <w:lang w:val="x-none"/>
        </w:rPr>
        <w:t>communication assistants</w:t>
      </w:r>
      <w:r w:rsidRPr="005B2E02">
        <w:rPr>
          <w:rFonts w:cs="Arial"/>
          <w:szCs w:val="26"/>
        </w:rPr>
        <w:t xml:space="preserve"> </w:t>
      </w:r>
      <w:r w:rsidR="00BF03FA">
        <w:rPr>
          <w:rFonts w:cs="Arial"/>
          <w:szCs w:val="26"/>
        </w:rPr>
        <w:t>c</w:t>
      </w:r>
      <w:r w:rsidR="00BF03FA" w:rsidRPr="00BF03FA">
        <w:rPr>
          <w:rFonts w:cs="Arial"/>
          <w:szCs w:val="26"/>
        </w:rPr>
        <w:t xml:space="preserve">ontribute to </w:t>
      </w:r>
      <w:r w:rsidRPr="005B2E02">
        <w:rPr>
          <w:rFonts w:cs="Arial"/>
          <w:szCs w:val="26"/>
          <w:lang w:val="en-GB"/>
        </w:rPr>
        <w:t xml:space="preserve">data collection or interviews. </w:t>
      </w:r>
    </w:p>
    <w:p w14:paraId="5A3CFE3E" w14:textId="51959CA1" w:rsidR="00AC7513" w:rsidRDefault="00AC7513" w:rsidP="00AC7513">
      <w:pPr>
        <w:pStyle w:val="ListParagraph"/>
        <w:numPr>
          <w:ilvl w:val="0"/>
          <w:numId w:val="32"/>
        </w:numPr>
        <w:spacing w:line="360" w:lineRule="auto"/>
      </w:pPr>
      <w:r>
        <w:t xml:space="preserve">Safeguards for the exercise of people’s legal capacity include protection against undue influence: however, such safeguards must also respect peoples’ rights, will and preferences, including the right to take risks and make mistakes.  </w:t>
      </w:r>
    </w:p>
    <w:p w14:paraId="13C30220" w14:textId="215C1FA5" w:rsidR="005B2E02" w:rsidRDefault="00B169A6" w:rsidP="00AC7513">
      <w:pPr>
        <w:pStyle w:val="ListParagraph"/>
        <w:numPr>
          <w:ilvl w:val="0"/>
          <w:numId w:val="32"/>
        </w:numPr>
        <w:spacing w:line="360" w:lineRule="auto"/>
        <w:rPr>
          <w:rFonts w:cs="Arial"/>
          <w:bCs/>
          <w:szCs w:val="26"/>
          <w:lang w:val="en-GB"/>
        </w:rPr>
      </w:pPr>
      <w:r w:rsidRPr="005B2E02">
        <w:rPr>
          <w:rFonts w:cs="Arial"/>
          <w:bCs/>
          <w:szCs w:val="26"/>
          <w:lang w:val="en-GB"/>
        </w:rPr>
        <w:t>The issue of making payments to participants above the costs of participation, such as transport and time costs, must be considered, as excessive incentives to participate can be coercive.</w:t>
      </w:r>
      <w:r w:rsidRPr="000722B4">
        <w:rPr>
          <w:rFonts w:cs="Arial"/>
          <w:bCs/>
          <w:szCs w:val="26"/>
          <w:vertAlign w:val="superscript"/>
          <w:lang w:val="en-GB"/>
        </w:rPr>
        <w:footnoteReference w:id="77"/>
      </w:r>
      <w:r w:rsidRPr="005B2E02">
        <w:rPr>
          <w:rFonts w:cs="Arial"/>
          <w:bCs/>
          <w:szCs w:val="26"/>
          <w:lang w:val="en-GB"/>
        </w:rPr>
        <w:t xml:space="preserve"> </w:t>
      </w:r>
      <w:r w:rsidR="003D195E" w:rsidRPr="005B2E02">
        <w:rPr>
          <w:rFonts w:cs="Arial"/>
          <w:bCs/>
          <w:szCs w:val="26"/>
          <w:lang w:val="en-GB"/>
        </w:rPr>
        <w:t>On the other hand, some</w:t>
      </w:r>
      <w:r w:rsidR="00F9410C" w:rsidRPr="005B2E02">
        <w:rPr>
          <w:rFonts w:cs="Arial"/>
          <w:bCs/>
          <w:szCs w:val="26"/>
          <w:lang w:val="en-GB"/>
        </w:rPr>
        <w:t xml:space="preserve"> researchers</w:t>
      </w:r>
      <w:r w:rsidR="003D195E" w:rsidRPr="005B2E02">
        <w:rPr>
          <w:rFonts w:cs="Arial"/>
          <w:bCs/>
          <w:szCs w:val="26"/>
          <w:lang w:val="en-GB"/>
        </w:rPr>
        <w:t xml:space="preserve"> pay disabled research participants as routine and consider non-payment as potentially disrespectful. </w:t>
      </w:r>
    </w:p>
    <w:p w14:paraId="7E9F9FAC" w14:textId="5D438E50" w:rsidR="000722B4" w:rsidRPr="00AC7513" w:rsidRDefault="00793FC9" w:rsidP="00AC7513">
      <w:pPr>
        <w:pStyle w:val="NormalAfterList"/>
        <w:spacing w:line="360" w:lineRule="auto"/>
      </w:pPr>
      <w:r w:rsidRPr="00AC7513">
        <w:t>To a</w:t>
      </w:r>
      <w:r w:rsidR="000722B4" w:rsidRPr="00AC7513">
        <w:t>pply and practic</w:t>
      </w:r>
      <w:r w:rsidRPr="00AC7513">
        <w:t>e</w:t>
      </w:r>
      <w:r w:rsidR="000722B4" w:rsidRPr="00AC7513">
        <w:t xml:space="preserve"> the principle of maximising benefits and doing no harm</w:t>
      </w:r>
      <w:r w:rsidRPr="00AC7513">
        <w:t>, t</w:t>
      </w:r>
      <w:r w:rsidR="000722B4" w:rsidRPr="00AC7513">
        <w:t xml:space="preserve">he following considerations on </w:t>
      </w:r>
      <w:r w:rsidR="003D195E" w:rsidRPr="00AC7513">
        <w:t xml:space="preserve">the need and potential benefits of </w:t>
      </w:r>
      <w:r w:rsidR="000722B4" w:rsidRPr="00AC7513">
        <w:t>research, methodology, finding</w:t>
      </w:r>
      <w:r w:rsidR="003D195E" w:rsidRPr="00AC7513">
        <w:t>s</w:t>
      </w:r>
      <w:r w:rsidR="000722B4" w:rsidRPr="00AC7513">
        <w:t xml:space="preserve"> etc., may be helpful for researchers and stakeholders including funders</w:t>
      </w:r>
      <w:r w:rsidR="00C37488">
        <w:t xml:space="preserve"> to review:</w:t>
      </w:r>
      <w:r w:rsidR="000722B4" w:rsidRPr="00AC7513">
        <w:t xml:space="preserve">  </w:t>
      </w:r>
    </w:p>
    <w:p w14:paraId="1B287AEE" w14:textId="52788BE3" w:rsidR="00120BC2" w:rsidRPr="000722B4" w:rsidRDefault="00A666E8" w:rsidP="00301BA0">
      <w:pPr>
        <w:pStyle w:val="Heading3"/>
        <w:spacing w:line="360" w:lineRule="auto"/>
      </w:pPr>
      <w:r>
        <w:lastRenderedPageBreak/>
        <w:t>3.2.2.</w:t>
      </w:r>
      <w:r>
        <w:tab/>
      </w:r>
      <w:r w:rsidR="00120BC2">
        <w:t>Justifying research</w:t>
      </w:r>
    </w:p>
    <w:p w14:paraId="5D0728D5" w14:textId="77777777" w:rsidR="001373B6" w:rsidRDefault="000722B4" w:rsidP="00301BA0">
      <w:pPr>
        <w:spacing w:line="360" w:lineRule="auto"/>
        <w:contextualSpacing/>
        <w:rPr>
          <w:rFonts w:cs="Arial"/>
          <w:szCs w:val="26"/>
          <w:lang w:val="en-GB"/>
        </w:rPr>
      </w:pPr>
      <w:r w:rsidRPr="000722B4">
        <w:rPr>
          <w:rFonts w:cs="Arial"/>
          <w:szCs w:val="26"/>
          <w:lang w:val="en-GB"/>
        </w:rPr>
        <w:t xml:space="preserve">Careful thought should be given to whether a research project can be justified practically and ethically. </w:t>
      </w:r>
      <w:r w:rsidR="001373B6">
        <w:rPr>
          <w:rFonts w:cs="Arial"/>
          <w:szCs w:val="26"/>
          <w:lang w:val="en-GB"/>
        </w:rPr>
        <w:t>Some of the approaches that can be taken are listed below.</w:t>
      </w:r>
    </w:p>
    <w:p w14:paraId="4CBD7382" w14:textId="64905162" w:rsidR="000722B4" w:rsidRPr="00A666E8" w:rsidRDefault="000722B4" w:rsidP="00AC7513">
      <w:pPr>
        <w:numPr>
          <w:ilvl w:val="0"/>
          <w:numId w:val="17"/>
        </w:numPr>
        <w:spacing w:line="360" w:lineRule="auto"/>
        <w:ind w:left="714" w:hanging="357"/>
        <w:contextualSpacing/>
        <w:rPr>
          <w:rFonts w:cs="Arial"/>
          <w:szCs w:val="26"/>
          <w:lang w:val="en-GB"/>
        </w:rPr>
      </w:pPr>
      <w:r w:rsidRPr="00A666E8">
        <w:rPr>
          <w:rFonts w:cs="Arial"/>
          <w:szCs w:val="26"/>
          <w:lang w:val="en-GB"/>
        </w:rPr>
        <w:t>A collaborative approach will assist in this aspect of the research design. Risk/benefit should be evaluated, first from the perspective of the individual participant and then from that of society.</w:t>
      </w:r>
      <w:r w:rsidRPr="000722B4">
        <w:rPr>
          <w:vertAlign w:val="superscript"/>
          <w:lang w:val="en-GB"/>
        </w:rPr>
        <w:footnoteReference w:id="78"/>
      </w:r>
      <w:r w:rsidRPr="00A666E8">
        <w:rPr>
          <w:rFonts w:cs="Arial"/>
          <w:szCs w:val="26"/>
          <w:lang w:val="en-GB"/>
        </w:rPr>
        <w:t xml:space="preserve"> </w:t>
      </w:r>
    </w:p>
    <w:p w14:paraId="7D223905" w14:textId="77777777" w:rsidR="00A666E8" w:rsidRPr="00A666E8" w:rsidRDefault="00A666E8" w:rsidP="00AC7513">
      <w:pPr>
        <w:numPr>
          <w:ilvl w:val="0"/>
          <w:numId w:val="17"/>
        </w:numPr>
        <w:spacing w:line="360" w:lineRule="auto"/>
        <w:ind w:left="714" w:hanging="357"/>
        <w:contextualSpacing/>
        <w:rPr>
          <w:rFonts w:cs="Arial"/>
          <w:szCs w:val="26"/>
          <w:lang w:val="en-GB"/>
        </w:rPr>
      </w:pPr>
      <w:r>
        <w:rPr>
          <w:rFonts w:cs="Arial"/>
          <w:szCs w:val="26"/>
          <w:lang w:val="en-GB"/>
        </w:rPr>
        <w:t>B</w:t>
      </w:r>
      <w:r w:rsidRPr="00A666E8">
        <w:rPr>
          <w:rFonts w:cs="Arial"/>
          <w:szCs w:val="26"/>
          <w:lang w:val="en-GB"/>
        </w:rPr>
        <w:t xml:space="preserve">alance respecting a disabled person’s right to access research and the benefits of participation with awareness of the potential for exploitation. </w:t>
      </w:r>
      <w:r w:rsidRPr="00A666E8">
        <w:rPr>
          <w:rFonts w:cs="Arial"/>
          <w:szCs w:val="26"/>
        </w:rPr>
        <w:t xml:space="preserve">Alongside reducing the risk of harm there is need for efforts </w:t>
      </w:r>
      <w:r w:rsidRPr="00A666E8">
        <w:rPr>
          <w:rFonts w:cs="Arial"/>
          <w:szCs w:val="26"/>
          <w:lang w:val="en-GB"/>
        </w:rPr>
        <w:t>to maximise benefits to the participant.</w:t>
      </w:r>
      <w:r w:rsidRPr="000722B4">
        <w:rPr>
          <w:vertAlign w:val="superscript"/>
          <w:lang w:val="en-GB"/>
        </w:rPr>
        <w:footnoteReference w:id="79"/>
      </w:r>
      <w:r w:rsidRPr="00A666E8">
        <w:rPr>
          <w:rFonts w:cs="Arial"/>
          <w:szCs w:val="26"/>
          <w:lang w:val="en-GB"/>
        </w:rPr>
        <w:t xml:space="preserve"> </w:t>
      </w:r>
    </w:p>
    <w:p w14:paraId="1B051CF8" w14:textId="3393A4C7" w:rsidR="000722B4" w:rsidRPr="000722B4" w:rsidRDefault="000722B4" w:rsidP="00AC7513">
      <w:pPr>
        <w:numPr>
          <w:ilvl w:val="0"/>
          <w:numId w:val="17"/>
        </w:numPr>
        <w:spacing w:line="360" w:lineRule="auto"/>
        <w:ind w:left="714" w:hanging="357"/>
        <w:contextualSpacing/>
        <w:rPr>
          <w:rFonts w:eastAsia="Arial Unicode MS"/>
          <w:b/>
          <w:bCs/>
          <w:lang w:val="en-GB"/>
        </w:rPr>
      </w:pPr>
      <w:r w:rsidRPr="000722B4">
        <w:rPr>
          <w:rFonts w:eastAsia="Arial Unicode MS"/>
          <w:bCs/>
          <w:lang w:val="en-GB"/>
        </w:rPr>
        <w:t xml:space="preserve">Check previous studies and consider over and under-researched </w:t>
      </w:r>
      <w:r w:rsidR="00F9410C">
        <w:rPr>
          <w:rFonts w:eastAsia="Arial Unicode MS"/>
          <w:bCs/>
          <w:lang w:val="en-GB"/>
        </w:rPr>
        <w:t xml:space="preserve">areas </w:t>
      </w:r>
      <w:r w:rsidRPr="000722B4">
        <w:rPr>
          <w:rFonts w:eastAsia="Arial Unicode MS"/>
          <w:bCs/>
          <w:lang w:val="en-GB"/>
        </w:rPr>
        <w:t>when formulating research questions. Some people with disabilities consider that they have been ‘over-researched’.</w:t>
      </w:r>
      <w:r w:rsidRPr="000722B4">
        <w:rPr>
          <w:rFonts w:ascii="Gill Sans" w:eastAsia="Arial Unicode MS" w:hAnsi="Gill Sans"/>
          <w:bCs/>
          <w:sz w:val="22"/>
          <w:vertAlign w:val="superscript"/>
          <w:lang w:val="en-GB"/>
        </w:rPr>
        <w:footnoteReference w:id="80"/>
      </w:r>
    </w:p>
    <w:p w14:paraId="2E35084C" w14:textId="77777777" w:rsidR="000722B4" w:rsidRPr="000722B4" w:rsidRDefault="000722B4" w:rsidP="00AC7513">
      <w:pPr>
        <w:numPr>
          <w:ilvl w:val="0"/>
          <w:numId w:val="17"/>
        </w:numPr>
        <w:spacing w:line="360" w:lineRule="auto"/>
        <w:ind w:left="714" w:hanging="357"/>
        <w:contextualSpacing/>
        <w:rPr>
          <w:rFonts w:eastAsia="Arial Unicode MS"/>
          <w:bCs/>
        </w:rPr>
      </w:pPr>
      <w:r w:rsidRPr="000722B4">
        <w:rPr>
          <w:rFonts w:eastAsia="Arial Unicode MS"/>
          <w:bCs/>
        </w:rPr>
        <w:t xml:space="preserve">Consider whether the methodology chosen tallies with the research objectives and whether the expected benefits outweigh the potential risks. </w:t>
      </w:r>
    </w:p>
    <w:p w14:paraId="438C19E9" w14:textId="77777777" w:rsidR="000722B4" w:rsidRPr="000722B4" w:rsidRDefault="000722B4" w:rsidP="00AC7513">
      <w:pPr>
        <w:numPr>
          <w:ilvl w:val="0"/>
          <w:numId w:val="17"/>
        </w:numPr>
        <w:spacing w:line="360" w:lineRule="auto"/>
        <w:contextualSpacing/>
        <w:rPr>
          <w:rFonts w:eastAsia="Arial Unicode MS"/>
          <w:b/>
          <w:bCs/>
          <w:lang w:val="en-GB"/>
        </w:rPr>
      </w:pPr>
      <w:r w:rsidRPr="000722B4">
        <w:rPr>
          <w:rFonts w:cs="Arial"/>
          <w:szCs w:val="26"/>
        </w:rPr>
        <w:t xml:space="preserve">Reflect on the social, cultural, and historical experiences of disabled persons, including their experiences of exclusion and stigma. The research process should not perpetrate or endorse, directly or indirectly, any aspect of discrimination, stigma, or exclusion. Any research linked to theories or ideologies around a presumption of inferiority of disabled persons or linked to denial of any of their human rights, would be of great ethical concern. </w:t>
      </w:r>
    </w:p>
    <w:p w14:paraId="70CAD25D" w14:textId="77777777" w:rsidR="000722B4" w:rsidRPr="000722B4" w:rsidRDefault="000722B4" w:rsidP="00AC7513">
      <w:pPr>
        <w:numPr>
          <w:ilvl w:val="0"/>
          <w:numId w:val="17"/>
        </w:numPr>
        <w:spacing w:line="360" w:lineRule="auto"/>
        <w:contextualSpacing/>
        <w:rPr>
          <w:rFonts w:eastAsia="Arial Unicode MS"/>
          <w:b/>
          <w:bCs/>
          <w:lang w:val="en-GB"/>
        </w:rPr>
      </w:pPr>
      <w:r w:rsidRPr="000722B4">
        <w:rPr>
          <w:rFonts w:eastAsia="Arial Unicode MS"/>
          <w:lang w:val="en-GB"/>
        </w:rPr>
        <w:lastRenderedPageBreak/>
        <w:t xml:space="preserve">Historically, there has been a power imbalance, beyond the asymmetry between researcher and researched, in the relationship between researchers and disabled people. Social inequities maintain this imbalance to varying degrees. Researchers should consider whether a disability advisory group or disability researcher is indicated when reviewing the research design for disabling aspects.  </w:t>
      </w:r>
    </w:p>
    <w:p w14:paraId="2FF52802" w14:textId="77777777" w:rsidR="000722B4" w:rsidRPr="000722B4" w:rsidRDefault="000722B4" w:rsidP="00AC7513">
      <w:pPr>
        <w:numPr>
          <w:ilvl w:val="0"/>
          <w:numId w:val="17"/>
        </w:numPr>
        <w:spacing w:line="360" w:lineRule="auto"/>
        <w:ind w:left="714" w:hanging="357"/>
        <w:contextualSpacing/>
        <w:rPr>
          <w:rFonts w:eastAsia="Arial Unicode MS"/>
          <w:b/>
          <w:bCs/>
          <w:lang w:val="en-GB"/>
        </w:rPr>
      </w:pPr>
      <w:r w:rsidRPr="000722B4">
        <w:rPr>
          <w:rFonts w:eastAsia="Arial Unicode MS"/>
          <w:bCs/>
          <w:lang w:val="en-GB"/>
        </w:rPr>
        <w:t>Approaching the same people repeatedly and asking them the same questions can be a lack of respect.</w:t>
      </w:r>
      <w:r w:rsidRPr="000722B4">
        <w:rPr>
          <w:rFonts w:ascii="Gill Sans" w:eastAsia="Arial Unicode MS" w:hAnsi="Gill Sans"/>
          <w:bCs/>
          <w:sz w:val="22"/>
          <w:vertAlign w:val="superscript"/>
          <w:lang w:val="en-GB"/>
        </w:rPr>
        <w:footnoteReference w:id="81"/>
      </w:r>
      <w:r w:rsidRPr="000722B4">
        <w:rPr>
          <w:rFonts w:eastAsia="Arial Unicode MS"/>
          <w:bCs/>
          <w:lang w:val="en-GB"/>
        </w:rPr>
        <w:t xml:space="preserve"> </w:t>
      </w:r>
    </w:p>
    <w:p w14:paraId="46514D39" w14:textId="2CBE6412" w:rsidR="00120BC2" w:rsidRDefault="00126016" w:rsidP="00301BA0">
      <w:pPr>
        <w:pStyle w:val="Heading3"/>
        <w:spacing w:line="360" w:lineRule="auto"/>
        <w:rPr>
          <w:lang w:val="en-GB"/>
        </w:rPr>
      </w:pPr>
      <w:r>
        <w:rPr>
          <w:lang w:val="en-GB"/>
        </w:rPr>
        <w:t>3.2.3.</w:t>
      </w:r>
      <w:r>
        <w:rPr>
          <w:lang w:val="en-GB"/>
        </w:rPr>
        <w:tab/>
      </w:r>
      <w:r w:rsidR="00120BC2">
        <w:rPr>
          <w:lang w:val="en-GB"/>
        </w:rPr>
        <w:t xml:space="preserve">Managing how research is </w:t>
      </w:r>
      <w:proofErr w:type="gramStart"/>
      <w:r w:rsidR="00120BC2">
        <w:rPr>
          <w:lang w:val="en-GB"/>
        </w:rPr>
        <w:t>used</w:t>
      </w:r>
      <w:proofErr w:type="gramEnd"/>
    </w:p>
    <w:p w14:paraId="3D426DF6" w14:textId="31E27095" w:rsidR="00435CF9" w:rsidRPr="000722B4" w:rsidRDefault="00A10CD5" w:rsidP="00301BA0">
      <w:pPr>
        <w:pStyle w:val="NormalAfterList"/>
        <w:spacing w:line="360" w:lineRule="auto"/>
        <w:rPr>
          <w:b/>
          <w:bCs/>
          <w:lang w:val="en-GB"/>
        </w:rPr>
      </w:pPr>
      <w:r>
        <w:t>Accuracy, honesty</w:t>
      </w:r>
      <w:r w:rsidR="00435CF9">
        <w:t>,</w:t>
      </w:r>
      <w:r>
        <w:t xml:space="preserve"> and transparency in reporting research findings are important aspects of high-quality ethical research and of professional integrity. </w:t>
      </w:r>
      <w:r w:rsidR="00435CF9" w:rsidRPr="000722B4">
        <w:rPr>
          <w:lang w:val="en-GB"/>
        </w:rPr>
        <w:t>While researchers cannot fully control the use to which their research is put, they can take reasonable steps to ensure that it is used for the purpose stated. This can be done, for example, by adhering to data protection legislation</w:t>
      </w:r>
      <w:r w:rsidR="00435CF9">
        <w:rPr>
          <w:lang w:val="en-GB"/>
        </w:rPr>
        <w:t xml:space="preserve">, </w:t>
      </w:r>
      <w:r w:rsidR="00435CF9" w:rsidRPr="000722B4">
        <w:rPr>
          <w:lang w:val="en-GB"/>
        </w:rPr>
        <w:t>and re-consulting with participants if secondary research is proposed</w:t>
      </w:r>
      <w:r w:rsidR="00100DB6" w:rsidRPr="00100DB6">
        <w:t xml:space="preserve"> </w:t>
      </w:r>
      <w:r w:rsidR="00100DB6">
        <w:t>a</w:t>
      </w:r>
      <w:proofErr w:type="spellStart"/>
      <w:r w:rsidR="00100DB6" w:rsidRPr="00100DB6">
        <w:rPr>
          <w:lang w:val="x-none"/>
        </w:rPr>
        <w:t>nd</w:t>
      </w:r>
      <w:proofErr w:type="spellEnd"/>
      <w:r w:rsidR="00100DB6" w:rsidRPr="00100DB6">
        <w:rPr>
          <w:lang w:val="x-none"/>
        </w:rPr>
        <w:t xml:space="preserve"> by demonstrating how research has been used to inform plan and develop services in the past</w:t>
      </w:r>
      <w:r w:rsidR="00100DB6">
        <w:t xml:space="preserve">. </w:t>
      </w:r>
      <w:r w:rsidR="00435CF9" w:rsidRPr="000722B4">
        <w:rPr>
          <w:lang w:val="en-GB"/>
        </w:rPr>
        <w:t xml:space="preserve">It is advisable to seek consent for secondary analysis of </w:t>
      </w:r>
      <w:r w:rsidR="00435CF9">
        <w:rPr>
          <w:lang w:val="en-GB"/>
        </w:rPr>
        <w:t xml:space="preserve">personal </w:t>
      </w:r>
      <w:r w:rsidR="00435CF9" w:rsidRPr="000722B4">
        <w:rPr>
          <w:lang w:val="en-GB"/>
        </w:rPr>
        <w:t>data at the outset of the research project, when practicable.</w:t>
      </w:r>
    </w:p>
    <w:p w14:paraId="2FA768FC" w14:textId="0AF03889" w:rsidR="00A10CD5" w:rsidRDefault="00435CF9" w:rsidP="00301BA0">
      <w:pPr>
        <w:pStyle w:val="NormalAfterList"/>
        <w:spacing w:line="360" w:lineRule="auto"/>
        <w:rPr>
          <w:lang w:val="en-GB"/>
        </w:rPr>
      </w:pPr>
      <w:r w:rsidRPr="00435CF9">
        <w:t>For those mak</w:t>
      </w:r>
      <w:r>
        <w:t>ing</w:t>
      </w:r>
      <w:r w:rsidRPr="00435CF9">
        <w:t xml:space="preserve"> use of the research findings, it is important </w:t>
      </w:r>
      <w:r>
        <w:t xml:space="preserve">to be accurate about what </w:t>
      </w:r>
      <w:r w:rsidRPr="00435CF9">
        <w:t xml:space="preserve">the </w:t>
      </w:r>
      <w:r>
        <w:t xml:space="preserve">findings are. To do this, one needs to </w:t>
      </w:r>
      <w:r w:rsidRPr="00435CF9">
        <w:t xml:space="preserve">know how the research was designed and executed, the decisions that were taken, </w:t>
      </w:r>
      <w:r>
        <w:t xml:space="preserve">and </w:t>
      </w:r>
      <w:r w:rsidRPr="00435CF9">
        <w:t>the strategies and methods used.</w:t>
      </w:r>
      <w:r w:rsidR="00EF09EC">
        <w:t xml:space="preserve"> </w:t>
      </w:r>
      <w:r w:rsidR="00A10CD5" w:rsidRPr="00A10CD5">
        <w:rPr>
          <w:lang w:val="en-GB"/>
        </w:rPr>
        <w:t xml:space="preserve">Where research outcomes are not what the researchers and participants expected and could result in negative outcomes, they need to handle </w:t>
      </w:r>
      <w:r w:rsidR="00A10CD5" w:rsidRPr="00A10CD5">
        <w:rPr>
          <w:lang w:val="en-GB"/>
        </w:rPr>
        <w:lastRenderedPageBreak/>
        <w:t>dissemination sensitively, and put in place support where needed</w:t>
      </w:r>
      <w:r w:rsidR="00100DB6" w:rsidRPr="00100DB6">
        <w:t xml:space="preserve"> </w:t>
      </w:r>
      <w:r w:rsidR="00100DB6">
        <w:t>y</w:t>
      </w:r>
      <w:r w:rsidR="00100DB6" w:rsidRPr="00100DB6">
        <w:t xml:space="preserve">et remain true to </w:t>
      </w:r>
      <w:r w:rsidR="00100DB6">
        <w:t xml:space="preserve">the research </w:t>
      </w:r>
      <w:r w:rsidR="00100DB6" w:rsidRPr="00100DB6">
        <w:t>findings</w:t>
      </w:r>
      <w:r w:rsidR="00100DB6">
        <w:t>.</w:t>
      </w:r>
      <w:r w:rsidR="00A10CD5" w:rsidRPr="00A10CD5">
        <w:rPr>
          <w:lang w:val="en-GB"/>
        </w:rPr>
        <w:t xml:space="preserve">  </w:t>
      </w:r>
    </w:p>
    <w:p w14:paraId="5BF177A1" w14:textId="77777777" w:rsidR="000722B4" w:rsidRPr="000722B4" w:rsidRDefault="000722B4" w:rsidP="00301BA0">
      <w:pPr>
        <w:spacing w:line="360" w:lineRule="auto"/>
        <w:contextualSpacing/>
        <w:rPr>
          <w:rFonts w:cs="Arial"/>
          <w:szCs w:val="26"/>
        </w:rPr>
      </w:pPr>
      <w:r w:rsidRPr="000722B4">
        <w:rPr>
          <w:rFonts w:cs="Arial"/>
          <w:szCs w:val="26"/>
          <w:lang w:val="en-GB"/>
        </w:rPr>
        <w:t xml:space="preserve">Ethical responsibility to ensure that harm does not result from published research falls on others as well as on the researcher(s), e.g., policymakers, service-providers, media, and other stakeholders. However, the researcher has a responsibility to challenge misuse when it occurs, publicly if necessary. </w:t>
      </w:r>
    </w:p>
    <w:p w14:paraId="348598A3" w14:textId="0FDD56EF" w:rsidR="000722B4" w:rsidRPr="000722B4" w:rsidRDefault="00A0667A" w:rsidP="00301BA0">
      <w:pPr>
        <w:pStyle w:val="Heading3"/>
        <w:spacing w:line="360" w:lineRule="auto"/>
        <w:rPr>
          <w:lang w:val="en-GB"/>
        </w:rPr>
      </w:pPr>
      <w:r>
        <w:rPr>
          <w:lang w:val="en-GB"/>
        </w:rPr>
        <w:t>3.2.4.</w:t>
      </w:r>
      <w:r>
        <w:rPr>
          <w:lang w:val="en-GB"/>
        </w:rPr>
        <w:tab/>
      </w:r>
      <w:r w:rsidR="000722B4" w:rsidRPr="000722B4">
        <w:rPr>
          <w:lang w:val="en-GB"/>
        </w:rPr>
        <w:t>Support and care for researchers</w:t>
      </w:r>
    </w:p>
    <w:p w14:paraId="651AA64B" w14:textId="73942E4B" w:rsidR="00120BC2" w:rsidRDefault="000722B4" w:rsidP="00301BA0">
      <w:pPr>
        <w:spacing w:line="360" w:lineRule="auto"/>
        <w:contextualSpacing/>
        <w:rPr>
          <w:rFonts w:cs="Arial"/>
          <w:szCs w:val="26"/>
        </w:rPr>
      </w:pPr>
      <w:r w:rsidRPr="000722B4">
        <w:rPr>
          <w:rFonts w:cs="Arial"/>
          <w:szCs w:val="26"/>
        </w:rPr>
        <w:t>Often overlooked is the risk to researchers, especially where they work alone</w:t>
      </w:r>
      <w:r w:rsidR="00A56CF9">
        <w:rPr>
          <w:rFonts w:cs="Arial"/>
          <w:szCs w:val="26"/>
        </w:rPr>
        <w:t>.</w:t>
      </w:r>
      <w:r w:rsidR="00EF09EC">
        <w:rPr>
          <w:rFonts w:cs="Arial"/>
          <w:szCs w:val="26"/>
        </w:rPr>
        <w:t xml:space="preserve"> </w:t>
      </w:r>
      <w:r w:rsidR="00A56CF9">
        <w:rPr>
          <w:rFonts w:cs="Arial"/>
          <w:szCs w:val="26"/>
        </w:rPr>
        <w:t>R</w:t>
      </w:r>
      <w:r w:rsidR="00120BC2">
        <w:rPr>
          <w:rFonts w:cs="Arial"/>
          <w:szCs w:val="26"/>
        </w:rPr>
        <w:t>esearchers need to be supported by their organisation through relevant policies and procedures</w:t>
      </w:r>
      <w:r w:rsidRPr="000722B4">
        <w:rPr>
          <w:rFonts w:cs="Arial"/>
          <w:szCs w:val="26"/>
        </w:rPr>
        <w:t xml:space="preserve">. </w:t>
      </w:r>
    </w:p>
    <w:p w14:paraId="043D61D6" w14:textId="616011BB" w:rsidR="000722B4" w:rsidRPr="00451800" w:rsidRDefault="000722B4" w:rsidP="00AC7513">
      <w:pPr>
        <w:numPr>
          <w:ilvl w:val="0"/>
          <w:numId w:val="17"/>
        </w:numPr>
        <w:spacing w:line="360" w:lineRule="auto"/>
        <w:contextualSpacing/>
        <w:rPr>
          <w:rFonts w:cs="Arial"/>
          <w:szCs w:val="26"/>
        </w:rPr>
      </w:pPr>
      <w:r w:rsidRPr="00451800">
        <w:rPr>
          <w:rFonts w:cs="Arial"/>
          <w:szCs w:val="26"/>
        </w:rPr>
        <w:t>Researchers should adhere to any lone worker policy that applies</w:t>
      </w:r>
      <w:r w:rsidRPr="00451800">
        <w:rPr>
          <w:rFonts w:ascii="Gill Sans" w:hAnsi="Gill Sans" w:cs="Arial"/>
          <w:sz w:val="22"/>
          <w:szCs w:val="26"/>
          <w:vertAlign w:val="superscript"/>
        </w:rPr>
        <w:footnoteReference w:id="82"/>
      </w:r>
      <w:r w:rsidRPr="00451800">
        <w:rPr>
          <w:rFonts w:cs="Arial"/>
          <w:szCs w:val="26"/>
        </w:rPr>
        <w:t>.</w:t>
      </w:r>
      <w:r w:rsidR="002E1BBA" w:rsidRPr="00451800">
        <w:rPr>
          <w:rFonts w:cs="Arial"/>
          <w:szCs w:val="26"/>
        </w:rPr>
        <w:t xml:space="preserve"> All should be familiar with the policy.</w:t>
      </w:r>
      <w:r w:rsidRPr="00451800">
        <w:rPr>
          <w:rFonts w:cs="Arial"/>
          <w:szCs w:val="26"/>
        </w:rPr>
        <w:t xml:space="preserve"> Where </w:t>
      </w:r>
      <w:r w:rsidR="002E1BBA" w:rsidRPr="00451800">
        <w:rPr>
          <w:rFonts w:cs="Arial"/>
          <w:szCs w:val="26"/>
        </w:rPr>
        <w:t>there are concerns about working alone in particular settings</w:t>
      </w:r>
      <w:r w:rsidRPr="00451800">
        <w:rPr>
          <w:rFonts w:cs="Arial"/>
          <w:szCs w:val="26"/>
        </w:rPr>
        <w:t>, researchers should check with the ethics review committee, consult with their supervisors and colleagues, and maintain a monitoring visit proforma.</w:t>
      </w:r>
      <w:r w:rsidRPr="00451800">
        <w:rPr>
          <w:vertAlign w:val="superscript"/>
        </w:rPr>
        <w:footnoteReference w:id="83"/>
      </w:r>
      <w:r w:rsidRPr="00451800">
        <w:rPr>
          <w:rFonts w:cs="Arial"/>
          <w:szCs w:val="26"/>
        </w:rPr>
        <w:t xml:space="preserve"> </w:t>
      </w:r>
      <w:r w:rsidR="002E1BBA" w:rsidRPr="00451800">
        <w:rPr>
          <w:rFonts w:cs="Arial"/>
          <w:szCs w:val="26"/>
          <w:vertAlign w:val="superscript"/>
        </w:rPr>
        <w:footnoteReference w:id="84"/>
      </w:r>
      <w:r w:rsidR="002E1BBA" w:rsidRPr="00451800">
        <w:rPr>
          <w:rFonts w:cs="Arial"/>
          <w:szCs w:val="26"/>
        </w:rPr>
        <w:t xml:space="preserve"> </w:t>
      </w:r>
      <w:r w:rsidRPr="00451800">
        <w:rPr>
          <w:rFonts w:cs="Arial"/>
          <w:szCs w:val="26"/>
        </w:rPr>
        <w:t xml:space="preserve">Informal debriefs with research colleagues can be very useful. </w:t>
      </w:r>
    </w:p>
    <w:p w14:paraId="41DF0032" w14:textId="77777777" w:rsidR="000722B4" w:rsidRPr="000722B4" w:rsidRDefault="000722B4" w:rsidP="00AC7513">
      <w:pPr>
        <w:numPr>
          <w:ilvl w:val="0"/>
          <w:numId w:val="17"/>
        </w:numPr>
        <w:spacing w:line="360" w:lineRule="auto"/>
        <w:ind w:left="714" w:hanging="357"/>
        <w:contextualSpacing/>
        <w:rPr>
          <w:rFonts w:eastAsia="Arial Unicode MS"/>
          <w:b/>
          <w:bCs/>
          <w:lang w:val="en-GB"/>
        </w:rPr>
      </w:pPr>
      <w:r w:rsidRPr="000722B4">
        <w:rPr>
          <w:rFonts w:eastAsia="Arial Unicode MS"/>
          <w:lang w:val="en-GB"/>
        </w:rPr>
        <w:t xml:space="preserve">A research advisory group can support researchers on how to handle difficulties that can arise with certain methodologies. The advisory group can be accessed for support and advice, such as when relationships </w:t>
      </w:r>
      <w:r w:rsidRPr="000722B4">
        <w:rPr>
          <w:rFonts w:eastAsia="Arial Unicode MS"/>
          <w:lang w:val="en-GB"/>
        </w:rPr>
        <w:lastRenderedPageBreak/>
        <w:t>become too intense,</w:t>
      </w:r>
      <w:r w:rsidRPr="000722B4">
        <w:rPr>
          <w:rFonts w:eastAsia="Arial Unicode MS"/>
          <w:vertAlign w:val="superscript"/>
          <w:lang w:val="en-GB"/>
        </w:rPr>
        <w:footnoteReference w:id="85"/>
      </w:r>
      <w:r w:rsidRPr="000722B4">
        <w:rPr>
          <w:rFonts w:eastAsia="Arial Unicode MS"/>
          <w:lang w:val="en-GB"/>
        </w:rPr>
        <w:t>or when, during the research, relationships that have developed with lonely people are withdrawn.</w:t>
      </w:r>
      <w:r w:rsidRPr="000722B4">
        <w:rPr>
          <w:rFonts w:eastAsia="Arial Unicode MS"/>
          <w:vertAlign w:val="superscript"/>
          <w:lang w:val="en-GB"/>
        </w:rPr>
        <w:footnoteReference w:id="86"/>
      </w:r>
    </w:p>
    <w:p w14:paraId="23175382" w14:textId="6CEC54B2" w:rsidR="000722B4" w:rsidRPr="000722B4" w:rsidRDefault="000722B4" w:rsidP="00AC7513">
      <w:pPr>
        <w:numPr>
          <w:ilvl w:val="0"/>
          <w:numId w:val="17"/>
        </w:numPr>
        <w:spacing w:line="360" w:lineRule="auto"/>
        <w:contextualSpacing/>
        <w:rPr>
          <w:rFonts w:eastAsia="Arial Unicode MS"/>
          <w:b/>
          <w:bCs/>
          <w:lang w:val="en-GB"/>
        </w:rPr>
      </w:pPr>
      <w:r w:rsidRPr="000722B4">
        <w:rPr>
          <w:rFonts w:eastAsia="Arial Unicode MS"/>
        </w:rPr>
        <w:t xml:space="preserve">Unethical practices </w:t>
      </w:r>
      <w:r w:rsidR="003D195E">
        <w:rPr>
          <w:rFonts w:eastAsia="Arial Unicode MS"/>
        </w:rPr>
        <w:t xml:space="preserve">of, for example, staff in a residential setting, </w:t>
      </w:r>
      <w:r w:rsidR="00CD7406">
        <w:rPr>
          <w:rFonts w:eastAsia="Arial Unicode MS"/>
        </w:rPr>
        <w:t xml:space="preserve">parents or siblings at home, colleagues, or employers, </w:t>
      </w:r>
      <w:r w:rsidRPr="000722B4">
        <w:rPr>
          <w:rFonts w:eastAsia="Arial Unicode MS"/>
        </w:rPr>
        <w:t>could be disclosed during the research, and it is important to be familiar with the organisations, ethics review board and governing body’s policy guidelines</w:t>
      </w:r>
      <w:r w:rsidR="00CD7406">
        <w:rPr>
          <w:rFonts w:eastAsia="Arial Unicode MS"/>
        </w:rPr>
        <w:t xml:space="preserve"> in such cases</w:t>
      </w:r>
      <w:r w:rsidRPr="000722B4">
        <w:rPr>
          <w:rFonts w:eastAsia="Arial Unicode MS"/>
        </w:rPr>
        <w:t>. The researcher should have a clear reason for disclosure and seek support from their supervisor, ethics committee and other relevant people, and document the decisions taken.</w:t>
      </w:r>
      <w:r w:rsidRPr="000722B4">
        <w:rPr>
          <w:rFonts w:eastAsia="Arial Unicode MS"/>
          <w:vertAlign w:val="superscript"/>
        </w:rPr>
        <w:footnoteReference w:id="87"/>
      </w:r>
      <w:r w:rsidRPr="000722B4">
        <w:rPr>
          <w:rFonts w:eastAsia="Arial Unicode MS"/>
        </w:rPr>
        <w:t xml:space="preserve"> </w:t>
      </w:r>
    </w:p>
    <w:p w14:paraId="50EB77CB" w14:textId="1022A564" w:rsidR="000722B4" w:rsidRDefault="00A0667A" w:rsidP="00301BA0">
      <w:pPr>
        <w:pStyle w:val="Heading3"/>
        <w:spacing w:line="360" w:lineRule="auto"/>
      </w:pPr>
      <w:r>
        <w:t>3.2.5.</w:t>
      </w:r>
      <w:r>
        <w:tab/>
      </w:r>
      <w:r w:rsidR="000722B4" w:rsidRPr="000722B4">
        <w:t xml:space="preserve">Strategies to deal with the distress of research </w:t>
      </w:r>
      <w:proofErr w:type="gramStart"/>
      <w:r w:rsidR="000722B4" w:rsidRPr="000722B4">
        <w:t>participants</w:t>
      </w:r>
      <w:proofErr w:type="gramEnd"/>
    </w:p>
    <w:p w14:paraId="48C45998" w14:textId="08B3E0A7" w:rsidR="00120BC2" w:rsidRPr="008E0B11" w:rsidRDefault="00120BC2" w:rsidP="00301BA0">
      <w:pPr>
        <w:spacing w:line="360" w:lineRule="auto"/>
      </w:pPr>
      <w:r>
        <w:t>The potential distress of research participants, for example, due to the topics raised in an interview, should be anticipated where possible and supports put in place in advance. However, it is difficult to anticipate who will become distressed and what will cause that distress so a researcher must be prepared to take relevant action</w:t>
      </w:r>
      <w:r w:rsidR="00EF09EC">
        <w:t>, for example,</w:t>
      </w:r>
      <w:r>
        <w:t xml:space="preserve">  </w:t>
      </w:r>
    </w:p>
    <w:p w14:paraId="7D8D1D29" w14:textId="58DF5341" w:rsidR="00100DB6" w:rsidRPr="00100DB6" w:rsidRDefault="000722B4" w:rsidP="00100DB6">
      <w:pPr>
        <w:numPr>
          <w:ilvl w:val="0"/>
          <w:numId w:val="17"/>
        </w:numPr>
        <w:spacing w:line="360" w:lineRule="auto"/>
        <w:contextualSpacing/>
        <w:rPr>
          <w:rFonts w:cs="Arial"/>
          <w:szCs w:val="26"/>
          <w:lang w:val="x-none"/>
        </w:rPr>
      </w:pPr>
      <w:r w:rsidRPr="000722B4">
        <w:rPr>
          <w:rFonts w:cs="Arial"/>
          <w:szCs w:val="26"/>
        </w:rPr>
        <w:t>Participants should not be compromised by the demands of the study. If a participant becomes upset, the researcher should offer the participant the opportunity to cease and reconvene at their discretion</w:t>
      </w:r>
      <w:r w:rsidR="00100DB6">
        <w:rPr>
          <w:rFonts w:cs="Arial"/>
          <w:szCs w:val="26"/>
        </w:rPr>
        <w:t>,</w:t>
      </w:r>
      <w:r w:rsidR="00100DB6">
        <w:t xml:space="preserve"> and </w:t>
      </w:r>
      <w:r w:rsidR="00100DB6" w:rsidRPr="00100DB6">
        <w:rPr>
          <w:rFonts w:cs="Arial"/>
          <w:szCs w:val="26"/>
          <w:lang w:val="x-none"/>
        </w:rPr>
        <w:t>this option should be flagged in advance of participation</w:t>
      </w:r>
      <w:r w:rsidR="00100DB6">
        <w:rPr>
          <w:rFonts w:cs="Arial"/>
          <w:szCs w:val="26"/>
        </w:rPr>
        <w:t>.</w:t>
      </w:r>
    </w:p>
    <w:p w14:paraId="1152EF75" w14:textId="0879A46F" w:rsidR="000722B4" w:rsidRPr="000722B4" w:rsidRDefault="000722B4" w:rsidP="00AC7513">
      <w:pPr>
        <w:numPr>
          <w:ilvl w:val="0"/>
          <w:numId w:val="17"/>
        </w:numPr>
        <w:spacing w:line="360" w:lineRule="auto"/>
        <w:contextualSpacing/>
        <w:rPr>
          <w:rFonts w:eastAsia="Arial Unicode MS"/>
          <w:lang w:val="en-GB"/>
        </w:rPr>
      </w:pPr>
      <w:r w:rsidRPr="000722B4">
        <w:rPr>
          <w:lang w:val="en-GB"/>
        </w:rPr>
        <w:t xml:space="preserve">In-depth interviews, particularly on sensitive topics, may bring up traumatic memories. Interviews with people currently experiencing mental health difficulties carry the risk of harm to the research participant. Appropriate protocols need to be in place to identify signs of stress in a research </w:t>
      </w:r>
      <w:r w:rsidRPr="000722B4">
        <w:rPr>
          <w:lang w:val="en-GB"/>
        </w:rPr>
        <w:lastRenderedPageBreak/>
        <w:t xml:space="preserve">participant and to ensure that there is access to counselling and support should the need arise. </w:t>
      </w:r>
      <w:r w:rsidRPr="000722B4">
        <w:rPr>
          <w:rFonts w:eastAsia="Arial Unicode MS"/>
        </w:rPr>
        <w:t>A link to an example of a distress protocol is included in the footnote</w:t>
      </w:r>
      <w:r w:rsidR="00CD7406">
        <w:rPr>
          <w:rFonts w:eastAsia="Arial Unicode MS"/>
        </w:rPr>
        <w:t xml:space="preserve"> below.</w:t>
      </w:r>
      <w:r w:rsidRPr="000722B4">
        <w:rPr>
          <w:rFonts w:ascii="Gill Sans" w:eastAsia="Arial Unicode MS" w:hAnsi="Gill Sans"/>
          <w:sz w:val="22"/>
          <w:vertAlign w:val="superscript"/>
        </w:rPr>
        <w:footnoteReference w:id="88"/>
      </w:r>
      <w:r w:rsidRPr="000722B4">
        <w:rPr>
          <w:rFonts w:eastAsia="Arial Unicode MS"/>
        </w:rPr>
        <w:t xml:space="preserve"> </w:t>
      </w:r>
    </w:p>
    <w:p w14:paraId="35B91460" w14:textId="3CB595DE" w:rsidR="000722B4" w:rsidRPr="000722B4" w:rsidRDefault="000722B4" w:rsidP="00AC7513">
      <w:pPr>
        <w:numPr>
          <w:ilvl w:val="0"/>
          <w:numId w:val="17"/>
        </w:numPr>
        <w:spacing w:line="360" w:lineRule="auto"/>
        <w:contextualSpacing/>
        <w:rPr>
          <w:rFonts w:eastAsia="Arial Unicode MS"/>
          <w:b/>
          <w:bCs/>
          <w:lang w:val="en-GB"/>
        </w:rPr>
      </w:pPr>
      <w:r w:rsidRPr="000722B4">
        <w:rPr>
          <w:rFonts w:cs="Arial"/>
          <w:szCs w:val="26"/>
        </w:rPr>
        <w:t xml:space="preserve">Researchers can put support mechanisms in place e.g., counselling, employee assistance programme for participants who become distressed during or after </w:t>
      </w:r>
      <w:r w:rsidR="00F750F2">
        <w:rPr>
          <w:rFonts w:cs="Arial"/>
          <w:szCs w:val="26"/>
        </w:rPr>
        <w:t>i</w:t>
      </w:r>
      <w:r w:rsidR="00F750F2" w:rsidRPr="00F750F2">
        <w:rPr>
          <w:rFonts w:cs="Arial"/>
          <w:szCs w:val="26"/>
        </w:rPr>
        <w:t>nterviews or completion of questionnaires</w:t>
      </w:r>
      <w:r w:rsidRPr="000722B4">
        <w:rPr>
          <w:rFonts w:cs="Arial"/>
          <w:szCs w:val="26"/>
        </w:rPr>
        <w:t xml:space="preserve">, especially when there is potential to highlight sensitive information, past experiences, etc. </w:t>
      </w:r>
      <w:r w:rsidRPr="000722B4">
        <w:rPr>
          <w:lang w:val="en-GB"/>
        </w:rPr>
        <w:t xml:space="preserve">Strategies identified in the literature to minimise emotional distress where it is considered a risk include the following: </w:t>
      </w:r>
      <w:r w:rsidRPr="000722B4">
        <w:rPr>
          <w:rFonts w:eastAsia="Arial Unicode MS"/>
        </w:rPr>
        <w:t>employ interviewers who are trained to handle psychological distress, monitor participants' emotional reactions, provide frequent breaks during stressful data collection procedures, debrief, and provide information on available services.</w:t>
      </w:r>
      <w:r w:rsidRPr="000722B4">
        <w:rPr>
          <w:rFonts w:ascii="Gill Sans" w:eastAsia="Arial Unicode MS" w:hAnsi="Gill Sans"/>
          <w:sz w:val="22"/>
          <w:vertAlign w:val="superscript"/>
        </w:rPr>
        <w:footnoteReference w:id="89"/>
      </w:r>
      <w:r w:rsidRPr="000722B4">
        <w:rPr>
          <w:rFonts w:eastAsia="Arial Unicode MS"/>
        </w:rPr>
        <w:t xml:space="preserve"> </w:t>
      </w:r>
    </w:p>
    <w:p w14:paraId="4EFAAB9D" w14:textId="0913FFA4" w:rsidR="00FA1AD2" w:rsidRPr="00671DD9" w:rsidRDefault="00FA1AD2" w:rsidP="00671DD9">
      <w:pPr>
        <w:numPr>
          <w:ilvl w:val="0"/>
          <w:numId w:val="17"/>
        </w:numPr>
        <w:spacing w:line="360" w:lineRule="auto"/>
        <w:ind w:left="714" w:hanging="357"/>
        <w:contextualSpacing/>
        <w:rPr>
          <w:rFonts w:eastAsia="Arial Unicode MS"/>
          <w:b/>
          <w:bCs/>
          <w:lang w:val="en-GB"/>
        </w:rPr>
      </w:pPr>
      <w:r w:rsidRPr="00671DD9">
        <w:rPr>
          <w:rFonts w:eastAsia="Arial Unicode MS"/>
          <w:bCs/>
          <w:szCs w:val="26"/>
          <w:lang w:val="en-GB"/>
        </w:rPr>
        <w:t>Research has shown that interviewers play an important role in whether participants were happy with their experience.</w:t>
      </w:r>
      <w:r w:rsidRPr="00671DD9">
        <w:rPr>
          <w:rStyle w:val="FootnoteReference"/>
          <w:rFonts w:ascii="Gill Sans MT" w:eastAsia="Arial Unicode MS" w:hAnsi="Gill Sans MT"/>
          <w:bCs/>
          <w:sz w:val="26"/>
          <w:szCs w:val="26"/>
          <w:lang w:val="en-GB"/>
        </w:rPr>
        <w:footnoteReference w:id="90"/>
      </w:r>
      <w:r w:rsidRPr="00671DD9">
        <w:rPr>
          <w:rFonts w:eastAsia="Arial Unicode MS"/>
          <w:bCs/>
          <w:szCs w:val="26"/>
          <w:lang w:val="en-GB"/>
        </w:rPr>
        <w:t xml:space="preserve"> This suggests that t</w:t>
      </w:r>
      <w:r w:rsidR="000722B4" w:rsidRPr="00671DD9">
        <w:rPr>
          <w:rFonts w:eastAsia="Arial Unicode MS"/>
          <w:bCs/>
          <w:szCs w:val="26"/>
          <w:lang w:val="en-GB"/>
        </w:rPr>
        <w:t xml:space="preserve">raining in communication and empathy skills </w:t>
      </w:r>
      <w:r w:rsidRPr="00671DD9">
        <w:rPr>
          <w:rFonts w:eastAsia="Arial Unicode MS"/>
          <w:bCs/>
          <w:szCs w:val="26"/>
          <w:lang w:val="en-GB"/>
        </w:rPr>
        <w:t>may benefit researchers.</w:t>
      </w:r>
    </w:p>
    <w:p w14:paraId="3C436714" w14:textId="3A83F81E" w:rsidR="000722B4" w:rsidRDefault="00A0667A" w:rsidP="00301BA0">
      <w:pPr>
        <w:pStyle w:val="Heading3"/>
        <w:spacing w:line="360" w:lineRule="auto"/>
        <w:rPr>
          <w:rFonts w:eastAsia="Arial Unicode MS"/>
        </w:rPr>
      </w:pPr>
      <w:r>
        <w:rPr>
          <w:rFonts w:eastAsia="Arial Unicode MS"/>
        </w:rPr>
        <w:t>3.2.6.</w:t>
      </w:r>
      <w:r>
        <w:rPr>
          <w:rFonts w:eastAsia="Arial Unicode MS"/>
        </w:rPr>
        <w:tab/>
      </w:r>
      <w:r w:rsidR="000722B4" w:rsidRPr="000722B4">
        <w:rPr>
          <w:rFonts w:eastAsia="Arial Unicode MS"/>
        </w:rPr>
        <w:t xml:space="preserve">Attend to wellbeing of participants in practical </w:t>
      </w:r>
      <w:proofErr w:type="gramStart"/>
      <w:r w:rsidR="000722B4" w:rsidRPr="000722B4">
        <w:rPr>
          <w:rFonts w:eastAsia="Arial Unicode MS"/>
        </w:rPr>
        <w:t>ways</w:t>
      </w:r>
      <w:proofErr w:type="gramEnd"/>
    </w:p>
    <w:p w14:paraId="1853D1A4" w14:textId="7B38FB92" w:rsidR="00564FBA" w:rsidRDefault="00A0667A" w:rsidP="00301BA0">
      <w:pPr>
        <w:spacing w:line="360" w:lineRule="auto"/>
        <w:rPr>
          <w:rFonts w:eastAsia="Arial Unicode MS"/>
        </w:rPr>
      </w:pPr>
      <w:r w:rsidRPr="00A0667A">
        <w:rPr>
          <w:rFonts w:eastAsia="Arial Unicode MS"/>
        </w:rPr>
        <w:t xml:space="preserve">Researchers have a responsibility to </w:t>
      </w:r>
      <w:r>
        <w:rPr>
          <w:rFonts w:eastAsia="Arial Unicode MS"/>
        </w:rPr>
        <w:t xml:space="preserve">attend to the wellbeing of participants by </w:t>
      </w:r>
      <w:r w:rsidRPr="00A0667A">
        <w:rPr>
          <w:rFonts w:eastAsia="Arial Unicode MS"/>
        </w:rPr>
        <w:t>protect</w:t>
      </w:r>
      <w:r>
        <w:rPr>
          <w:rFonts w:eastAsia="Arial Unicode MS"/>
        </w:rPr>
        <w:t>ing</w:t>
      </w:r>
      <w:r w:rsidRPr="00A0667A">
        <w:rPr>
          <w:rFonts w:eastAsia="Arial Unicode MS"/>
        </w:rPr>
        <w:t xml:space="preserve"> </w:t>
      </w:r>
      <w:r>
        <w:rPr>
          <w:rFonts w:eastAsia="Arial Unicode MS"/>
        </w:rPr>
        <w:t xml:space="preserve">them </w:t>
      </w:r>
      <w:r w:rsidRPr="00A0667A">
        <w:rPr>
          <w:rFonts w:eastAsia="Arial Unicode MS"/>
        </w:rPr>
        <w:t xml:space="preserve">from any </w:t>
      </w:r>
      <w:r w:rsidR="00564FBA">
        <w:rPr>
          <w:rFonts w:eastAsia="Arial Unicode MS"/>
        </w:rPr>
        <w:t xml:space="preserve">potential </w:t>
      </w:r>
      <w:r w:rsidRPr="00A0667A">
        <w:rPr>
          <w:rFonts w:eastAsia="Arial Unicode MS"/>
        </w:rPr>
        <w:t xml:space="preserve">harm arising from </w:t>
      </w:r>
      <w:r>
        <w:rPr>
          <w:rFonts w:eastAsia="Arial Unicode MS"/>
        </w:rPr>
        <w:t xml:space="preserve">the </w:t>
      </w:r>
      <w:r w:rsidRPr="00A0667A">
        <w:rPr>
          <w:rFonts w:eastAsia="Arial Unicode MS"/>
        </w:rPr>
        <w:t>research</w:t>
      </w:r>
      <w:r>
        <w:rPr>
          <w:rFonts w:eastAsia="Arial Unicode MS"/>
        </w:rPr>
        <w:t xml:space="preserve"> and addressing their needs during the research</w:t>
      </w:r>
      <w:r w:rsidRPr="00A0667A">
        <w:rPr>
          <w:rFonts w:eastAsia="Arial Unicode MS"/>
        </w:rPr>
        <w:t xml:space="preserve"> </w:t>
      </w:r>
      <w:r>
        <w:rPr>
          <w:rFonts w:eastAsia="Arial Unicode MS"/>
        </w:rPr>
        <w:t>process</w:t>
      </w:r>
      <w:r w:rsidR="002D562D">
        <w:rPr>
          <w:rFonts w:eastAsia="Arial Unicode MS"/>
        </w:rPr>
        <w:t xml:space="preserve">, for example, </w:t>
      </w:r>
      <w:r>
        <w:rPr>
          <w:rFonts w:eastAsia="Arial Unicode MS"/>
        </w:rPr>
        <w:t xml:space="preserve"> </w:t>
      </w:r>
    </w:p>
    <w:p w14:paraId="35DC90E4" w14:textId="48C9075A" w:rsidR="00564FBA" w:rsidRPr="00451800" w:rsidRDefault="00564FBA" w:rsidP="00AC7513">
      <w:pPr>
        <w:pStyle w:val="ListParagraph"/>
        <w:numPr>
          <w:ilvl w:val="0"/>
          <w:numId w:val="28"/>
        </w:numPr>
        <w:spacing w:line="360" w:lineRule="auto"/>
        <w:rPr>
          <w:rFonts w:eastAsia="Arial Unicode MS"/>
          <w:bCs/>
          <w:lang w:val="en-GB"/>
        </w:rPr>
      </w:pPr>
      <w:r w:rsidRPr="00451800">
        <w:rPr>
          <w:rFonts w:eastAsia="Arial Unicode MS"/>
          <w:bCs/>
          <w:lang w:val="en-GB"/>
        </w:rPr>
        <w:t xml:space="preserve">Some people may have limited stamina and the research design and protocol should allow for rest or care breaks during the research process.  </w:t>
      </w:r>
    </w:p>
    <w:p w14:paraId="7E062749" w14:textId="77777777" w:rsidR="00564FBA" w:rsidRPr="00451800" w:rsidRDefault="00564FBA" w:rsidP="00AC7513">
      <w:pPr>
        <w:pStyle w:val="ListParagraph"/>
        <w:numPr>
          <w:ilvl w:val="0"/>
          <w:numId w:val="28"/>
        </w:numPr>
        <w:spacing w:line="360" w:lineRule="auto"/>
        <w:rPr>
          <w:rFonts w:eastAsia="Arial Unicode MS"/>
          <w:bCs/>
        </w:rPr>
      </w:pPr>
      <w:r w:rsidRPr="00451800">
        <w:rPr>
          <w:rFonts w:eastAsia="Arial Unicode MS"/>
          <w:bCs/>
        </w:rPr>
        <w:lastRenderedPageBreak/>
        <w:t>Participants should be afforded a choice of venues to reduce inconvenience and costs such as travel or allowing the researcher into their home.</w:t>
      </w:r>
      <w:r w:rsidRPr="00062F86">
        <w:rPr>
          <w:rFonts w:eastAsia="Arial Unicode MS"/>
          <w:vertAlign w:val="superscript"/>
        </w:rPr>
        <w:footnoteReference w:id="91"/>
      </w:r>
      <w:r w:rsidRPr="00451800">
        <w:rPr>
          <w:rFonts w:eastAsia="Arial Unicode MS"/>
          <w:bCs/>
        </w:rPr>
        <w:t xml:space="preserve"> </w:t>
      </w:r>
    </w:p>
    <w:p w14:paraId="6ED02E94" w14:textId="77777777" w:rsidR="00451800" w:rsidRPr="00451800" w:rsidRDefault="00564FBA" w:rsidP="00AC7513">
      <w:pPr>
        <w:pStyle w:val="ListParagraph"/>
        <w:numPr>
          <w:ilvl w:val="0"/>
          <w:numId w:val="28"/>
        </w:numPr>
        <w:spacing w:line="360" w:lineRule="auto"/>
        <w:rPr>
          <w:rFonts w:eastAsia="Arial Unicode MS"/>
          <w:lang w:val="en-GB"/>
        </w:rPr>
      </w:pPr>
      <w:r w:rsidRPr="00451800">
        <w:rPr>
          <w:rFonts w:eastAsia="Arial Unicode MS"/>
          <w:bCs/>
          <w:lang w:val="en-GB"/>
        </w:rPr>
        <w:t xml:space="preserve">While the individual’s wellbeing is of primary concern, </w:t>
      </w:r>
      <w:r w:rsidRPr="00451800">
        <w:rPr>
          <w:rFonts w:eastAsia="Arial Unicode MS"/>
          <w:lang w:val="en-GB"/>
        </w:rPr>
        <w:t>excessive concern to protect disabled persons who are seen as vulnerable can lead to gatekeepers preventing their inclusion in research: “A balance is needed between protection and empowerment”.</w:t>
      </w:r>
      <w:r w:rsidRPr="00564FBA">
        <w:rPr>
          <w:rFonts w:eastAsia="Arial Unicode MS"/>
          <w:vertAlign w:val="superscript"/>
          <w:lang w:val="en-GB"/>
        </w:rPr>
        <w:footnoteReference w:id="92"/>
      </w:r>
      <w:r w:rsidRPr="00451800">
        <w:rPr>
          <w:rFonts w:eastAsia="Arial Unicode MS"/>
          <w:lang w:val="en-GB"/>
        </w:rPr>
        <w:t xml:space="preserve"> </w:t>
      </w:r>
    </w:p>
    <w:p w14:paraId="75A65EF4" w14:textId="47347E63" w:rsidR="00564FBA" w:rsidRPr="00564FBA" w:rsidRDefault="00564FBA" w:rsidP="00301BA0">
      <w:pPr>
        <w:spacing w:line="360" w:lineRule="auto"/>
        <w:rPr>
          <w:rFonts w:eastAsia="Arial Unicode MS"/>
        </w:rPr>
      </w:pPr>
      <w:r w:rsidRPr="00564FBA">
        <w:rPr>
          <w:rFonts w:eastAsia="Arial Unicode MS"/>
          <w:lang w:val="en-GB"/>
        </w:rPr>
        <w:t>Gatekeepers</w:t>
      </w:r>
      <w:r w:rsidRPr="00564FBA">
        <w:rPr>
          <w:rFonts w:eastAsia="Arial Unicode MS"/>
        </w:rPr>
        <w:t xml:space="preserve"> are professional or informal supporters who grant or deny researchers access to individuals. A national study in England and Wales showed a widespread lack of understanding that the decision about research participation should be based on what the person’s wishes and what feelings about taking part would be, for those who lack capacity, which can only be determined through consulting with those that know them well.</w:t>
      </w:r>
      <w:r w:rsidRPr="00564FBA">
        <w:rPr>
          <w:rFonts w:eastAsia="Arial Unicode MS"/>
          <w:bCs/>
          <w:vertAlign w:val="superscript"/>
        </w:rPr>
        <w:footnoteReference w:id="93"/>
      </w:r>
      <w:r w:rsidRPr="00564FBA">
        <w:rPr>
          <w:rFonts w:eastAsia="Arial Unicode MS"/>
        </w:rPr>
        <w:t xml:space="preserve"> Gatekeepers can deny access to safeguard the “vulnerable”, or to protect themselves. They may be concerned about institutional factors such as policies and relationships or have misconceptions about the nature of the research. Sometimes they pre-select potential participants based on their own conceptions of what the research requires.</w:t>
      </w:r>
      <w:r w:rsidRPr="00564FBA">
        <w:rPr>
          <w:rFonts w:eastAsia="Arial Unicode MS"/>
          <w:bCs/>
          <w:vertAlign w:val="superscript"/>
        </w:rPr>
        <w:footnoteReference w:id="94"/>
      </w:r>
      <w:r w:rsidRPr="00564FBA">
        <w:rPr>
          <w:rFonts w:eastAsia="Arial Unicode MS"/>
        </w:rPr>
        <w:t xml:space="preserve"> Denying access avoids having to make decisions regarding the management of organizational, relational, or professional problems linked to results.</w:t>
      </w:r>
      <w:r w:rsidRPr="00564FBA">
        <w:rPr>
          <w:rFonts w:eastAsia="Arial Unicode MS"/>
          <w:vertAlign w:val="superscript"/>
        </w:rPr>
        <w:footnoteReference w:id="95"/>
      </w:r>
      <w:r w:rsidRPr="00564FBA">
        <w:rPr>
          <w:rFonts w:eastAsia="Arial Unicode MS"/>
        </w:rPr>
        <w:t xml:space="preserve"> It can lead to lack of representation of certain populations in research and can violate the rights of individuals to make their own decisions. </w:t>
      </w:r>
    </w:p>
    <w:p w14:paraId="7F69CF27" w14:textId="53369713" w:rsidR="00451800" w:rsidRPr="00E926D2" w:rsidRDefault="00062F86" w:rsidP="00301BA0">
      <w:pPr>
        <w:spacing w:line="360" w:lineRule="auto"/>
        <w:rPr>
          <w:rFonts w:eastAsia="Arial Unicode MS"/>
          <w:bCs/>
          <w:lang w:val="en-GB"/>
        </w:rPr>
      </w:pPr>
      <w:r w:rsidRPr="00062F86">
        <w:rPr>
          <w:rFonts w:eastAsia="Arial Unicode MS"/>
        </w:rPr>
        <w:lastRenderedPageBreak/>
        <w:t xml:space="preserve">The exclusion from research of certain individuals </w:t>
      </w:r>
      <w:r w:rsidR="00451800">
        <w:rPr>
          <w:rFonts w:eastAsia="Arial Unicode MS"/>
        </w:rPr>
        <w:t>who appear vulnerable</w:t>
      </w:r>
      <w:r w:rsidR="00FA1AD2">
        <w:rPr>
          <w:rFonts w:eastAsia="Arial Unicode MS"/>
        </w:rPr>
        <w:t>,</w:t>
      </w:r>
      <w:r w:rsidR="00451800">
        <w:rPr>
          <w:rFonts w:eastAsia="Arial Unicode MS"/>
        </w:rPr>
        <w:t xml:space="preserve"> </w:t>
      </w:r>
      <w:r w:rsidR="00FA1AD2" w:rsidRPr="00FA1AD2">
        <w:rPr>
          <w:rFonts w:eastAsia="Arial Unicode MS"/>
        </w:rPr>
        <w:t>communicate using non</w:t>
      </w:r>
      <w:r w:rsidR="00FA1AD2">
        <w:rPr>
          <w:rFonts w:eastAsia="Arial Unicode MS"/>
        </w:rPr>
        <w:t>-</w:t>
      </w:r>
      <w:r w:rsidR="00FA1AD2" w:rsidRPr="00FA1AD2">
        <w:rPr>
          <w:rFonts w:eastAsia="Arial Unicode MS"/>
        </w:rPr>
        <w:t>verbal means</w:t>
      </w:r>
      <w:r w:rsidR="00FA1AD2">
        <w:rPr>
          <w:rFonts w:eastAsia="Arial Unicode MS"/>
        </w:rPr>
        <w:t>,</w:t>
      </w:r>
      <w:r w:rsidR="00FA1AD2" w:rsidRPr="00FA1AD2">
        <w:rPr>
          <w:rFonts w:eastAsia="Arial Unicode MS"/>
        </w:rPr>
        <w:t xml:space="preserve"> </w:t>
      </w:r>
      <w:r w:rsidR="00FA1AD2">
        <w:rPr>
          <w:rFonts w:eastAsia="Arial Unicode MS"/>
        </w:rPr>
        <w:t xml:space="preserve">or </w:t>
      </w:r>
      <w:r w:rsidRPr="00062F86">
        <w:rPr>
          <w:rFonts w:eastAsia="Arial Unicode MS"/>
        </w:rPr>
        <w:t>lack decision-making capacity</w:t>
      </w:r>
      <w:r w:rsidR="00FA1AD2">
        <w:rPr>
          <w:rFonts w:eastAsia="Arial Unicode MS"/>
        </w:rPr>
        <w:t>,</w:t>
      </w:r>
      <w:r w:rsidRPr="00062F86">
        <w:rPr>
          <w:rFonts w:eastAsia="Arial Unicode MS"/>
        </w:rPr>
        <w:t xml:space="preserve"> risks condemning such populations to poor-quality support and care because of a lack of relevant evidence to inform social care and health provision. </w:t>
      </w:r>
      <w:r w:rsidR="00451800">
        <w:rPr>
          <w:rFonts w:eastAsia="Arial Unicode MS"/>
        </w:rPr>
        <w:t>Such a</w:t>
      </w:r>
      <w:r w:rsidRPr="00062F86">
        <w:rPr>
          <w:rFonts w:eastAsia="Arial Unicode MS"/>
        </w:rPr>
        <w:t xml:space="preserve">dults </w:t>
      </w:r>
      <w:r w:rsidR="00451800">
        <w:rPr>
          <w:rFonts w:eastAsia="Arial Unicode MS"/>
        </w:rPr>
        <w:t xml:space="preserve">e.g., those </w:t>
      </w:r>
      <w:r w:rsidRPr="00062F86">
        <w:rPr>
          <w:rFonts w:eastAsia="Arial Unicode MS"/>
        </w:rPr>
        <w:t xml:space="preserve">who lack decision-making capacity must not be unfairly excluded from the benefits of research participation, nor </w:t>
      </w:r>
      <w:r w:rsidR="00451800" w:rsidRPr="00564FBA">
        <w:rPr>
          <w:rFonts w:eastAsia="Arial Unicode MS"/>
        </w:rPr>
        <w:t xml:space="preserve">should </w:t>
      </w:r>
      <w:r w:rsidR="00451800">
        <w:rPr>
          <w:rFonts w:eastAsia="Arial Unicode MS"/>
        </w:rPr>
        <w:t xml:space="preserve">a </w:t>
      </w:r>
      <w:r w:rsidRPr="00062F86">
        <w:rPr>
          <w:rFonts w:eastAsia="Arial Unicode MS"/>
        </w:rPr>
        <w:t xml:space="preserve">lack of capacity to consent be used to inappropriately include them in research. </w:t>
      </w:r>
    </w:p>
    <w:p w14:paraId="4AD3C517" w14:textId="37DFB3C5" w:rsidR="00B91B6B" w:rsidRDefault="00B91B6B" w:rsidP="00AC7513">
      <w:pPr>
        <w:pStyle w:val="Heading2"/>
        <w:numPr>
          <w:ilvl w:val="1"/>
          <w:numId w:val="11"/>
        </w:numPr>
        <w:spacing w:line="360" w:lineRule="auto"/>
        <w:rPr>
          <w:lang w:val="en-GB"/>
        </w:rPr>
      </w:pPr>
      <w:bookmarkStart w:id="42" w:name="_Toc141347010"/>
      <w:bookmarkStart w:id="43" w:name="_Toc150873270"/>
      <w:bookmarkStart w:id="44" w:name="_Toc156380499"/>
      <w:r>
        <w:rPr>
          <w:lang w:val="en-GB"/>
        </w:rPr>
        <w:t>Consent</w:t>
      </w:r>
      <w:bookmarkEnd w:id="42"/>
      <w:r w:rsidR="00DE4B4C">
        <w:rPr>
          <w:lang w:val="en-GB"/>
        </w:rPr>
        <w:t xml:space="preserve"> to participate in </w:t>
      </w:r>
      <w:proofErr w:type="gramStart"/>
      <w:r w:rsidR="00DE4B4C">
        <w:rPr>
          <w:lang w:val="en-GB"/>
        </w:rPr>
        <w:t>research</w:t>
      </w:r>
      <w:bookmarkEnd w:id="43"/>
      <w:bookmarkEnd w:id="44"/>
      <w:proofErr w:type="gramEnd"/>
    </w:p>
    <w:p w14:paraId="01C080E3" w14:textId="77777777" w:rsidR="00184F0C" w:rsidRPr="0043134A" w:rsidRDefault="00184F0C" w:rsidP="00AC7513">
      <w:pPr>
        <w:pStyle w:val="Heading3"/>
        <w:numPr>
          <w:ilvl w:val="2"/>
          <w:numId w:val="11"/>
        </w:numPr>
        <w:spacing w:line="360" w:lineRule="auto"/>
        <w:rPr>
          <w:lang w:val="en-GB"/>
        </w:rPr>
      </w:pPr>
      <w:r>
        <w:t xml:space="preserve">The purpose of </w:t>
      </w:r>
      <w:r>
        <w:rPr>
          <w:lang w:val="en-GB"/>
        </w:rPr>
        <w:t>informed</w:t>
      </w:r>
      <w:r w:rsidRPr="0043134A">
        <w:rPr>
          <w:lang w:val="en-GB"/>
        </w:rPr>
        <w:t xml:space="preserve"> consent</w:t>
      </w:r>
    </w:p>
    <w:p w14:paraId="549A98D1" w14:textId="2DF50804" w:rsidR="000D1668" w:rsidRDefault="00184F0C" w:rsidP="00301BA0">
      <w:pPr>
        <w:spacing w:line="360" w:lineRule="auto"/>
      </w:pPr>
      <w:r w:rsidRPr="007A2504">
        <w:rPr>
          <w:lang w:val="en-GB"/>
        </w:rPr>
        <w:t xml:space="preserve">Free, informed consent </w:t>
      </w:r>
      <w:r w:rsidR="00B169A6">
        <w:rPr>
          <w:lang w:val="en-GB"/>
        </w:rPr>
        <w:t xml:space="preserve">is an </w:t>
      </w:r>
      <w:r w:rsidRPr="007A2504">
        <w:rPr>
          <w:lang w:val="en-GB"/>
        </w:rPr>
        <w:t xml:space="preserve">attempt to resolve the ethical tension of involving people in research when they have not actively sought this and when the research </w:t>
      </w:r>
      <w:r>
        <w:rPr>
          <w:lang w:val="en-GB"/>
        </w:rPr>
        <w:t xml:space="preserve">is </w:t>
      </w:r>
      <w:r w:rsidRPr="007A2504">
        <w:rPr>
          <w:lang w:val="en-GB"/>
        </w:rPr>
        <w:t xml:space="preserve">often only of </w:t>
      </w:r>
      <w:r w:rsidR="00B169A6">
        <w:rPr>
          <w:lang w:val="en-GB"/>
        </w:rPr>
        <w:t xml:space="preserve">indirect </w:t>
      </w:r>
      <w:r w:rsidRPr="007A2504">
        <w:rPr>
          <w:lang w:val="en-GB"/>
        </w:rPr>
        <w:t xml:space="preserve">benefit to them. Obtaining voluntary and informed consent seeks to ensure that individuals are treated </w:t>
      </w:r>
      <w:r w:rsidR="00B169A6">
        <w:rPr>
          <w:lang w:val="en-GB"/>
        </w:rPr>
        <w:t xml:space="preserve">and respected </w:t>
      </w:r>
      <w:r w:rsidRPr="007A2504">
        <w:rPr>
          <w:lang w:val="en-GB"/>
        </w:rPr>
        <w:t xml:space="preserve">as subjects and participants. Guided by the ethical and legal principle of personal autonomy, </w:t>
      </w:r>
      <w:r>
        <w:rPr>
          <w:lang w:val="en-GB"/>
        </w:rPr>
        <w:t xml:space="preserve">and protected by legislation, </w:t>
      </w:r>
      <w:r w:rsidRPr="007A2504">
        <w:rPr>
          <w:lang w:val="en-GB"/>
        </w:rPr>
        <w:t xml:space="preserve">research participants </w:t>
      </w:r>
      <w:r>
        <w:rPr>
          <w:lang w:val="en-GB"/>
        </w:rPr>
        <w:t xml:space="preserve">must </w:t>
      </w:r>
      <w:r w:rsidRPr="007A2504">
        <w:rPr>
          <w:lang w:val="en-GB"/>
        </w:rPr>
        <w:t xml:space="preserve">be facilitated to decide freely whether the research is consistent with their interests and preferences. </w:t>
      </w:r>
      <w:r w:rsidR="005A6D6A" w:rsidRPr="005A6D6A">
        <w:rPr>
          <w:lang w:val="en-GB"/>
        </w:rPr>
        <w:t>It is a mechanism to ensure that the rights of individual participants are protected</w:t>
      </w:r>
      <w:r w:rsidR="005A6D6A">
        <w:rPr>
          <w:lang w:val="en-GB"/>
        </w:rPr>
        <w:t xml:space="preserve"> by </w:t>
      </w:r>
      <w:r w:rsidRPr="00F1537C">
        <w:t>support</w:t>
      </w:r>
      <w:r w:rsidR="005A6D6A">
        <w:t>ing</w:t>
      </w:r>
      <w:r w:rsidRPr="00F1537C">
        <w:t xml:space="preserve"> individual autonomy</w:t>
      </w:r>
      <w:r>
        <w:t>,</w:t>
      </w:r>
      <w:r w:rsidRPr="00F1537C">
        <w:t xml:space="preserve"> protect</w:t>
      </w:r>
      <w:r w:rsidR="005A6D6A">
        <w:t>ing</w:t>
      </w:r>
      <w:r w:rsidRPr="00F1537C">
        <w:t xml:space="preserve"> participants’ welfare, promot</w:t>
      </w:r>
      <w:r w:rsidR="005A6D6A">
        <w:t>ing</w:t>
      </w:r>
      <w:r w:rsidRPr="00F1537C">
        <w:t xml:space="preserve"> trust, satisf</w:t>
      </w:r>
      <w:r w:rsidR="00B169A6">
        <w:t>y</w:t>
      </w:r>
      <w:r w:rsidR="005A6D6A">
        <w:t>ing</w:t>
      </w:r>
      <w:r w:rsidRPr="00F1537C">
        <w:t xml:space="preserve"> regulatory requirements, and contribut</w:t>
      </w:r>
      <w:r w:rsidR="005A6D6A">
        <w:t>ing</w:t>
      </w:r>
      <w:r w:rsidRPr="00F1537C">
        <w:t xml:space="preserve"> to transparency and integrity in research. </w:t>
      </w:r>
    </w:p>
    <w:p w14:paraId="5EC1F3E3" w14:textId="77777777" w:rsidR="000D1668" w:rsidRDefault="000D1668" w:rsidP="00301BA0">
      <w:pPr>
        <w:spacing w:line="360" w:lineRule="auto"/>
        <w:rPr>
          <w:lang w:val="en-GB"/>
        </w:rPr>
      </w:pPr>
      <w:r>
        <w:rPr>
          <w:lang w:val="en-GB"/>
        </w:rPr>
        <w:t xml:space="preserve">Autonomy </w:t>
      </w:r>
      <w:r w:rsidRPr="00764364">
        <w:rPr>
          <w:lang w:val="en-GB"/>
        </w:rPr>
        <w:t xml:space="preserve">demands that </w:t>
      </w:r>
      <w:r>
        <w:rPr>
          <w:lang w:val="en-GB"/>
        </w:rPr>
        <w:t xml:space="preserve">a </w:t>
      </w:r>
      <w:r w:rsidRPr="00764364">
        <w:rPr>
          <w:lang w:val="en-GB"/>
        </w:rPr>
        <w:t>person’s right to make decisions</w:t>
      </w:r>
      <w:r>
        <w:rPr>
          <w:lang w:val="en-GB"/>
        </w:rPr>
        <w:t>,</w:t>
      </w:r>
      <w:r w:rsidRPr="00764364">
        <w:rPr>
          <w:lang w:val="en-GB"/>
        </w:rPr>
        <w:t xml:space="preserve"> </w:t>
      </w:r>
      <w:r>
        <w:rPr>
          <w:lang w:val="en-GB"/>
        </w:rPr>
        <w:t>including decisions about participating in research,</w:t>
      </w:r>
      <w:r w:rsidRPr="00764364">
        <w:rPr>
          <w:lang w:val="en-GB"/>
        </w:rPr>
        <w:t xml:space="preserve"> </w:t>
      </w:r>
      <w:r>
        <w:rPr>
          <w:lang w:val="en-GB"/>
        </w:rPr>
        <w:t xml:space="preserve">refusing to participate, or </w:t>
      </w:r>
      <w:r w:rsidRPr="00764364">
        <w:rPr>
          <w:lang w:val="en-GB"/>
        </w:rPr>
        <w:t>withdraw</w:t>
      </w:r>
      <w:r>
        <w:rPr>
          <w:lang w:val="en-GB"/>
        </w:rPr>
        <w:t xml:space="preserve">ing consent, is respected by everybody. </w:t>
      </w:r>
      <w:r w:rsidRPr="00DE4B4C">
        <w:rPr>
          <w:lang w:val="en-GB"/>
        </w:rPr>
        <w:t>All prospective participants must be recognised as independent persons able to manage their own concerns and with the right to make and express personal decisions, free of outside interference and to have th</w:t>
      </w:r>
      <w:r>
        <w:rPr>
          <w:lang w:val="en-GB"/>
        </w:rPr>
        <w:t>eir</w:t>
      </w:r>
      <w:r w:rsidRPr="00DE4B4C">
        <w:rPr>
          <w:lang w:val="en-GB"/>
        </w:rPr>
        <w:t xml:space="preserve"> decisions honoured.</w:t>
      </w:r>
      <w:r>
        <w:rPr>
          <w:lang w:val="en-GB"/>
        </w:rPr>
        <w:t xml:space="preserve"> </w:t>
      </w:r>
      <w:r w:rsidRPr="00410075">
        <w:rPr>
          <w:lang w:val="en-GB"/>
        </w:rPr>
        <w:t xml:space="preserve">Therefore, researchers must facilitate participants to make free, independent, and informed choices without </w:t>
      </w:r>
      <w:r>
        <w:rPr>
          <w:lang w:val="en-GB"/>
        </w:rPr>
        <w:t xml:space="preserve">any </w:t>
      </w:r>
      <w:r w:rsidRPr="00410075">
        <w:rPr>
          <w:lang w:val="en-GB"/>
        </w:rPr>
        <w:t>coercion</w:t>
      </w:r>
      <w:r w:rsidRPr="005464D8">
        <w:rPr>
          <w:lang w:val="en-GB"/>
        </w:rPr>
        <w:t xml:space="preserve"> when </w:t>
      </w:r>
      <w:r>
        <w:rPr>
          <w:lang w:val="en-GB"/>
        </w:rPr>
        <w:t xml:space="preserve">they </w:t>
      </w:r>
      <w:r>
        <w:rPr>
          <w:lang w:val="en-GB"/>
        </w:rPr>
        <w:lastRenderedPageBreak/>
        <w:t xml:space="preserve">are </w:t>
      </w:r>
      <w:r w:rsidRPr="005464D8">
        <w:rPr>
          <w:lang w:val="en-GB"/>
        </w:rPr>
        <w:t xml:space="preserve">deciding </w:t>
      </w:r>
      <w:r>
        <w:rPr>
          <w:lang w:val="en-GB"/>
        </w:rPr>
        <w:t xml:space="preserve">whether </w:t>
      </w:r>
      <w:r w:rsidRPr="005464D8">
        <w:rPr>
          <w:lang w:val="en-GB"/>
        </w:rPr>
        <w:t xml:space="preserve">to become involved in a </w:t>
      </w:r>
      <w:r>
        <w:rPr>
          <w:lang w:val="en-GB"/>
        </w:rPr>
        <w:t xml:space="preserve">research </w:t>
      </w:r>
      <w:r w:rsidRPr="005464D8">
        <w:rPr>
          <w:lang w:val="en-GB"/>
        </w:rPr>
        <w:t>study</w:t>
      </w:r>
      <w:r w:rsidRPr="00410075">
        <w:rPr>
          <w:lang w:val="en-GB"/>
        </w:rPr>
        <w:t xml:space="preserve">. This means putting in place mechanisms as part of the research design that support </w:t>
      </w:r>
      <w:r>
        <w:rPr>
          <w:lang w:val="en-GB"/>
        </w:rPr>
        <w:t xml:space="preserve">each person’s </w:t>
      </w:r>
      <w:r w:rsidRPr="00410075">
        <w:rPr>
          <w:lang w:val="en-GB"/>
        </w:rPr>
        <w:t xml:space="preserve">autonomy. To ensure autonomy, prospective research participants must </w:t>
      </w:r>
      <w:r>
        <w:rPr>
          <w:lang w:val="en-GB"/>
        </w:rPr>
        <w:t xml:space="preserve">fully </w:t>
      </w:r>
      <w:r w:rsidRPr="00410075">
        <w:rPr>
          <w:lang w:val="en-GB"/>
        </w:rPr>
        <w:t xml:space="preserve">understand what is being asked of them, the effect </w:t>
      </w:r>
      <w:r>
        <w:rPr>
          <w:lang w:val="en-GB"/>
        </w:rPr>
        <w:t xml:space="preserve">that </w:t>
      </w:r>
      <w:r w:rsidRPr="00410075">
        <w:rPr>
          <w:lang w:val="en-GB"/>
        </w:rPr>
        <w:t xml:space="preserve">research participation may have on them and the risks/benefits of participation. </w:t>
      </w:r>
    </w:p>
    <w:p w14:paraId="51B62FDE" w14:textId="77777777" w:rsidR="000D1668" w:rsidRDefault="000D1668" w:rsidP="00301BA0">
      <w:pPr>
        <w:spacing w:line="360" w:lineRule="auto"/>
      </w:pPr>
      <w:r>
        <w:rPr>
          <w:lang w:val="en-GB"/>
        </w:rPr>
        <w:t>The value of a</w:t>
      </w:r>
      <w:r w:rsidRPr="00764364">
        <w:rPr>
          <w:lang w:val="en-GB"/>
        </w:rPr>
        <w:t>utonomy</w:t>
      </w:r>
      <w:r>
        <w:rPr>
          <w:lang w:val="en-GB"/>
        </w:rPr>
        <w:t>, which is closely</w:t>
      </w:r>
      <w:r w:rsidRPr="00764364">
        <w:rPr>
          <w:lang w:val="en-GB"/>
        </w:rPr>
        <w:t xml:space="preserve"> </w:t>
      </w:r>
      <w:r>
        <w:rPr>
          <w:lang w:val="en-GB"/>
        </w:rPr>
        <w:t>related to self-determination</w:t>
      </w:r>
      <w:r>
        <w:t>, can be considered from various angles:</w:t>
      </w:r>
      <w:r>
        <w:rPr>
          <w:rStyle w:val="FootnoteReference"/>
        </w:rPr>
        <w:footnoteReference w:id="96"/>
      </w:r>
    </w:p>
    <w:p w14:paraId="555740C6" w14:textId="77777777" w:rsidR="000D1668" w:rsidRDefault="000D1668" w:rsidP="00AC7513">
      <w:pPr>
        <w:pStyle w:val="ListParagraph"/>
        <w:numPr>
          <w:ilvl w:val="0"/>
          <w:numId w:val="19"/>
        </w:numPr>
        <w:spacing w:line="360" w:lineRule="auto"/>
      </w:pPr>
      <w:r>
        <w:t>Choice (autonomy of thought) -</w:t>
      </w:r>
      <w:r w:rsidRPr="00874481">
        <w:t xml:space="preserve"> thinking for </w:t>
      </w:r>
      <w:proofErr w:type="gramStart"/>
      <w:r w:rsidRPr="00874481">
        <w:t>oneself</w:t>
      </w:r>
      <w:proofErr w:type="gramEnd"/>
    </w:p>
    <w:p w14:paraId="0F5CBFB4" w14:textId="77777777" w:rsidR="000D1668" w:rsidRDefault="000D1668" w:rsidP="00AC7513">
      <w:pPr>
        <w:pStyle w:val="ListParagraph"/>
        <w:numPr>
          <w:ilvl w:val="0"/>
          <w:numId w:val="19"/>
        </w:numPr>
        <w:spacing w:line="360" w:lineRule="auto"/>
      </w:pPr>
      <w:r>
        <w:t xml:space="preserve">Capacity (autonomy of will) - </w:t>
      </w:r>
      <w:r w:rsidRPr="00874481">
        <w:t xml:space="preserve">freedom to do something based on one’s own </w:t>
      </w:r>
      <w:proofErr w:type="gramStart"/>
      <w:r w:rsidRPr="00874481">
        <w:t>deliberations</w:t>
      </w:r>
      <w:proofErr w:type="gramEnd"/>
      <w:r w:rsidRPr="00874481">
        <w:t xml:space="preserve"> </w:t>
      </w:r>
    </w:p>
    <w:p w14:paraId="743312B6" w14:textId="77777777" w:rsidR="000D1668" w:rsidRDefault="000D1668" w:rsidP="00AC7513">
      <w:pPr>
        <w:pStyle w:val="ListParagraph"/>
        <w:numPr>
          <w:ilvl w:val="0"/>
          <w:numId w:val="19"/>
        </w:numPr>
        <w:spacing w:line="360" w:lineRule="auto"/>
        <w:rPr>
          <w:lang w:val="en-GB"/>
        </w:rPr>
      </w:pPr>
      <w:r>
        <w:t>Governing oneself/Self-determination (</w:t>
      </w:r>
      <w:r w:rsidRPr="00874481">
        <w:t>autonomy of action</w:t>
      </w:r>
      <w:r>
        <w:t>) -</w:t>
      </w:r>
      <w:r w:rsidRPr="00874481">
        <w:t xml:space="preserve"> freedom to act as one wishes.</w:t>
      </w:r>
      <w:r w:rsidRPr="00DE4B4C">
        <w:rPr>
          <w:lang w:val="en-GB"/>
        </w:rPr>
        <w:t xml:space="preserve"> </w:t>
      </w:r>
    </w:p>
    <w:p w14:paraId="1B8E7D0D" w14:textId="4DC7D797" w:rsidR="00E35D1E" w:rsidRDefault="003201C0" w:rsidP="00301BA0">
      <w:pPr>
        <w:spacing w:line="360" w:lineRule="auto"/>
        <w:rPr>
          <w:lang w:val="en-GB"/>
        </w:rPr>
      </w:pPr>
      <w:r>
        <w:t xml:space="preserve">The </w:t>
      </w:r>
      <w:r w:rsidR="00184F0C" w:rsidRPr="00344C66">
        <w:t xml:space="preserve">thrust of legislative reform worldwide </w:t>
      </w:r>
      <w:r w:rsidR="00184F0C">
        <w:t xml:space="preserve">including in Ireland is to </w:t>
      </w:r>
      <w:r w:rsidR="00184F0C" w:rsidRPr="00344C66">
        <w:t>emphasis</w:t>
      </w:r>
      <w:r w:rsidR="00184F0C">
        <w:t>e</w:t>
      </w:r>
      <w:r w:rsidR="00184F0C" w:rsidRPr="00344C66">
        <w:t xml:space="preserve"> </w:t>
      </w:r>
      <w:r w:rsidR="00B169A6">
        <w:t xml:space="preserve">the </w:t>
      </w:r>
      <w:r w:rsidR="00184F0C" w:rsidRPr="00344C66">
        <w:t>capacity</w:t>
      </w:r>
      <w:r w:rsidR="00B169A6">
        <w:t xml:space="preserve"> of each person</w:t>
      </w:r>
      <w:r w:rsidR="00184F0C">
        <w:t xml:space="preserve">. </w:t>
      </w:r>
      <w:r w:rsidR="000D1668">
        <w:t xml:space="preserve">Irish </w:t>
      </w:r>
      <w:r w:rsidR="00B169A6">
        <w:t xml:space="preserve">capacity legislation is </w:t>
      </w:r>
      <w:r w:rsidR="00184F0C" w:rsidRPr="00344C66">
        <w:t>enabling rather than restrictive</w:t>
      </w:r>
      <w:r w:rsidR="00184F0C">
        <w:t>,</w:t>
      </w:r>
      <w:r w:rsidR="00184F0C" w:rsidRPr="00344C66">
        <w:t xml:space="preserve"> and the legal standard of capacity is decision-specific (functional). </w:t>
      </w:r>
      <w:r w:rsidR="00184F0C">
        <w:rPr>
          <w:lang w:val="en-GB"/>
        </w:rPr>
        <w:t>Together with GDPR compliance regarding processing personal data, i</w:t>
      </w:r>
      <w:r w:rsidR="00184F0C" w:rsidRPr="009B64D8">
        <w:rPr>
          <w:lang w:val="en-GB"/>
        </w:rPr>
        <w:t xml:space="preserve">nformed, voluntary and fair consent is </w:t>
      </w:r>
      <w:r w:rsidR="00184F0C">
        <w:rPr>
          <w:lang w:val="en-GB"/>
        </w:rPr>
        <w:t>the</w:t>
      </w:r>
      <w:r w:rsidR="00184F0C" w:rsidRPr="009B64D8">
        <w:rPr>
          <w:lang w:val="en-GB"/>
        </w:rPr>
        <w:t xml:space="preserve"> cornerstone of ethical research. </w:t>
      </w:r>
    </w:p>
    <w:p w14:paraId="76001819" w14:textId="61913AED" w:rsidR="00E35D1E" w:rsidRPr="00E35D1E" w:rsidRDefault="00E35D1E" w:rsidP="00301BA0">
      <w:pPr>
        <w:spacing w:line="360" w:lineRule="auto"/>
      </w:pPr>
      <w:r w:rsidRPr="00E35D1E">
        <w:t xml:space="preserve">Most people, with adequate support, can make informed choices and exercise their right to consent to participate in research or decline to do so. The provision of support should reflect the level of complexity in the research and be sufficient to enable an individual to choose whether to participate. Supported decision-making gives primacy to people’s will and preferences. It provides protection for rights, including those related to autonomy (the right to legal capacity, the right to equal recognition before the law, the right to choose where </w:t>
      </w:r>
      <w:r w:rsidRPr="00E35D1E">
        <w:lastRenderedPageBreak/>
        <w:t xml:space="preserve">to live) and those related to freedom from abuse and ill-treatment (the right to life, the right to physical integrity.) Supported decision-making should not overregulate the lives of persons with disabilities in a way that impacts their capacity (CRPD 2006). </w:t>
      </w:r>
    </w:p>
    <w:p w14:paraId="7704802C" w14:textId="62CDE8D7" w:rsidR="00184F0C" w:rsidRPr="00D07629" w:rsidRDefault="00184F0C" w:rsidP="00301BA0">
      <w:pPr>
        <w:spacing w:line="360" w:lineRule="auto"/>
      </w:pPr>
      <w:r w:rsidRPr="009B64D8">
        <w:rPr>
          <w:lang w:val="en-GB"/>
        </w:rPr>
        <w:t xml:space="preserve">Through the consent process, participants </w:t>
      </w:r>
      <w:r>
        <w:rPr>
          <w:lang w:val="en-GB"/>
        </w:rPr>
        <w:t xml:space="preserve">should </w:t>
      </w:r>
      <w:r w:rsidRPr="009B64D8">
        <w:rPr>
          <w:lang w:val="en-GB"/>
        </w:rPr>
        <w:t xml:space="preserve">understand </w:t>
      </w:r>
      <w:r>
        <w:rPr>
          <w:lang w:val="en-GB"/>
        </w:rPr>
        <w:t xml:space="preserve">clearly </w:t>
      </w:r>
      <w:r w:rsidRPr="009B64D8">
        <w:rPr>
          <w:lang w:val="en-GB"/>
        </w:rPr>
        <w:t>what taking part in a specific research programme will mean for them so that they can make an informed choice.</w:t>
      </w:r>
      <w:r>
        <w:rPr>
          <w:lang w:val="en-GB"/>
        </w:rPr>
        <w:t xml:space="preserve"> This information includes how the researchers </w:t>
      </w:r>
      <w:r w:rsidRPr="00D25F4C">
        <w:t>intend to use personal data, and the types of data they will us</w:t>
      </w:r>
      <w:r>
        <w:t>e</w:t>
      </w:r>
      <w:r w:rsidRPr="00D25F4C">
        <w:t>, etc. The consent process</w:t>
      </w:r>
      <w:r>
        <w:t xml:space="preserve"> </w:t>
      </w:r>
      <w:r w:rsidRPr="00D25F4C">
        <w:t>aids transparency and fairness for research participants.</w:t>
      </w:r>
      <w:r>
        <w:rPr>
          <w:rStyle w:val="FootnoteReference"/>
        </w:rPr>
        <w:footnoteReference w:id="97"/>
      </w:r>
      <w:r>
        <w:rPr>
          <w:lang w:val="en-GB"/>
        </w:rPr>
        <w:t xml:space="preserve"> </w:t>
      </w:r>
      <w:r w:rsidRPr="00D25F4C">
        <w:t>Project-specific information (the information provide</w:t>
      </w:r>
      <w:r>
        <w:t>d</w:t>
      </w:r>
      <w:r w:rsidRPr="00D25F4C">
        <w:t xml:space="preserve"> to participants during the consent process) should not be the only information made available to research participants. </w:t>
      </w:r>
      <w:r w:rsidR="002348A9">
        <w:t xml:space="preserve">Who funds the research, etc. is also relevant. </w:t>
      </w:r>
      <w:r>
        <w:t xml:space="preserve">For this, </w:t>
      </w:r>
      <w:r w:rsidRPr="00D25F4C">
        <w:t>researchers, research governance leads, and D</w:t>
      </w:r>
      <w:r>
        <w:t xml:space="preserve">ata </w:t>
      </w:r>
      <w:r w:rsidRPr="00D25F4C">
        <w:t>P</w:t>
      </w:r>
      <w:r>
        <w:t xml:space="preserve">rotection Officers </w:t>
      </w:r>
      <w:r w:rsidRPr="00D25F4C">
        <w:t>should work together to ensure a joined-up approach to transparency</w:t>
      </w:r>
      <w:r>
        <w:t xml:space="preserve"> and fairness</w:t>
      </w:r>
      <w:r w:rsidRPr="00D25F4C">
        <w:t>.</w:t>
      </w:r>
      <w:r>
        <w:rPr>
          <w:rStyle w:val="FootnoteReference"/>
        </w:rPr>
        <w:footnoteReference w:id="98"/>
      </w:r>
      <w:r>
        <w:t xml:space="preserve"> </w:t>
      </w:r>
      <w:r w:rsidRPr="00874481">
        <w:t>Essential components within a valid informed consent process are disclosure of information, comprehension, competency</w:t>
      </w:r>
      <w:r>
        <w:t>,</w:t>
      </w:r>
      <w:r w:rsidRPr="00874481">
        <w:t xml:space="preserve"> and voluntariness</w:t>
      </w:r>
      <w:r>
        <w:t>.</w:t>
      </w:r>
      <w:r>
        <w:rPr>
          <w:rStyle w:val="FootnoteReference"/>
        </w:rPr>
        <w:footnoteReference w:id="99"/>
      </w:r>
      <w:r w:rsidRPr="00874481">
        <w:t xml:space="preserve"> </w:t>
      </w:r>
      <w:r>
        <w:t xml:space="preserve">The process of obtaining consent </w:t>
      </w:r>
      <w:r w:rsidRPr="009160BB">
        <w:t xml:space="preserve">begins with a researcher’s first contact with a potential participant and continues </w:t>
      </w:r>
      <w:r>
        <w:t xml:space="preserve">until </w:t>
      </w:r>
      <w:r w:rsidRPr="009160BB">
        <w:t>the participant’s involvement in the research</w:t>
      </w:r>
      <w:r>
        <w:t xml:space="preserve"> ceases</w:t>
      </w:r>
      <w:r w:rsidRPr="009160BB">
        <w:t xml:space="preserve">. The process requires reciprocal communication between researcher and potential participants. Researchers </w:t>
      </w:r>
      <w:r>
        <w:t xml:space="preserve">must </w:t>
      </w:r>
      <w:r w:rsidRPr="009160BB">
        <w:t xml:space="preserve">provide participants with information </w:t>
      </w:r>
      <w:r w:rsidR="00FA1AD2">
        <w:t>i</w:t>
      </w:r>
      <w:r w:rsidR="00FA1AD2" w:rsidRPr="00FA1AD2">
        <w:t xml:space="preserve">n accessible formats </w:t>
      </w:r>
      <w:r w:rsidRPr="009160BB">
        <w:t xml:space="preserve">about the research they are being asked to participate in, </w:t>
      </w:r>
      <w:r>
        <w:t xml:space="preserve">the </w:t>
      </w:r>
      <w:r w:rsidRPr="009160BB">
        <w:t xml:space="preserve">potential risks and benefits, </w:t>
      </w:r>
      <w:r>
        <w:t xml:space="preserve">and </w:t>
      </w:r>
      <w:r w:rsidRPr="009160BB">
        <w:t>the opportunity to ask questions</w:t>
      </w:r>
      <w:r>
        <w:t>, etc.</w:t>
      </w:r>
      <w:r w:rsidRPr="0036542A">
        <w:t xml:space="preserve"> </w:t>
      </w:r>
      <w:r w:rsidRPr="00D07629">
        <w:t>Essential information elements include the following:</w:t>
      </w:r>
      <w:r w:rsidRPr="00D07629">
        <w:rPr>
          <w:rFonts w:ascii="Gill Sans" w:hAnsi="Gill Sans"/>
          <w:sz w:val="22"/>
          <w:vertAlign w:val="superscript"/>
        </w:rPr>
        <w:footnoteReference w:id="100"/>
      </w:r>
    </w:p>
    <w:p w14:paraId="02B616C4" w14:textId="77777777" w:rsidR="00184F0C" w:rsidRPr="00D07629" w:rsidRDefault="00184F0C" w:rsidP="00AC7513">
      <w:pPr>
        <w:numPr>
          <w:ilvl w:val="0"/>
          <w:numId w:val="27"/>
        </w:numPr>
        <w:spacing w:after="120" w:line="360" w:lineRule="auto"/>
      </w:pPr>
      <w:r w:rsidRPr="00D07629">
        <w:lastRenderedPageBreak/>
        <w:t>Title of study</w:t>
      </w:r>
    </w:p>
    <w:p w14:paraId="1E941D92" w14:textId="77777777" w:rsidR="00184F0C" w:rsidRPr="00D07629" w:rsidRDefault="00184F0C" w:rsidP="00AC7513">
      <w:pPr>
        <w:numPr>
          <w:ilvl w:val="0"/>
          <w:numId w:val="27"/>
        </w:numPr>
        <w:spacing w:after="120" w:line="360" w:lineRule="auto"/>
      </w:pPr>
      <w:r w:rsidRPr="00D07629">
        <w:t xml:space="preserve">Researcher(s) name, place of work, qualifications and contact </w:t>
      </w:r>
      <w:proofErr w:type="gramStart"/>
      <w:r w:rsidRPr="00D07629">
        <w:t>details</w:t>
      </w:r>
      <w:proofErr w:type="gramEnd"/>
    </w:p>
    <w:p w14:paraId="333F1EA4" w14:textId="77777777" w:rsidR="00184F0C" w:rsidRPr="00D07629" w:rsidRDefault="00184F0C" w:rsidP="00AC7513">
      <w:pPr>
        <w:numPr>
          <w:ilvl w:val="0"/>
          <w:numId w:val="27"/>
        </w:numPr>
        <w:spacing w:after="120" w:line="360" w:lineRule="auto"/>
      </w:pPr>
      <w:r w:rsidRPr="00D07629">
        <w:t>The study population</w:t>
      </w:r>
    </w:p>
    <w:p w14:paraId="178757B1" w14:textId="77777777" w:rsidR="00184F0C" w:rsidRPr="00D07629" w:rsidRDefault="00184F0C" w:rsidP="00AC7513">
      <w:pPr>
        <w:numPr>
          <w:ilvl w:val="0"/>
          <w:numId w:val="27"/>
        </w:numPr>
        <w:spacing w:after="120" w:line="360" w:lineRule="auto"/>
      </w:pPr>
      <w:r w:rsidRPr="00D07629">
        <w:t xml:space="preserve">The purpose of the study </w:t>
      </w:r>
    </w:p>
    <w:p w14:paraId="3E3BDA2C" w14:textId="77777777" w:rsidR="00184F0C" w:rsidRPr="00D07629" w:rsidRDefault="00184F0C" w:rsidP="00AC7513">
      <w:pPr>
        <w:numPr>
          <w:ilvl w:val="0"/>
          <w:numId w:val="27"/>
        </w:numPr>
        <w:spacing w:after="120" w:line="360" w:lineRule="auto"/>
      </w:pPr>
      <w:r w:rsidRPr="00D07629">
        <w:t xml:space="preserve">The study procedures and steps for data collection </w:t>
      </w:r>
    </w:p>
    <w:p w14:paraId="192D9EA8" w14:textId="77777777" w:rsidR="00184F0C" w:rsidRPr="00D07629" w:rsidRDefault="00184F0C" w:rsidP="00AC7513">
      <w:pPr>
        <w:numPr>
          <w:ilvl w:val="0"/>
          <w:numId w:val="27"/>
        </w:numPr>
        <w:spacing w:after="120" w:line="360" w:lineRule="auto"/>
      </w:pPr>
      <w:r w:rsidRPr="00D07629">
        <w:t>The potential risks and benefits</w:t>
      </w:r>
    </w:p>
    <w:p w14:paraId="062C5040" w14:textId="77777777" w:rsidR="00184F0C" w:rsidRPr="00D07629" w:rsidRDefault="00184F0C" w:rsidP="00AC7513">
      <w:pPr>
        <w:numPr>
          <w:ilvl w:val="0"/>
          <w:numId w:val="27"/>
        </w:numPr>
        <w:spacing w:after="120" w:line="360" w:lineRule="auto"/>
      </w:pPr>
      <w:r w:rsidRPr="00D07629">
        <w:t>How anonymity or confidentiality will be upheld</w:t>
      </w:r>
    </w:p>
    <w:p w14:paraId="6D0F6A15" w14:textId="77777777" w:rsidR="00184F0C" w:rsidRPr="00D07629" w:rsidRDefault="00184F0C" w:rsidP="00AC7513">
      <w:pPr>
        <w:numPr>
          <w:ilvl w:val="0"/>
          <w:numId w:val="27"/>
        </w:numPr>
        <w:spacing w:after="120" w:line="360" w:lineRule="auto"/>
      </w:pPr>
      <w:r w:rsidRPr="00D07629">
        <w:t>How data will be collected</w:t>
      </w:r>
    </w:p>
    <w:p w14:paraId="0365A8BC" w14:textId="77777777" w:rsidR="00184F0C" w:rsidRPr="00D07629" w:rsidRDefault="00184F0C" w:rsidP="00AC7513">
      <w:pPr>
        <w:numPr>
          <w:ilvl w:val="0"/>
          <w:numId w:val="27"/>
        </w:numPr>
        <w:spacing w:after="120" w:line="360" w:lineRule="auto"/>
      </w:pPr>
      <w:r w:rsidRPr="00D07629">
        <w:t>Who will collect data?</w:t>
      </w:r>
    </w:p>
    <w:p w14:paraId="6E06E692" w14:textId="77777777" w:rsidR="00184F0C" w:rsidRPr="00D07629" w:rsidRDefault="00184F0C" w:rsidP="00AC7513">
      <w:pPr>
        <w:numPr>
          <w:ilvl w:val="0"/>
          <w:numId w:val="27"/>
        </w:numPr>
        <w:spacing w:after="120" w:line="360" w:lineRule="auto"/>
      </w:pPr>
      <w:r w:rsidRPr="00D07629">
        <w:t>How will data be stored?</w:t>
      </w:r>
    </w:p>
    <w:p w14:paraId="19C86AAC" w14:textId="77777777" w:rsidR="00184F0C" w:rsidRPr="00D07629" w:rsidRDefault="00184F0C" w:rsidP="00AC7513">
      <w:pPr>
        <w:numPr>
          <w:ilvl w:val="0"/>
          <w:numId w:val="27"/>
        </w:numPr>
        <w:spacing w:after="120" w:line="360" w:lineRule="auto"/>
      </w:pPr>
      <w:r w:rsidRPr="00D07629">
        <w:t>Who will have access to data?</w:t>
      </w:r>
    </w:p>
    <w:p w14:paraId="38B1173C" w14:textId="77777777" w:rsidR="00184F0C" w:rsidRPr="00D07629" w:rsidRDefault="00184F0C" w:rsidP="00AC7513">
      <w:pPr>
        <w:numPr>
          <w:ilvl w:val="0"/>
          <w:numId w:val="27"/>
        </w:numPr>
        <w:spacing w:after="120" w:line="360" w:lineRule="auto"/>
      </w:pPr>
      <w:r w:rsidRPr="00D07629">
        <w:t>How their participation is voluntary, and they have the right to refuse to participate or withdraw at any time and can choose not to answer any question or cease their involvement at any stage</w:t>
      </w:r>
    </w:p>
    <w:p w14:paraId="7CD52EF6" w14:textId="0B157A7D" w:rsidR="00184F0C" w:rsidRDefault="00184F0C" w:rsidP="00AC7513">
      <w:pPr>
        <w:numPr>
          <w:ilvl w:val="0"/>
          <w:numId w:val="27"/>
        </w:numPr>
        <w:spacing w:after="120" w:line="360" w:lineRule="auto"/>
      </w:pPr>
      <w:r w:rsidRPr="00D07629">
        <w:t>The opportunity to ask researchers questions related to the study</w:t>
      </w:r>
      <w:r w:rsidR="00FA1AD2">
        <w:t xml:space="preserve"> including timeframes for the study, who else is participating and how the data will be used.</w:t>
      </w:r>
    </w:p>
    <w:p w14:paraId="19778F3A" w14:textId="77777777" w:rsidR="00184F0C" w:rsidRPr="00D07629" w:rsidRDefault="00184F0C" w:rsidP="00AC7513">
      <w:pPr>
        <w:numPr>
          <w:ilvl w:val="0"/>
          <w:numId w:val="27"/>
        </w:numPr>
        <w:spacing w:after="120" w:line="360" w:lineRule="auto"/>
      </w:pPr>
      <w:r w:rsidRPr="00D07629">
        <w:t>How participant</w:t>
      </w:r>
      <w:r>
        <w:t>s</w:t>
      </w:r>
      <w:r w:rsidRPr="00D07629">
        <w:t xml:space="preserve"> can obtain the results of the study </w:t>
      </w:r>
    </w:p>
    <w:p w14:paraId="1ABE614A" w14:textId="77777777" w:rsidR="00184F0C" w:rsidRPr="00D07629" w:rsidRDefault="00184F0C" w:rsidP="00AC7513">
      <w:pPr>
        <w:numPr>
          <w:ilvl w:val="0"/>
          <w:numId w:val="27"/>
        </w:numPr>
        <w:spacing w:after="120" w:line="360" w:lineRule="auto"/>
      </w:pPr>
      <w:r w:rsidRPr="00D07629">
        <w:t>Both parties will receive a dated and signed consent form</w:t>
      </w:r>
    </w:p>
    <w:p w14:paraId="14A716B9" w14:textId="0C0A2BD7" w:rsidR="00184F0C" w:rsidRDefault="00184F0C" w:rsidP="00301BA0">
      <w:pPr>
        <w:spacing w:line="360" w:lineRule="auto"/>
      </w:pPr>
      <w:r>
        <w:t xml:space="preserve">It is important to </w:t>
      </w:r>
      <w:r w:rsidR="005A6D6A">
        <w:t xml:space="preserve">emphasise </w:t>
      </w:r>
      <w:r>
        <w:t>that o</w:t>
      </w:r>
      <w:r w:rsidRPr="009160BB">
        <w:t xml:space="preserve">btaining </w:t>
      </w:r>
      <w:r>
        <w:t xml:space="preserve">the </w:t>
      </w:r>
      <w:r w:rsidRPr="009160BB">
        <w:t xml:space="preserve">informed and voluntary consent of participants is </w:t>
      </w:r>
      <w:r>
        <w:t>a</w:t>
      </w:r>
      <w:r w:rsidRPr="00323B83">
        <w:t xml:space="preserve"> process </w:t>
      </w:r>
      <w:r>
        <w:t xml:space="preserve">of ongoing engagement and </w:t>
      </w:r>
      <w:r w:rsidRPr="003A070B">
        <w:t xml:space="preserve">communication by the </w:t>
      </w:r>
      <w:r w:rsidRPr="003A070B">
        <w:lastRenderedPageBreak/>
        <w:t xml:space="preserve">researcher </w:t>
      </w:r>
      <w:r w:rsidRPr="00323B83">
        <w:t>rather than a one-off event</w:t>
      </w:r>
      <w:r>
        <w:t xml:space="preserve">. And that it </w:t>
      </w:r>
      <w:r w:rsidRPr="00B00897">
        <w:t>may involve re-consenting a research participant if changes</w:t>
      </w:r>
      <w:r>
        <w:t xml:space="preserve"> </w:t>
      </w:r>
      <w:r w:rsidRPr="00B00897">
        <w:t>are made to a research study or new information about the research becomes</w:t>
      </w:r>
      <w:r>
        <w:t xml:space="preserve"> available</w:t>
      </w:r>
      <w:r w:rsidR="005A6D6A">
        <w:t>.</w:t>
      </w:r>
      <w:r>
        <w:rPr>
          <w:rStyle w:val="FootnoteReference"/>
        </w:rPr>
        <w:footnoteReference w:id="101"/>
      </w:r>
      <w:r>
        <w:t xml:space="preserve"> </w:t>
      </w:r>
    </w:p>
    <w:p w14:paraId="7D408E79" w14:textId="1512F900" w:rsidR="006E0366" w:rsidRDefault="006E0366" w:rsidP="00AC7513">
      <w:pPr>
        <w:pStyle w:val="Heading3"/>
        <w:numPr>
          <w:ilvl w:val="2"/>
          <w:numId w:val="11"/>
        </w:numPr>
        <w:spacing w:line="360" w:lineRule="auto"/>
      </w:pPr>
      <w:r>
        <w:t>Guiding principles</w:t>
      </w:r>
    </w:p>
    <w:p w14:paraId="01FFF878" w14:textId="43281B8E" w:rsidR="00E35D1E" w:rsidRDefault="006E0366" w:rsidP="00301BA0">
      <w:pPr>
        <w:pStyle w:val="ListBullet"/>
        <w:numPr>
          <w:ilvl w:val="0"/>
          <w:numId w:val="0"/>
        </w:numPr>
        <w:spacing w:line="360" w:lineRule="auto"/>
      </w:pPr>
      <w:r>
        <w:t xml:space="preserve">The HSE’s National Policy on Consent for Research have </w:t>
      </w:r>
      <w:r w:rsidR="00E35D1E">
        <w:t>several</w:t>
      </w:r>
      <w:r>
        <w:t xml:space="preserve"> </w:t>
      </w:r>
      <w:r w:rsidRPr="00D07629">
        <w:t>guiding principles for application in social care and health research aligned to the principles of the Assisted Decision-Making (Capacity) Act 2015, as amended</w:t>
      </w:r>
      <w:r w:rsidR="00E35D1E">
        <w:t>. These principles</w:t>
      </w:r>
      <w:r w:rsidRPr="00D07629">
        <w:t xml:space="preserve"> provide a statutory framework for individuals who lack, or may lack, the capacity to make decisions unaided or to be assisted and supported in making decisions about their welfare, property, and affairs</w:t>
      </w:r>
      <w:r w:rsidR="00E35D1E">
        <w:t>:</w:t>
      </w:r>
      <w:r w:rsidRPr="006E0366">
        <w:rPr>
          <w:rFonts w:ascii="Gill Sans" w:hAnsi="Gill Sans"/>
          <w:sz w:val="22"/>
          <w:vertAlign w:val="superscript"/>
        </w:rPr>
        <w:t xml:space="preserve"> </w:t>
      </w:r>
      <w:r w:rsidRPr="00D07629">
        <w:rPr>
          <w:rFonts w:ascii="Gill Sans" w:hAnsi="Gill Sans"/>
          <w:sz w:val="22"/>
          <w:vertAlign w:val="superscript"/>
        </w:rPr>
        <w:footnoteReference w:id="102"/>
      </w:r>
      <w:r>
        <w:t xml:space="preserve"> </w:t>
      </w:r>
    </w:p>
    <w:p w14:paraId="428758CE" w14:textId="77777777" w:rsidR="00E35D1E" w:rsidRPr="00E35D1E" w:rsidRDefault="00E35D1E" w:rsidP="00301BA0">
      <w:pPr>
        <w:pStyle w:val="ListBullet"/>
        <w:spacing w:line="360" w:lineRule="auto"/>
        <w:ind w:left="357"/>
      </w:pPr>
      <w:r w:rsidRPr="00E35D1E">
        <w:t>A prospective research participant is presumed to have decision-making capacity to provide consent unless the contrary is shown.</w:t>
      </w:r>
    </w:p>
    <w:p w14:paraId="0C253885" w14:textId="77777777" w:rsidR="006E0366" w:rsidRDefault="006E0366" w:rsidP="00301BA0">
      <w:pPr>
        <w:pStyle w:val="ListBullet"/>
        <w:spacing w:line="360" w:lineRule="auto"/>
        <w:ind w:left="357" w:hanging="357"/>
      </w:pPr>
      <w:r w:rsidRPr="00D07629">
        <w:t>Prospective research participants should be supported, and their capacity maximised, to make their own decisions whenever possible, and information should be presented in a manner to facilitate this.</w:t>
      </w:r>
    </w:p>
    <w:p w14:paraId="0F238944" w14:textId="0EB87D2C" w:rsidR="001A5445" w:rsidRDefault="006E0366" w:rsidP="001A5445">
      <w:pPr>
        <w:pStyle w:val="ListBullet"/>
        <w:spacing w:line="360" w:lineRule="auto"/>
        <w:ind w:left="357" w:hanging="357"/>
      </w:pPr>
      <w:r w:rsidRPr="00D07629">
        <w:t>A prospective research participant should only be considered unable to provide consent after all practicable steps and efforts to help them to make the decision on their own have failed.</w:t>
      </w:r>
      <w:r w:rsidR="001A5445">
        <w:t xml:space="preserve"> </w:t>
      </w:r>
      <w:r w:rsidR="002348A9">
        <w:t xml:space="preserve">These steps </w:t>
      </w:r>
      <w:r w:rsidR="001A5445">
        <w:t xml:space="preserve">might </w:t>
      </w:r>
      <w:r w:rsidR="002348A9">
        <w:t xml:space="preserve">include </w:t>
      </w:r>
      <w:r w:rsidR="00AC76E1">
        <w:t xml:space="preserve">some of the following: </w:t>
      </w:r>
      <w:r w:rsidR="001A5445">
        <w:t>a</w:t>
      </w:r>
      <w:r w:rsidR="001A5445" w:rsidRPr="001A5445">
        <w:t xml:space="preserve">mending the </w:t>
      </w:r>
      <w:r w:rsidR="001A5445">
        <w:t>i</w:t>
      </w:r>
      <w:r w:rsidR="001A5445" w:rsidRPr="001A5445">
        <w:t>nformation about the project</w:t>
      </w:r>
      <w:r w:rsidR="001A5445">
        <w:t xml:space="preserve"> using </w:t>
      </w:r>
      <w:r w:rsidR="001A5445" w:rsidRPr="001A5445">
        <w:t>‘accessible language’</w:t>
      </w:r>
      <w:r w:rsidR="001A5445">
        <w:t>;</w:t>
      </w:r>
      <w:r w:rsidR="001A5445" w:rsidRPr="001A5445">
        <w:t xml:space="preserve"> using an interpreter or reader of written information</w:t>
      </w:r>
      <w:r w:rsidR="001A5445">
        <w:t>;</w:t>
      </w:r>
      <w:r w:rsidR="001A5445" w:rsidRPr="001A5445">
        <w:t xml:space="preserve"> providing only essential information about the project</w:t>
      </w:r>
      <w:r w:rsidR="001A5445">
        <w:t>; b</w:t>
      </w:r>
      <w:r w:rsidR="001A5445" w:rsidRPr="001A5445">
        <w:t>reaking down complicated information into smaller points</w:t>
      </w:r>
      <w:r w:rsidR="001A5445">
        <w:t>;</w:t>
      </w:r>
      <w:r w:rsidR="001A5445" w:rsidRPr="001A5445">
        <w:t xml:space="preserve"> </w:t>
      </w:r>
      <w:r w:rsidR="001A5445">
        <w:t>c</w:t>
      </w:r>
      <w:r w:rsidR="001A5445" w:rsidRPr="001A5445">
        <w:t>onveying information with diagrams and use of colour</w:t>
      </w:r>
      <w:r w:rsidR="001A5445">
        <w:t>; p</w:t>
      </w:r>
      <w:r w:rsidR="001A5445" w:rsidRPr="001A5445">
        <w:t>roviding information in alternative formats</w:t>
      </w:r>
      <w:r w:rsidR="001A5445">
        <w:t xml:space="preserve">, e.g., </w:t>
      </w:r>
      <w:r w:rsidR="001A5445" w:rsidRPr="001A5445">
        <w:t>aurally for people with visual disabilities</w:t>
      </w:r>
      <w:r w:rsidR="001A5445">
        <w:t xml:space="preserve">; encouraging discussion with </w:t>
      </w:r>
      <w:r w:rsidR="001A5445" w:rsidRPr="001A5445">
        <w:t xml:space="preserve">others, such as family or </w:t>
      </w:r>
      <w:r w:rsidR="001A5445" w:rsidRPr="001A5445">
        <w:lastRenderedPageBreak/>
        <w:t>friends about the project</w:t>
      </w:r>
      <w:r w:rsidR="001A5445">
        <w:t>; a</w:t>
      </w:r>
      <w:r w:rsidR="001A5445" w:rsidRPr="001A5445">
        <w:t>llowing the person time to reach the decision</w:t>
      </w:r>
      <w:r w:rsidR="001A5445">
        <w:t>;</w:t>
      </w:r>
      <w:r w:rsidR="001A5445" w:rsidRPr="001A5445">
        <w:t xml:space="preserve"> </w:t>
      </w:r>
      <w:r w:rsidR="001A5445">
        <w:t>p</w:t>
      </w:r>
      <w:r w:rsidR="001A5445" w:rsidRPr="001A5445">
        <w:t>roviding education about research</w:t>
      </w:r>
      <w:r w:rsidR="00AC76E1">
        <w:t>-</w:t>
      </w:r>
      <w:r w:rsidR="00AC76E1" w:rsidRPr="00AC76E1">
        <w:t xml:space="preserve"> would training or discussion about the idea of research help the person to reach a decision about a particular project</w:t>
      </w:r>
      <w:r w:rsidR="00AC76E1">
        <w:t>;</w:t>
      </w:r>
      <w:r w:rsidR="00AC76E1" w:rsidRPr="00AC76E1">
        <w:t xml:space="preserve"> </w:t>
      </w:r>
      <w:r w:rsidR="00AC76E1">
        <w:t>b</w:t>
      </w:r>
      <w:r w:rsidR="00AC76E1" w:rsidRPr="00AC76E1">
        <w:t>eing clear about what is required of the participant in conducting the research</w:t>
      </w:r>
      <w:r w:rsidR="00AC76E1">
        <w:t>;</w:t>
      </w:r>
      <w:r w:rsidR="00AC76E1" w:rsidRPr="00AC76E1">
        <w:t xml:space="preserve"> </w:t>
      </w:r>
      <w:r w:rsidR="00AC76E1">
        <w:t>c</w:t>
      </w:r>
      <w:r w:rsidR="00AC76E1" w:rsidRPr="00AC76E1">
        <w:t>onsider systems for communicating with the prospective participant</w:t>
      </w:r>
      <w:r w:rsidR="00AC76E1">
        <w:t xml:space="preserve"> such as</w:t>
      </w:r>
      <w:r w:rsidR="00AC76E1" w:rsidRPr="00AC76E1">
        <w:t xml:space="preserve"> augmented communication or symbols or </w:t>
      </w:r>
      <w:r w:rsidR="00AC76E1" w:rsidRPr="00AC76E1">
        <w:rPr>
          <w:rFonts w:cs="Gill Sans MT"/>
        </w:rPr>
        <w:t>‘</w:t>
      </w:r>
      <w:r w:rsidR="00AC76E1" w:rsidRPr="00AC76E1">
        <w:t>talking mats</w:t>
      </w:r>
      <w:r w:rsidR="00AC76E1" w:rsidRPr="00AC76E1">
        <w:rPr>
          <w:rFonts w:cs="Gill Sans MT"/>
        </w:rPr>
        <w:t>’</w:t>
      </w:r>
      <w:r w:rsidR="00AC76E1">
        <w:rPr>
          <w:rFonts w:cs="Gill Sans MT"/>
        </w:rPr>
        <w:t xml:space="preserve"> and might</w:t>
      </w:r>
      <w:r w:rsidR="00AC76E1" w:rsidRPr="00AC76E1">
        <w:t xml:space="preserve"> others assist the person in communicating, whilst at the same time not influencing the person in reaching a decision?</w:t>
      </w:r>
      <w:r w:rsidR="00AC76E1">
        <w:rPr>
          <w:rStyle w:val="FootnoteReference"/>
        </w:rPr>
        <w:footnoteReference w:id="103"/>
      </w:r>
    </w:p>
    <w:p w14:paraId="315BB86E" w14:textId="6B3EBA5F" w:rsidR="00F84020" w:rsidRPr="00F84020" w:rsidRDefault="00DD2B74" w:rsidP="00AC7513">
      <w:pPr>
        <w:pStyle w:val="Heading3"/>
        <w:numPr>
          <w:ilvl w:val="2"/>
          <w:numId w:val="11"/>
        </w:numPr>
        <w:spacing w:line="360" w:lineRule="auto"/>
      </w:pPr>
      <w:r>
        <w:t xml:space="preserve">Legislative basis for including people who cannot </w:t>
      </w:r>
      <w:proofErr w:type="gramStart"/>
      <w:r>
        <w:t>consent</w:t>
      </w:r>
      <w:proofErr w:type="gramEnd"/>
    </w:p>
    <w:p w14:paraId="7068CF94" w14:textId="6E5F49C4" w:rsidR="004D0B74" w:rsidRDefault="00AF12BD" w:rsidP="00301BA0">
      <w:pPr>
        <w:spacing w:line="360" w:lineRule="auto"/>
      </w:pPr>
      <w:bookmarkStart w:id="45" w:name="_Hlk141869546"/>
      <w:r w:rsidRPr="00AF12BD">
        <w:t xml:space="preserve">The </w:t>
      </w:r>
      <w:r w:rsidR="00094A52" w:rsidRPr="00F84020">
        <w:t>Health Research Consent Declaration Committee</w:t>
      </w:r>
      <w:r w:rsidR="00094A52" w:rsidRPr="00AF12BD">
        <w:t xml:space="preserve"> </w:t>
      </w:r>
      <w:r w:rsidR="00094A52">
        <w:t>(</w:t>
      </w:r>
      <w:r w:rsidRPr="00AF12BD">
        <w:t>HRCDC</w:t>
      </w:r>
      <w:r w:rsidR="00094A52">
        <w:t>)</w:t>
      </w:r>
      <w:r w:rsidRPr="00AF12BD">
        <w:t xml:space="preserve"> </w:t>
      </w:r>
      <w:bookmarkEnd w:id="45"/>
      <w:r w:rsidRPr="00AF12BD">
        <w:t xml:space="preserve">was established </w:t>
      </w:r>
      <w:r w:rsidR="00CD7406">
        <w:t xml:space="preserve">on the foot </w:t>
      </w:r>
      <w:r w:rsidRPr="00AF12BD">
        <w:t xml:space="preserve">of the Health Research Regulations </w:t>
      </w:r>
      <w:r w:rsidR="00094A52">
        <w:t>which were provided for</w:t>
      </w:r>
      <w:r w:rsidR="00094A52" w:rsidRPr="00AF12BD">
        <w:t xml:space="preserve"> </w:t>
      </w:r>
      <w:r w:rsidRPr="00AF12BD">
        <w:t>under the Data Protection Act, 2018</w:t>
      </w:r>
      <w:r w:rsidR="00094A52">
        <w:t xml:space="preserve"> (Section 26(2))</w:t>
      </w:r>
      <w:r w:rsidRPr="00AF12BD">
        <w:t>.</w:t>
      </w:r>
      <w:r>
        <w:t xml:space="preserve"> </w:t>
      </w:r>
      <w:r w:rsidRPr="00AF12BD">
        <w:t>The Regulations</w:t>
      </w:r>
      <w:r w:rsidR="00094A52">
        <w:t>, originally created in 2018 through a statutory instrument (S.I. No. 314 of 2018 and later amended in 2021)</w:t>
      </w:r>
      <w:r w:rsidR="00CD7406" w:rsidRPr="00CD7406">
        <w:t xml:space="preserve"> ensure that access to sensitive personal data of participants in health research is valid and lawful.</w:t>
      </w:r>
      <w:r w:rsidR="00CD7406">
        <w:t xml:space="preserve"> </w:t>
      </w:r>
      <w:r w:rsidRPr="00AF12BD">
        <w:t xml:space="preserve">Regarding explicit consent, the Health Research Regulations 2018 maintain </w:t>
      </w:r>
      <w:r w:rsidR="006F3864">
        <w:t xml:space="preserve">that </w:t>
      </w:r>
      <w:r w:rsidRPr="00AF12BD">
        <w:t>explicit consent is the default position for processing personal data for health research purposes (unless the personal data is wholly anonymised or there is specific legal provision authorising the health research in question).</w:t>
      </w:r>
      <w:r>
        <w:t xml:space="preserve"> </w:t>
      </w:r>
      <w:r w:rsidRPr="00AF12BD">
        <w:t>It is important that health researchers engage fully with their Data Protection Officers to understand the law in this area as it affects the processing of personal data for health research in Ireland.</w:t>
      </w:r>
      <w:r w:rsidR="006F3864">
        <w:t xml:space="preserve"> </w:t>
      </w:r>
      <w:r w:rsidRPr="00AF12BD">
        <w:t xml:space="preserve">However, it is recognised – as it is in other countries – that, in limited situations, obtaining </w:t>
      </w:r>
      <w:r w:rsidR="00286F99">
        <w:t xml:space="preserve">explicit </w:t>
      </w:r>
      <w:r w:rsidRPr="00AF12BD">
        <w:t xml:space="preserve">consent </w:t>
      </w:r>
      <w:r w:rsidR="00286F99">
        <w:t xml:space="preserve">from some potential </w:t>
      </w:r>
      <w:r w:rsidR="00C72EEE">
        <w:t>participants</w:t>
      </w:r>
      <w:r w:rsidR="00286F99">
        <w:t xml:space="preserve">, for example some people with severe or profound disabilities, advanced dementia, </w:t>
      </w:r>
      <w:r w:rsidRPr="00AF12BD">
        <w:t>will not be possible</w:t>
      </w:r>
      <w:r w:rsidR="00286F99">
        <w:t xml:space="preserve"> even </w:t>
      </w:r>
      <w:r w:rsidR="00286F99">
        <w:lastRenderedPageBreak/>
        <w:t xml:space="preserve">when using advanced and alternative communication </w:t>
      </w:r>
      <w:r w:rsidR="00C72EEE">
        <w:t>methods</w:t>
      </w:r>
      <w:r w:rsidRPr="00AF12BD">
        <w:t xml:space="preserve"> and that the public interest of doing the research </w:t>
      </w:r>
      <w:r w:rsidR="000D4C39">
        <w:t xml:space="preserve">may </w:t>
      </w:r>
      <w:r w:rsidRPr="00AF12BD">
        <w:t xml:space="preserve">outweigh the need for explicit consent. </w:t>
      </w:r>
    </w:p>
    <w:p w14:paraId="4085F6BE" w14:textId="1E18395E" w:rsidR="00F84020" w:rsidRDefault="006F3864" w:rsidP="00301BA0">
      <w:pPr>
        <w:spacing w:line="360" w:lineRule="auto"/>
      </w:pPr>
      <w:r>
        <w:t>In</w:t>
      </w:r>
      <w:r w:rsidRPr="006F3864">
        <w:t xml:space="preserve"> order that such applications are carefully considered from a range of perspectives, the Health Research Regulations provide for </w:t>
      </w:r>
      <w:r w:rsidRPr="00AF12BD">
        <w:t>a statutory consent declaration process</w:t>
      </w:r>
      <w:r w:rsidRPr="006F3864">
        <w:t xml:space="preserve"> </w:t>
      </w:r>
      <w:r>
        <w:t xml:space="preserve">through the HRCDC, </w:t>
      </w:r>
      <w:r w:rsidRPr="006F3864">
        <w:t xml:space="preserve">an independent and representative committee </w:t>
      </w:r>
      <w:r>
        <w:t xml:space="preserve">which has a decision-making role on those </w:t>
      </w:r>
      <w:r w:rsidRPr="006F3864">
        <w:t>applications</w:t>
      </w:r>
      <w:r>
        <w:t xml:space="preserve">. </w:t>
      </w:r>
      <w:r w:rsidR="00AF12BD" w:rsidRPr="00AF12BD">
        <w:t>Th</w:t>
      </w:r>
      <w:r w:rsidR="002175CA">
        <w:t>e</w:t>
      </w:r>
      <w:r>
        <w:t xml:space="preserve"> legislation</w:t>
      </w:r>
      <w:r w:rsidR="00AF12BD" w:rsidRPr="00AF12BD">
        <w:t xml:space="preserve"> enables </w:t>
      </w:r>
      <w:r w:rsidR="00CD7406">
        <w:t xml:space="preserve">an organisation </w:t>
      </w:r>
      <w:r w:rsidR="002175CA">
        <w:t xml:space="preserve">as data controller </w:t>
      </w:r>
      <w:r w:rsidR="00AF12BD" w:rsidRPr="00AF12BD">
        <w:t>carrying out health research using personal data, to apply for a consent declaration which means that the consent of individual</w:t>
      </w:r>
      <w:r w:rsidR="00286F99">
        <w:t>s who are unable to provide consent despite support</w:t>
      </w:r>
      <w:r w:rsidR="00AF12BD" w:rsidRPr="00AF12BD">
        <w:t xml:space="preserve"> is not required for the obtaining and use of his or her personal information for the health research concerned.</w:t>
      </w:r>
      <w:r w:rsidR="00F84020" w:rsidRPr="00F84020">
        <w:rPr>
          <w:rStyle w:val="FootnoteReference"/>
        </w:rPr>
        <w:t xml:space="preserve"> </w:t>
      </w:r>
      <w:r w:rsidR="00F84020">
        <w:rPr>
          <w:rStyle w:val="FootnoteReference"/>
        </w:rPr>
        <w:footnoteReference w:id="104"/>
      </w:r>
      <w:r w:rsidR="007F00CF">
        <w:t xml:space="preserve"> The </w:t>
      </w:r>
      <w:r w:rsidR="00F84020" w:rsidRPr="00F84020">
        <w:t>HRCDC</w:t>
      </w:r>
      <w:r w:rsidR="00286F99">
        <w:t xml:space="preserve"> </w:t>
      </w:r>
      <w:r w:rsidR="00F84020">
        <w:t>website has detailed guidance on the Consent Declaration Process</w:t>
      </w:r>
      <w:r w:rsidR="00286F99">
        <w:t xml:space="preserve"> and</w:t>
      </w:r>
      <w:r w:rsidR="00F84020">
        <w:t xml:space="preserve"> amendments to the health research regulations</w:t>
      </w:r>
      <w:r w:rsidR="00286F99">
        <w:t>.</w:t>
      </w:r>
      <w:r w:rsidR="00286F99">
        <w:rPr>
          <w:rStyle w:val="FootnoteReference"/>
        </w:rPr>
        <w:footnoteReference w:id="105"/>
      </w:r>
      <w:r w:rsidR="00F84020">
        <w:t xml:space="preserve"> </w:t>
      </w:r>
    </w:p>
    <w:p w14:paraId="798B36CD" w14:textId="593E0CCC" w:rsidR="002A6F91" w:rsidRDefault="002A6F91" w:rsidP="002A6F91">
      <w:pPr>
        <w:spacing w:line="360" w:lineRule="auto"/>
      </w:pPr>
      <w:r>
        <w:t>If the prospective research participant is a Ward of Court, the permission of the court is required before the person can participate in research. A Ward of Court’s refusal to participate in, or request to withdraw from, a research project should always be respected. Their assent to participate should be sought and documented if they are in the position to provide it.</w:t>
      </w:r>
    </w:p>
    <w:p w14:paraId="225D7FB6" w14:textId="24A5FDEB" w:rsidR="002A6F91" w:rsidRPr="00F84020" w:rsidRDefault="002A6F91" w:rsidP="002A6F91">
      <w:pPr>
        <w:spacing w:line="360" w:lineRule="auto"/>
      </w:pPr>
      <w:r>
        <w:t>T</w:t>
      </w:r>
      <w:r w:rsidRPr="002A6F91">
        <w:t xml:space="preserve">he process of ending the adult wardship system </w:t>
      </w:r>
      <w:r>
        <w:t>began in April 2023 with the commencement of the Assisted Decision-Making (Capacity) Act 2015, as amended. All adults who are Wards of Court will exit wardship over a period of three years.</w:t>
      </w:r>
      <w:r>
        <w:rPr>
          <w:rStyle w:val="FootnoteReference"/>
        </w:rPr>
        <w:footnoteReference w:id="106"/>
      </w:r>
    </w:p>
    <w:p w14:paraId="567CA5EF" w14:textId="00DF241F" w:rsidR="00AF12BD" w:rsidRPr="007F00CF" w:rsidRDefault="00C72EEE" w:rsidP="00AC7513">
      <w:pPr>
        <w:pStyle w:val="Heading3"/>
        <w:numPr>
          <w:ilvl w:val="2"/>
          <w:numId w:val="11"/>
        </w:numPr>
        <w:spacing w:line="360" w:lineRule="auto"/>
      </w:pPr>
      <w:r w:rsidRPr="007F00CF">
        <w:lastRenderedPageBreak/>
        <w:t xml:space="preserve">Legislation to support </w:t>
      </w:r>
      <w:r w:rsidR="00DD2B74" w:rsidRPr="007F00CF">
        <w:t xml:space="preserve">decision </w:t>
      </w:r>
      <w:proofErr w:type="gramStart"/>
      <w:r w:rsidR="00DD2B74" w:rsidRPr="007F00CF">
        <w:t>making</w:t>
      </w:r>
      <w:proofErr w:type="gramEnd"/>
      <w:r w:rsidR="00DD2B74" w:rsidRPr="007F00CF">
        <w:t xml:space="preserve"> </w:t>
      </w:r>
    </w:p>
    <w:p w14:paraId="535E618F" w14:textId="5EED3E14" w:rsidR="00440997" w:rsidRDefault="00B578E8" w:rsidP="006B7530">
      <w:pPr>
        <w:spacing w:line="360" w:lineRule="auto"/>
        <w:rPr>
          <w:bCs/>
        </w:rPr>
      </w:pPr>
      <w:bookmarkStart w:id="46" w:name="_Hlk147840397"/>
      <w:r>
        <w:rPr>
          <w:bCs/>
        </w:rPr>
        <w:t>T</w:t>
      </w:r>
      <w:r w:rsidRPr="00B578E8">
        <w:rPr>
          <w:bCs/>
        </w:rPr>
        <w:t>he Assisted Decision-Making Capacity Act 2015 as amended by the Assisted</w:t>
      </w:r>
      <w:r>
        <w:rPr>
          <w:bCs/>
        </w:rPr>
        <w:t xml:space="preserve"> </w:t>
      </w:r>
      <w:r w:rsidRPr="00B578E8">
        <w:rPr>
          <w:bCs/>
        </w:rPr>
        <w:t>Decision</w:t>
      </w:r>
      <w:r>
        <w:rPr>
          <w:bCs/>
        </w:rPr>
        <w:t>-</w:t>
      </w:r>
      <w:r w:rsidRPr="00B578E8">
        <w:rPr>
          <w:bCs/>
        </w:rPr>
        <w:t xml:space="preserve">Making Capacity (Amendment) Act 2022 </w:t>
      </w:r>
      <w:r w:rsidR="000D4C39">
        <w:rPr>
          <w:bCs/>
        </w:rPr>
        <w:t xml:space="preserve">(ADMCA) </w:t>
      </w:r>
      <w:bookmarkEnd w:id="46"/>
      <w:r>
        <w:rPr>
          <w:bCs/>
        </w:rPr>
        <w:t>was</w:t>
      </w:r>
      <w:r w:rsidRPr="00B578E8">
        <w:rPr>
          <w:bCs/>
        </w:rPr>
        <w:t xml:space="preserve"> commenced in 2023</w:t>
      </w:r>
      <w:r>
        <w:rPr>
          <w:bCs/>
        </w:rPr>
        <w:t xml:space="preserve">. </w:t>
      </w:r>
      <w:r w:rsidRPr="00B578E8">
        <w:rPr>
          <w:bCs/>
        </w:rPr>
        <w:t xml:space="preserve">This </w:t>
      </w:r>
      <w:r w:rsidRPr="00191876">
        <w:t>legislation bring</w:t>
      </w:r>
      <w:r>
        <w:t>s</w:t>
      </w:r>
      <w:r w:rsidRPr="00191876">
        <w:t xml:space="preserve"> Ireland into line with </w:t>
      </w:r>
      <w:r w:rsidR="007F00CF">
        <w:t xml:space="preserve">Article 12 of </w:t>
      </w:r>
      <w:r w:rsidRPr="00191876">
        <w:t>the CRPD</w:t>
      </w:r>
      <w:r w:rsidR="007F00CF">
        <w:t xml:space="preserve"> on equal recognition before the law</w:t>
      </w:r>
      <w:r w:rsidRPr="00191876">
        <w:t>.</w:t>
      </w:r>
      <w:r>
        <w:rPr>
          <w:rStyle w:val="FootnoteReference"/>
        </w:rPr>
        <w:footnoteReference w:id="107"/>
      </w:r>
      <w:r w:rsidRPr="00191876">
        <w:t xml:space="preserve"> Th</w:t>
      </w:r>
      <w:r>
        <w:t xml:space="preserve">e purpose of the legislation is </w:t>
      </w:r>
      <w:r w:rsidRPr="00191876">
        <w:t xml:space="preserve">to protect the autonomy of all persons </w:t>
      </w:r>
      <w:r>
        <w:t xml:space="preserve">and </w:t>
      </w:r>
      <w:r w:rsidRPr="00191876">
        <w:t>has implications for consent to participate in research.</w:t>
      </w:r>
      <w:r>
        <w:t xml:space="preserve"> </w:t>
      </w:r>
      <w:r w:rsidRPr="00B578E8">
        <w:t>Amendments to the 2015 Act expanded the definition of ‘personal welfare’ to include participation by persons in social care and healthcare research, except for clinical trials and investigations, which are governed by EU Regulations.</w:t>
      </w:r>
      <w:r>
        <w:t xml:space="preserve"> </w:t>
      </w:r>
      <w:r w:rsidR="00576C55" w:rsidRPr="00576C55">
        <w:rPr>
          <w:bCs/>
        </w:rPr>
        <w:t xml:space="preserve">The </w:t>
      </w:r>
      <w:r w:rsidR="00576C55" w:rsidRPr="00D07629">
        <w:rPr>
          <w:bCs/>
        </w:rPr>
        <w:t>Act applies to adults (18 years and older)</w:t>
      </w:r>
      <w:r w:rsidR="00576C55">
        <w:rPr>
          <w:bCs/>
        </w:rPr>
        <w:t>.</w:t>
      </w:r>
      <w:r w:rsidR="00576C55" w:rsidRPr="00D07629">
        <w:rPr>
          <w:bCs/>
        </w:rPr>
        <w:t xml:space="preserve"> </w:t>
      </w:r>
      <w:r w:rsidR="00576C55">
        <w:rPr>
          <w:bCs/>
        </w:rPr>
        <w:t xml:space="preserve">It </w:t>
      </w:r>
      <w:r w:rsidR="00576C55" w:rsidRPr="00B578E8">
        <w:rPr>
          <w:bCs/>
        </w:rPr>
        <w:t>is the legislative basis for supporting decision-making</w:t>
      </w:r>
      <w:r w:rsidR="00576C55">
        <w:rPr>
          <w:bCs/>
        </w:rPr>
        <w:t xml:space="preserve">, </w:t>
      </w:r>
      <w:r w:rsidR="00576C55" w:rsidRPr="00D07629">
        <w:rPr>
          <w:bCs/>
        </w:rPr>
        <w:t>provid</w:t>
      </w:r>
      <w:r w:rsidR="00576C55">
        <w:rPr>
          <w:bCs/>
        </w:rPr>
        <w:t>ing</w:t>
      </w:r>
      <w:r w:rsidR="00576C55" w:rsidRPr="00D07629">
        <w:rPr>
          <w:bCs/>
        </w:rPr>
        <w:t xml:space="preserve"> processes and safeguards for those who will make use of decision-making supports. </w:t>
      </w:r>
    </w:p>
    <w:p w14:paraId="5F110C2E" w14:textId="4A3CD178" w:rsidR="00B91B6B" w:rsidRDefault="00576C55" w:rsidP="00301BA0">
      <w:pPr>
        <w:spacing w:line="360" w:lineRule="auto"/>
        <w:rPr>
          <w:bCs/>
          <w:lang w:val="en"/>
        </w:rPr>
      </w:pPr>
      <w:r w:rsidRPr="00576C55">
        <w:rPr>
          <w:bCs/>
        </w:rPr>
        <w:t xml:space="preserve">The ADMCA allows people </w:t>
      </w:r>
      <w:r>
        <w:rPr>
          <w:bCs/>
        </w:rPr>
        <w:t xml:space="preserve">lacking in or with limited capacity, </w:t>
      </w:r>
      <w:r w:rsidRPr="00576C55">
        <w:rPr>
          <w:bCs/>
        </w:rPr>
        <w:t>to make legal agreements on how they can be supported to make decisions about their personal welfare, property, and affairs.</w:t>
      </w:r>
      <w:r>
        <w:rPr>
          <w:bCs/>
        </w:rPr>
        <w:t xml:space="preserve"> </w:t>
      </w:r>
      <w:r w:rsidR="009B2491" w:rsidRPr="009B2491">
        <w:rPr>
          <w:bCs/>
        </w:rPr>
        <w:t>As the definition of personal welfare now includes participation in research as noted above</w:t>
      </w:r>
      <w:r w:rsidR="009B2491">
        <w:rPr>
          <w:bCs/>
        </w:rPr>
        <w:t>,</w:t>
      </w:r>
      <w:r w:rsidR="009B2491" w:rsidRPr="009B2491">
        <w:rPr>
          <w:bCs/>
        </w:rPr>
        <w:t xml:space="preserve"> if the decision support agreement extends to personal welfare</w:t>
      </w:r>
      <w:r w:rsidR="009B2491">
        <w:rPr>
          <w:bCs/>
        </w:rPr>
        <w:t>,</w:t>
      </w:r>
      <w:r w:rsidR="009B2491" w:rsidRPr="009B2491">
        <w:rPr>
          <w:bCs/>
        </w:rPr>
        <w:t xml:space="preserve"> the decision supporter can assist the person/decide on behalf of the person re participation</w:t>
      </w:r>
      <w:r w:rsidRPr="00D07629">
        <w:rPr>
          <w:bCs/>
        </w:rPr>
        <w:t>.</w:t>
      </w:r>
      <w:r w:rsidRPr="00D07629">
        <w:rPr>
          <w:bCs/>
          <w:vertAlign w:val="superscript"/>
        </w:rPr>
        <w:footnoteReference w:id="108"/>
      </w:r>
      <w:r>
        <w:rPr>
          <w:bCs/>
        </w:rPr>
        <w:t xml:space="preserve"> </w:t>
      </w:r>
      <w:r w:rsidR="00B91B6B">
        <w:t xml:space="preserve">An </w:t>
      </w:r>
      <w:r w:rsidR="00B91B6B" w:rsidRPr="00191876">
        <w:t xml:space="preserve">innovation </w:t>
      </w:r>
      <w:r w:rsidR="00B91B6B">
        <w:t xml:space="preserve">of </w:t>
      </w:r>
      <w:r w:rsidR="00B91B6B" w:rsidRPr="00191876">
        <w:t xml:space="preserve">the legislation is that </w:t>
      </w:r>
      <w:r w:rsidR="007F0090">
        <w:t>it allows for decisions where a</w:t>
      </w:r>
      <w:r w:rsidR="007F0090" w:rsidRPr="00191876">
        <w:t xml:space="preserve"> </w:t>
      </w:r>
      <w:r w:rsidR="00B91B6B" w:rsidRPr="00191876">
        <w:t xml:space="preserve">person can lack capacity on </w:t>
      </w:r>
      <w:r w:rsidR="00B91B6B">
        <w:t xml:space="preserve">a </w:t>
      </w:r>
      <w:r w:rsidR="00B91B6B" w:rsidRPr="00191876">
        <w:t>certain issue</w:t>
      </w:r>
      <w:r w:rsidR="00B91B6B">
        <w:t>/</w:t>
      </w:r>
      <w:r w:rsidR="00B91B6B" w:rsidRPr="00191876">
        <w:t xml:space="preserve">s but have capacity on other issues. </w:t>
      </w:r>
      <w:r w:rsidR="00B91B6B" w:rsidRPr="007271C9">
        <w:rPr>
          <w:lang w:val="en"/>
        </w:rPr>
        <w:t>The Act brings four changes:</w:t>
      </w:r>
      <w:r w:rsidR="00B91B6B">
        <w:rPr>
          <w:rStyle w:val="FootnoteReference"/>
          <w:b/>
          <w:bCs/>
          <w:lang w:val="en"/>
        </w:rPr>
        <w:footnoteReference w:id="109"/>
      </w:r>
      <w:r w:rsidR="00B91B6B" w:rsidRPr="007271C9">
        <w:rPr>
          <w:lang w:val="en"/>
        </w:rPr>
        <w:t xml:space="preserve"> </w:t>
      </w:r>
    </w:p>
    <w:p w14:paraId="380685B2" w14:textId="77777777" w:rsidR="00941B4A" w:rsidRDefault="007F0090" w:rsidP="00AC7513">
      <w:pPr>
        <w:pStyle w:val="ListParagraph"/>
        <w:numPr>
          <w:ilvl w:val="0"/>
          <w:numId w:val="9"/>
        </w:numPr>
        <w:spacing w:line="360" w:lineRule="auto"/>
      </w:pPr>
      <w:r>
        <w:t>It</w:t>
      </w:r>
      <w:r w:rsidR="00B91B6B">
        <w:t xml:space="preserve"> </w:t>
      </w:r>
      <w:r w:rsidR="00B91B6B" w:rsidRPr="008707CC">
        <w:t>give</w:t>
      </w:r>
      <w:r w:rsidR="00941B4A">
        <w:t>s</w:t>
      </w:r>
      <w:r w:rsidR="00B91B6B" w:rsidRPr="008707CC">
        <w:t xml:space="preserve"> primacy to the p</w:t>
      </w:r>
      <w:r w:rsidR="00B91B6B">
        <w:t>erson</w:t>
      </w:r>
      <w:r w:rsidR="00B91B6B" w:rsidRPr="008707CC">
        <w:t xml:space="preserve">’s will </w:t>
      </w:r>
      <w:r w:rsidR="00B91B6B">
        <w:t>and preferences</w:t>
      </w:r>
      <w:r>
        <w:t xml:space="preserve"> rather than the previous ‘best interests’ approach</w:t>
      </w:r>
      <w:r w:rsidR="00B91B6B">
        <w:t xml:space="preserve">. </w:t>
      </w:r>
    </w:p>
    <w:p w14:paraId="2C0D30E1" w14:textId="3368014C" w:rsidR="00B91B6B" w:rsidRDefault="00B91B6B" w:rsidP="00AC7513">
      <w:pPr>
        <w:pStyle w:val="ListParagraph"/>
        <w:numPr>
          <w:ilvl w:val="0"/>
          <w:numId w:val="9"/>
        </w:numPr>
        <w:spacing w:line="360" w:lineRule="auto"/>
      </w:pPr>
      <w:r>
        <w:lastRenderedPageBreak/>
        <w:t xml:space="preserve">Rather than persons </w:t>
      </w:r>
      <w:r w:rsidRPr="008707CC">
        <w:t>‘believ</w:t>
      </w:r>
      <w:r>
        <w:t>ing</w:t>
      </w:r>
      <w:r w:rsidRPr="008707CC">
        <w:t>’ the information presented to them the</w:t>
      </w:r>
      <w:r>
        <w:t>y</w:t>
      </w:r>
      <w:r w:rsidRPr="008707CC">
        <w:t xml:space="preserve"> </w:t>
      </w:r>
      <w:r>
        <w:t xml:space="preserve">must </w:t>
      </w:r>
      <w:r w:rsidRPr="008707CC">
        <w:t xml:space="preserve">‘communicate’ their decision for the capacity criteria </w:t>
      </w:r>
      <w:r>
        <w:t xml:space="preserve">to </w:t>
      </w:r>
      <w:r w:rsidRPr="008707CC">
        <w:t>be fulfilled. Communication can be by talking, writing, using sign language, assistive technology</w:t>
      </w:r>
      <w:r>
        <w:t>,</w:t>
      </w:r>
      <w:r w:rsidRPr="008707CC">
        <w:t xml:space="preserve"> or </w:t>
      </w:r>
      <w:r>
        <w:t xml:space="preserve">by </w:t>
      </w:r>
      <w:r w:rsidRPr="008707CC">
        <w:t>any other means.</w:t>
      </w:r>
    </w:p>
    <w:p w14:paraId="1118FE5C" w14:textId="77777777" w:rsidR="00B91B6B" w:rsidRDefault="00B91B6B" w:rsidP="00AC7513">
      <w:pPr>
        <w:pStyle w:val="ListParagraph"/>
        <w:numPr>
          <w:ilvl w:val="0"/>
          <w:numId w:val="9"/>
        </w:numPr>
        <w:spacing w:line="360" w:lineRule="auto"/>
      </w:pPr>
      <w:r w:rsidRPr="008707CC">
        <w:t>With the commencement of Part 8 of the ADMCA, advance healthcare directives will have a standing in law.</w:t>
      </w:r>
    </w:p>
    <w:p w14:paraId="06E2C201" w14:textId="77777777" w:rsidR="00B91B6B" w:rsidRPr="008707CC" w:rsidRDefault="00B91B6B" w:rsidP="00AC7513">
      <w:pPr>
        <w:pStyle w:val="ListParagraph"/>
        <w:numPr>
          <w:ilvl w:val="0"/>
          <w:numId w:val="9"/>
        </w:numPr>
        <w:spacing w:line="360" w:lineRule="auto"/>
      </w:pPr>
      <w:r>
        <w:t>T</w:t>
      </w:r>
      <w:r w:rsidRPr="008707CC">
        <w:t>he scope of Enduring Power of Attorney will include certain healthcare decisions</w:t>
      </w:r>
      <w:r>
        <w:t xml:space="preserve">, but these </w:t>
      </w:r>
      <w:r w:rsidRPr="008707CC">
        <w:t>will not include refusal of life-sustaining treatment or decisions that conflict with advance directives made by the appointer.</w:t>
      </w:r>
    </w:p>
    <w:p w14:paraId="3331E63E" w14:textId="33003F9D" w:rsidR="00440997" w:rsidRPr="00D07629" w:rsidRDefault="00440997" w:rsidP="00301BA0">
      <w:pPr>
        <w:spacing w:line="360" w:lineRule="auto"/>
      </w:pPr>
      <w:r>
        <w:t>S</w:t>
      </w:r>
      <w:r w:rsidRPr="00D07629">
        <w:t>pecial measures protect the rights and interests</w:t>
      </w:r>
      <w:r>
        <w:t xml:space="preserve"> of those with diminished capacity</w:t>
      </w:r>
      <w:r w:rsidRPr="00D07629">
        <w:t>:</w:t>
      </w:r>
    </w:p>
    <w:p w14:paraId="1C5AAE2B" w14:textId="77777777" w:rsidR="00440997" w:rsidRPr="00D07629" w:rsidRDefault="00440997" w:rsidP="00AC7513">
      <w:pPr>
        <w:pStyle w:val="ListParagraph"/>
        <w:numPr>
          <w:ilvl w:val="0"/>
          <w:numId w:val="21"/>
        </w:numPr>
        <w:spacing w:line="360" w:lineRule="auto"/>
        <w:ind w:left="714" w:hanging="357"/>
      </w:pPr>
      <w:r w:rsidRPr="00D07629">
        <w:t>No other person (such as a family member, friend, carer, or organisation) can give or refuse consent to participate in research on behalf of an adult who lacks capacity to consent unless they have specific legal authority.</w:t>
      </w:r>
    </w:p>
    <w:p w14:paraId="5DD872B3" w14:textId="5931EFE0" w:rsidR="00440997" w:rsidRPr="00D07629" w:rsidRDefault="00440997" w:rsidP="00AC7513">
      <w:pPr>
        <w:pStyle w:val="ListParagraph"/>
        <w:numPr>
          <w:ilvl w:val="0"/>
          <w:numId w:val="21"/>
        </w:numPr>
        <w:spacing w:line="360" w:lineRule="auto"/>
        <w:ind w:left="714" w:hanging="357"/>
      </w:pPr>
      <w:r w:rsidRPr="00D07629">
        <w:t xml:space="preserve">The </w:t>
      </w:r>
      <w:r w:rsidR="005B1610">
        <w:t xml:space="preserve">ADMCA </w:t>
      </w:r>
      <w:r w:rsidRPr="00D07629">
        <w:t>provides legal authority for decision supporters to help a person participate in research</w:t>
      </w:r>
      <w:r w:rsidR="007F0090">
        <w:t xml:space="preserve"> where they have legal authority to support personal welfare decisions</w:t>
      </w:r>
      <w:r w:rsidRPr="00D07629">
        <w:t>. Depending on the tier of decision-making support available, the decision supporter may be able to support the person to give consent, jointly give consent, or consent on behalf of the person.</w:t>
      </w:r>
    </w:p>
    <w:p w14:paraId="53B51704" w14:textId="77777777" w:rsidR="00440997" w:rsidRPr="00DE5897" w:rsidRDefault="00440997" w:rsidP="00AC7513">
      <w:pPr>
        <w:pStyle w:val="ListParagraph"/>
        <w:numPr>
          <w:ilvl w:val="0"/>
          <w:numId w:val="21"/>
        </w:numPr>
        <w:spacing w:line="360" w:lineRule="auto"/>
        <w:ind w:left="714" w:hanging="357"/>
      </w:pPr>
      <w:r w:rsidRPr="00DE5897">
        <w:t>Participants who regain decision-making capacity should be given the relevant information about the study. Their consent to use their data and to continue participation in the study should be sought.</w:t>
      </w:r>
    </w:p>
    <w:p w14:paraId="6540D40F" w14:textId="03655662" w:rsidR="00440997" w:rsidRPr="00DE5897" w:rsidRDefault="00440997" w:rsidP="00AC7513">
      <w:pPr>
        <w:pStyle w:val="ListParagraph"/>
        <w:numPr>
          <w:ilvl w:val="0"/>
          <w:numId w:val="21"/>
        </w:numPr>
        <w:spacing w:line="360" w:lineRule="auto"/>
        <w:ind w:left="714" w:hanging="357"/>
      </w:pPr>
      <w:r w:rsidRPr="00DE5897">
        <w:t>If they choose to withdraw from the study, any data and biological material collected as part of the study should be destroyed</w:t>
      </w:r>
      <w:r w:rsidR="00F87036" w:rsidRPr="00DE5897">
        <w:t xml:space="preserve"> if this is their wish. A person who withdraws may welcome data collected thus far being processed.</w:t>
      </w:r>
    </w:p>
    <w:p w14:paraId="623A094E" w14:textId="1EE375DD" w:rsidR="007F0090" w:rsidRDefault="00B91B6B" w:rsidP="006B7530">
      <w:pPr>
        <w:spacing w:line="360" w:lineRule="auto"/>
      </w:pPr>
      <w:r>
        <w:lastRenderedPageBreak/>
        <w:t xml:space="preserve">The ADMCA </w:t>
      </w:r>
      <w:r w:rsidR="007F0090">
        <w:t xml:space="preserve">provides for </w:t>
      </w:r>
      <w:r>
        <w:t>three types of decision-making</w:t>
      </w:r>
      <w:r w:rsidR="007F0090">
        <w:t xml:space="preserve"> support</w:t>
      </w:r>
      <w:r>
        <w:t xml:space="preserve"> where a person is found </w:t>
      </w:r>
      <w:proofErr w:type="gramStart"/>
      <w:r w:rsidR="009B2491">
        <w:t>to</w:t>
      </w:r>
      <w:proofErr w:type="gramEnd"/>
      <w:r w:rsidR="009B2491">
        <w:t xml:space="preserve"> </w:t>
      </w:r>
    </w:p>
    <w:p w14:paraId="7F8953F9" w14:textId="5E9AEAE6" w:rsidR="007F0090" w:rsidRDefault="009B2491" w:rsidP="00AC7513">
      <w:pPr>
        <w:pStyle w:val="ListParagraph"/>
        <w:numPr>
          <w:ilvl w:val="0"/>
          <w:numId w:val="23"/>
        </w:numPr>
        <w:spacing w:line="360" w:lineRule="auto"/>
      </w:pPr>
      <w:r>
        <w:t xml:space="preserve">require decision-making support or lack decision making </w:t>
      </w:r>
      <w:r w:rsidR="00B91B6B">
        <w:t xml:space="preserve">capacity, even when appropriate supports are </w:t>
      </w:r>
      <w:proofErr w:type="gramStart"/>
      <w:r w:rsidR="00B91B6B">
        <w:t>provided</w:t>
      </w:r>
      <w:proofErr w:type="gramEnd"/>
      <w:r w:rsidR="00B91B6B">
        <w:t xml:space="preserve"> </w:t>
      </w:r>
    </w:p>
    <w:p w14:paraId="63C27115" w14:textId="23F7E8F7" w:rsidR="007F0090" w:rsidRDefault="00B91B6B" w:rsidP="00AC7513">
      <w:pPr>
        <w:pStyle w:val="ListParagraph"/>
        <w:numPr>
          <w:ilvl w:val="0"/>
          <w:numId w:val="23"/>
        </w:numPr>
        <w:spacing w:line="360" w:lineRule="auto"/>
      </w:pPr>
      <w:r>
        <w:t>when there is no advance directive regarding the decision to be made</w:t>
      </w:r>
    </w:p>
    <w:p w14:paraId="1325C281" w14:textId="24DA4E60" w:rsidR="007F0090" w:rsidRDefault="00B91B6B" w:rsidP="00AC7513">
      <w:pPr>
        <w:pStyle w:val="ListParagraph"/>
        <w:numPr>
          <w:ilvl w:val="0"/>
          <w:numId w:val="23"/>
        </w:numPr>
        <w:spacing w:line="360" w:lineRule="auto"/>
      </w:pPr>
      <w:r>
        <w:t>when there is no Enduring Power of Attorney</w:t>
      </w:r>
    </w:p>
    <w:p w14:paraId="443944C7" w14:textId="50D8585F" w:rsidR="00B91B6B" w:rsidRDefault="007F0090" w:rsidP="00301BA0">
      <w:pPr>
        <w:spacing w:line="360" w:lineRule="auto"/>
      </w:pPr>
      <w:r>
        <w:t>The</w:t>
      </w:r>
      <w:r w:rsidR="00B91B6B">
        <w:t xml:space="preserve"> three possible levels of support</w:t>
      </w:r>
      <w:r>
        <w:t xml:space="preserve"> are as follows</w:t>
      </w:r>
      <w:r w:rsidR="00B91B6B">
        <w:t>:</w:t>
      </w:r>
      <w:r w:rsidR="00B91B6B">
        <w:rPr>
          <w:rStyle w:val="FootnoteReference"/>
        </w:rPr>
        <w:footnoteReference w:id="110"/>
      </w:r>
    </w:p>
    <w:p w14:paraId="64106AC5" w14:textId="414D92EE" w:rsidR="00B91B6B" w:rsidRDefault="00B91B6B" w:rsidP="00AC7513">
      <w:pPr>
        <w:pStyle w:val="ListParagraph"/>
        <w:numPr>
          <w:ilvl w:val="0"/>
          <w:numId w:val="10"/>
        </w:numPr>
        <w:spacing w:line="360" w:lineRule="auto"/>
      </w:pPr>
      <w:r>
        <w:t>A decision-making assistant</w:t>
      </w:r>
      <w:r w:rsidRPr="00286A68">
        <w:t xml:space="preserve"> </w:t>
      </w:r>
      <w:r w:rsidR="00D22651">
        <w:t>is</w:t>
      </w:r>
      <w:r w:rsidRPr="00286A68">
        <w:t xml:space="preserve"> the lowest level of supports</w:t>
      </w:r>
      <w:r w:rsidR="00D22651">
        <w:t xml:space="preserve">. </w:t>
      </w:r>
      <w:r w:rsidR="00941B4A">
        <w:t xml:space="preserve">The </w:t>
      </w:r>
      <w:r w:rsidRPr="00286A68">
        <w:t xml:space="preserve">person makes the decision with the assistance of a decision-making assistant who can help to obtain and explain information </w:t>
      </w:r>
      <w:r>
        <w:t xml:space="preserve">and </w:t>
      </w:r>
      <w:r w:rsidRPr="00286A68">
        <w:t>help the person</w:t>
      </w:r>
      <w:r>
        <w:t xml:space="preserve"> decide what he/she wants to do. </w:t>
      </w:r>
      <w:r w:rsidRPr="00286A68">
        <w:t xml:space="preserve"> </w:t>
      </w:r>
    </w:p>
    <w:p w14:paraId="64DCF7A8" w14:textId="33E81F0B" w:rsidR="00B91B6B" w:rsidRDefault="00B91B6B" w:rsidP="00AC7513">
      <w:pPr>
        <w:pStyle w:val="ListParagraph"/>
        <w:numPr>
          <w:ilvl w:val="0"/>
          <w:numId w:val="10"/>
        </w:numPr>
        <w:spacing w:line="360" w:lineRule="auto"/>
      </w:pPr>
      <w:r>
        <w:t xml:space="preserve">A co-decision-maker </w:t>
      </w:r>
      <w:r w:rsidR="00D22651">
        <w:t>is</w:t>
      </w:r>
      <w:r w:rsidR="00941B4A">
        <w:t xml:space="preserve"> </w:t>
      </w:r>
      <w:r>
        <w:t>t</w:t>
      </w:r>
      <w:r w:rsidRPr="00286A68">
        <w:t>he second level of support</w:t>
      </w:r>
      <w:r w:rsidR="00D22651">
        <w:t xml:space="preserve"> and</w:t>
      </w:r>
      <w:r w:rsidRPr="00286A68">
        <w:t xml:space="preserve"> involves a decision made by both the </w:t>
      </w:r>
      <w:r w:rsidR="00D22651" w:rsidRPr="00286A68">
        <w:t>p</w:t>
      </w:r>
      <w:r w:rsidR="00D22651">
        <w:t>erson</w:t>
      </w:r>
      <w:r w:rsidR="00D22651" w:rsidRPr="00286A68">
        <w:t xml:space="preserve"> </w:t>
      </w:r>
      <w:r w:rsidRPr="00286A68">
        <w:t xml:space="preserve">and a co-decision-maker, who also provides support and information. It is a more formal agreement than the first type, with the need for a document to be registered with the </w:t>
      </w:r>
      <w:r>
        <w:t>Decision Support Service (</w:t>
      </w:r>
      <w:r w:rsidRPr="00286A68">
        <w:t>DSS</w:t>
      </w:r>
      <w:r>
        <w:t>)</w:t>
      </w:r>
    </w:p>
    <w:p w14:paraId="68E30066" w14:textId="4DF61E96" w:rsidR="008E0B11" w:rsidRDefault="00D22651" w:rsidP="00AC7513">
      <w:pPr>
        <w:pStyle w:val="ListParagraph"/>
        <w:numPr>
          <w:ilvl w:val="0"/>
          <w:numId w:val="10"/>
        </w:numPr>
        <w:spacing w:line="360" w:lineRule="auto"/>
      </w:pPr>
      <w:r>
        <w:t>A</w:t>
      </w:r>
      <w:r w:rsidR="00B91B6B">
        <w:t xml:space="preserve"> decision-making representative</w:t>
      </w:r>
      <w:r>
        <w:t xml:space="preserve"> is</w:t>
      </w:r>
      <w:r w:rsidR="00B91B6B">
        <w:t xml:space="preserve"> the highest level </w:t>
      </w:r>
      <w:r>
        <w:t>of support,</w:t>
      </w:r>
      <w:r w:rsidR="008E0B11">
        <w:t xml:space="preserve"> </w:t>
      </w:r>
      <w:r w:rsidR="00B91B6B">
        <w:t xml:space="preserve">is appointed by the Circuit Court, makes certain decisions on the </w:t>
      </w:r>
      <w:r>
        <w:t xml:space="preserve">person’s </w:t>
      </w:r>
      <w:r w:rsidR="00B91B6B">
        <w:t>behalf</w:t>
      </w:r>
      <w:r w:rsidR="00A20EB4">
        <w:t xml:space="preserve"> in line with their will and preferences</w:t>
      </w:r>
      <w:r w:rsidR="00B91B6B">
        <w:t xml:space="preserve">. </w:t>
      </w:r>
    </w:p>
    <w:p w14:paraId="7744AD41" w14:textId="451965C5" w:rsidR="006E0366" w:rsidRDefault="006E0366" w:rsidP="006B7530">
      <w:pPr>
        <w:spacing w:line="360" w:lineRule="auto"/>
        <w:ind w:left="357"/>
      </w:pPr>
      <w:r>
        <w:t>Codes of Practice relating to each of these tiers and other Codes of Practice and guidance are</w:t>
      </w:r>
      <w:r w:rsidRPr="00D07629">
        <w:t xml:space="preserve"> available on the website of the Decision Support Service</w:t>
      </w:r>
      <w:r w:rsidR="0053163B">
        <w:t>.</w:t>
      </w:r>
      <w:r w:rsidRPr="00D07629">
        <w:rPr>
          <w:rFonts w:ascii="Gill Sans" w:hAnsi="Gill Sans"/>
          <w:sz w:val="22"/>
          <w:vertAlign w:val="superscript"/>
        </w:rPr>
        <w:footnoteReference w:id="111"/>
      </w:r>
    </w:p>
    <w:p w14:paraId="1805F74D" w14:textId="198B0163" w:rsidR="00C72EEE" w:rsidRDefault="00C72EEE" w:rsidP="00301BA0">
      <w:pPr>
        <w:pStyle w:val="Heading3"/>
        <w:spacing w:line="360" w:lineRule="auto"/>
      </w:pPr>
      <w:r>
        <w:lastRenderedPageBreak/>
        <w:t>3.3.</w:t>
      </w:r>
      <w:r w:rsidR="00DD2B74">
        <w:t>5</w:t>
      </w:r>
      <w:r w:rsidR="003C460B">
        <w:t>.</w:t>
      </w:r>
      <w:r w:rsidR="003C460B">
        <w:tab/>
      </w:r>
      <w:r>
        <w:t>A functional approach to capacity to consent</w:t>
      </w:r>
    </w:p>
    <w:p w14:paraId="267801BB" w14:textId="77777777" w:rsidR="0060017B" w:rsidRDefault="00C72EEE" w:rsidP="006B7530">
      <w:pPr>
        <w:pStyle w:val="ListBullet"/>
        <w:numPr>
          <w:ilvl w:val="0"/>
          <w:numId w:val="0"/>
        </w:numPr>
        <w:spacing w:before="0" w:after="240" w:line="360" w:lineRule="auto"/>
      </w:pPr>
      <w:r>
        <w:t>C</w:t>
      </w:r>
      <w:r w:rsidRPr="00D07629">
        <w:t xml:space="preserve">apacity </w:t>
      </w:r>
      <w:r>
        <w:t xml:space="preserve">under the ADMCA is assessed </w:t>
      </w:r>
      <w:r w:rsidRPr="00D07629">
        <w:t>using a functional approach on a time-specific and issue-specific basis</w:t>
      </w:r>
      <w:r>
        <w:t xml:space="preserve"> rather than from a medical perspective. A</w:t>
      </w:r>
      <w:r w:rsidRPr="00D07629">
        <w:t xml:space="preserve"> person may not have capacity to make a particular decision at a certain time, but they may have capacity to make that decision at another time. An assessment that a prospective research participant lacks the capacity to make a particular decision about participating in the research does not imply that they are unable to make other decisions. </w:t>
      </w:r>
    </w:p>
    <w:p w14:paraId="6B43F091" w14:textId="53E30E62" w:rsidR="0060017B" w:rsidRDefault="0060017B" w:rsidP="006B7530">
      <w:pPr>
        <w:pStyle w:val="ListBullet"/>
        <w:numPr>
          <w:ilvl w:val="0"/>
          <w:numId w:val="0"/>
        </w:numPr>
        <w:spacing w:before="0" w:after="240" w:line="360" w:lineRule="auto"/>
      </w:pPr>
      <w:r>
        <w:t xml:space="preserve">Researchers should assume that a prospective participant has the capacity to provide informed consent unless their interactions with the person raise doubts about their capacity. If a prospective participant’s capacity to provide informed consent is unclear the researcher must arrive at and document a functional assessment of capacity to provide informed consent. </w:t>
      </w:r>
    </w:p>
    <w:p w14:paraId="27392523" w14:textId="186C3A99" w:rsidR="0060017B" w:rsidRDefault="0060017B" w:rsidP="0060017B">
      <w:pPr>
        <w:pStyle w:val="ListBullet"/>
        <w:numPr>
          <w:ilvl w:val="0"/>
          <w:numId w:val="0"/>
        </w:numPr>
        <w:spacing w:line="360" w:lineRule="auto"/>
      </w:pPr>
      <w:r>
        <w:t>•</w:t>
      </w:r>
      <w:r>
        <w:tab/>
        <w:t>When considering their potential involvement in research a prospective participant should be encouraged to obtain support from a person with whom they have a close and trusting relationship. However, unless this person has been appointed as a decision-making supporter their view that the research study is in keeping with the will and preferences of the prospective participant is not a form of legal consent or a validation of the legality of the consent offered by the prospective participant.</w:t>
      </w:r>
      <w:r w:rsidR="00160AC5">
        <w:rPr>
          <w:rStyle w:val="FootnoteReference"/>
        </w:rPr>
        <w:footnoteReference w:id="112"/>
      </w:r>
      <w:r>
        <w:t xml:space="preserve"> </w:t>
      </w:r>
    </w:p>
    <w:p w14:paraId="37ED050A" w14:textId="000A53B0" w:rsidR="00C72EEE" w:rsidRPr="00D07629" w:rsidRDefault="00C72EEE" w:rsidP="00D32663">
      <w:pPr>
        <w:pStyle w:val="ListBullet"/>
        <w:numPr>
          <w:ilvl w:val="0"/>
          <w:numId w:val="0"/>
        </w:numPr>
        <w:spacing w:line="360" w:lineRule="auto"/>
      </w:pPr>
      <w:r w:rsidRPr="00D07629">
        <w:t>A prospective research participant has the capacity to provide or refuse consent if they can:</w:t>
      </w:r>
      <w:r w:rsidRPr="00D07629">
        <w:rPr>
          <w:rFonts w:ascii="Gill Sans" w:hAnsi="Gill Sans"/>
          <w:sz w:val="22"/>
          <w:vertAlign w:val="superscript"/>
        </w:rPr>
        <w:footnoteReference w:id="113"/>
      </w:r>
    </w:p>
    <w:p w14:paraId="1AE70FBA" w14:textId="77777777" w:rsidR="00C72EEE" w:rsidRPr="00D07629" w:rsidRDefault="00C72EEE" w:rsidP="00AC7513">
      <w:pPr>
        <w:pStyle w:val="ListBullet"/>
        <w:numPr>
          <w:ilvl w:val="0"/>
          <w:numId w:val="20"/>
        </w:numPr>
        <w:spacing w:line="360" w:lineRule="auto"/>
      </w:pPr>
      <w:r w:rsidRPr="00D07629">
        <w:t>Understand the information relevant to the decision.</w:t>
      </w:r>
    </w:p>
    <w:p w14:paraId="2D5303CD" w14:textId="77777777" w:rsidR="00C72EEE" w:rsidRPr="00D07629" w:rsidRDefault="00C72EEE" w:rsidP="00AC7513">
      <w:pPr>
        <w:pStyle w:val="ListBullet"/>
        <w:numPr>
          <w:ilvl w:val="0"/>
          <w:numId w:val="20"/>
        </w:numPr>
        <w:spacing w:line="360" w:lineRule="auto"/>
      </w:pPr>
      <w:r w:rsidRPr="00D07629">
        <w:lastRenderedPageBreak/>
        <w:t>Retain that information long enough to make a voluntary choice.</w:t>
      </w:r>
    </w:p>
    <w:p w14:paraId="64C58FE9" w14:textId="77777777" w:rsidR="00C72EEE" w:rsidRPr="00D07629" w:rsidRDefault="00C72EEE" w:rsidP="00AC7513">
      <w:pPr>
        <w:pStyle w:val="ListBullet"/>
        <w:numPr>
          <w:ilvl w:val="0"/>
          <w:numId w:val="20"/>
        </w:numPr>
        <w:spacing w:line="360" w:lineRule="auto"/>
      </w:pPr>
      <w:r w:rsidRPr="00D07629">
        <w:t xml:space="preserve">Use or weigh that information as part of the process of making the </w:t>
      </w:r>
      <w:proofErr w:type="gramStart"/>
      <w:r w:rsidRPr="00D07629">
        <w:t>decision</w:t>
      </w:r>
      <w:proofErr w:type="gramEnd"/>
    </w:p>
    <w:p w14:paraId="0A2EBF94" w14:textId="09C6978A" w:rsidR="00C72EEE" w:rsidRDefault="00C72EEE" w:rsidP="00AC7513">
      <w:pPr>
        <w:pStyle w:val="ListBullet"/>
        <w:numPr>
          <w:ilvl w:val="0"/>
          <w:numId w:val="20"/>
        </w:numPr>
        <w:spacing w:line="360" w:lineRule="auto"/>
      </w:pPr>
      <w:r w:rsidRPr="00D07629">
        <w:t>Communicate their decision whether by talking, writing, using sign language, using assistive technology, or by any other means.</w:t>
      </w:r>
    </w:p>
    <w:p w14:paraId="462BF830" w14:textId="2F874305" w:rsidR="00C51775" w:rsidRDefault="0070342F" w:rsidP="006B7530">
      <w:pPr>
        <w:pStyle w:val="ListBullet"/>
        <w:numPr>
          <w:ilvl w:val="0"/>
          <w:numId w:val="0"/>
        </w:numPr>
        <w:spacing w:line="360" w:lineRule="auto"/>
      </w:pPr>
      <w:r>
        <w:t>If a participant lacks capacity to provide informed consent researchers should note evidence that indicates assent or dissent.  They may also consult with persons that support the prospective participant to</w:t>
      </w:r>
      <w:r w:rsidR="00C51775">
        <w:t xml:space="preserve"> ascertain their will and preferences (if known) </w:t>
      </w:r>
      <w:r w:rsidR="002A70CD">
        <w:t>regarding</w:t>
      </w:r>
      <w:r w:rsidR="00C51775">
        <w:t xml:space="preserve"> participation in research.</w:t>
      </w:r>
      <w:r w:rsidR="0060017B">
        <w:t xml:space="preserve"> A refusal to participate or a request to withdraw from research should always be complied with. </w:t>
      </w:r>
    </w:p>
    <w:p w14:paraId="2F6CC808" w14:textId="77777777" w:rsidR="00D32663" w:rsidRDefault="00C51775" w:rsidP="00D32663">
      <w:pPr>
        <w:spacing w:line="360" w:lineRule="auto"/>
        <w:rPr>
          <w:szCs w:val="26"/>
        </w:rPr>
      </w:pPr>
      <w:r w:rsidRPr="00D32663">
        <w:rPr>
          <w:szCs w:val="26"/>
        </w:rPr>
        <w:t>Researchers should only include persons who lack the capacity to provide informed consent as research participants if they have the appropriate ethical and legal approval. If the research comes within the definition of health research as defined by the Health Research Regulations</w:t>
      </w:r>
      <w:r w:rsidR="002A70CD" w:rsidRPr="00D32663">
        <w:rPr>
          <w:rStyle w:val="FootnoteReference"/>
          <w:rFonts w:ascii="Gill Sans MT" w:hAnsi="Gill Sans MT"/>
          <w:sz w:val="26"/>
          <w:szCs w:val="26"/>
        </w:rPr>
        <w:footnoteReference w:id="114"/>
      </w:r>
      <w:r w:rsidRPr="00D32663">
        <w:rPr>
          <w:szCs w:val="26"/>
        </w:rPr>
        <w:t xml:space="preserve"> a Consent Declaration must be sought from the HRCDC in addition to approval from a research ethics committee. </w:t>
      </w:r>
      <w:r w:rsidR="00160AC5" w:rsidRPr="00D32663">
        <w:rPr>
          <w:szCs w:val="26"/>
        </w:rPr>
        <w:t xml:space="preserve">Where a decision support agreement extends to personal welfare a decision-making representative will have the legal authority to consent on behalf of a person. </w:t>
      </w:r>
      <w:bookmarkStart w:id="48" w:name="_Toc150873271"/>
      <w:bookmarkStart w:id="49" w:name="_Toc140081165"/>
    </w:p>
    <w:p w14:paraId="71BE63FB" w14:textId="3716088F" w:rsidR="00033C4C" w:rsidRPr="00D32663" w:rsidRDefault="006B7530" w:rsidP="006B7530">
      <w:pPr>
        <w:pStyle w:val="Heading2"/>
        <w:numPr>
          <w:ilvl w:val="1"/>
          <w:numId w:val="11"/>
        </w:numPr>
        <w:rPr>
          <w:lang w:val="en-GB"/>
        </w:rPr>
      </w:pPr>
      <w:r>
        <w:rPr>
          <w:lang w:val="en-GB"/>
        </w:rPr>
        <w:t xml:space="preserve"> </w:t>
      </w:r>
      <w:bookmarkStart w:id="50" w:name="_Toc156380500"/>
      <w:r w:rsidR="00033C4C" w:rsidRPr="00D32663">
        <w:rPr>
          <w:lang w:val="en-GB"/>
        </w:rPr>
        <w:t>Confidentiality and data protection</w:t>
      </w:r>
      <w:bookmarkEnd w:id="48"/>
      <w:bookmarkEnd w:id="50"/>
    </w:p>
    <w:p w14:paraId="1A2CF45D" w14:textId="34F26FAB" w:rsidR="00EC286B" w:rsidRDefault="00EC286B" w:rsidP="00301BA0">
      <w:pPr>
        <w:spacing w:line="360" w:lineRule="auto"/>
      </w:pPr>
      <w:r w:rsidRPr="00EC214B">
        <w:rPr>
          <w:lang w:val="en-GB"/>
        </w:rPr>
        <w:t xml:space="preserve">Data protection and confidentiality are legal and ethical duties. </w:t>
      </w:r>
      <w:r w:rsidRPr="00EC214B">
        <w:t xml:space="preserve">Data protection law governs situations where personal data are ‘processed’ by an organisation or person. Processing means using personal data in any way </w:t>
      </w:r>
      <w:r w:rsidR="00D948CE">
        <w:t xml:space="preserve">such as </w:t>
      </w:r>
      <w:r w:rsidRPr="00EC214B">
        <w:t>collecting, storing, retrieving, consulting, disclosing</w:t>
      </w:r>
      <w:r>
        <w:t>,</w:t>
      </w:r>
      <w:r w:rsidRPr="00EC214B">
        <w:t xml:space="preserve"> or sharing with someone else, erasing, or destroying personal data. Confidentiality is ensuring that only the people who should have access to personal data are processing it</w:t>
      </w:r>
      <w:r>
        <w:t xml:space="preserve">. </w:t>
      </w:r>
    </w:p>
    <w:p w14:paraId="737AF4E4" w14:textId="77777777" w:rsidR="005C0B59" w:rsidRDefault="005C0B59" w:rsidP="006B7530">
      <w:pPr>
        <w:spacing w:line="360" w:lineRule="auto"/>
      </w:pPr>
      <w:r>
        <w:lastRenderedPageBreak/>
        <w:t xml:space="preserve">Data </w:t>
      </w:r>
      <w:r w:rsidRPr="00D80AA8">
        <w:t xml:space="preserve">protection is </w:t>
      </w:r>
      <w:r>
        <w:t xml:space="preserve">both </w:t>
      </w:r>
      <w:r w:rsidRPr="00D80AA8">
        <w:t xml:space="preserve">an integral issue for research ethics and a fundamental human right. </w:t>
      </w:r>
      <w:r>
        <w:t xml:space="preserve">It </w:t>
      </w:r>
      <w:r w:rsidRPr="00D80AA8">
        <w:t>is linked to human dignity and the principle that everyone should be valued and respected.</w:t>
      </w:r>
      <w:r>
        <w:t xml:space="preserve"> </w:t>
      </w:r>
      <w:r w:rsidRPr="00D80AA8">
        <w:t>The right to data protection is guaranteed by the EU Charter of Fundamental Rights and the Treaty on the Functioning of the European Union. It gives effect to the right to privacy by providing individuals with autonomy and control over the way information about them is collected and used.</w:t>
      </w:r>
      <w:r>
        <w:rPr>
          <w:lang w:val="en-GB"/>
        </w:rPr>
        <w:t xml:space="preserve"> This is important as </w:t>
      </w:r>
      <w:r>
        <w:t xml:space="preserve">disclosure of </w:t>
      </w:r>
      <w:r w:rsidRPr="00D80AA8">
        <w:t>identity and insufficient protection of private information</w:t>
      </w:r>
      <w:r>
        <w:t xml:space="preserve"> are risks faced by research participants</w:t>
      </w:r>
      <w:r w:rsidRPr="00D80AA8">
        <w:t xml:space="preserve">. </w:t>
      </w:r>
      <w:r>
        <w:t>Thus, s</w:t>
      </w:r>
      <w:r w:rsidRPr="00D80AA8">
        <w:t xml:space="preserve">afeguarding privacy and </w:t>
      </w:r>
      <w:r>
        <w:t xml:space="preserve">taking </w:t>
      </w:r>
      <w:r w:rsidRPr="00D80AA8">
        <w:t>appropriate measures for processing, handling, and storing data are central at all stages of research and beyond.</w:t>
      </w:r>
      <w:r>
        <w:rPr>
          <w:rStyle w:val="FootnoteReference"/>
        </w:rPr>
        <w:footnoteReference w:id="115"/>
      </w:r>
      <w:r w:rsidRPr="00D80AA8">
        <w:t xml:space="preserve"> </w:t>
      </w:r>
    </w:p>
    <w:p w14:paraId="387885A1" w14:textId="77777777" w:rsidR="005C0B59" w:rsidRDefault="00081A58" w:rsidP="00301BA0">
      <w:pPr>
        <w:spacing w:line="360" w:lineRule="auto"/>
      </w:pPr>
      <w:r w:rsidRPr="003D3360">
        <w:t xml:space="preserve">The ‘General Data Protection Regulation’ (GDPR) is </w:t>
      </w:r>
      <w:r>
        <w:t xml:space="preserve">a </w:t>
      </w:r>
      <w:r w:rsidRPr="003D3360">
        <w:t>law which applies to the processing of personal data in Ireland and across the EU, along with national rules set out in the Irish Data Protection Act 2018.</w:t>
      </w:r>
      <w:r w:rsidRPr="003D3360">
        <w:rPr>
          <w:vertAlign w:val="superscript"/>
        </w:rPr>
        <w:footnoteReference w:id="116"/>
      </w:r>
      <w:r w:rsidRPr="003D3360">
        <w:t xml:space="preserve"> GDPR is applicable to all research involving data which can identify an individual (personal data), regardless of the nature of the research. GDPR has an 'integrity and confidentiality' or security principle, which demands that the appropriate security measures are in place to protect any personal data held by an organisation. </w:t>
      </w:r>
    </w:p>
    <w:p w14:paraId="4889C020" w14:textId="3353EA24" w:rsidR="00FC5B4F" w:rsidRDefault="00081A58" w:rsidP="00301BA0">
      <w:pPr>
        <w:spacing w:line="360" w:lineRule="auto"/>
      </w:pPr>
      <w:r w:rsidRPr="003D3360">
        <w:t xml:space="preserve">Processing personal data for research purposes requires that the data subject has consented to the processing. </w:t>
      </w:r>
      <w:r w:rsidRPr="003D3360">
        <w:rPr>
          <w:lang w:val="en-GB"/>
        </w:rPr>
        <w:t xml:space="preserve">Researchers must be aware of the legal requirements and uphold the commitment to research participants on confidentiality including anonymity and data protection. </w:t>
      </w:r>
      <w:r w:rsidR="00FC5B4F" w:rsidRPr="00FC5B4F">
        <w:t xml:space="preserve">When associated research involves the use of personal data, researchers must identify the legal basis for the data processing and, where relevant, the appropriate Article 9 </w:t>
      </w:r>
      <w:r w:rsidR="00FC5B4F" w:rsidRPr="00FC5B4F">
        <w:lastRenderedPageBreak/>
        <w:t>condition before the research commences.</w:t>
      </w:r>
      <w:r w:rsidR="00FC5B4F" w:rsidRPr="00FC5B4F">
        <w:rPr>
          <w:vertAlign w:val="superscript"/>
        </w:rPr>
        <w:footnoteReference w:id="117"/>
      </w:r>
      <w:r w:rsidR="00FC5B4F" w:rsidRPr="00FC5B4F">
        <w:t xml:space="preserve"> Data processing is lawful under Article 9 for special categories of data (or ‘sensitive data’, including health data) which are subject to additional requirements</w:t>
      </w:r>
      <w:r w:rsidR="00FC5B4F">
        <w:t>.</w:t>
      </w:r>
      <w:r w:rsidR="000D7C3C">
        <w:rPr>
          <w:rStyle w:val="FootnoteReference"/>
        </w:rPr>
        <w:footnoteReference w:id="118"/>
      </w:r>
      <w:r w:rsidR="00FC5B4F">
        <w:t xml:space="preserve"> </w:t>
      </w:r>
      <w:r w:rsidR="00FC5B4F" w:rsidRPr="00FC5B4F">
        <w:t>Data processing is lawful under a list of legal bases provided in the GDPR under Article 6 for non-sensitive personal data. The legal basis for processing personal data (consent, contract, legal obligation, vital interests</w:t>
      </w:r>
      <w:r w:rsidR="005C0B59">
        <w:t>,</w:t>
      </w:r>
      <w:r w:rsidR="00FC5B4F" w:rsidRPr="00FC5B4F">
        <w:t xml:space="preserve"> and public task) must be identified and decided for each study and category of processing prior to study commencement based on a factual and operational analysis - categories of personal data, purpose of processing, etc (p.28, HSE, 2023)</w:t>
      </w:r>
      <w:r w:rsidR="00FC5B4F">
        <w:t>.</w:t>
      </w:r>
    </w:p>
    <w:p w14:paraId="31353DDA" w14:textId="37D48F69" w:rsidR="00FC5B4F" w:rsidRDefault="00FC5B4F" w:rsidP="00301BA0">
      <w:pPr>
        <w:spacing w:line="360" w:lineRule="auto"/>
      </w:pPr>
      <w:r>
        <w:t>The</w:t>
      </w:r>
      <w:r w:rsidR="00081A58">
        <w:t xml:space="preserve"> European Commission published ‘</w:t>
      </w:r>
      <w:r w:rsidR="00081A58" w:rsidRPr="004424EA">
        <w:t>Ethics in Social Science and Humanities</w:t>
      </w:r>
      <w:r w:rsidR="00081A58">
        <w:t>’ in 2021,</w:t>
      </w:r>
      <w:r w:rsidR="00081A58">
        <w:rPr>
          <w:rStyle w:val="FootnoteReference"/>
        </w:rPr>
        <w:footnoteReference w:id="119"/>
      </w:r>
      <w:r w:rsidR="00081A58">
        <w:t xml:space="preserve"> which addresses data protection, confidentiality, consent, ethical principles, and the ethical dimensions of research methodology. </w:t>
      </w:r>
    </w:p>
    <w:p w14:paraId="34B06C14" w14:textId="01D2DFC5" w:rsidR="00EC286B" w:rsidRDefault="00EC286B" w:rsidP="00301BA0">
      <w:pPr>
        <w:spacing w:line="360" w:lineRule="auto"/>
      </w:pPr>
      <w:r w:rsidRPr="00EC214B">
        <w:t>Confidentiality should not be confused with anonymity, which refers to people being fully anonymous, and as participants become known to the researchers, true anonymity is not achievable.</w:t>
      </w:r>
      <w:r w:rsidRPr="00EC214B">
        <w:rPr>
          <w:rFonts w:ascii="Gill Sans" w:hAnsi="Gill Sans"/>
          <w:sz w:val="22"/>
          <w:vertAlign w:val="superscript"/>
        </w:rPr>
        <w:footnoteReference w:id="120"/>
      </w:r>
      <w:r w:rsidRPr="00EC214B">
        <w:t xml:space="preserve"> Therefore, when participants engage in face-to-face contact with the researcher, it is unrealistic to promise anonymity and more appropriate to promise confidentiality. The terms ‘anonymity’ and ‘confidentiality’ are used interchangeably, but they are not synonymous - anonymity is a form of confidentiality, where participants’ identities are kept secret i.e., data do not include any identifiers, codes or unique information that </w:t>
      </w:r>
      <w:r w:rsidRPr="00EC214B">
        <w:lastRenderedPageBreak/>
        <w:t>can be used to identify the participant. Participants have the right to exclude themselves, or their information, and thus express themselves selectively. This tendency varies among cultures and individuals. In research, the use of interviews can pose difficulties, as the direction of questions cannot always be anticipated, and probing questions are used to obtain meaningful information about the phenomenon under investigation.</w:t>
      </w:r>
      <w:r w:rsidRPr="00EC214B">
        <w:rPr>
          <w:rFonts w:ascii="Gill Sans" w:hAnsi="Gill Sans"/>
          <w:sz w:val="22"/>
          <w:vertAlign w:val="superscript"/>
        </w:rPr>
        <w:footnoteReference w:id="121"/>
      </w:r>
      <w:r w:rsidRPr="00EC214B">
        <w:t xml:space="preserve"> Therefore, participants may reveal intimate and personal details, and researchers should reassure participants that the information they disclose is confidential.</w:t>
      </w:r>
    </w:p>
    <w:p w14:paraId="3CDAE0BF" w14:textId="1D228D82" w:rsidR="00EC214B" w:rsidRPr="00EC214B" w:rsidRDefault="00081A58" w:rsidP="00301BA0">
      <w:pPr>
        <w:spacing w:line="360" w:lineRule="auto"/>
        <w:rPr>
          <w:lang w:val="en-GB"/>
        </w:rPr>
      </w:pPr>
      <w:r w:rsidRPr="00EC214B">
        <w:t xml:space="preserve">The researcher is responsible for </w:t>
      </w:r>
      <w:r w:rsidR="00451800">
        <w:t xml:space="preserve">ensuring </w:t>
      </w:r>
      <w:r w:rsidRPr="00EC214B">
        <w:t>confidentiality of participants and their data. Researchers can ensure that confidentiality is upheld by allocating an identification number or pseudo-name to participants, so that identifiable information is secured</w:t>
      </w:r>
      <w:r w:rsidR="005C0B59">
        <w:t>,</w:t>
      </w:r>
      <w:r w:rsidRPr="00EC214B">
        <w:t xml:space="preserve"> and that identifying information is not entered into a computer system or other potentially accessible database.</w:t>
      </w:r>
      <w:r w:rsidRPr="00EC214B">
        <w:rPr>
          <w:rFonts w:ascii="Gill Sans" w:hAnsi="Gill Sans"/>
          <w:sz w:val="22"/>
          <w:vertAlign w:val="superscript"/>
        </w:rPr>
        <w:footnoteReference w:id="122"/>
      </w:r>
      <w:r w:rsidRPr="00EC214B">
        <w:t xml:space="preserve"> </w:t>
      </w:r>
      <w:r w:rsidR="005C0B59" w:rsidRPr="00EC214B">
        <w:rPr>
          <w:lang w:val="en-GB"/>
        </w:rPr>
        <w:t>Researchers must protect all confidential forms of written, verbal</w:t>
      </w:r>
      <w:r w:rsidR="005C0B59">
        <w:rPr>
          <w:lang w:val="en-GB"/>
        </w:rPr>
        <w:t>,</w:t>
      </w:r>
      <w:r w:rsidR="005C0B59" w:rsidRPr="00EC214B">
        <w:rPr>
          <w:lang w:val="en-GB"/>
        </w:rPr>
        <w:t xml:space="preserve"> and electronic communication gained from research. </w:t>
      </w:r>
      <w:r w:rsidRPr="00EC214B">
        <w:t xml:space="preserve">Where small samples and/or quotes are used, there is the potential for participants to be identified, so when transcribing, analysing </w:t>
      </w:r>
      <w:proofErr w:type="gramStart"/>
      <w:r w:rsidRPr="00EC214B">
        <w:t>data</w:t>
      </w:r>
      <w:proofErr w:type="gramEnd"/>
      <w:r w:rsidRPr="00EC214B">
        <w:t xml:space="preserve"> and writing up findings, researchers should exclude individual expressions or language nuance, and only include information fitting with the findings. </w:t>
      </w:r>
      <w:r w:rsidR="00EC214B" w:rsidRPr="00EC214B">
        <w:rPr>
          <w:lang w:val="en-GB"/>
        </w:rPr>
        <w:t xml:space="preserve">Participants’ identities must </w:t>
      </w:r>
      <w:r w:rsidR="005C0B59">
        <w:rPr>
          <w:lang w:val="en-GB"/>
        </w:rPr>
        <w:t xml:space="preserve">also </w:t>
      </w:r>
      <w:r w:rsidR="00EC214B" w:rsidRPr="00EC214B">
        <w:rPr>
          <w:lang w:val="en-GB"/>
        </w:rPr>
        <w:t>be sufficiently protected in data presentation. Overlapping relationships between researchers and participants may be allowed for, as these can happen in small communities</w:t>
      </w:r>
      <w:r w:rsidR="00DD2B74">
        <w:rPr>
          <w:lang w:val="en-GB"/>
        </w:rPr>
        <w:t>.</w:t>
      </w:r>
      <w:r w:rsidR="00EC214B" w:rsidRPr="00EC214B">
        <w:rPr>
          <w:lang w:val="en-GB"/>
        </w:rPr>
        <w:t xml:space="preserve"> </w:t>
      </w:r>
      <w:r w:rsidR="00EC214B" w:rsidRPr="00EC214B">
        <w:t xml:space="preserve">Personal information obtained must never lead to identification of participants and should not be made available to others without participants’ consent and prior knowledge. There are extraordinary circumstances where information may have to be revealed without the permission of participants, thus breaking confidentiality. These situations include </w:t>
      </w:r>
      <w:r w:rsidR="00EC214B" w:rsidRPr="00EC214B">
        <w:lastRenderedPageBreak/>
        <w:t>public interest and safety, or when the researcher believes that there may be a danger in non-disclosure.</w:t>
      </w:r>
      <w:r w:rsidR="00EC214B" w:rsidRPr="00EC214B">
        <w:rPr>
          <w:rFonts w:ascii="Gill Sans" w:hAnsi="Gill Sans"/>
          <w:sz w:val="22"/>
          <w:vertAlign w:val="superscript"/>
        </w:rPr>
        <w:footnoteReference w:id="123"/>
      </w:r>
      <w:r w:rsidR="00EC214B" w:rsidRPr="00EC214B">
        <w:t xml:space="preserve"> The researcher must have a strong reason for the disclosure of information and should seek advice and assistance from the research supervisor, ethics committee and other relevant persons, with all decisions clearly documented.</w:t>
      </w:r>
      <w:r w:rsidR="00EC214B" w:rsidRPr="00EC214B">
        <w:rPr>
          <w:rFonts w:ascii="Gill Sans" w:hAnsi="Gill Sans"/>
          <w:sz w:val="22"/>
          <w:vertAlign w:val="superscript"/>
        </w:rPr>
        <w:footnoteReference w:id="124"/>
      </w:r>
      <w:r w:rsidR="00EC214B" w:rsidRPr="00EC214B">
        <w:t xml:space="preserve"> </w:t>
      </w:r>
    </w:p>
    <w:p w14:paraId="77579BDC" w14:textId="1E300841" w:rsidR="00CD798A" w:rsidRDefault="00EC214B" w:rsidP="00301BA0">
      <w:pPr>
        <w:spacing w:line="360" w:lineRule="auto"/>
        <w:rPr>
          <w:lang w:val="en-GB"/>
        </w:rPr>
      </w:pPr>
      <w:r w:rsidRPr="00EC214B">
        <w:t>Raw data should comprise the name and/or identifiers (code, pseudonyms) that can be used to connect the participant’s data to their name. While researchers have access to this information, it should not be contained in the final report, nor should anyone other than those stated in the consent form have access to the data.</w:t>
      </w:r>
      <w:r w:rsidRPr="00EC214B">
        <w:rPr>
          <w:rFonts w:ascii="Gill Sans" w:hAnsi="Gill Sans"/>
          <w:sz w:val="22"/>
          <w:vertAlign w:val="superscript"/>
        </w:rPr>
        <w:footnoteReference w:id="125"/>
      </w:r>
      <w:r w:rsidRPr="00EC214B">
        <w:t xml:space="preserve"> </w:t>
      </w:r>
      <w:bookmarkStart w:id="51" w:name="_Toc140081184"/>
      <w:bookmarkStart w:id="52" w:name="_Toc140081182"/>
      <w:bookmarkEnd w:id="49"/>
      <w:r w:rsidR="00081A58" w:rsidRPr="00EC214B">
        <w:rPr>
          <w:lang w:val="en-GB"/>
        </w:rPr>
        <w:t>Data collection and storage practices, whether paper, recordings</w:t>
      </w:r>
      <w:r w:rsidR="00081A58">
        <w:rPr>
          <w:lang w:val="en-GB"/>
        </w:rPr>
        <w:t>,</w:t>
      </w:r>
      <w:r w:rsidR="00081A58" w:rsidRPr="00EC214B">
        <w:rPr>
          <w:lang w:val="en-GB"/>
        </w:rPr>
        <w:t xml:space="preserve"> or electronic records, should be adequately secured to safeguard confidentiality. For example, research records should be kept separate from</w:t>
      </w:r>
      <w:r w:rsidR="00451800">
        <w:rPr>
          <w:lang w:val="en-GB"/>
        </w:rPr>
        <w:t xml:space="preserve"> </w:t>
      </w:r>
      <w:r w:rsidR="00081A58" w:rsidRPr="00EC214B">
        <w:rPr>
          <w:lang w:val="en-GB"/>
        </w:rPr>
        <w:t xml:space="preserve">clinical records. </w:t>
      </w:r>
      <w:r w:rsidR="00081A58">
        <w:t xml:space="preserve">They </w:t>
      </w:r>
      <w:r w:rsidR="00081A58" w:rsidRPr="00EC214B">
        <w:t>should assign each participant an identification code/number that only the researchers have access to. Data should be stored in a locked facility and all electronic data should be password-protected. Participants should be aware of where their data will be stored, for how long and how data will be destroyed after this time.</w:t>
      </w:r>
      <w:r w:rsidR="00081A58" w:rsidRPr="00EC214B">
        <w:rPr>
          <w:rFonts w:ascii="Gill Sans" w:hAnsi="Gill Sans"/>
          <w:sz w:val="22"/>
          <w:vertAlign w:val="superscript"/>
          <w:lang w:val="en-GB"/>
        </w:rPr>
        <w:footnoteReference w:id="126"/>
      </w:r>
      <w:r w:rsidR="00081A58">
        <w:t xml:space="preserve"> </w:t>
      </w:r>
      <w:r w:rsidR="00081A58" w:rsidRPr="00EC214B">
        <w:rPr>
          <w:lang w:val="en-GB"/>
        </w:rPr>
        <w:t xml:space="preserve">A protocol should be included in the research design on retention of data together with a process for disposal of original records which could identify individuals. </w:t>
      </w:r>
    </w:p>
    <w:p w14:paraId="4DA7B2AE" w14:textId="26765C3C" w:rsidR="00CD798A" w:rsidRDefault="00CD798A" w:rsidP="006B7530">
      <w:pPr>
        <w:pStyle w:val="Heading2"/>
        <w:numPr>
          <w:ilvl w:val="1"/>
          <w:numId w:val="37"/>
        </w:numPr>
        <w:spacing w:line="360" w:lineRule="auto"/>
      </w:pPr>
      <w:bookmarkStart w:id="53" w:name="_Toc150873272"/>
      <w:bookmarkStart w:id="54" w:name="_Toc156380501"/>
      <w:r>
        <w:t>Professional integrity</w:t>
      </w:r>
      <w:bookmarkEnd w:id="53"/>
      <w:bookmarkEnd w:id="54"/>
      <w:r>
        <w:t xml:space="preserve"> </w:t>
      </w:r>
    </w:p>
    <w:p w14:paraId="1C792C4E" w14:textId="77777777" w:rsidR="0098423F" w:rsidRPr="00451800" w:rsidRDefault="0098423F" w:rsidP="00301BA0">
      <w:pPr>
        <w:spacing w:line="360" w:lineRule="auto"/>
        <w:rPr>
          <w:lang w:val="en-GB"/>
        </w:rPr>
      </w:pPr>
      <w:r w:rsidRPr="00451800">
        <w:rPr>
          <w:lang w:val="en-GB"/>
        </w:rPr>
        <w:t xml:space="preserve">The European Code of Conduct specifies four principles that reflect this value of research integrity: reliability (proper use of methods, analyses, and resources), </w:t>
      </w:r>
      <w:r w:rsidRPr="00451800">
        <w:rPr>
          <w:lang w:val="en-GB"/>
        </w:rPr>
        <w:lastRenderedPageBreak/>
        <w:t>honesty, respect, and accountability.</w:t>
      </w:r>
      <w:r w:rsidRPr="00451800">
        <w:t xml:space="preserve"> The principles are the same in the global research community.</w:t>
      </w:r>
      <w:r w:rsidRPr="00451800">
        <w:rPr>
          <w:rStyle w:val="FootnoteReference"/>
          <w:lang w:val="en-GB"/>
        </w:rPr>
        <w:footnoteReference w:id="127"/>
      </w:r>
      <w:r w:rsidRPr="00451800">
        <w:rPr>
          <w:lang w:val="en-GB"/>
        </w:rPr>
        <w:t xml:space="preserve"> </w:t>
      </w:r>
    </w:p>
    <w:p w14:paraId="27B246C6" w14:textId="477AE394" w:rsidR="00BF266C" w:rsidRDefault="00BF266C" w:rsidP="00301BA0">
      <w:pPr>
        <w:autoSpaceDE w:val="0"/>
        <w:autoSpaceDN w:val="0"/>
        <w:adjustRightInd w:val="0"/>
        <w:spacing w:line="360" w:lineRule="auto"/>
        <w:rPr>
          <w:rFonts w:cs="Arial"/>
          <w:szCs w:val="26"/>
          <w:lang w:val="en-GB"/>
        </w:rPr>
      </w:pPr>
      <w:r w:rsidRPr="00451800">
        <w:rPr>
          <w:rFonts w:cs="Arial"/>
          <w:szCs w:val="26"/>
        </w:rPr>
        <w:t xml:space="preserve">The National Research Integrity Forum </w:t>
      </w:r>
      <w:r w:rsidR="0098423F" w:rsidRPr="00451800">
        <w:rPr>
          <w:rFonts w:cs="Arial"/>
          <w:szCs w:val="26"/>
        </w:rPr>
        <w:t xml:space="preserve">in Ireland </w:t>
      </w:r>
      <w:r w:rsidRPr="00451800">
        <w:rPr>
          <w:rFonts w:cs="Arial"/>
          <w:szCs w:val="26"/>
        </w:rPr>
        <w:t>comprises 26 universities and other research bodies</w:t>
      </w:r>
      <w:r w:rsidR="0098423F" w:rsidRPr="00451800">
        <w:rPr>
          <w:rFonts w:cs="Arial"/>
          <w:szCs w:val="26"/>
        </w:rPr>
        <w:t>.</w:t>
      </w:r>
      <w:r w:rsidRPr="00451800">
        <w:rPr>
          <w:rStyle w:val="FootnoteReference"/>
          <w:rFonts w:cs="Arial"/>
          <w:szCs w:val="26"/>
        </w:rPr>
        <w:footnoteReference w:id="128"/>
      </w:r>
      <w:r w:rsidRPr="00451800">
        <w:rPr>
          <w:rFonts w:cs="Arial"/>
          <w:szCs w:val="26"/>
        </w:rPr>
        <w:t xml:space="preserve"> </w:t>
      </w:r>
      <w:r w:rsidR="0098423F" w:rsidRPr="00451800">
        <w:rPr>
          <w:rFonts w:cs="Arial"/>
          <w:szCs w:val="26"/>
        </w:rPr>
        <w:t xml:space="preserve">It </w:t>
      </w:r>
      <w:r w:rsidR="008663E9" w:rsidRPr="00451800">
        <w:rPr>
          <w:rFonts w:cs="Arial"/>
          <w:szCs w:val="26"/>
        </w:rPr>
        <w:t xml:space="preserve">proposes its </w:t>
      </w:r>
      <w:r w:rsidRPr="00451800">
        <w:rPr>
          <w:rFonts w:cs="Arial"/>
          <w:szCs w:val="26"/>
        </w:rPr>
        <w:t xml:space="preserve">2019 Policy Statement on research integrity in Ireland, as a framework </w:t>
      </w:r>
      <w:r w:rsidR="008663E9" w:rsidRPr="00451800">
        <w:rPr>
          <w:rFonts w:cs="Arial"/>
          <w:szCs w:val="26"/>
        </w:rPr>
        <w:t>that can be adopted by all disciplines, research performing organisations and funders in Ireland.</w:t>
      </w:r>
      <w:r w:rsidRPr="00451800">
        <w:rPr>
          <w:rStyle w:val="FootnoteReference"/>
          <w:rFonts w:cs="Arial"/>
          <w:szCs w:val="26"/>
        </w:rPr>
        <w:footnoteReference w:id="129"/>
      </w:r>
      <w:r w:rsidRPr="00451800">
        <w:t xml:space="preserve"> </w:t>
      </w:r>
      <w:r w:rsidR="008663E9" w:rsidRPr="00451800">
        <w:t>It endorses the European Code of Conduct for Research Integrity</w:t>
      </w:r>
      <w:r w:rsidR="00C94A30" w:rsidRPr="00451800">
        <w:t>,</w:t>
      </w:r>
      <w:r w:rsidR="00C94A30" w:rsidRPr="00451800">
        <w:rPr>
          <w:rStyle w:val="FootnoteReference"/>
        </w:rPr>
        <w:footnoteReference w:id="130"/>
      </w:r>
      <w:r w:rsidR="008663E9" w:rsidRPr="00451800">
        <w:t xml:space="preserve"> draws on the 2010 Royal Irish Academy </w:t>
      </w:r>
      <w:r w:rsidR="00C94A30" w:rsidRPr="00451800">
        <w:t xml:space="preserve">Ensuring Integrity in Irish Research </w:t>
      </w:r>
      <w:r w:rsidR="008663E9" w:rsidRPr="00451800">
        <w:t>discussion document</w:t>
      </w:r>
      <w:r w:rsidR="00C94A30" w:rsidRPr="00451800">
        <w:rPr>
          <w:rStyle w:val="FootnoteReference"/>
        </w:rPr>
        <w:footnoteReference w:id="131"/>
      </w:r>
      <w:r w:rsidR="008663E9" w:rsidRPr="00451800">
        <w:t xml:space="preserve"> </w:t>
      </w:r>
      <w:r w:rsidR="00C94A30" w:rsidRPr="00451800">
        <w:t xml:space="preserve">and </w:t>
      </w:r>
      <w:r w:rsidR="008663E9" w:rsidRPr="00451800">
        <w:t>the “UK Concordat on Research Integrity.</w:t>
      </w:r>
      <w:r w:rsidR="00C94A30" w:rsidRPr="00451800">
        <w:rPr>
          <w:rStyle w:val="FootnoteReference"/>
        </w:rPr>
        <w:footnoteReference w:id="132"/>
      </w:r>
    </w:p>
    <w:p w14:paraId="357EA07E" w14:textId="354A31DC" w:rsidR="00CD798A" w:rsidRDefault="00CD798A" w:rsidP="00301BA0">
      <w:pPr>
        <w:autoSpaceDE w:val="0"/>
        <w:autoSpaceDN w:val="0"/>
        <w:adjustRightInd w:val="0"/>
        <w:spacing w:line="360" w:lineRule="auto"/>
        <w:rPr>
          <w:rFonts w:cs="Arial"/>
          <w:szCs w:val="26"/>
          <w:lang w:val="en-GB"/>
        </w:rPr>
      </w:pPr>
      <w:r w:rsidRPr="00D34A26">
        <w:rPr>
          <w:rFonts w:cs="Arial"/>
          <w:szCs w:val="26"/>
          <w:lang w:val="en-GB"/>
        </w:rPr>
        <w:t xml:space="preserve">Connolly, </w:t>
      </w:r>
      <w:r w:rsidR="00AA76A4">
        <w:rPr>
          <w:rFonts w:cs="Arial"/>
          <w:szCs w:val="26"/>
          <w:lang w:val="en-GB"/>
        </w:rPr>
        <w:t>wh</w:t>
      </w:r>
      <w:r w:rsidR="0098423F">
        <w:rPr>
          <w:rFonts w:cs="Arial"/>
          <w:szCs w:val="26"/>
          <w:lang w:val="en-GB"/>
        </w:rPr>
        <w:t>en</w:t>
      </w:r>
      <w:r w:rsidR="00AA76A4">
        <w:rPr>
          <w:rFonts w:cs="Arial"/>
          <w:szCs w:val="26"/>
          <w:lang w:val="en-GB"/>
        </w:rPr>
        <w:t xml:space="preserve"> tasked with developing</w:t>
      </w:r>
      <w:r w:rsidRPr="00D34A26">
        <w:rPr>
          <w:rFonts w:cs="Arial"/>
          <w:szCs w:val="26"/>
          <w:lang w:val="en-GB"/>
        </w:rPr>
        <w:t xml:space="preserve"> ethical principles for research</w:t>
      </w:r>
      <w:r w:rsidR="00AA76A4">
        <w:rPr>
          <w:rFonts w:cs="Arial"/>
          <w:szCs w:val="26"/>
          <w:lang w:val="en-GB"/>
        </w:rPr>
        <w:t xml:space="preserve"> in Northern Ireland</w:t>
      </w:r>
      <w:r w:rsidRPr="00D34A26">
        <w:rPr>
          <w:rFonts w:cs="Arial"/>
          <w:szCs w:val="26"/>
          <w:lang w:val="en-GB"/>
        </w:rPr>
        <w:t>, enunciate</w:t>
      </w:r>
      <w:r>
        <w:rPr>
          <w:rFonts w:cs="Arial"/>
          <w:szCs w:val="26"/>
          <w:lang w:val="en-GB"/>
        </w:rPr>
        <w:t>d</w:t>
      </w:r>
      <w:r w:rsidRPr="00D34A26">
        <w:rPr>
          <w:rFonts w:cs="Arial"/>
          <w:szCs w:val="26"/>
          <w:lang w:val="en-GB"/>
        </w:rPr>
        <w:t xml:space="preserve"> four </w:t>
      </w:r>
      <w:r w:rsidR="008A7856">
        <w:rPr>
          <w:rFonts w:cs="Arial"/>
          <w:szCs w:val="26"/>
          <w:lang w:val="en-GB"/>
        </w:rPr>
        <w:t xml:space="preserve">simple </w:t>
      </w:r>
      <w:r w:rsidRPr="00D34A26">
        <w:rPr>
          <w:rFonts w:cs="Arial"/>
          <w:szCs w:val="26"/>
          <w:lang w:val="en-GB"/>
        </w:rPr>
        <w:t>guidelines arising from the principle of professional integrity:</w:t>
      </w:r>
      <w:r>
        <w:rPr>
          <w:rStyle w:val="FootnoteReference"/>
          <w:rFonts w:cs="Arial"/>
          <w:szCs w:val="26"/>
          <w:lang w:val="en-GB"/>
        </w:rPr>
        <w:footnoteReference w:id="133"/>
      </w:r>
    </w:p>
    <w:p w14:paraId="55DFCF19" w14:textId="77777777" w:rsidR="00CD798A" w:rsidRPr="0011058F" w:rsidRDefault="00CD798A" w:rsidP="00301BA0">
      <w:pPr>
        <w:pStyle w:val="ListBullet"/>
        <w:spacing w:line="360" w:lineRule="auto"/>
        <w:ind w:left="357" w:hanging="357"/>
        <w:rPr>
          <w:lang w:val="en-GB"/>
        </w:rPr>
      </w:pPr>
      <w:bookmarkStart w:id="56" w:name="_Hlk141797782"/>
      <w:r w:rsidRPr="0011058F">
        <w:rPr>
          <w:lang w:val="en-GB"/>
        </w:rPr>
        <w:t xml:space="preserve">Researchers should be committed to the unbiased and objective pursuit of knowledge and the comprehensive and accurate reporting of research findings. They must avoid selectively reporting findings or fabricating, falsifying, or misrepresenting their findings in any way. </w:t>
      </w:r>
    </w:p>
    <w:p w14:paraId="0618DD4F" w14:textId="77777777" w:rsidR="00CD798A" w:rsidRDefault="00CD798A" w:rsidP="00301BA0">
      <w:pPr>
        <w:pStyle w:val="ListBullet"/>
        <w:spacing w:line="360" w:lineRule="auto"/>
        <w:ind w:left="357" w:hanging="357"/>
        <w:rPr>
          <w:lang w:val="en-GB"/>
        </w:rPr>
      </w:pPr>
      <w:r w:rsidRPr="0011058F">
        <w:rPr>
          <w:lang w:val="en-GB"/>
        </w:rPr>
        <w:lastRenderedPageBreak/>
        <w:t xml:space="preserve">Researchers should interpret research findings carefully, clearly and report any potential limitations that may relate to these. </w:t>
      </w:r>
    </w:p>
    <w:bookmarkEnd w:id="56"/>
    <w:p w14:paraId="02EED068" w14:textId="77777777" w:rsidR="00CD798A" w:rsidRPr="0011058F" w:rsidRDefault="00CD798A" w:rsidP="00301BA0">
      <w:pPr>
        <w:pStyle w:val="ListBullet"/>
        <w:spacing w:line="360" w:lineRule="auto"/>
        <w:ind w:left="357" w:hanging="357"/>
        <w:rPr>
          <w:lang w:val="en-GB"/>
        </w:rPr>
      </w:pPr>
      <w:r w:rsidRPr="0011058F">
        <w:rPr>
          <w:lang w:val="en-GB"/>
        </w:rPr>
        <w:t xml:space="preserve">They should make claims or propose recommendations only when these are adequately supported by the data. </w:t>
      </w:r>
    </w:p>
    <w:p w14:paraId="1EBDDBCF" w14:textId="77777777" w:rsidR="00CD798A" w:rsidRDefault="00CD798A" w:rsidP="00301BA0">
      <w:pPr>
        <w:pStyle w:val="ListBullet"/>
        <w:spacing w:line="360" w:lineRule="auto"/>
        <w:ind w:left="357" w:hanging="357"/>
        <w:rPr>
          <w:lang w:val="en-GB"/>
        </w:rPr>
      </w:pPr>
      <w:r w:rsidRPr="0011058F">
        <w:rPr>
          <w:lang w:val="en-GB"/>
        </w:rPr>
        <w:t>Researchers should recognise the boundaries of their own professional competence, in terms of their ability to use specific research methods as well as their substantive academic knowledge of the subject in hand.</w:t>
      </w:r>
    </w:p>
    <w:p w14:paraId="74A64640" w14:textId="77777777" w:rsidR="00CD798A" w:rsidRPr="0011058F" w:rsidRDefault="00CD798A" w:rsidP="00301BA0">
      <w:pPr>
        <w:pStyle w:val="ListBullet"/>
        <w:spacing w:line="360" w:lineRule="auto"/>
        <w:ind w:left="357" w:hanging="357"/>
        <w:rPr>
          <w:lang w:val="en-GB"/>
        </w:rPr>
      </w:pPr>
      <w:r w:rsidRPr="0011058F">
        <w:rPr>
          <w:lang w:val="en-GB"/>
        </w:rPr>
        <w:t xml:space="preserve">Researchers should consider the consequences of their behaviour while carrying out research, especially as it affects </w:t>
      </w:r>
      <w:r>
        <w:rPr>
          <w:lang w:val="en-GB"/>
        </w:rPr>
        <w:t xml:space="preserve">research participants </w:t>
      </w:r>
      <w:r w:rsidRPr="0011058F">
        <w:rPr>
          <w:lang w:val="en-GB"/>
        </w:rPr>
        <w:t>or, where reasonably foreseeable, those subsequently affected by it. They should avoid conducting themselves in ways that may adversely affect the reputation of researchers generally or make it more difficult for future researchers to gain access to groups or communities.</w:t>
      </w:r>
    </w:p>
    <w:p w14:paraId="06AE26C1" w14:textId="69E94A1E" w:rsidR="00AA76A4" w:rsidRDefault="00CD798A" w:rsidP="00301BA0">
      <w:pPr>
        <w:autoSpaceDE w:val="0"/>
        <w:autoSpaceDN w:val="0"/>
        <w:adjustRightInd w:val="0"/>
        <w:spacing w:line="360" w:lineRule="auto"/>
        <w:rPr>
          <w:rFonts w:cs="Arial"/>
          <w:szCs w:val="26"/>
          <w:lang w:val="en-GB"/>
        </w:rPr>
      </w:pPr>
      <w:r w:rsidRPr="00344C66">
        <w:rPr>
          <w:rFonts w:cs="Arial"/>
          <w:szCs w:val="26"/>
          <w:lang w:val="en-GB"/>
        </w:rPr>
        <w:t xml:space="preserve">Upholding ethical values take precedence over planned or expected benefits of research </w:t>
      </w:r>
      <w:r>
        <w:rPr>
          <w:rFonts w:cs="Arial"/>
          <w:szCs w:val="26"/>
          <w:lang w:val="en-GB"/>
        </w:rPr>
        <w:t xml:space="preserve">and </w:t>
      </w:r>
      <w:r w:rsidRPr="00344C66">
        <w:rPr>
          <w:rFonts w:cs="Arial"/>
          <w:szCs w:val="26"/>
          <w:lang w:val="en-GB"/>
        </w:rPr>
        <w:t xml:space="preserve">must be done consciously </w:t>
      </w:r>
      <w:r>
        <w:rPr>
          <w:rFonts w:cs="Arial"/>
          <w:szCs w:val="26"/>
          <w:lang w:val="en-GB"/>
        </w:rPr>
        <w:t xml:space="preserve">by researchers </w:t>
      </w:r>
      <w:r w:rsidRPr="00344C66">
        <w:rPr>
          <w:rFonts w:cs="Arial"/>
          <w:szCs w:val="26"/>
          <w:lang w:val="en-GB"/>
        </w:rPr>
        <w:t>at the design and planning stages</w:t>
      </w:r>
      <w:r>
        <w:rPr>
          <w:rFonts w:cs="Arial"/>
          <w:szCs w:val="26"/>
          <w:lang w:val="en-GB"/>
        </w:rPr>
        <w:t xml:space="preserve"> and </w:t>
      </w:r>
      <w:r w:rsidRPr="00344C66">
        <w:rPr>
          <w:rFonts w:cs="Arial"/>
          <w:szCs w:val="26"/>
          <w:lang w:val="en-GB"/>
        </w:rPr>
        <w:t>throughout the research process</w:t>
      </w:r>
      <w:r>
        <w:rPr>
          <w:rFonts w:cs="Arial"/>
          <w:szCs w:val="26"/>
          <w:lang w:val="en-GB"/>
        </w:rPr>
        <w:t>. T</w:t>
      </w:r>
      <w:r w:rsidRPr="00344C66">
        <w:rPr>
          <w:rFonts w:cs="Arial"/>
          <w:szCs w:val="26"/>
          <w:lang w:val="en-GB"/>
        </w:rPr>
        <w:t>his may not be easy. It requires reflection and effort. The consciousness of being carried away by a new discovery beyond ethical considerations is illustrated in the following quotation:</w:t>
      </w:r>
    </w:p>
    <w:p w14:paraId="66518DCC" w14:textId="1DCBF0E7" w:rsidR="00AA76A4" w:rsidRDefault="00CD798A" w:rsidP="00301BA0">
      <w:pPr>
        <w:autoSpaceDE w:val="0"/>
        <w:autoSpaceDN w:val="0"/>
        <w:adjustRightInd w:val="0"/>
        <w:spacing w:line="360" w:lineRule="auto"/>
        <w:ind w:left="284"/>
        <w:rPr>
          <w:rFonts w:cs="Arial"/>
          <w:b/>
          <w:bCs/>
          <w:szCs w:val="26"/>
          <w:vertAlign w:val="superscript"/>
        </w:rPr>
      </w:pPr>
      <w:r w:rsidRPr="00344C66">
        <w:rPr>
          <w:rFonts w:cs="Arial"/>
          <w:szCs w:val="26"/>
          <w:lang w:val="en-GB"/>
        </w:rPr>
        <w:t>It was very exciting. This was a breakthrough moment for us in research. Ethically we had to be very careful not to be too excited by the knowledge and science and lose sight of what was best for the child</w:t>
      </w:r>
      <w:r>
        <w:rPr>
          <w:rFonts w:cs="Arial"/>
          <w:szCs w:val="26"/>
          <w:lang w:val="en-GB"/>
        </w:rPr>
        <w:t>.</w:t>
      </w:r>
      <w:r>
        <w:rPr>
          <w:rStyle w:val="FootnoteReference"/>
          <w:rFonts w:cs="Arial"/>
          <w:szCs w:val="26"/>
          <w:lang w:val="en-GB"/>
        </w:rPr>
        <w:footnoteReference w:id="134"/>
      </w:r>
      <w:r>
        <w:rPr>
          <w:rFonts w:cs="Arial"/>
          <w:b/>
          <w:bCs/>
          <w:szCs w:val="26"/>
          <w:vertAlign w:val="superscript"/>
        </w:rPr>
        <w:t xml:space="preserve">  </w:t>
      </w:r>
    </w:p>
    <w:p w14:paraId="29E202FB" w14:textId="7A678309" w:rsidR="00CD798A" w:rsidRPr="00C82479" w:rsidRDefault="00CD798A" w:rsidP="00301BA0">
      <w:pPr>
        <w:autoSpaceDE w:val="0"/>
        <w:autoSpaceDN w:val="0"/>
        <w:adjustRightInd w:val="0"/>
        <w:spacing w:line="360" w:lineRule="auto"/>
        <w:rPr>
          <w:szCs w:val="26"/>
          <w:lang w:val="en-GB"/>
        </w:rPr>
      </w:pPr>
      <w:r w:rsidRPr="00D34A26">
        <w:rPr>
          <w:szCs w:val="26"/>
          <w:lang w:val="en-GB"/>
        </w:rPr>
        <w:t xml:space="preserve">According to Roberts et al., </w:t>
      </w:r>
    </w:p>
    <w:p w14:paraId="5E99293B" w14:textId="77777777" w:rsidR="00CD798A" w:rsidRPr="00D34A26" w:rsidRDefault="00CD798A" w:rsidP="00301BA0">
      <w:pPr>
        <w:spacing w:line="360" w:lineRule="auto"/>
        <w:ind w:left="360"/>
        <w:rPr>
          <w:szCs w:val="26"/>
          <w:lang w:val="en-GB"/>
        </w:rPr>
      </w:pPr>
      <w:r w:rsidRPr="00D34A26">
        <w:rPr>
          <w:szCs w:val="26"/>
          <w:lang w:val="en-GB"/>
        </w:rPr>
        <w:lastRenderedPageBreak/>
        <w:t>There is growing sensitivity to the pressures in the research environment that may undermine professional integrity and examples of intentional misconduct and fraud in medical research are unfortunate realities. Consequently, it is imperative that research is fundamentally predicated on a relationship of trust between the researcher and the participant</w:t>
      </w:r>
      <w:r>
        <w:rPr>
          <w:szCs w:val="26"/>
          <w:lang w:val="en-GB"/>
        </w:rPr>
        <w:t>.</w:t>
      </w:r>
      <w:r>
        <w:rPr>
          <w:rStyle w:val="FootnoteReference"/>
          <w:szCs w:val="26"/>
          <w:lang w:val="en-GB"/>
        </w:rPr>
        <w:footnoteReference w:id="135"/>
      </w:r>
      <w:r w:rsidRPr="00D34A26">
        <w:rPr>
          <w:szCs w:val="26"/>
          <w:lang w:val="en-GB"/>
        </w:rPr>
        <w:t xml:space="preserve"> </w:t>
      </w:r>
    </w:p>
    <w:p w14:paraId="34CF924D" w14:textId="77777777" w:rsidR="00CD798A" w:rsidRPr="00EA391F" w:rsidRDefault="00CD798A" w:rsidP="00301BA0">
      <w:pPr>
        <w:spacing w:line="360" w:lineRule="auto"/>
        <w:rPr>
          <w:szCs w:val="26"/>
        </w:rPr>
      </w:pPr>
      <w:r>
        <w:rPr>
          <w:szCs w:val="26"/>
          <w:lang w:val="en-GB"/>
        </w:rPr>
        <w:t>T</w:t>
      </w:r>
      <w:r w:rsidRPr="00D34A26">
        <w:rPr>
          <w:szCs w:val="26"/>
          <w:lang w:val="en-GB"/>
        </w:rPr>
        <w:t>rust in the researcher is a highly significant factor in the decision of people to take part in research</w:t>
      </w:r>
      <w:r>
        <w:rPr>
          <w:rStyle w:val="FootnoteReference"/>
          <w:szCs w:val="26"/>
          <w:lang w:val="en-GB"/>
        </w:rPr>
        <w:footnoteReference w:id="136"/>
      </w:r>
      <w:r>
        <w:rPr>
          <w:szCs w:val="26"/>
          <w:lang w:val="en-GB"/>
        </w:rPr>
        <w:t xml:space="preserve">, and trust in </w:t>
      </w:r>
      <w:r w:rsidRPr="00076350">
        <w:rPr>
          <w:szCs w:val="26"/>
          <w:lang w:val="en-GB"/>
        </w:rPr>
        <w:t xml:space="preserve">research </w:t>
      </w:r>
      <w:r>
        <w:rPr>
          <w:szCs w:val="26"/>
          <w:lang w:val="en-GB"/>
        </w:rPr>
        <w:t xml:space="preserve">generally </w:t>
      </w:r>
      <w:r w:rsidRPr="00076350">
        <w:rPr>
          <w:szCs w:val="26"/>
          <w:lang w:val="en-GB"/>
        </w:rPr>
        <w:t>depends on the integrity of the researchers.</w:t>
      </w:r>
      <w:r>
        <w:rPr>
          <w:szCs w:val="26"/>
          <w:lang w:val="en-GB"/>
        </w:rPr>
        <w:t xml:space="preserve"> I</w:t>
      </w:r>
      <w:r w:rsidRPr="00D34A26">
        <w:rPr>
          <w:szCs w:val="26"/>
          <w:lang w:val="en-GB"/>
        </w:rPr>
        <w:t>ntegrity requires</w:t>
      </w:r>
      <w:r>
        <w:rPr>
          <w:szCs w:val="26"/>
          <w:lang w:val="en-GB"/>
        </w:rPr>
        <w:t xml:space="preserve"> </w:t>
      </w:r>
      <w:r w:rsidRPr="00D34A26">
        <w:rPr>
          <w:szCs w:val="26"/>
          <w:lang w:val="en-GB"/>
        </w:rPr>
        <w:t>objectivity, rigour</w:t>
      </w:r>
      <w:r>
        <w:rPr>
          <w:szCs w:val="26"/>
          <w:lang w:val="en-GB"/>
        </w:rPr>
        <w:t>,</w:t>
      </w:r>
      <w:r w:rsidRPr="00D34A26">
        <w:rPr>
          <w:szCs w:val="26"/>
          <w:lang w:val="en-GB"/>
        </w:rPr>
        <w:t xml:space="preserve"> and diligence</w:t>
      </w:r>
      <w:r>
        <w:rPr>
          <w:szCs w:val="26"/>
          <w:lang w:val="en-GB"/>
        </w:rPr>
        <w:t xml:space="preserve">. It is important for researchers to practice veracity, a </w:t>
      </w:r>
      <w:r w:rsidRPr="00EA391F">
        <w:rPr>
          <w:szCs w:val="26"/>
        </w:rPr>
        <w:t>principle grounded in respect for persons. To present clear and logical information</w:t>
      </w:r>
      <w:r w:rsidRPr="00CA396C">
        <w:rPr>
          <w:szCs w:val="26"/>
        </w:rPr>
        <w:t xml:space="preserve"> about a research </w:t>
      </w:r>
      <w:r>
        <w:rPr>
          <w:szCs w:val="26"/>
        </w:rPr>
        <w:t>project</w:t>
      </w:r>
      <w:r w:rsidRPr="00EA391F">
        <w:rPr>
          <w:szCs w:val="26"/>
        </w:rPr>
        <w:t>, the researcher should avoid cloaking information in jargon or language that fails to express information in a way that can be understood by the participant. Truth-telling can be dishonoured in at least two ways: first, by the act of lying, or the deliberate exchange of inaccurate information; second, by omission or the deliberate withholding of information.</w:t>
      </w:r>
      <w:r w:rsidRPr="00EA391F">
        <w:rPr>
          <w:szCs w:val="26"/>
          <w:vertAlign w:val="superscript"/>
        </w:rPr>
        <w:footnoteReference w:id="137"/>
      </w:r>
      <w:r w:rsidRPr="00CA396C">
        <w:rPr>
          <w:szCs w:val="26"/>
        </w:rPr>
        <w:t xml:space="preserve"> </w:t>
      </w:r>
      <w:r w:rsidRPr="00EA391F">
        <w:rPr>
          <w:szCs w:val="26"/>
        </w:rPr>
        <w:t xml:space="preserve">Veracity involves the absence of deception and the responsibility of the researcher to tell the truth about the </w:t>
      </w:r>
      <w:r w:rsidRPr="00CA396C">
        <w:rPr>
          <w:szCs w:val="26"/>
        </w:rPr>
        <w:t>research</w:t>
      </w:r>
      <w:r w:rsidRPr="00EA391F">
        <w:rPr>
          <w:szCs w:val="26"/>
        </w:rPr>
        <w:t>.</w:t>
      </w:r>
      <w:r w:rsidRPr="00CA396C">
        <w:rPr>
          <w:szCs w:val="26"/>
          <w:vertAlign w:val="superscript"/>
        </w:rPr>
        <w:footnoteReference w:id="138"/>
      </w:r>
      <w:r w:rsidRPr="00EA391F">
        <w:rPr>
          <w:szCs w:val="26"/>
        </w:rPr>
        <w:t xml:space="preserve"> Individuals have the right to be told the truth and not to be deceived </w:t>
      </w:r>
      <w:r w:rsidRPr="00EA391F">
        <w:rPr>
          <w:szCs w:val="26"/>
        </w:rPr>
        <w:lastRenderedPageBreak/>
        <w:t xml:space="preserve">about any aspect of the </w:t>
      </w:r>
      <w:r w:rsidRPr="00CA396C">
        <w:rPr>
          <w:szCs w:val="26"/>
        </w:rPr>
        <w:t>research</w:t>
      </w:r>
      <w:r w:rsidRPr="00EA391F">
        <w:rPr>
          <w:szCs w:val="26"/>
        </w:rPr>
        <w:t>.</w:t>
      </w:r>
      <w:r w:rsidRPr="00EA391F">
        <w:rPr>
          <w:szCs w:val="26"/>
          <w:vertAlign w:val="superscript"/>
        </w:rPr>
        <w:footnoteReference w:id="139"/>
      </w:r>
      <w:r w:rsidRPr="00EA391F">
        <w:rPr>
          <w:szCs w:val="26"/>
        </w:rPr>
        <w:t xml:space="preserve"> All aspects of a research project require description and clarification by the researcher who must make every effort to ensure participants understand all aspects of the study. Participants should be aware of the expected involvement, duration (i.e., time commitment), what happens to their information, and who will have access to the information. </w:t>
      </w:r>
    </w:p>
    <w:p w14:paraId="1A2C73F5" w14:textId="77777777" w:rsidR="00CD798A" w:rsidRDefault="00CD798A" w:rsidP="00301BA0">
      <w:pPr>
        <w:spacing w:line="360" w:lineRule="auto"/>
        <w:rPr>
          <w:szCs w:val="26"/>
          <w:lang w:val="en-GB"/>
        </w:rPr>
      </w:pPr>
      <w:r>
        <w:rPr>
          <w:lang w:val="en-GB"/>
        </w:rPr>
        <w:t xml:space="preserve">To ensure that researchers develop good research practices, they need to learn to reflect on their practice including their attitudes, </w:t>
      </w:r>
      <w:r w:rsidRPr="008F3D42">
        <w:rPr>
          <w:lang w:val="en-GB"/>
        </w:rPr>
        <w:t>behaviour</w:t>
      </w:r>
      <w:r>
        <w:rPr>
          <w:lang w:val="en-GB"/>
        </w:rPr>
        <w:t>,</w:t>
      </w:r>
      <w:r w:rsidRPr="008F3D42">
        <w:rPr>
          <w:lang w:val="en-GB"/>
        </w:rPr>
        <w:t xml:space="preserve"> </w:t>
      </w:r>
      <w:r>
        <w:rPr>
          <w:lang w:val="en-GB"/>
        </w:rPr>
        <w:t xml:space="preserve">and knowledge and </w:t>
      </w:r>
      <w:r w:rsidRPr="008F3D42">
        <w:rPr>
          <w:lang w:val="en-GB"/>
        </w:rPr>
        <w:t xml:space="preserve">how </w:t>
      </w:r>
      <w:r>
        <w:rPr>
          <w:lang w:val="en-GB"/>
        </w:rPr>
        <w:t xml:space="preserve">they </w:t>
      </w:r>
      <w:r w:rsidRPr="008F3D42">
        <w:rPr>
          <w:lang w:val="en-GB"/>
        </w:rPr>
        <w:t xml:space="preserve">relate </w:t>
      </w:r>
      <w:r>
        <w:rPr>
          <w:lang w:val="en-GB"/>
        </w:rPr>
        <w:t xml:space="preserve">to </w:t>
      </w:r>
      <w:r w:rsidRPr="008F3D42">
        <w:rPr>
          <w:lang w:val="en-GB"/>
        </w:rPr>
        <w:t xml:space="preserve">and treat others </w:t>
      </w:r>
      <w:r>
        <w:rPr>
          <w:lang w:val="en-GB"/>
        </w:rPr>
        <w:t xml:space="preserve">including research participants </w:t>
      </w:r>
      <w:r w:rsidRPr="008F3D42">
        <w:rPr>
          <w:lang w:val="en-GB"/>
        </w:rPr>
        <w:t>during the research</w:t>
      </w:r>
      <w:r>
        <w:rPr>
          <w:lang w:val="en-GB"/>
        </w:rPr>
        <w:t xml:space="preserve"> process</w:t>
      </w:r>
      <w:r w:rsidRPr="008F3D42">
        <w:rPr>
          <w:lang w:val="en-GB"/>
        </w:rPr>
        <w:t>.</w:t>
      </w:r>
      <w:r>
        <w:rPr>
          <w:rStyle w:val="FootnoteReference"/>
          <w:lang w:val="en-GB"/>
        </w:rPr>
        <w:footnoteReference w:id="140"/>
      </w:r>
      <w:r w:rsidRPr="008F3D42">
        <w:rPr>
          <w:lang w:val="en-GB"/>
        </w:rPr>
        <w:t xml:space="preserve"> </w:t>
      </w:r>
      <w:r w:rsidRPr="00D34A26">
        <w:rPr>
          <w:rFonts w:cs="Arial"/>
          <w:szCs w:val="26"/>
          <w:lang w:val="en-GB"/>
        </w:rPr>
        <w:t xml:space="preserve">Reflection on their professional behaviour </w:t>
      </w:r>
      <w:r>
        <w:rPr>
          <w:rFonts w:cs="Arial"/>
          <w:szCs w:val="26"/>
          <w:lang w:val="en-GB"/>
        </w:rPr>
        <w:t xml:space="preserve">can </w:t>
      </w:r>
      <w:r w:rsidRPr="00D34A26">
        <w:rPr>
          <w:rFonts w:cs="Arial"/>
          <w:szCs w:val="26"/>
          <w:lang w:val="en-GB"/>
        </w:rPr>
        <w:t xml:space="preserve">form part of </w:t>
      </w:r>
      <w:r>
        <w:rPr>
          <w:rFonts w:cs="Arial"/>
          <w:szCs w:val="26"/>
          <w:lang w:val="en-GB"/>
        </w:rPr>
        <w:t xml:space="preserve">the </w:t>
      </w:r>
      <w:r w:rsidRPr="00D34A26">
        <w:rPr>
          <w:rFonts w:cs="Arial"/>
          <w:szCs w:val="26"/>
          <w:lang w:val="en-GB"/>
        </w:rPr>
        <w:t xml:space="preserve">self-regulation of their practice. </w:t>
      </w:r>
      <w:r w:rsidRPr="00EC214B">
        <w:rPr>
          <w:szCs w:val="26"/>
          <w:lang w:val="en-GB"/>
        </w:rPr>
        <w:t xml:space="preserve">Access to supervision may be needed to develop reflection on their practice, which can be a key tool for ethical research practice. This ‘reflexivity’ (reflection on practice) is a process whereby </w:t>
      </w:r>
      <w:r>
        <w:rPr>
          <w:szCs w:val="26"/>
          <w:lang w:val="en-GB"/>
        </w:rPr>
        <w:t xml:space="preserve">they </w:t>
      </w:r>
      <w:r w:rsidRPr="00EC214B">
        <w:rPr>
          <w:szCs w:val="26"/>
          <w:lang w:val="en-GB"/>
        </w:rPr>
        <w:t>place themselves and their practices under scrutiny, acknowledging the ethical dilemmas that permeate the research process and impinge on the creation of knowledge.</w:t>
      </w:r>
      <w:r w:rsidRPr="00EC214B">
        <w:rPr>
          <w:szCs w:val="26"/>
          <w:vertAlign w:val="superscript"/>
          <w:lang w:val="en-GB"/>
        </w:rPr>
        <w:footnoteReference w:id="141"/>
      </w:r>
      <w:r>
        <w:rPr>
          <w:szCs w:val="26"/>
          <w:lang w:val="en-GB"/>
        </w:rPr>
        <w:t xml:space="preserve"> </w:t>
      </w:r>
    </w:p>
    <w:p w14:paraId="36694BA1" w14:textId="33E593AD" w:rsidR="00CD798A" w:rsidRPr="00526024" w:rsidRDefault="00CD798A" w:rsidP="00301BA0">
      <w:pPr>
        <w:spacing w:line="360" w:lineRule="auto"/>
        <w:ind w:left="454" w:right="454"/>
      </w:pPr>
      <w:r w:rsidRPr="00526024">
        <w:t>Ethics is more than procedural compliance with a prescribed set of rules or code of conduct that can deliver</w:t>
      </w:r>
      <w:r w:rsidR="00AA76A4">
        <w:t xml:space="preserve"> </w:t>
      </w:r>
      <w:r w:rsidRPr="00526024">
        <w:t xml:space="preserve">good or safe research in any given context. While such codes play an important role, there are many ways in which researchers’ own knowledge, beliefs, assumptions, values, attitudes, and experience intersect with ethical decision-making. Thus, critical reflection; cross-cultural, inter-sectoral and cross-disciplinary </w:t>
      </w:r>
      <w:r w:rsidRPr="00526024">
        <w:lastRenderedPageBreak/>
        <w:t>dialogue is required as is context-specific problem-solving and international collaboration, learning and engagement.</w:t>
      </w:r>
      <w:r w:rsidRPr="00526024">
        <w:rPr>
          <w:vertAlign w:val="superscript"/>
        </w:rPr>
        <w:footnoteReference w:id="142"/>
      </w:r>
    </w:p>
    <w:p w14:paraId="0087403A" w14:textId="77777777" w:rsidR="00CD798A" w:rsidRDefault="00CD798A" w:rsidP="00301BA0">
      <w:pPr>
        <w:spacing w:line="360" w:lineRule="auto"/>
        <w:rPr>
          <w:rFonts w:cs="Arial"/>
          <w:szCs w:val="26"/>
          <w:lang w:val="en-GB"/>
        </w:rPr>
      </w:pPr>
      <w:r w:rsidRPr="008F3D42">
        <w:rPr>
          <w:bCs/>
          <w:lang w:val="en-GB"/>
        </w:rPr>
        <w:t xml:space="preserve">The </w:t>
      </w:r>
      <w:r>
        <w:rPr>
          <w:bCs/>
          <w:lang w:val="en-GB"/>
        </w:rPr>
        <w:t xml:space="preserve">2007 </w:t>
      </w:r>
      <w:r w:rsidRPr="008F3D42">
        <w:rPr>
          <w:bCs/>
          <w:lang w:val="en-GB"/>
        </w:rPr>
        <w:t>Australian National Statement on ethical conduct in research</w:t>
      </w:r>
      <w:r w:rsidRPr="006D0923">
        <w:rPr>
          <w:bCs/>
          <w:lang w:val="en-GB"/>
        </w:rPr>
        <w:t>,</w:t>
      </w:r>
      <w:r w:rsidRPr="008F3D42">
        <w:rPr>
          <w:bCs/>
          <w:lang w:val="en-GB"/>
        </w:rPr>
        <w:t xml:space="preserve"> states that the guiding value </w:t>
      </w:r>
      <w:r>
        <w:rPr>
          <w:bCs/>
          <w:lang w:val="en-GB"/>
        </w:rPr>
        <w:t xml:space="preserve">for researchers </w:t>
      </w:r>
      <w:r w:rsidRPr="008F3D42">
        <w:rPr>
          <w:bCs/>
          <w:lang w:val="en-GB"/>
        </w:rPr>
        <w:t xml:space="preserve">is </w:t>
      </w:r>
      <w:r>
        <w:rPr>
          <w:bCs/>
          <w:lang w:val="en-GB"/>
        </w:rPr>
        <w:t xml:space="preserve">personal </w:t>
      </w:r>
      <w:r w:rsidRPr="008F3D42">
        <w:rPr>
          <w:bCs/>
          <w:lang w:val="en-GB"/>
        </w:rPr>
        <w:t>integrity, define</w:t>
      </w:r>
      <w:r>
        <w:rPr>
          <w:bCs/>
          <w:lang w:val="en-GB"/>
        </w:rPr>
        <w:t>d</w:t>
      </w:r>
      <w:r w:rsidRPr="008F3D42">
        <w:rPr>
          <w:bCs/>
          <w:lang w:val="en-GB"/>
        </w:rPr>
        <w:t xml:space="preserve"> as a commitment to the search for knowledge and honest and ethical</w:t>
      </w:r>
      <w:r>
        <w:rPr>
          <w:bCs/>
          <w:lang w:val="en-GB"/>
        </w:rPr>
        <w:t xml:space="preserve"> c</w:t>
      </w:r>
      <w:r w:rsidRPr="008F3D42">
        <w:rPr>
          <w:bCs/>
          <w:lang w:val="en-GB"/>
        </w:rPr>
        <w:t>onduct</w:t>
      </w:r>
      <w:r>
        <w:rPr>
          <w:bCs/>
          <w:lang w:val="en-GB"/>
        </w:rPr>
        <w:t>.</w:t>
      </w:r>
      <w:r>
        <w:rPr>
          <w:rStyle w:val="FootnoteReference"/>
          <w:bCs/>
          <w:lang w:val="en-GB"/>
        </w:rPr>
        <w:footnoteReference w:id="143"/>
      </w:r>
      <w:r>
        <w:rPr>
          <w:bCs/>
          <w:lang w:val="en-GB"/>
        </w:rPr>
        <w:t xml:space="preserve"> </w:t>
      </w:r>
      <w:r w:rsidRPr="008F3D42">
        <w:rPr>
          <w:lang w:val="en-GB"/>
        </w:rPr>
        <w:t>Th</w:t>
      </w:r>
      <w:r>
        <w:rPr>
          <w:lang w:val="en-GB"/>
        </w:rPr>
        <w:t>e statement</w:t>
      </w:r>
      <w:r w:rsidRPr="008F3D42">
        <w:rPr>
          <w:lang w:val="en-GB"/>
        </w:rPr>
        <w:t xml:space="preserve"> emphasises that without personal integrity, the involvement of human participants in research cannot be ethically justifiable. Research conducted with integrity is conducted honestly, with upright personal behaviour, follow</w:t>
      </w:r>
      <w:r>
        <w:rPr>
          <w:lang w:val="en-GB"/>
        </w:rPr>
        <w:t>ing</w:t>
      </w:r>
      <w:r w:rsidRPr="008F3D42">
        <w:rPr>
          <w:lang w:val="en-GB"/>
        </w:rPr>
        <w:t xml:space="preserve"> recognised principles of research conduct</w:t>
      </w:r>
      <w:r>
        <w:rPr>
          <w:lang w:val="en-GB"/>
        </w:rPr>
        <w:t>,</w:t>
      </w:r>
      <w:r w:rsidRPr="008F3D42">
        <w:rPr>
          <w:lang w:val="en-GB"/>
        </w:rPr>
        <w:t xml:space="preserve"> and disseminat</w:t>
      </w:r>
      <w:r>
        <w:rPr>
          <w:lang w:val="en-GB"/>
        </w:rPr>
        <w:t>ing</w:t>
      </w:r>
      <w:r w:rsidRPr="008F3D42">
        <w:rPr>
          <w:lang w:val="en-GB"/>
        </w:rPr>
        <w:t xml:space="preserve"> and communicat</w:t>
      </w:r>
      <w:r>
        <w:rPr>
          <w:lang w:val="en-GB"/>
        </w:rPr>
        <w:t>ing</w:t>
      </w:r>
      <w:r w:rsidRPr="008F3D42">
        <w:rPr>
          <w:lang w:val="en-GB"/>
        </w:rPr>
        <w:t xml:space="preserve"> results</w:t>
      </w:r>
      <w:r>
        <w:rPr>
          <w:lang w:val="en-GB"/>
        </w:rPr>
        <w:t>,</w:t>
      </w:r>
      <w:r w:rsidRPr="008F3D42">
        <w:rPr>
          <w:lang w:val="en-GB"/>
        </w:rPr>
        <w:t xml:space="preserve"> whether favourable or unfavourable</w:t>
      </w:r>
      <w:r>
        <w:rPr>
          <w:lang w:val="en-GB"/>
        </w:rPr>
        <w:t>,</w:t>
      </w:r>
      <w:r w:rsidRPr="008F3D42">
        <w:rPr>
          <w:lang w:val="en-GB"/>
        </w:rPr>
        <w:t xml:space="preserve"> in ways that permit scrutiny and contribute to public knowledge and understanding. </w:t>
      </w:r>
      <w:r>
        <w:rPr>
          <w:szCs w:val="26"/>
          <w:lang w:val="en-GB"/>
        </w:rPr>
        <w:t xml:space="preserve">Other </w:t>
      </w:r>
      <w:r w:rsidRPr="00D34A26">
        <w:rPr>
          <w:szCs w:val="26"/>
          <w:lang w:val="en-GB"/>
        </w:rPr>
        <w:t>professional values for researchers include openness, freedom of thought and independence in the conduct of research, social responsibility and relevance, fairness</w:t>
      </w:r>
      <w:r>
        <w:rPr>
          <w:szCs w:val="26"/>
          <w:lang w:val="en-GB"/>
        </w:rPr>
        <w:t>,</w:t>
      </w:r>
      <w:r w:rsidRPr="00D34A26">
        <w:rPr>
          <w:szCs w:val="26"/>
          <w:lang w:val="en-GB"/>
        </w:rPr>
        <w:t xml:space="preserve"> and reflection on practice. </w:t>
      </w:r>
    </w:p>
    <w:p w14:paraId="5FB7914A" w14:textId="77777777" w:rsidR="00CD798A" w:rsidRDefault="00CD798A" w:rsidP="00301BA0">
      <w:pPr>
        <w:spacing w:line="360" w:lineRule="auto"/>
        <w:rPr>
          <w:rFonts w:cs="Arial"/>
          <w:szCs w:val="26"/>
          <w:lang w:val="en-GB"/>
        </w:rPr>
      </w:pPr>
      <w:r w:rsidRPr="00D34A26">
        <w:rPr>
          <w:rFonts w:cs="Arial"/>
          <w:szCs w:val="26"/>
          <w:lang w:val="en-GB"/>
        </w:rPr>
        <w:t xml:space="preserve">Researchers using qualitative and participative research methods need to have the personal capacities </w:t>
      </w:r>
      <w:r>
        <w:rPr>
          <w:rFonts w:cs="Arial"/>
          <w:szCs w:val="26"/>
          <w:lang w:val="en-GB"/>
        </w:rPr>
        <w:t xml:space="preserve">that are </w:t>
      </w:r>
      <w:r w:rsidRPr="00D34A26">
        <w:rPr>
          <w:rFonts w:cs="Arial"/>
          <w:szCs w:val="26"/>
          <w:lang w:val="en-GB"/>
        </w:rPr>
        <w:t xml:space="preserve">essential for working well with people over </w:t>
      </w:r>
      <w:r>
        <w:rPr>
          <w:rFonts w:cs="Arial"/>
          <w:szCs w:val="26"/>
          <w:lang w:val="en-GB"/>
        </w:rPr>
        <w:t xml:space="preserve">the </w:t>
      </w:r>
      <w:r w:rsidRPr="00D34A26">
        <w:rPr>
          <w:rFonts w:cs="Arial"/>
          <w:szCs w:val="26"/>
          <w:lang w:val="en-GB"/>
        </w:rPr>
        <w:t>period</w:t>
      </w:r>
      <w:r>
        <w:rPr>
          <w:rFonts w:cs="Arial"/>
          <w:szCs w:val="26"/>
          <w:lang w:val="en-GB"/>
        </w:rPr>
        <w:t xml:space="preserve"> of the research</w:t>
      </w:r>
      <w:r w:rsidRPr="00D34A26">
        <w:rPr>
          <w:rFonts w:cs="Arial"/>
          <w:szCs w:val="26"/>
          <w:lang w:val="en-GB"/>
        </w:rPr>
        <w:t xml:space="preserve">. They need a level of personal insight that makes them aware of unintended manipulation and interpersonal dynamics that may arise during a study. </w:t>
      </w:r>
    </w:p>
    <w:p w14:paraId="204DA1C5" w14:textId="701AE05C" w:rsidR="00CD798A" w:rsidRDefault="00CD798A" w:rsidP="00301BA0">
      <w:pPr>
        <w:spacing w:line="360" w:lineRule="auto"/>
        <w:rPr>
          <w:rFonts w:cs="Arial"/>
          <w:szCs w:val="26"/>
          <w:lang w:val="en-GB"/>
        </w:rPr>
      </w:pPr>
      <w:r>
        <w:rPr>
          <w:rFonts w:cs="Arial"/>
          <w:szCs w:val="26"/>
          <w:lang w:val="en-GB"/>
        </w:rPr>
        <w:t>Recommendations for researchers</w:t>
      </w:r>
      <w:r w:rsidRPr="00D34A26">
        <w:rPr>
          <w:rFonts w:cs="Arial"/>
          <w:szCs w:val="26"/>
          <w:lang w:val="en-GB"/>
        </w:rPr>
        <w:t xml:space="preserve"> include</w:t>
      </w:r>
      <w:r>
        <w:rPr>
          <w:rFonts w:cs="Arial"/>
          <w:szCs w:val="26"/>
          <w:lang w:val="en-GB"/>
        </w:rPr>
        <w:t xml:space="preserve"> the following</w:t>
      </w:r>
      <w:r w:rsidRPr="00D34A26">
        <w:rPr>
          <w:rFonts w:cs="Arial"/>
          <w:szCs w:val="26"/>
          <w:lang w:val="en-GB"/>
        </w:rPr>
        <w:t>:</w:t>
      </w:r>
      <w:r w:rsidR="000D7C3C" w:rsidRPr="000D7C3C">
        <w:rPr>
          <w:rStyle w:val="FootnoteReference"/>
          <w:rFonts w:cs="Arial"/>
          <w:szCs w:val="26"/>
          <w:lang w:val="en-GB"/>
        </w:rPr>
        <w:t xml:space="preserve"> </w:t>
      </w:r>
      <w:r w:rsidR="000D7C3C">
        <w:rPr>
          <w:rStyle w:val="FootnoteReference"/>
          <w:rFonts w:cs="Arial"/>
          <w:szCs w:val="26"/>
          <w:lang w:val="en-GB"/>
        </w:rPr>
        <w:footnoteReference w:id="144"/>
      </w:r>
    </w:p>
    <w:p w14:paraId="5D43D85C" w14:textId="77777777" w:rsidR="00CD798A" w:rsidRPr="00AA5FBC" w:rsidRDefault="00CD798A" w:rsidP="00301BA0">
      <w:pPr>
        <w:pStyle w:val="ListBullet"/>
        <w:spacing w:line="360" w:lineRule="auto"/>
        <w:ind w:left="363" w:hanging="357"/>
        <w:rPr>
          <w:rFonts w:cs="Arial"/>
          <w:bCs/>
          <w:szCs w:val="26"/>
          <w:lang w:val="en-GB"/>
        </w:rPr>
      </w:pPr>
      <w:r w:rsidRPr="00AA5FBC">
        <w:rPr>
          <w:lang w:val="en-GB"/>
        </w:rPr>
        <w:lastRenderedPageBreak/>
        <w:t>Build self-regulation into the research process and keep notes as proof of self-regulation</w:t>
      </w:r>
      <w:r>
        <w:rPr>
          <w:lang w:val="en-GB"/>
        </w:rPr>
        <w:t xml:space="preserve">. </w:t>
      </w:r>
    </w:p>
    <w:p w14:paraId="0ED01A71" w14:textId="77777777" w:rsidR="00CD798A" w:rsidRDefault="00CD798A" w:rsidP="00301BA0">
      <w:pPr>
        <w:pStyle w:val="ListBullet"/>
        <w:spacing w:line="360" w:lineRule="auto"/>
        <w:ind w:left="363" w:hanging="357"/>
        <w:rPr>
          <w:rFonts w:cs="Arial"/>
          <w:bCs/>
          <w:szCs w:val="26"/>
          <w:lang w:val="en-GB"/>
        </w:rPr>
      </w:pPr>
      <w:r>
        <w:rPr>
          <w:rFonts w:cs="Arial"/>
          <w:bCs/>
          <w:szCs w:val="26"/>
          <w:lang w:val="en-GB"/>
        </w:rPr>
        <w:t>D</w:t>
      </w:r>
      <w:r w:rsidRPr="00AA5FBC">
        <w:rPr>
          <w:rFonts w:cs="Arial"/>
          <w:bCs/>
          <w:szCs w:val="26"/>
          <w:lang w:val="en-GB"/>
        </w:rPr>
        <w:t>emonstrat</w:t>
      </w:r>
      <w:r>
        <w:rPr>
          <w:rFonts w:cs="Arial"/>
          <w:bCs/>
          <w:szCs w:val="26"/>
          <w:lang w:val="en-GB"/>
        </w:rPr>
        <w:t>e</w:t>
      </w:r>
      <w:r w:rsidRPr="00AA5FBC">
        <w:rPr>
          <w:rFonts w:cs="Arial"/>
          <w:bCs/>
          <w:szCs w:val="26"/>
          <w:lang w:val="en-GB"/>
        </w:rPr>
        <w:t xml:space="preserve"> a critical open-minded approach when conducting research and analysing data.</w:t>
      </w:r>
      <w:r w:rsidRPr="00C47DD5">
        <w:rPr>
          <w:rFonts w:cs="Arial"/>
          <w:bCs/>
          <w:szCs w:val="26"/>
          <w:lang w:val="en-GB"/>
        </w:rPr>
        <w:t xml:space="preserve">  </w:t>
      </w:r>
    </w:p>
    <w:p w14:paraId="60930C6F"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 xml:space="preserve">Maintain clear accounts of all aspects of the research, including procedures, materials used, statistical techniques used and the contribution of other researchers.   </w:t>
      </w:r>
    </w:p>
    <w:p w14:paraId="0450DEB0"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 xml:space="preserve">Build and maintain trusting relationships.  </w:t>
      </w:r>
    </w:p>
    <w:p w14:paraId="2D7BA9AE"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 xml:space="preserve">Assess competence to participate.  </w:t>
      </w:r>
    </w:p>
    <w:p w14:paraId="7C294456"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Manag</w:t>
      </w:r>
      <w:r>
        <w:rPr>
          <w:rFonts w:cs="Arial"/>
          <w:bCs/>
          <w:szCs w:val="26"/>
          <w:lang w:val="en-GB"/>
        </w:rPr>
        <w:t>e</w:t>
      </w:r>
      <w:r w:rsidRPr="00AA5FBC">
        <w:rPr>
          <w:rFonts w:cs="Arial"/>
          <w:bCs/>
          <w:szCs w:val="26"/>
          <w:lang w:val="en-GB"/>
        </w:rPr>
        <w:t xml:space="preserve"> interpersonal and group dynamics. </w:t>
      </w:r>
    </w:p>
    <w:p w14:paraId="562F860F"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Tak</w:t>
      </w:r>
      <w:r>
        <w:rPr>
          <w:rFonts w:cs="Arial"/>
          <w:bCs/>
          <w:szCs w:val="26"/>
          <w:lang w:val="en-GB"/>
        </w:rPr>
        <w:t>e</w:t>
      </w:r>
      <w:r w:rsidRPr="00AA5FBC">
        <w:rPr>
          <w:rFonts w:cs="Arial"/>
          <w:bCs/>
          <w:szCs w:val="26"/>
          <w:lang w:val="en-GB"/>
        </w:rPr>
        <w:t xml:space="preserve"> responsibility for decisions about participation.  </w:t>
      </w:r>
    </w:p>
    <w:p w14:paraId="7836E029" w14:textId="77777777" w:rsidR="00CD798A" w:rsidRDefault="00CD798A" w:rsidP="00301BA0">
      <w:pPr>
        <w:pStyle w:val="ListBullet"/>
        <w:spacing w:line="360" w:lineRule="auto"/>
        <w:ind w:left="363" w:hanging="357"/>
        <w:rPr>
          <w:rFonts w:cs="Arial"/>
          <w:bCs/>
          <w:szCs w:val="26"/>
          <w:lang w:val="en-GB"/>
        </w:rPr>
      </w:pPr>
      <w:r w:rsidRPr="00AA5FBC">
        <w:rPr>
          <w:rFonts w:cs="Arial"/>
          <w:bCs/>
          <w:szCs w:val="26"/>
          <w:lang w:val="en-GB"/>
        </w:rPr>
        <w:t>Demonstrat</w:t>
      </w:r>
      <w:r>
        <w:rPr>
          <w:rFonts w:cs="Arial"/>
          <w:bCs/>
          <w:szCs w:val="26"/>
          <w:lang w:val="en-GB"/>
        </w:rPr>
        <w:t>e</w:t>
      </w:r>
      <w:r w:rsidRPr="00AA5FBC">
        <w:rPr>
          <w:rFonts w:cs="Arial"/>
          <w:bCs/>
          <w:szCs w:val="26"/>
          <w:lang w:val="en-GB"/>
        </w:rPr>
        <w:t xml:space="preserve"> honesty, including observing the rules regarding plagiarism, breach of confidence, falsification of data, and so on, and acknowledg</w:t>
      </w:r>
      <w:r>
        <w:rPr>
          <w:rFonts w:cs="Arial"/>
          <w:bCs/>
          <w:szCs w:val="26"/>
          <w:lang w:val="en-GB"/>
        </w:rPr>
        <w:t>e</w:t>
      </w:r>
      <w:r w:rsidRPr="00AA5FBC">
        <w:rPr>
          <w:rFonts w:cs="Arial"/>
          <w:bCs/>
          <w:szCs w:val="26"/>
          <w:lang w:val="en-GB"/>
        </w:rPr>
        <w:t xml:space="preserve"> the assistance of others in conducting the research. </w:t>
      </w:r>
    </w:p>
    <w:p w14:paraId="6C42889E" w14:textId="77777777" w:rsidR="00CD798A" w:rsidRPr="00AA5FBC" w:rsidRDefault="00CD798A" w:rsidP="00301BA0">
      <w:pPr>
        <w:pStyle w:val="ListBullet"/>
        <w:spacing w:line="360" w:lineRule="auto"/>
        <w:ind w:left="363" w:hanging="357"/>
        <w:rPr>
          <w:rFonts w:cs="Arial"/>
          <w:bCs/>
          <w:szCs w:val="26"/>
          <w:lang w:val="en-GB"/>
        </w:rPr>
      </w:pPr>
      <w:r w:rsidRPr="00AA5FBC">
        <w:rPr>
          <w:rFonts w:cs="Arial"/>
          <w:bCs/>
          <w:szCs w:val="26"/>
          <w:lang w:val="en-GB"/>
        </w:rPr>
        <w:t>When using participative approaches, develop a level of personal insight and self-awareness through access to supervision which focuses on sources of unintended manipulation and interpersonal dynamics that may arise throughout the course of a study.</w:t>
      </w:r>
    </w:p>
    <w:p w14:paraId="3E8BF81D" w14:textId="39E2663F" w:rsidR="000D7C3C" w:rsidRDefault="000D7C3C" w:rsidP="00301BA0">
      <w:pPr>
        <w:spacing w:after="0" w:line="360" w:lineRule="auto"/>
        <w:rPr>
          <w:lang w:val="en-GB"/>
        </w:rPr>
      </w:pPr>
      <w:r>
        <w:rPr>
          <w:lang w:val="en-GB"/>
        </w:rPr>
        <w:br w:type="page"/>
      </w:r>
    </w:p>
    <w:p w14:paraId="32602CAC" w14:textId="48463D76" w:rsidR="00A0446F" w:rsidRDefault="00A0446F" w:rsidP="00301BA0">
      <w:pPr>
        <w:pStyle w:val="Heading1"/>
        <w:spacing w:line="360" w:lineRule="auto"/>
        <w:rPr>
          <w:lang w:val="en-GB"/>
        </w:rPr>
      </w:pPr>
      <w:bookmarkStart w:id="57" w:name="_Toc150873273"/>
      <w:bookmarkStart w:id="58" w:name="_Toc156380502"/>
      <w:r>
        <w:rPr>
          <w:lang w:val="en-GB"/>
        </w:rPr>
        <w:lastRenderedPageBreak/>
        <w:t>4.0.</w:t>
      </w:r>
      <w:r>
        <w:rPr>
          <w:lang w:val="en-GB"/>
        </w:rPr>
        <w:tab/>
      </w:r>
      <w:r w:rsidR="0053163B">
        <w:rPr>
          <w:lang w:val="en-GB"/>
        </w:rPr>
        <w:t>Practical</w:t>
      </w:r>
      <w:r w:rsidR="00CF63D9">
        <w:rPr>
          <w:lang w:val="en-GB"/>
        </w:rPr>
        <w:t xml:space="preserve"> </w:t>
      </w:r>
      <w:r w:rsidR="00441E98">
        <w:rPr>
          <w:lang w:val="en-GB"/>
        </w:rPr>
        <w:t xml:space="preserve">guidance </w:t>
      </w:r>
      <w:r w:rsidR="001D13F6">
        <w:rPr>
          <w:lang w:val="en-GB"/>
        </w:rPr>
        <w:t xml:space="preserve">for </w:t>
      </w:r>
      <w:r w:rsidR="009707E1">
        <w:rPr>
          <w:lang w:val="en-GB"/>
        </w:rPr>
        <w:t xml:space="preserve">ethical </w:t>
      </w:r>
      <w:r w:rsidR="00AA756F">
        <w:rPr>
          <w:lang w:val="en-GB"/>
        </w:rPr>
        <w:t xml:space="preserve">disability </w:t>
      </w:r>
      <w:r w:rsidR="009707E1">
        <w:rPr>
          <w:lang w:val="en-GB"/>
        </w:rPr>
        <w:t>research</w:t>
      </w:r>
      <w:bookmarkEnd w:id="57"/>
      <w:bookmarkEnd w:id="58"/>
      <w:r w:rsidR="009707E1">
        <w:rPr>
          <w:lang w:val="en-GB"/>
        </w:rPr>
        <w:t xml:space="preserve"> </w:t>
      </w:r>
    </w:p>
    <w:p w14:paraId="054F2A66" w14:textId="5A006D31" w:rsidR="00441E98" w:rsidRPr="008F51F5" w:rsidRDefault="00441E98" w:rsidP="00301BA0">
      <w:pPr>
        <w:pStyle w:val="NormalAfterList"/>
        <w:spacing w:line="360" w:lineRule="auto"/>
        <w:rPr>
          <w:rFonts w:eastAsia="Arial Unicode MS"/>
          <w:szCs w:val="26"/>
        </w:rPr>
      </w:pPr>
      <w:r w:rsidRPr="008F51F5">
        <w:rPr>
          <w:rFonts w:eastAsia="Arial Unicode MS"/>
          <w:szCs w:val="26"/>
        </w:rPr>
        <w:t xml:space="preserve">This section </w:t>
      </w:r>
      <w:r w:rsidR="007A6EB9" w:rsidRPr="008F51F5">
        <w:rPr>
          <w:rFonts w:eastAsia="Arial Unicode MS"/>
          <w:szCs w:val="26"/>
        </w:rPr>
        <w:t>provides some practical</w:t>
      </w:r>
      <w:r w:rsidRPr="008F51F5">
        <w:rPr>
          <w:rFonts w:eastAsia="Arial Unicode MS"/>
          <w:szCs w:val="26"/>
        </w:rPr>
        <w:t xml:space="preserve"> guidance for research with </w:t>
      </w:r>
      <w:r w:rsidR="007A6EB9" w:rsidRPr="008F51F5">
        <w:rPr>
          <w:rFonts w:eastAsia="Arial Unicode MS"/>
          <w:szCs w:val="26"/>
        </w:rPr>
        <w:t>disabled people. It follows the research process and focuses on issues related to ethics. Other documents</w:t>
      </w:r>
      <w:r w:rsidR="0053163B" w:rsidRPr="008F51F5">
        <w:rPr>
          <w:rFonts w:eastAsia="Arial Unicode MS"/>
          <w:szCs w:val="26"/>
        </w:rPr>
        <w:t xml:space="preserve"> are freely available that</w:t>
      </w:r>
      <w:r w:rsidR="007A6EB9" w:rsidRPr="008F51F5">
        <w:rPr>
          <w:rFonts w:eastAsia="Arial Unicode MS"/>
          <w:szCs w:val="26"/>
        </w:rPr>
        <w:t xml:space="preserve"> provide detailed guidance on accessible digital, </w:t>
      </w:r>
      <w:proofErr w:type="gramStart"/>
      <w:r w:rsidR="007A6EB9" w:rsidRPr="008F51F5">
        <w:rPr>
          <w:rFonts w:eastAsia="Arial Unicode MS"/>
          <w:szCs w:val="26"/>
        </w:rPr>
        <w:t>virtual</w:t>
      </w:r>
      <w:proofErr w:type="gramEnd"/>
      <w:r w:rsidR="007A6EB9" w:rsidRPr="008F51F5">
        <w:rPr>
          <w:rFonts w:eastAsia="Arial Unicode MS"/>
          <w:szCs w:val="26"/>
        </w:rPr>
        <w:t xml:space="preserve"> and in-person communication,</w:t>
      </w:r>
      <w:r w:rsidR="007A6EB9" w:rsidRPr="00481DAF">
        <w:rPr>
          <w:rStyle w:val="FootnoteReference"/>
          <w:rFonts w:ascii="Gill Sans MT" w:eastAsia="Arial Unicode MS" w:hAnsi="Gill Sans MT"/>
          <w:sz w:val="26"/>
          <w:szCs w:val="26"/>
        </w:rPr>
        <w:footnoteReference w:id="145"/>
      </w:r>
      <w:r w:rsidR="00E4361D" w:rsidRPr="008F51F5">
        <w:rPr>
          <w:rFonts w:eastAsia="Arial Unicode MS"/>
          <w:szCs w:val="26"/>
        </w:rPr>
        <w:t xml:space="preserve"> </w:t>
      </w:r>
      <w:r w:rsidR="007A6EB9" w:rsidRPr="008F51F5">
        <w:rPr>
          <w:rFonts w:eastAsia="Arial Unicode MS"/>
          <w:szCs w:val="26"/>
        </w:rPr>
        <w:t xml:space="preserve"> accessible buildings, facilita</w:t>
      </w:r>
      <w:r w:rsidR="0053163B" w:rsidRPr="008F51F5">
        <w:rPr>
          <w:rFonts w:eastAsia="Arial Unicode MS"/>
          <w:szCs w:val="26"/>
        </w:rPr>
        <w:t>t</w:t>
      </w:r>
      <w:r w:rsidR="007A6EB9" w:rsidRPr="008F51F5">
        <w:rPr>
          <w:rFonts w:eastAsia="Arial Unicode MS"/>
          <w:szCs w:val="26"/>
        </w:rPr>
        <w:t xml:space="preserve">ing meetings (useful for focus groups) and appropriate language relating to disability. </w:t>
      </w:r>
      <w:r w:rsidR="007A6EB9" w:rsidRPr="00481DAF">
        <w:rPr>
          <w:rStyle w:val="FootnoteReference"/>
          <w:rFonts w:ascii="Gill Sans MT" w:eastAsia="Arial Unicode MS" w:hAnsi="Gill Sans MT"/>
          <w:sz w:val="26"/>
          <w:szCs w:val="26"/>
        </w:rPr>
        <w:footnoteReference w:id="146"/>
      </w:r>
      <w:r w:rsidR="00383F03" w:rsidRPr="008F51F5">
        <w:rPr>
          <w:rFonts w:eastAsia="Arial Unicode MS"/>
          <w:szCs w:val="26"/>
        </w:rPr>
        <w:t xml:space="preserve"> </w:t>
      </w:r>
      <w:r w:rsidR="00383F03" w:rsidRPr="00481DAF">
        <w:rPr>
          <w:rFonts w:eastAsia="Arial Unicode MS"/>
          <w:szCs w:val="26"/>
        </w:rPr>
        <w:t>Guidance on collaborative research is also available.</w:t>
      </w:r>
      <w:r w:rsidR="00383F03" w:rsidRPr="00481DAF">
        <w:rPr>
          <w:rStyle w:val="FootnoteReference"/>
          <w:rFonts w:ascii="Gill Sans MT" w:eastAsia="Arial Unicode MS" w:hAnsi="Gill Sans MT"/>
          <w:sz w:val="26"/>
          <w:szCs w:val="26"/>
        </w:rPr>
        <w:footnoteReference w:id="147"/>
      </w:r>
      <w:r w:rsidRPr="008F51F5">
        <w:rPr>
          <w:rFonts w:eastAsia="Arial Unicode MS"/>
          <w:szCs w:val="26"/>
        </w:rPr>
        <w:t xml:space="preserve"> </w:t>
      </w:r>
    </w:p>
    <w:p w14:paraId="0CB86FDE" w14:textId="4F1898C3" w:rsidR="001716F6" w:rsidRPr="00C272D5" w:rsidRDefault="00720501" w:rsidP="00301BA0">
      <w:pPr>
        <w:pStyle w:val="Heading2"/>
        <w:spacing w:line="360" w:lineRule="auto"/>
        <w:rPr>
          <w:rFonts w:eastAsia="Arial Unicode MS"/>
          <w:sz w:val="26"/>
          <w:szCs w:val="26"/>
          <w:lang w:val="en-GB"/>
        </w:rPr>
      </w:pPr>
      <w:bookmarkStart w:id="59" w:name="_Toc150873274"/>
      <w:bookmarkStart w:id="60" w:name="_Toc156380503"/>
      <w:r w:rsidRPr="00C272D5">
        <w:rPr>
          <w:rFonts w:eastAsia="Arial Unicode MS"/>
          <w:sz w:val="26"/>
          <w:szCs w:val="26"/>
          <w:lang w:val="en-GB"/>
        </w:rPr>
        <w:t>4.1</w:t>
      </w:r>
      <w:r w:rsidRPr="00C272D5">
        <w:rPr>
          <w:rFonts w:eastAsia="Arial Unicode MS"/>
          <w:sz w:val="26"/>
          <w:szCs w:val="26"/>
          <w:lang w:val="en-GB"/>
        </w:rPr>
        <w:tab/>
      </w:r>
      <w:bookmarkStart w:id="61" w:name="_Hlk148017487"/>
      <w:r w:rsidR="00880E7D">
        <w:rPr>
          <w:rFonts w:eastAsia="Arial Unicode MS"/>
          <w:sz w:val="26"/>
          <w:szCs w:val="26"/>
          <w:lang w:val="en-GB"/>
        </w:rPr>
        <w:t xml:space="preserve">Before commencing the </w:t>
      </w:r>
      <w:proofErr w:type="gramStart"/>
      <w:r w:rsidR="00880E7D">
        <w:rPr>
          <w:rFonts w:eastAsia="Arial Unicode MS"/>
          <w:sz w:val="26"/>
          <w:szCs w:val="26"/>
          <w:lang w:val="en-GB"/>
        </w:rPr>
        <w:t>research</w:t>
      </w:r>
      <w:bookmarkEnd w:id="59"/>
      <w:bookmarkEnd w:id="60"/>
      <w:proofErr w:type="gramEnd"/>
    </w:p>
    <w:p w14:paraId="4AD3450B" w14:textId="189D7A22" w:rsidR="00E4361D" w:rsidRPr="00C272D5" w:rsidRDefault="004D5AB2" w:rsidP="00AC7513">
      <w:pPr>
        <w:pStyle w:val="NormalAfterList"/>
        <w:numPr>
          <w:ilvl w:val="0"/>
          <w:numId w:val="29"/>
        </w:numPr>
        <w:spacing w:after="120" w:line="360" w:lineRule="auto"/>
        <w:ind w:left="714" w:hanging="357"/>
        <w:rPr>
          <w:rFonts w:eastAsia="Arial Unicode MS"/>
          <w:b/>
          <w:bCs/>
          <w:szCs w:val="26"/>
          <w:lang w:val="en-GB"/>
        </w:rPr>
      </w:pPr>
      <w:r w:rsidRPr="00C272D5">
        <w:rPr>
          <w:rFonts w:eastAsia="Arial Unicode MS"/>
          <w:szCs w:val="26"/>
          <w:lang w:val="en-GB"/>
        </w:rPr>
        <w:t xml:space="preserve">Be very familiar </w:t>
      </w:r>
      <w:r w:rsidR="00E4361D" w:rsidRPr="00C272D5">
        <w:rPr>
          <w:rFonts w:eastAsia="Arial Unicode MS"/>
          <w:szCs w:val="26"/>
          <w:lang w:val="en-GB"/>
        </w:rPr>
        <w:t xml:space="preserve">with the values/principles/standards of ethical research, </w:t>
      </w:r>
      <w:r w:rsidR="000C3D4B" w:rsidRPr="00C272D5">
        <w:rPr>
          <w:rFonts w:eastAsia="Arial Unicode MS"/>
          <w:szCs w:val="26"/>
          <w:lang w:val="en-GB"/>
        </w:rPr>
        <w:t xml:space="preserve">and </w:t>
      </w:r>
      <w:r w:rsidR="00E4361D" w:rsidRPr="00C272D5">
        <w:rPr>
          <w:rFonts w:eastAsia="Arial Unicode MS"/>
          <w:szCs w:val="26"/>
          <w:lang w:val="en-GB"/>
        </w:rPr>
        <w:t xml:space="preserve">with the legal and ethical duties </w:t>
      </w:r>
      <w:r w:rsidR="00147EE7" w:rsidRPr="00C272D5">
        <w:rPr>
          <w:rFonts w:eastAsia="Arial Unicode MS"/>
          <w:szCs w:val="26"/>
          <w:lang w:val="en-GB"/>
        </w:rPr>
        <w:t xml:space="preserve">on </w:t>
      </w:r>
      <w:r w:rsidR="00E4361D" w:rsidRPr="00C272D5">
        <w:rPr>
          <w:rFonts w:eastAsia="Arial Unicode MS"/>
          <w:szCs w:val="26"/>
          <w:lang w:val="en-GB"/>
        </w:rPr>
        <w:t xml:space="preserve">data protection, confidentiality, capacity to consent and supported decision making. </w:t>
      </w:r>
    </w:p>
    <w:p w14:paraId="20104966" w14:textId="2BA24293" w:rsidR="004D5AB2" w:rsidRPr="00C272D5" w:rsidRDefault="00E4361D" w:rsidP="00AC7513">
      <w:pPr>
        <w:pStyle w:val="NormalAfterList"/>
        <w:numPr>
          <w:ilvl w:val="0"/>
          <w:numId w:val="29"/>
        </w:numPr>
        <w:spacing w:after="120" w:line="360" w:lineRule="auto"/>
        <w:ind w:left="714" w:hanging="357"/>
        <w:rPr>
          <w:rFonts w:eastAsia="Arial Unicode MS"/>
          <w:szCs w:val="26"/>
          <w:lang w:val="en-GB"/>
        </w:rPr>
      </w:pPr>
      <w:r w:rsidRPr="00C272D5">
        <w:rPr>
          <w:rFonts w:eastAsia="Arial Unicode MS"/>
          <w:szCs w:val="26"/>
          <w:lang w:val="en-GB"/>
        </w:rPr>
        <w:t xml:space="preserve">Reflect on the value of professional integrity and </w:t>
      </w:r>
      <w:r w:rsidR="00147EE7" w:rsidRPr="00C272D5">
        <w:rPr>
          <w:rFonts w:eastAsia="Arial Unicode MS"/>
          <w:szCs w:val="26"/>
          <w:lang w:val="en-GB"/>
        </w:rPr>
        <w:t xml:space="preserve">what </w:t>
      </w:r>
      <w:r w:rsidR="004D5AB2" w:rsidRPr="00C272D5">
        <w:rPr>
          <w:rFonts w:eastAsia="Arial Unicode MS"/>
          <w:szCs w:val="26"/>
          <w:lang w:val="en-GB"/>
        </w:rPr>
        <w:t xml:space="preserve">one </w:t>
      </w:r>
      <w:r w:rsidR="00147EE7" w:rsidRPr="00C272D5">
        <w:rPr>
          <w:rFonts w:eastAsia="Arial Unicode MS"/>
          <w:szCs w:val="26"/>
          <w:lang w:val="en-GB"/>
        </w:rPr>
        <w:t>need</w:t>
      </w:r>
      <w:r w:rsidR="004D5AB2" w:rsidRPr="00C272D5">
        <w:rPr>
          <w:rFonts w:eastAsia="Arial Unicode MS"/>
          <w:szCs w:val="26"/>
          <w:lang w:val="en-GB"/>
        </w:rPr>
        <w:t>s</w:t>
      </w:r>
      <w:r w:rsidR="00147EE7" w:rsidRPr="00C272D5">
        <w:rPr>
          <w:rFonts w:eastAsia="Arial Unicode MS"/>
          <w:szCs w:val="26"/>
          <w:lang w:val="en-GB"/>
        </w:rPr>
        <w:t xml:space="preserve"> to do to </w:t>
      </w:r>
      <w:r w:rsidR="004D5AB2" w:rsidRPr="00C272D5">
        <w:rPr>
          <w:rFonts w:eastAsia="Arial Unicode MS"/>
          <w:szCs w:val="26"/>
          <w:lang w:val="en-GB"/>
        </w:rPr>
        <w:t xml:space="preserve">further </w:t>
      </w:r>
      <w:r w:rsidR="00147EE7" w:rsidRPr="00C272D5">
        <w:rPr>
          <w:rFonts w:eastAsia="Arial Unicode MS"/>
          <w:szCs w:val="26"/>
          <w:lang w:val="en-GB"/>
        </w:rPr>
        <w:t>develop and practice this value</w:t>
      </w:r>
      <w:r w:rsidR="004D5AB2" w:rsidRPr="00C272D5">
        <w:rPr>
          <w:rFonts w:eastAsia="Arial Unicode MS"/>
          <w:szCs w:val="26"/>
          <w:lang w:val="en-GB"/>
        </w:rPr>
        <w:t>.</w:t>
      </w:r>
    </w:p>
    <w:p w14:paraId="61F4E12A" w14:textId="3AAEF594" w:rsidR="004D5AB2" w:rsidRPr="00C272D5" w:rsidRDefault="004D5AB2" w:rsidP="00AC7513">
      <w:pPr>
        <w:pStyle w:val="NormalAfterList"/>
        <w:numPr>
          <w:ilvl w:val="0"/>
          <w:numId w:val="29"/>
        </w:numPr>
        <w:spacing w:after="120" w:line="360" w:lineRule="auto"/>
        <w:ind w:left="714" w:hanging="357"/>
        <w:rPr>
          <w:rFonts w:eastAsia="Arial Unicode MS"/>
          <w:b/>
          <w:bCs/>
          <w:szCs w:val="26"/>
          <w:lang w:val="en-GB"/>
        </w:rPr>
      </w:pPr>
      <w:r w:rsidRPr="00C272D5">
        <w:rPr>
          <w:rFonts w:eastAsia="Arial Unicode MS"/>
          <w:szCs w:val="26"/>
          <w:lang w:val="en-GB"/>
        </w:rPr>
        <w:t xml:space="preserve">Be cognisant that ethical responsibilities apply throughout the research process. </w:t>
      </w:r>
    </w:p>
    <w:p w14:paraId="363E65BA" w14:textId="31F3DE3D" w:rsidR="00E4361D" w:rsidRPr="0053163B" w:rsidRDefault="00880E7D" w:rsidP="00AC7513">
      <w:pPr>
        <w:pStyle w:val="NormalAfterList"/>
        <w:numPr>
          <w:ilvl w:val="0"/>
          <w:numId w:val="29"/>
        </w:numPr>
        <w:spacing w:after="120" w:line="360" w:lineRule="auto"/>
        <w:ind w:left="714" w:hanging="357"/>
        <w:rPr>
          <w:rFonts w:eastAsia="Arial Unicode MS"/>
          <w:b/>
          <w:bCs/>
          <w:szCs w:val="26"/>
          <w:lang w:val="en-GB"/>
        </w:rPr>
      </w:pPr>
      <w:r>
        <w:rPr>
          <w:rFonts w:eastAsia="Arial Unicode MS"/>
          <w:szCs w:val="26"/>
          <w:lang w:val="en-GB"/>
        </w:rPr>
        <w:t>Consider including experts by experience as co-researchers and involve them in planning and designing the research</w:t>
      </w:r>
      <w:r w:rsidR="00686232" w:rsidRPr="00C272D5">
        <w:rPr>
          <w:rFonts w:eastAsia="Arial Unicode MS"/>
          <w:szCs w:val="26"/>
          <w:lang w:val="en-GB"/>
        </w:rPr>
        <w:t>.</w:t>
      </w:r>
      <w:r w:rsidR="00CD060E" w:rsidRPr="00C272D5">
        <w:rPr>
          <w:rFonts w:eastAsia="Arial Unicode MS"/>
          <w:szCs w:val="26"/>
          <w:lang w:val="en-GB"/>
        </w:rPr>
        <w:t xml:space="preserve"> </w:t>
      </w:r>
    </w:p>
    <w:p w14:paraId="4CA5669B" w14:textId="248C8746" w:rsidR="00880E7D" w:rsidRPr="00C272D5" w:rsidRDefault="00880E7D" w:rsidP="00AC7513">
      <w:pPr>
        <w:pStyle w:val="NormalAfterList"/>
        <w:numPr>
          <w:ilvl w:val="0"/>
          <w:numId w:val="29"/>
        </w:numPr>
        <w:spacing w:after="120" w:line="360" w:lineRule="auto"/>
        <w:ind w:left="714" w:hanging="357"/>
        <w:rPr>
          <w:rFonts w:eastAsia="Arial Unicode MS"/>
          <w:b/>
          <w:bCs/>
          <w:szCs w:val="26"/>
          <w:lang w:val="en-GB"/>
        </w:rPr>
      </w:pPr>
      <w:r>
        <w:rPr>
          <w:rFonts w:eastAsia="Arial Unicode MS"/>
          <w:szCs w:val="26"/>
          <w:lang w:val="en-GB"/>
        </w:rPr>
        <w:t>Obtain ethical approval from a Research Ethics Committee with some expertise in the area to be researched</w:t>
      </w:r>
      <w:r w:rsidR="008F51F5">
        <w:rPr>
          <w:rFonts w:eastAsia="Arial Unicode MS"/>
          <w:szCs w:val="26"/>
          <w:lang w:val="en-GB"/>
        </w:rPr>
        <w:t>.</w:t>
      </w:r>
    </w:p>
    <w:p w14:paraId="321B0007" w14:textId="7313B23E" w:rsidR="00880E7D" w:rsidRPr="00880E7D" w:rsidRDefault="005523E1" w:rsidP="00301BA0">
      <w:pPr>
        <w:pStyle w:val="Heading2"/>
        <w:spacing w:line="360" w:lineRule="auto"/>
        <w:rPr>
          <w:rFonts w:eastAsia="Arial Unicode MS"/>
          <w:lang w:val="en-GB"/>
        </w:rPr>
      </w:pPr>
      <w:bookmarkStart w:id="62" w:name="_Toc150873275"/>
      <w:bookmarkStart w:id="63" w:name="_Toc156380504"/>
      <w:r>
        <w:rPr>
          <w:rFonts w:eastAsia="Arial Unicode MS"/>
          <w:szCs w:val="26"/>
          <w:lang w:val="en-GB"/>
        </w:rPr>
        <w:lastRenderedPageBreak/>
        <w:t xml:space="preserve">4.2 </w:t>
      </w:r>
      <w:r w:rsidR="0053163B">
        <w:rPr>
          <w:rFonts w:eastAsia="Arial Unicode MS"/>
          <w:szCs w:val="26"/>
          <w:lang w:val="en-GB"/>
        </w:rPr>
        <w:tab/>
      </w:r>
      <w:r w:rsidR="00880E7D">
        <w:rPr>
          <w:rFonts w:eastAsia="Arial Unicode MS"/>
          <w:lang w:val="en-GB"/>
        </w:rPr>
        <w:t xml:space="preserve">Obtaining </w:t>
      </w:r>
      <w:proofErr w:type="gramStart"/>
      <w:r w:rsidR="00880E7D">
        <w:rPr>
          <w:rFonts w:eastAsia="Arial Unicode MS"/>
          <w:lang w:val="en-GB"/>
        </w:rPr>
        <w:t>consent</w:t>
      </w:r>
      <w:bookmarkEnd w:id="62"/>
      <w:bookmarkEnd w:id="63"/>
      <w:proofErr w:type="gramEnd"/>
    </w:p>
    <w:p w14:paraId="44D8358A" w14:textId="251248C8" w:rsidR="00880E7D" w:rsidRDefault="00880E7D" w:rsidP="00AC7513">
      <w:pPr>
        <w:pStyle w:val="BodyText3"/>
        <w:numPr>
          <w:ilvl w:val="0"/>
          <w:numId w:val="29"/>
        </w:numPr>
        <w:spacing w:line="360" w:lineRule="auto"/>
        <w:rPr>
          <w:sz w:val="26"/>
          <w:szCs w:val="26"/>
        </w:rPr>
      </w:pPr>
      <w:r w:rsidRPr="00C272D5">
        <w:rPr>
          <w:sz w:val="26"/>
          <w:szCs w:val="26"/>
        </w:rPr>
        <w:t xml:space="preserve">If </w:t>
      </w:r>
      <w:r>
        <w:rPr>
          <w:sz w:val="26"/>
          <w:szCs w:val="26"/>
        </w:rPr>
        <w:t xml:space="preserve">participants to be included lack the capacity to provide </w:t>
      </w:r>
      <w:r w:rsidRPr="00C272D5">
        <w:rPr>
          <w:sz w:val="26"/>
          <w:szCs w:val="26"/>
        </w:rPr>
        <w:t>informed consent</w:t>
      </w:r>
      <w:r w:rsidR="008F51F5">
        <w:rPr>
          <w:sz w:val="26"/>
          <w:szCs w:val="26"/>
        </w:rPr>
        <w:t>,</w:t>
      </w:r>
      <w:r w:rsidRPr="00C272D5">
        <w:rPr>
          <w:sz w:val="26"/>
          <w:szCs w:val="26"/>
        </w:rPr>
        <w:t xml:space="preserve"> ensure that a Consent Declaration is received from the HRCDC</w:t>
      </w:r>
      <w:r w:rsidR="008F51F5">
        <w:rPr>
          <w:sz w:val="26"/>
          <w:szCs w:val="26"/>
        </w:rPr>
        <w:t>.</w:t>
      </w:r>
    </w:p>
    <w:p w14:paraId="6D9DFE0C" w14:textId="01F32131" w:rsidR="00880E7D" w:rsidRPr="00C272D5" w:rsidRDefault="00880E7D" w:rsidP="00AC7513">
      <w:pPr>
        <w:pStyle w:val="BodyText3"/>
        <w:numPr>
          <w:ilvl w:val="0"/>
          <w:numId w:val="29"/>
        </w:numPr>
        <w:spacing w:line="360" w:lineRule="auto"/>
        <w:rPr>
          <w:sz w:val="26"/>
          <w:szCs w:val="26"/>
        </w:rPr>
      </w:pPr>
      <w:r>
        <w:rPr>
          <w:sz w:val="26"/>
          <w:szCs w:val="26"/>
        </w:rPr>
        <w:t>Do not use</w:t>
      </w:r>
      <w:r w:rsidR="00301BA0">
        <w:rPr>
          <w:sz w:val="26"/>
          <w:szCs w:val="26"/>
        </w:rPr>
        <w:t xml:space="preserve"> other people such as</w:t>
      </w:r>
      <w:r>
        <w:rPr>
          <w:sz w:val="26"/>
          <w:szCs w:val="26"/>
        </w:rPr>
        <w:t xml:space="preserve"> family members</w:t>
      </w:r>
      <w:r w:rsidR="00301BA0">
        <w:rPr>
          <w:sz w:val="26"/>
          <w:szCs w:val="26"/>
        </w:rPr>
        <w:t xml:space="preserve"> or carers</w:t>
      </w:r>
      <w:r>
        <w:rPr>
          <w:sz w:val="26"/>
          <w:szCs w:val="26"/>
        </w:rPr>
        <w:t xml:space="preserve"> as proxie</w:t>
      </w:r>
      <w:r w:rsidR="00301BA0">
        <w:rPr>
          <w:sz w:val="26"/>
          <w:szCs w:val="26"/>
        </w:rPr>
        <w:t>s;</w:t>
      </w:r>
      <w:r>
        <w:rPr>
          <w:sz w:val="26"/>
          <w:szCs w:val="26"/>
        </w:rPr>
        <w:t xml:space="preserve"> </w:t>
      </w:r>
      <w:r w:rsidR="00301BA0">
        <w:rPr>
          <w:sz w:val="26"/>
          <w:szCs w:val="26"/>
        </w:rPr>
        <w:t>t</w:t>
      </w:r>
      <w:r>
        <w:rPr>
          <w:sz w:val="26"/>
          <w:szCs w:val="26"/>
        </w:rPr>
        <w:t xml:space="preserve">hey can consent to be interviewed </w:t>
      </w:r>
      <w:r w:rsidR="008F51F5">
        <w:rPr>
          <w:sz w:val="26"/>
          <w:szCs w:val="26"/>
        </w:rPr>
        <w:t>as</w:t>
      </w:r>
      <w:r>
        <w:rPr>
          <w:sz w:val="26"/>
          <w:szCs w:val="26"/>
        </w:rPr>
        <w:t xml:space="preserve"> key informants but not to interpret the thoughts and feelings of others</w:t>
      </w:r>
      <w:r w:rsidR="008F51F5">
        <w:rPr>
          <w:sz w:val="26"/>
          <w:szCs w:val="26"/>
        </w:rPr>
        <w:t>.</w:t>
      </w:r>
      <w:r>
        <w:rPr>
          <w:sz w:val="26"/>
          <w:szCs w:val="26"/>
        </w:rPr>
        <w:t xml:space="preserve"> </w:t>
      </w:r>
    </w:p>
    <w:p w14:paraId="6127FFC1" w14:textId="3A2D58B3" w:rsidR="00880E7D" w:rsidRDefault="00880E7D" w:rsidP="00AC7513">
      <w:pPr>
        <w:pStyle w:val="BodyText3"/>
        <w:numPr>
          <w:ilvl w:val="0"/>
          <w:numId w:val="29"/>
        </w:numPr>
        <w:spacing w:line="360" w:lineRule="auto"/>
        <w:rPr>
          <w:sz w:val="26"/>
          <w:szCs w:val="26"/>
        </w:rPr>
      </w:pPr>
      <w:r w:rsidRPr="00C272D5">
        <w:rPr>
          <w:sz w:val="26"/>
          <w:szCs w:val="26"/>
        </w:rPr>
        <w:t xml:space="preserve">Remind </w:t>
      </w:r>
      <w:r w:rsidR="008F51F5">
        <w:rPr>
          <w:sz w:val="26"/>
          <w:szCs w:val="26"/>
        </w:rPr>
        <w:t xml:space="preserve">potential </w:t>
      </w:r>
      <w:r w:rsidRPr="00C272D5">
        <w:rPr>
          <w:sz w:val="26"/>
          <w:szCs w:val="26"/>
        </w:rPr>
        <w:t>p</w:t>
      </w:r>
      <w:r w:rsidR="008F51F5">
        <w:rPr>
          <w:sz w:val="26"/>
          <w:szCs w:val="26"/>
        </w:rPr>
        <w:t xml:space="preserve">articipants </w:t>
      </w:r>
      <w:r w:rsidRPr="00C272D5">
        <w:rPr>
          <w:sz w:val="26"/>
          <w:szCs w:val="26"/>
        </w:rPr>
        <w:t>of the purpose and the implications of the research</w:t>
      </w:r>
      <w:r w:rsidR="008F51F5">
        <w:rPr>
          <w:sz w:val="26"/>
          <w:szCs w:val="26"/>
        </w:rPr>
        <w:t>.</w:t>
      </w:r>
    </w:p>
    <w:p w14:paraId="32412330" w14:textId="10A54495" w:rsidR="00880E7D" w:rsidRPr="00C272D5" w:rsidRDefault="00880E7D" w:rsidP="00AC7513">
      <w:pPr>
        <w:pStyle w:val="BodyText3"/>
        <w:numPr>
          <w:ilvl w:val="0"/>
          <w:numId w:val="29"/>
        </w:numPr>
        <w:spacing w:line="360" w:lineRule="auto"/>
        <w:rPr>
          <w:sz w:val="26"/>
          <w:szCs w:val="26"/>
        </w:rPr>
      </w:pPr>
      <w:r>
        <w:rPr>
          <w:sz w:val="26"/>
          <w:szCs w:val="26"/>
        </w:rPr>
        <w:t xml:space="preserve">Remind </w:t>
      </w:r>
      <w:r w:rsidR="008F51F5">
        <w:rPr>
          <w:sz w:val="26"/>
          <w:szCs w:val="26"/>
        </w:rPr>
        <w:t xml:space="preserve">potential participants </w:t>
      </w:r>
      <w:r>
        <w:rPr>
          <w:sz w:val="26"/>
          <w:szCs w:val="26"/>
        </w:rPr>
        <w:t xml:space="preserve">of their right to decline to take part or withdraw from the research without </w:t>
      </w:r>
      <w:proofErr w:type="gramStart"/>
      <w:r>
        <w:rPr>
          <w:sz w:val="26"/>
          <w:szCs w:val="26"/>
        </w:rPr>
        <w:t>consequence</w:t>
      </w:r>
      <w:proofErr w:type="gramEnd"/>
    </w:p>
    <w:p w14:paraId="5CFCF060" w14:textId="2383FC78" w:rsidR="00880E7D" w:rsidRPr="00301BA0" w:rsidRDefault="00880E7D" w:rsidP="00AC7513">
      <w:pPr>
        <w:pStyle w:val="BodyText3"/>
        <w:numPr>
          <w:ilvl w:val="0"/>
          <w:numId w:val="29"/>
        </w:numPr>
        <w:spacing w:line="360" w:lineRule="auto"/>
        <w:rPr>
          <w:sz w:val="26"/>
          <w:szCs w:val="26"/>
        </w:rPr>
      </w:pPr>
      <w:r w:rsidRPr="00C272D5">
        <w:rPr>
          <w:sz w:val="26"/>
          <w:szCs w:val="26"/>
        </w:rPr>
        <w:t xml:space="preserve">Provide easy-to-understand information </w:t>
      </w:r>
      <w:r w:rsidR="00301BA0">
        <w:rPr>
          <w:sz w:val="26"/>
          <w:szCs w:val="26"/>
        </w:rPr>
        <w:t>and alternative formats</w:t>
      </w:r>
      <w:r w:rsidR="008F51F5">
        <w:rPr>
          <w:sz w:val="26"/>
          <w:szCs w:val="26"/>
        </w:rPr>
        <w:t>,</w:t>
      </w:r>
      <w:r w:rsidR="00301BA0">
        <w:rPr>
          <w:sz w:val="26"/>
          <w:szCs w:val="26"/>
        </w:rPr>
        <w:t xml:space="preserve"> </w:t>
      </w:r>
      <w:r w:rsidR="005523E1">
        <w:rPr>
          <w:sz w:val="26"/>
          <w:szCs w:val="26"/>
        </w:rPr>
        <w:t>when necessary, for example,</w:t>
      </w:r>
      <w:r w:rsidR="00301BA0">
        <w:rPr>
          <w:sz w:val="26"/>
          <w:szCs w:val="26"/>
        </w:rPr>
        <w:t xml:space="preserve"> Easy to Read documents</w:t>
      </w:r>
      <w:r w:rsidR="005523E1">
        <w:rPr>
          <w:sz w:val="26"/>
          <w:szCs w:val="26"/>
        </w:rPr>
        <w:t xml:space="preserve"> </w:t>
      </w:r>
      <w:r w:rsidR="00FE43AC">
        <w:rPr>
          <w:sz w:val="26"/>
          <w:szCs w:val="26"/>
        </w:rPr>
        <w:t>o</w:t>
      </w:r>
      <w:r w:rsidR="00FE43AC" w:rsidRPr="00FE43AC">
        <w:rPr>
          <w:sz w:val="26"/>
          <w:szCs w:val="26"/>
        </w:rPr>
        <w:t xml:space="preserve">r video or digital formats </w:t>
      </w:r>
      <w:r w:rsidR="005523E1">
        <w:rPr>
          <w:sz w:val="26"/>
          <w:szCs w:val="26"/>
        </w:rPr>
        <w:t>for people with an intellectual disability.</w:t>
      </w:r>
    </w:p>
    <w:p w14:paraId="298FEB3F" w14:textId="75F9507B" w:rsidR="004D5AB2" w:rsidRPr="00C272D5" w:rsidRDefault="00720501" w:rsidP="00301BA0">
      <w:pPr>
        <w:pStyle w:val="Heading2"/>
        <w:spacing w:line="360" w:lineRule="auto"/>
        <w:rPr>
          <w:rFonts w:eastAsia="Arial Unicode MS"/>
          <w:sz w:val="26"/>
          <w:szCs w:val="26"/>
        </w:rPr>
      </w:pPr>
      <w:bookmarkStart w:id="64" w:name="_Toc150873276"/>
      <w:bookmarkStart w:id="65" w:name="_Toc156380505"/>
      <w:r w:rsidRPr="00C272D5">
        <w:rPr>
          <w:rFonts w:eastAsia="Arial Unicode MS"/>
          <w:sz w:val="26"/>
          <w:szCs w:val="26"/>
        </w:rPr>
        <w:t>4.</w:t>
      </w:r>
      <w:r w:rsidR="005523E1">
        <w:rPr>
          <w:rFonts w:eastAsia="Arial Unicode MS"/>
          <w:sz w:val="26"/>
          <w:szCs w:val="26"/>
        </w:rPr>
        <w:t>3</w:t>
      </w:r>
      <w:r w:rsidRPr="00C272D5">
        <w:rPr>
          <w:rFonts w:eastAsia="Arial Unicode MS"/>
          <w:sz w:val="26"/>
          <w:szCs w:val="26"/>
        </w:rPr>
        <w:tab/>
      </w:r>
      <w:r w:rsidR="005523E1">
        <w:rPr>
          <w:rFonts w:eastAsia="Arial Unicode MS"/>
          <w:sz w:val="26"/>
          <w:szCs w:val="26"/>
        </w:rPr>
        <w:t>Data collection</w:t>
      </w:r>
      <w:bookmarkEnd w:id="64"/>
      <w:bookmarkEnd w:id="65"/>
    </w:p>
    <w:p w14:paraId="53311209" w14:textId="35CDA630" w:rsidR="001716F6" w:rsidRPr="00C272D5" w:rsidRDefault="001716F6" w:rsidP="00AC7513">
      <w:pPr>
        <w:pStyle w:val="NormalAfterList"/>
        <w:numPr>
          <w:ilvl w:val="0"/>
          <w:numId w:val="29"/>
        </w:numPr>
        <w:spacing w:after="120" w:line="360" w:lineRule="auto"/>
        <w:ind w:left="714" w:hanging="357"/>
        <w:rPr>
          <w:rFonts w:eastAsia="Arial Unicode MS"/>
          <w:szCs w:val="26"/>
        </w:rPr>
      </w:pPr>
      <w:r w:rsidRPr="00C272D5">
        <w:rPr>
          <w:rFonts w:eastAsia="Arial Unicode MS"/>
          <w:szCs w:val="26"/>
        </w:rPr>
        <w:t xml:space="preserve">Ensure that communication methods </w:t>
      </w:r>
      <w:r w:rsidR="00441E98" w:rsidRPr="00C272D5">
        <w:rPr>
          <w:rFonts w:eastAsia="Arial Unicode MS"/>
          <w:szCs w:val="26"/>
        </w:rPr>
        <w:t xml:space="preserve">are adapted to suit </w:t>
      </w:r>
      <w:r w:rsidRPr="00C272D5">
        <w:rPr>
          <w:rFonts w:eastAsia="Arial Unicode MS"/>
          <w:szCs w:val="26"/>
        </w:rPr>
        <w:t xml:space="preserve">everyone. </w:t>
      </w:r>
    </w:p>
    <w:p w14:paraId="1C8DD503" w14:textId="76D8991B" w:rsidR="001716F6" w:rsidRPr="00C272D5" w:rsidRDefault="001716F6" w:rsidP="00AC7513">
      <w:pPr>
        <w:pStyle w:val="NormalAfterList"/>
        <w:numPr>
          <w:ilvl w:val="0"/>
          <w:numId w:val="29"/>
        </w:numPr>
        <w:spacing w:after="120" w:line="360" w:lineRule="auto"/>
        <w:ind w:left="714" w:hanging="357"/>
        <w:rPr>
          <w:rFonts w:eastAsia="Arial Unicode MS"/>
          <w:szCs w:val="26"/>
        </w:rPr>
      </w:pPr>
      <w:r w:rsidRPr="00C272D5">
        <w:rPr>
          <w:rFonts w:eastAsia="Arial Unicode MS"/>
          <w:szCs w:val="26"/>
        </w:rPr>
        <w:t xml:space="preserve">Ensure that research venues are </w:t>
      </w:r>
      <w:r w:rsidR="00441E98" w:rsidRPr="00C272D5">
        <w:rPr>
          <w:rFonts w:eastAsia="Arial Unicode MS"/>
          <w:szCs w:val="26"/>
        </w:rPr>
        <w:t xml:space="preserve">physically </w:t>
      </w:r>
      <w:r w:rsidRPr="00C272D5">
        <w:rPr>
          <w:rFonts w:eastAsia="Arial Unicode MS"/>
          <w:szCs w:val="26"/>
        </w:rPr>
        <w:t>accessible.</w:t>
      </w:r>
    </w:p>
    <w:p w14:paraId="6E76A966" w14:textId="32730A21" w:rsidR="001D13F6" w:rsidRDefault="001D13F6" w:rsidP="00AC7513">
      <w:pPr>
        <w:pStyle w:val="NormalAfterList"/>
        <w:numPr>
          <w:ilvl w:val="0"/>
          <w:numId w:val="29"/>
        </w:numPr>
        <w:spacing w:after="120" w:line="360" w:lineRule="auto"/>
        <w:ind w:left="714" w:hanging="357"/>
        <w:rPr>
          <w:rFonts w:eastAsia="Arial Unicode MS"/>
          <w:szCs w:val="26"/>
        </w:rPr>
      </w:pPr>
      <w:r w:rsidRPr="00C272D5">
        <w:rPr>
          <w:rFonts w:eastAsia="Arial Unicode MS"/>
          <w:szCs w:val="26"/>
        </w:rPr>
        <w:t>If the research</w:t>
      </w:r>
      <w:r w:rsidR="00720501" w:rsidRPr="00C272D5">
        <w:rPr>
          <w:rFonts w:eastAsia="Arial Unicode MS"/>
          <w:szCs w:val="26"/>
        </w:rPr>
        <w:t>,</w:t>
      </w:r>
      <w:r w:rsidRPr="00C272D5">
        <w:rPr>
          <w:rFonts w:eastAsia="Arial Unicode MS"/>
          <w:szCs w:val="26"/>
        </w:rPr>
        <w:t xml:space="preserve"> </w:t>
      </w:r>
      <w:r w:rsidR="00720501" w:rsidRPr="00C272D5">
        <w:rPr>
          <w:rFonts w:eastAsia="Arial Unicode MS"/>
          <w:szCs w:val="26"/>
        </w:rPr>
        <w:t>for example</w:t>
      </w:r>
      <w:r w:rsidR="00147EE7" w:rsidRPr="00C272D5">
        <w:rPr>
          <w:rFonts w:eastAsia="Arial Unicode MS"/>
          <w:szCs w:val="26"/>
        </w:rPr>
        <w:t xml:space="preserve">, interviews or focus groups, </w:t>
      </w:r>
      <w:r w:rsidR="00720501" w:rsidRPr="00C272D5">
        <w:rPr>
          <w:rFonts w:eastAsia="Arial Unicode MS"/>
          <w:szCs w:val="26"/>
        </w:rPr>
        <w:t>are</w:t>
      </w:r>
      <w:r w:rsidR="00CD060E" w:rsidRPr="00C272D5">
        <w:rPr>
          <w:rFonts w:eastAsia="Arial Unicode MS"/>
          <w:szCs w:val="26"/>
        </w:rPr>
        <w:t xml:space="preserve"> prolonged</w:t>
      </w:r>
      <w:r w:rsidRPr="00C272D5">
        <w:rPr>
          <w:rFonts w:eastAsia="Arial Unicode MS"/>
          <w:szCs w:val="26"/>
        </w:rPr>
        <w:t>, ensure that there are accessible</w:t>
      </w:r>
      <w:r w:rsidR="00E4361D" w:rsidRPr="00C272D5">
        <w:rPr>
          <w:rFonts w:eastAsia="Arial Unicode MS"/>
          <w:szCs w:val="26"/>
        </w:rPr>
        <w:t xml:space="preserve"> </w:t>
      </w:r>
      <w:r w:rsidRPr="00C272D5">
        <w:rPr>
          <w:rFonts w:eastAsia="Arial Unicode MS"/>
          <w:szCs w:val="26"/>
        </w:rPr>
        <w:t>sanitary facilities nearby</w:t>
      </w:r>
      <w:r w:rsidR="00720501" w:rsidRPr="00C272D5">
        <w:rPr>
          <w:rFonts w:eastAsia="Arial Unicode MS"/>
          <w:szCs w:val="26"/>
        </w:rPr>
        <w:t xml:space="preserve"> and that breaks are offered as necessary</w:t>
      </w:r>
      <w:r w:rsidR="008F51F5">
        <w:rPr>
          <w:rFonts w:eastAsia="Arial Unicode MS"/>
          <w:szCs w:val="26"/>
        </w:rPr>
        <w:t>.</w:t>
      </w:r>
    </w:p>
    <w:p w14:paraId="7B166021" w14:textId="4A139793" w:rsidR="005523E1" w:rsidRDefault="005523E1"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Have procedures in place should a research participant become upset during an interview or focus group discussion</w:t>
      </w:r>
      <w:r w:rsidR="008F51F5">
        <w:rPr>
          <w:rFonts w:eastAsia="Arial Unicode MS"/>
          <w:szCs w:val="26"/>
        </w:rPr>
        <w:t>.</w:t>
      </w:r>
    </w:p>
    <w:p w14:paraId="11F26D01" w14:textId="17BCC538" w:rsidR="005523E1" w:rsidRDefault="005523E1"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Have a procedure in place should a research participant disclose abuse or similar during an interview or focus group discussion</w:t>
      </w:r>
      <w:r w:rsidR="008F51F5">
        <w:rPr>
          <w:rFonts w:eastAsia="Arial Unicode MS"/>
          <w:szCs w:val="26"/>
        </w:rPr>
        <w:t>.</w:t>
      </w:r>
    </w:p>
    <w:p w14:paraId="67F93AAB" w14:textId="2F44CEA3" w:rsidR="005523E1" w:rsidRPr="00C272D5" w:rsidRDefault="005523E1"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Offer research participants the opportunity to review and amend a transcript of their interview</w:t>
      </w:r>
      <w:r w:rsidR="008F51F5">
        <w:rPr>
          <w:rFonts w:eastAsia="Arial Unicode MS"/>
          <w:szCs w:val="26"/>
        </w:rPr>
        <w:t>.</w:t>
      </w:r>
    </w:p>
    <w:p w14:paraId="079BF9FF" w14:textId="6F4195B2" w:rsidR="005523E1" w:rsidRPr="00C272D5" w:rsidRDefault="005523E1" w:rsidP="00301BA0">
      <w:pPr>
        <w:pStyle w:val="Heading2"/>
        <w:spacing w:line="360" w:lineRule="auto"/>
        <w:rPr>
          <w:rFonts w:eastAsia="Arial Unicode MS"/>
        </w:rPr>
      </w:pPr>
      <w:bookmarkStart w:id="66" w:name="_Toc150873277"/>
      <w:bookmarkStart w:id="67" w:name="_Toc156380506"/>
      <w:r>
        <w:rPr>
          <w:rFonts w:eastAsia="Arial Unicode MS"/>
        </w:rPr>
        <w:lastRenderedPageBreak/>
        <w:t>4.4</w:t>
      </w:r>
      <w:r>
        <w:rPr>
          <w:rFonts w:eastAsia="Arial Unicode MS"/>
        </w:rPr>
        <w:tab/>
        <w:t>Data analysis</w:t>
      </w:r>
      <w:bookmarkEnd w:id="66"/>
      <w:bookmarkEnd w:id="67"/>
    </w:p>
    <w:p w14:paraId="71D8497E" w14:textId="54F0B760" w:rsidR="00481DAF" w:rsidRPr="00481DAF" w:rsidRDefault="007A6EB9" w:rsidP="00AC7513">
      <w:pPr>
        <w:pStyle w:val="NormalAfterList"/>
        <w:numPr>
          <w:ilvl w:val="0"/>
          <w:numId w:val="29"/>
        </w:numPr>
        <w:spacing w:after="120" w:line="360" w:lineRule="auto"/>
        <w:ind w:left="714" w:hanging="357"/>
        <w:rPr>
          <w:rFonts w:eastAsia="Arial Unicode MS"/>
          <w:szCs w:val="26"/>
        </w:rPr>
      </w:pPr>
      <w:r w:rsidRPr="00481DAF">
        <w:rPr>
          <w:rFonts w:eastAsia="Arial Unicode MS"/>
          <w:szCs w:val="26"/>
        </w:rPr>
        <w:t>The inclusion of experts by experience in the analysis of data should be considered as it brings new insights and may challenge researcher biases</w:t>
      </w:r>
      <w:r w:rsidR="008F51F5" w:rsidRPr="00481DAF">
        <w:rPr>
          <w:rFonts w:eastAsia="Arial Unicode MS"/>
          <w:szCs w:val="26"/>
        </w:rPr>
        <w:t>.</w:t>
      </w:r>
      <w:r w:rsidR="00481DAF" w:rsidRPr="00481DAF">
        <w:rPr>
          <w:rFonts w:eastAsia="Arial Unicode MS"/>
          <w:szCs w:val="26"/>
        </w:rPr>
        <w:t xml:space="preserve"> Article 29</w:t>
      </w:r>
      <w:r w:rsidR="00481DAF">
        <w:rPr>
          <w:rFonts w:eastAsia="Arial Unicode MS"/>
          <w:szCs w:val="26"/>
        </w:rPr>
        <w:t>b)</w:t>
      </w:r>
      <w:r w:rsidR="00481DAF" w:rsidRPr="00481DAF">
        <w:rPr>
          <w:rFonts w:eastAsia="Arial Unicode MS"/>
          <w:szCs w:val="26"/>
        </w:rPr>
        <w:t xml:space="preserve"> </w:t>
      </w:r>
      <w:r w:rsidR="00481DAF">
        <w:rPr>
          <w:rFonts w:eastAsia="Arial Unicode MS"/>
          <w:szCs w:val="26"/>
        </w:rPr>
        <w:t>states that</w:t>
      </w:r>
      <w:r w:rsidR="00481DAF" w:rsidRPr="00481DAF">
        <w:rPr>
          <w:rFonts w:eastAsia="Arial Unicode MS"/>
          <w:szCs w:val="26"/>
        </w:rPr>
        <w:t xml:space="preserve"> </w:t>
      </w:r>
      <w:r w:rsidR="00481DAF">
        <w:rPr>
          <w:rFonts w:eastAsia="Arial Unicode MS"/>
          <w:szCs w:val="26"/>
        </w:rPr>
        <w:t>States Parties shall “</w:t>
      </w:r>
      <w:r w:rsidR="00481DAF" w:rsidRPr="00481DAF">
        <w:rPr>
          <w:rFonts w:eastAsia="Arial Unicode MS"/>
          <w:szCs w:val="26"/>
        </w:rPr>
        <w:t xml:space="preserve">promote actively an environment in which persons with disabilities can effectively and fully participate in the conduct of public affairs, without discrimination and on an equal basis with others, and encourage their participation in public </w:t>
      </w:r>
      <w:r w:rsidR="006B7530" w:rsidRPr="00481DAF">
        <w:rPr>
          <w:rFonts w:eastAsia="Arial Unicode MS"/>
          <w:szCs w:val="26"/>
        </w:rPr>
        <w:t>affairs”.</w:t>
      </w:r>
    </w:p>
    <w:p w14:paraId="6CEC944F" w14:textId="43C8E297" w:rsidR="00301BA0" w:rsidRPr="007A6EB9" w:rsidRDefault="00301BA0"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Take an ethical approach to analysis</w:t>
      </w:r>
      <w:r w:rsidR="008F51F5">
        <w:rPr>
          <w:rFonts w:eastAsia="Arial Unicode MS"/>
          <w:szCs w:val="26"/>
        </w:rPr>
        <w:t>,</w:t>
      </w:r>
      <w:r>
        <w:rPr>
          <w:rFonts w:eastAsia="Arial Unicode MS"/>
          <w:szCs w:val="26"/>
        </w:rPr>
        <w:t xml:space="preserve"> and document all decisions made </w:t>
      </w:r>
      <w:r w:rsidR="008F51F5">
        <w:rPr>
          <w:rFonts w:eastAsia="Arial Unicode MS"/>
          <w:szCs w:val="26"/>
        </w:rPr>
        <w:t xml:space="preserve">including </w:t>
      </w:r>
      <w:r>
        <w:rPr>
          <w:rFonts w:eastAsia="Arial Unicode MS"/>
          <w:szCs w:val="26"/>
        </w:rPr>
        <w:t>the rationale</w:t>
      </w:r>
      <w:r w:rsidR="008F51F5">
        <w:rPr>
          <w:rFonts w:eastAsia="Arial Unicode MS"/>
          <w:szCs w:val="26"/>
        </w:rPr>
        <w:t xml:space="preserve"> for the decisions taken. </w:t>
      </w:r>
    </w:p>
    <w:p w14:paraId="2A78CC96" w14:textId="1FB628A6" w:rsidR="005523E1" w:rsidRPr="007A6EB9" w:rsidRDefault="005523E1" w:rsidP="00301BA0">
      <w:pPr>
        <w:pStyle w:val="Heading2"/>
        <w:spacing w:line="360" w:lineRule="auto"/>
        <w:rPr>
          <w:rFonts w:eastAsia="Arial Unicode MS"/>
        </w:rPr>
      </w:pPr>
      <w:bookmarkStart w:id="68" w:name="_Toc150873278"/>
      <w:bookmarkStart w:id="69" w:name="_Toc156380507"/>
      <w:r w:rsidRPr="007A6EB9">
        <w:rPr>
          <w:rFonts w:eastAsia="Arial Unicode MS"/>
        </w:rPr>
        <w:t>4.5</w:t>
      </w:r>
      <w:r w:rsidR="00301BA0">
        <w:rPr>
          <w:rFonts w:eastAsia="Arial Unicode MS"/>
        </w:rPr>
        <w:tab/>
      </w:r>
      <w:r w:rsidRPr="007A6EB9">
        <w:rPr>
          <w:rFonts w:eastAsia="Arial Unicode MS"/>
        </w:rPr>
        <w:t xml:space="preserve"> Data dissemination</w:t>
      </w:r>
      <w:bookmarkEnd w:id="68"/>
      <w:bookmarkEnd w:id="69"/>
    </w:p>
    <w:p w14:paraId="54D4A1EB" w14:textId="03C6295F" w:rsidR="001D13F6" w:rsidRDefault="001C0C44" w:rsidP="00AC7513">
      <w:pPr>
        <w:pStyle w:val="NormalAfterList"/>
        <w:numPr>
          <w:ilvl w:val="0"/>
          <w:numId w:val="29"/>
        </w:numPr>
        <w:spacing w:after="120" w:line="360" w:lineRule="auto"/>
        <w:ind w:left="714" w:hanging="357"/>
        <w:rPr>
          <w:rFonts w:eastAsia="Arial Unicode MS"/>
          <w:szCs w:val="26"/>
        </w:rPr>
      </w:pPr>
      <w:r w:rsidRPr="00C272D5">
        <w:rPr>
          <w:rFonts w:eastAsia="Arial Unicode MS"/>
          <w:szCs w:val="26"/>
        </w:rPr>
        <w:t>Disseminate research findings</w:t>
      </w:r>
      <w:r w:rsidR="005523E1">
        <w:rPr>
          <w:rFonts w:eastAsia="Arial Unicode MS"/>
          <w:szCs w:val="26"/>
        </w:rPr>
        <w:t xml:space="preserve"> in appropriate and accessible formats</w:t>
      </w:r>
      <w:r w:rsidRPr="00C272D5">
        <w:rPr>
          <w:rFonts w:eastAsia="Arial Unicode MS"/>
          <w:szCs w:val="26"/>
        </w:rPr>
        <w:t xml:space="preserve"> </w:t>
      </w:r>
      <w:r w:rsidR="005523E1">
        <w:rPr>
          <w:rFonts w:eastAsia="Arial Unicode MS"/>
          <w:szCs w:val="26"/>
        </w:rPr>
        <w:t>and make efforts to ensure it</w:t>
      </w:r>
      <w:r w:rsidRPr="00C272D5">
        <w:rPr>
          <w:rFonts w:eastAsia="Arial Unicode MS"/>
          <w:szCs w:val="26"/>
        </w:rPr>
        <w:t xml:space="preserve"> reaches the </w:t>
      </w:r>
      <w:r w:rsidR="005523E1">
        <w:rPr>
          <w:rFonts w:eastAsia="Arial Unicode MS"/>
          <w:szCs w:val="26"/>
        </w:rPr>
        <w:t xml:space="preserve">research </w:t>
      </w:r>
      <w:r w:rsidRPr="00C272D5">
        <w:rPr>
          <w:rFonts w:eastAsia="Arial Unicode MS"/>
          <w:szCs w:val="26"/>
        </w:rPr>
        <w:t>participants</w:t>
      </w:r>
      <w:r w:rsidR="008F51F5">
        <w:rPr>
          <w:rFonts w:eastAsia="Arial Unicode MS"/>
          <w:szCs w:val="26"/>
        </w:rPr>
        <w:t>.</w:t>
      </w:r>
    </w:p>
    <w:p w14:paraId="379420B3" w14:textId="6C14D572" w:rsidR="00301BA0" w:rsidRDefault="00FE43AC"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 xml:space="preserve">Seek to </w:t>
      </w:r>
      <w:r w:rsidR="00301BA0">
        <w:rPr>
          <w:rFonts w:eastAsia="Arial Unicode MS"/>
          <w:szCs w:val="26"/>
        </w:rPr>
        <w:t>includ</w:t>
      </w:r>
      <w:r>
        <w:rPr>
          <w:rFonts w:eastAsia="Arial Unicode MS"/>
          <w:szCs w:val="26"/>
        </w:rPr>
        <w:t>e</w:t>
      </w:r>
      <w:r w:rsidR="00301BA0">
        <w:rPr>
          <w:rFonts w:eastAsia="Arial Unicode MS"/>
          <w:szCs w:val="26"/>
        </w:rPr>
        <w:t xml:space="preserve"> co-researchers in data dissemination, for example, through participation </w:t>
      </w:r>
      <w:r w:rsidR="008F51F5">
        <w:rPr>
          <w:rFonts w:eastAsia="Arial Unicode MS"/>
          <w:szCs w:val="26"/>
        </w:rPr>
        <w:t>including presenting at</w:t>
      </w:r>
      <w:r w:rsidR="00301BA0">
        <w:rPr>
          <w:rFonts w:eastAsia="Arial Unicode MS"/>
          <w:szCs w:val="26"/>
        </w:rPr>
        <w:t xml:space="preserve"> conferences</w:t>
      </w:r>
      <w:r w:rsidR="00A81E14">
        <w:rPr>
          <w:rFonts w:eastAsia="Arial Unicode MS"/>
          <w:szCs w:val="26"/>
        </w:rPr>
        <w:t>.</w:t>
      </w:r>
    </w:p>
    <w:p w14:paraId="2CC8CF58" w14:textId="0CB15A13" w:rsidR="00301BA0" w:rsidRPr="00C272D5" w:rsidRDefault="00301BA0" w:rsidP="00AC7513">
      <w:pPr>
        <w:pStyle w:val="NormalAfterList"/>
        <w:numPr>
          <w:ilvl w:val="0"/>
          <w:numId w:val="29"/>
        </w:numPr>
        <w:spacing w:after="120" w:line="360" w:lineRule="auto"/>
        <w:ind w:left="714" w:hanging="357"/>
        <w:rPr>
          <w:rFonts w:eastAsia="Arial Unicode MS"/>
          <w:szCs w:val="26"/>
        </w:rPr>
      </w:pPr>
      <w:r>
        <w:rPr>
          <w:rFonts w:eastAsia="Arial Unicode MS"/>
          <w:szCs w:val="26"/>
        </w:rPr>
        <w:t>Consider publishing in open access journals to allow universal access to the research</w:t>
      </w:r>
      <w:r w:rsidR="008F51F5">
        <w:rPr>
          <w:rFonts w:eastAsia="Arial Unicode MS"/>
          <w:szCs w:val="26"/>
        </w:rPr>
        <w:t>.</w:t>
      </w:r>
    </w:p>
    <w:bookmarkEnd w:id="61"/>
    <w:p w14:paraId="5DC8ADA1" w14:textId="26CB5FF6" w:rsidR="000C3D4B" w:rsidRDefault="000C3D4B" w:rsidP="00301BA0">
      <w:pPr>
        <w:spacing w:after="0" w:line="360" w:lineRule="auto"/>
        <w:rPr>
          <w:rFonts w:ascii="Calibri" w:eastAsia="Calibri" w:hAnsi="Calibri"/>
          <w:sz w:val="22"/>
          <w:szCs w:val="22"/>
        </w:rPr>
      </w:pPr>
      <w:r>
        <w:rPr>
          <w:rFonts w:ascii="Calibri" w:eastAsia="Calibri" w:hAnsi="Calibri"/>
          <w:sz w:val="22"/>
          <w:szCs w:val="22"/>
        </w:rPr>
        <w:br w:type="page"/>
      </w:r>
    </w:p>
    <w:p w14:paraId="7310E098" w14:textId="6C54BFAB" w:rsidR="003E22EA" w:rsidRDefault="00206FD6" w:rsidP="00301BA0">
      <w:pPr>
        <w:pStyle w:val="Heading1"/>
        <w:spacing w:line="360" w:lineRule="auto"/>
      </w:pPr>
      <w:bookmarkStart w:id="70" w:name="_Toc140081185"/>
      <w:bookmarkStart w:id="71" w:name="_Toc150873279"/>
      <w:bookmarkStart w:id="72" w:name="_Toc156380508"/>
      <w:bookmarkEnd w:id="51"/>
      <w:bookmarkEnd w:id="52"/>
      <w:r>
        <w:lastRenderedPageBreak/>
        <w:t>R</w:t>
      </w:r>
      <w:r w:rsidR="003E22EA">
        <w:t>eferences</w:t>
      </w:r>
      <w:bookmarkEnd w:id="70"/>
      <w:bookmarkEnd w:id="71"/>
      <w:bookmarkEnd w:id="72"/>
    </w:p>
    <w:p w14:paraId="121148F8" w14:textId="48CD065C" w:rsidR="0077608C" w:rsidRDefault="00C94A30" w:rsidP="00301BA0">
      <w:pPr>
        <w:spacing w:line="360" w:lineRule="auto"/>
      </w:pPr>
      <w:r w:rsidRPr="00C94A30">
        <w:t>ALLEA (2023) The European Code of Conduct for Research Integrity – Revised Edition 2023. Berlin. DOI 10.26356/ECOC</w:t>
      </w:r>
      <w:r w:rsidR="00A81E14">
        <w:t xml:space="preserve">. Available </w:t>
      </w:r>
      <w:r w:rsidR="00990789">
        <w:t>from</w:t>
      </w:r>
      <w:r w:rsidR="00A81E14">
        <w:t>:</w:t>
      </w:r>
      <w:r w:rsidRPr="00C94A30">
        <w:rPr>
          <w:b/>
          <w:bCs/>
        </w:rPr>
        <w:t xml:space="preserve"> </w:t>
      </w:r>
      <w:hyperlink r:id="rId9" w:history="1">
        <w:r w:rsidR="0077608C" w:rsidRPr="00D55DF1">
          <w:rPr>
            <w:rStyle w:val="Hyperlink"/>
          </w:rPr>
          <w:t>https://allea.org/wp-content/uploads/2023/06/European-Code-of-Conduct-Revised-Edition-2023.pdf</w:t>
        </w:r>
      </w:hyperlink>
      <w:r w:rsidR="0077608C">
        <w:t xml:space="preserve"> </w:t>
      </w:r>
    </w:p>
    <w:p w14:paraId="04BA7157" w14:textId="180B6C0F" w:rsidR="00D04D01" w:rsidRDefault="00D04D01" w:rsidP="00301BA0">
      <w:pPr>
        <w:spacing w:line="360" w:lineRule="auto"/>
      </w:pPr>
      <w:r w:rsidRPr="00067870">
        <w:t>Assisted Decision-Making (Capacity) Act 2015</w:t>
      </w:r>
      <w:r>
        <w:t xml:space="preserve"> </w:t>
      </w:r>
      <w:hyperlink r:id="rId10" w:history="1">
        <w:r w:rsidRPr="00E67C86">
          <w:rPr>
            <w:rStyle w:val="Hyperlink"/>
          </w:rPr>
          <w:t>https://www.irishstatutebook.ie/eli/2015/act/64/enacted/en/html</w:t>
        </w:r>
      </w:hyperlink>
    </w:p>
    <w:p w14:paraId="674A52C4" w14:textId="7395C825" w:rsidR="00D04D01" w:rsidRDefault="00D04D01" w:rsidP="00301BA0">
      <w:pPr>
        <w:spacing w:line="360" w:lineRule="auto"/>
      </w:pPr>
      <w:r w:rsidRPr="00067870">
        <w:t>Assisted Decision-Making (Capacity) (Amendment) Act 2022</w:t>
      </w:r>
      <w:r>
        <w:t xml:space="preserve"> </w:t>
      </w:r>
      <w:hyperlink r:id="rId11" w:history="1">
        <w:r w:rsidRPr="00E67C86">
          <w:rPr>
            <w:rStyle w:val="Hyperlink"/>
          </w:rPr>
          <w:t>https://www.irishstatutebook.ie/eli/2022/act/46/enacted/en/html</w:t>
        </w:r>
      </w:hyperlink>
    </w:p>
    <w:p w14:paraId="3ECF7E88" w14:textId="76B7C8D5" w:rsidR="00AE377F" w:rsidRPr="00AE377F" w:rsidRDefault="00AE377F" w:rsidP="00301BA0">
      <w:pPr>
        <w:spacing w:line="360" w:lineRule="auto"/>
        <w:rPr>
          <w:lang w:val="en-GB"/>
        </w:rPr>
      </w:pPr>
      <w:r w:rsidRPr="00AE377F">
        <w:rPr>
          <w:lang w:val="en-GB"/>
        </w:rPr>
        <w:t>Atkinson, J. (2007), ‘Protecting or empowering the vulnerable: Mental Illness, communication</w:t>
      </w:r>
      <w:r w:rsidR="00C272D5">
        <w:rPr>
          <w:lang w:val="en-GB"/>
        </w:rPr>
        <w:t>,</w:t>
      </w:r>
      <w:r w:rsidRPr="00AE377F">
        <w:rPr>
          <w:lang w:val="en-GB"/>
        </w:rPr>
        <w:t xml:space="preserve"> and the research process’, </w:t>
      </w:r>
      <w:r w:rsidRPr="00D32663">
        <w:rPr>
          <w:iCs/>
          <w:lang w:val="en-GB"/>
        </w:rPr>
        <w:t>Research Ethics Review,</w:t>
      </w:r>
      <w:r w:rsidRPr="00AE377F">
        <w:rPr>
          <w:lang w:val="en-GB"/>
        </w:rPr>
        <w:t xml:space="preserve"> 3(4), pp. 134–8</w:t>
      </w:r>
      <w:r w:rsidR="00316CDF">
        <w:rPr>
          <w:lang w:val="en-GB"/>
        </w:rPr>
        <w:t>. Available from:</w:t>
      </w:r>
      <w:r w:rsidR="00316CDF" w:rsidRPr="00316CDF">
        <w:t xml:space="preserve"> </w:t>
      </w:r>
      <w:r w:rsidR="00316CDF" w:rsidRPr="00316CDF">
        <w:rPr>
          <w:lang w:val="en-GB"/>
        </w:rPr>
        <w:t>https://doi.org/10.1177/174701610700300410</w:t>
      </w:r>
    </w:p>
    <w:p w14:paraId="6111020D" w14:textId="7544CF85" w:rsidR="00C4534D" w:rsidRPr="00C4534D" w:rsidRDefault="00C4534D" w:rsidP="00301BA0">
      <w:pPr>
        <w:spacing w:line="360" w:lineRule="auto"/>
        <w:rPr>
          <w:lang w:val="en-GB"/>
        </w:rPr>
      </w:pPr>
      <w:r w:rsidRPr="00C4534D">
        <w:rPr>
          <w:lang w:val="en-GB"/>
        </w:rPr>
        <w:t xml:space="preserve">Australian Government (National Health and Medical Research Council) (2006), </w:t>
      </w:r>
      <w:r w:rsidRPr="00D32663">
        <w:rPr>
          <w:iCs/>
          <w:lang w:val="en-GB"/>
        </w:rPr>
        <w:t>Challenging Ethical Issues in Contemporary Research on Human Beings,</w:t>
      </w:r>
      <w:r w:rsidRPr="00C4534D">
        <w:rPr>
          <w:lang w:val="en-GB"/>
        </w:rPr>
        <w:t xml:space="preserve"> Canberra, Australia: Australian Government</w:t>
      </w:r>
      <w:r w:rsidR="00296433">
        <w:rPr>
          <w:lang w:val="en-GB"/>
        </w:rPr>
        <w:t>.</w:t>
      </w:r>
      <w:r w:rsidR="00316CDF">
        <w:rPr>
          <w:lang w:val="en-GB"/>
        </w:rPr>
        <w:t xml:space="preserve"> Available from:</w:t>
      </w:r>
      <w:r w:rsidR="00316CDF" w:rsidRPr="00316CDF">
        <w:t xml:space="preserve"> </w:t>
      </w:r>
      <w:r w:rsidR="00316CDF" w:rsidRPr="00316CDF">
        <w:rPr>
          <w:lang w:val="en-GB"/>
        </w:rPr>
        <w:t>https://www.nhmrc.gov.au/sites/default/files/documents/attachments/Challenging-ethical-issues-contemporary-research-human-beings.pdf</w:t>
      </w:r>
      <w:r w:rsidR="00316CDF">
        <w:rPr>
          <w:lang w:val="en-GB"/>
        </w:rPr>
        <w:t xml:space="preserve"> </w:t>
      </w:r>
    </w:p>
    <w:p w14:paraId="6C0589DD" w14:textId="64AA7CAC" w:rsidR="000E0CD2" w:rsidRPr="002244CB" w:rsidRDefault="000E0CD2" w:rsidP="00301BA0">
      <w:pPr>
        <w:spacing w:line="360" w:lineRule="auto"/>
      </w:pPr>
      <w:r w:rsidRPr="002244CB">
        <w:t xml:space="preserve">Barnes, C. </w:t>
      </w:r>
      <w:r w:rsidR="00AB518F">
        <w:t>(</w:t>
      </w:r>
      <w:proofErr w:type="gramStart"/>
      <w:r w:rsidR="00AB518F">
        <w:t>2008)</w:t>
      </w:r>
      <w:r w:rsidR="00F96E1A">
        <w:t>‘</w:t>
      </w:r>
      <w:proofErr w:type="gramEnd"/>
      <w:r w:rsidRPr="002244CB">
        <w:t>An Ethical Agenda in Disability Research: rhetoric or reality?</w:t>
      </w:r>
      <w:r w:rsidR="00F96E1A">
        <w:t>’</w:t>
      </w:r>
      <w:r w:rsidRPr="002244CB">
        <w:t xml:space="preserve"> Mertens, D. M. and Ginsberg P. E. (eds.): The Handbook of Social Research Ethics, London: Sage, pp. 458 – 473.</w:t>
      </w:r>
    </w:p>
    <w:p w14:paraId="3A178B67" w14:textId="7D6EFD61" w:rsidR="000E0CD2" w:rsidRDefault="000E0CD2" w:rsidP="00301BA0">
      <w:pPr>
        <w:spacing w:line="360" w:lineRule="auto"/>
      </w:pPr>
      <w:r w:rsidRPr="00B27C0E">
        <w:t>Beauchamp T, Childress J (2012) Principles of Biomedical Ethics. 7th ed. Oxford University Press, New York</w:t>
      </w:r>
      <w:r w:rsidR="00316CDF" w:rsidRPr="00B27C0E">
        <w:t>.</w:t>
      </w:r>
    </w:p>
    <w:p w14:paraId="66C13ADC" w14:textId="7B7DB922" w:rsidR="00AC76E1" w:rsidRDefault="00AC76E1" w:rsidP="00301BA0">
      <w:pPr>
        <w:spacing w:line="360" w:lineRule="auto"/>
      </w:pPr>
      <w:r>
        <w:t>British Psychological Society (</w:t>
      </w:r>
      <w:r w:rsidRPr="00AC76E1">
        <w:t xml:space="preserve">Catherine Dobson </w:t>
      </w:r>
      <w:r>
        <w:t xml:space="preserve">for </w:t>
      </w:r>
      <w:r w:rsidRPr="00AC76E1">
        <w:t>the Mental Capacity Act Working Party</w:t>
      </w:r>
      <w:r>
        <w:t xml:space="preserve">) (2008) </w:t>
      </w:r>
      <w:r w:rsidRPr="00AC76E1">
        <w:t>Conducting research with people not having the capacity to consent to their participation A practical guide for researchers</w:t>
      </w:r>
      <w:r w:rsidR="00C34D07">
        <w:t>.</w:t>
      </w:r>
      <w:r w:rsidR="00C34D07" w:rsidRPr="00C34D07">
        <w:t xml:space="preserve"> </w:t>
      </w:r>
      <w:r w:rsidR="00296433">
        <w:t xml:space="preserve">Available from: </w:t>
      </w:r>
      <w:hyperlink r:id="rId12" w:history="1">
        <w:r w:rsidR="00296433" w:rsidRPr="001C08A5">
          <w:rPr>
            <w:rStyle w:val="Hyperlink"/>
          </w:rPr>
          <w:t>https://www.ed.ac.uk/files/atoms/files/bps_guidelines_for_conducting_research_with_people_not_having_capacity_to_consent.pdf</w:t>
        </w:r>
      </w:hyperlink>
      <w:r w:rsidR="00296433">
        <w:t xml:space="preserve"> </w:t>
      </w:r>
      <w:r w:rsidR="00C34D07" w:rsidRPr="00C34D07">
        <w:t xml:space="preserve"> </w:t>
      </w:r>
    </w:p>
    <w:p w14:paraId="344BB573" w14:textId="601319ED" w:rsidR="000E0CD2" w:rsidRDefault="000E0CD2" w:rsidP="00301BA0">
      <w:pPr>
        <w:spacing w:line="360" w:lineRule="auto"/>
      </w:pPr>
      <w:r w:rsidRPr="00E56C18">
        <w:t>Burns N, Grove SK (2013) The Practice of Nursing Research: Appraisal, Synthesis and Generation of Evidence. 7th ed. Elsevier Saunders, St Louis, Missouri</w:t>
      </w:r>
      <w:r w:rsidR="00296433">
        <w:t>.</w:t>
      </w:r>
    </w:p>
    <w:p w14:paraId="577CDE1C" w14:textId="09F2285F" w:rsidR="000E0CD2" w:rsidRDefault="000E0CD2" w:rsidP="00301BA0">
      <w:pPr>
        <w:spacing w:line="360" w:lineRule="auto"/>
      </w:pPr>
      <w:r w:rsidRPr="00B27C0E">
        <w:t>Butts JB, Rich KL (2013) Nursing Ethics: Across the Curriculum and Into Practice. 3rd ed. Jones and Bartlett Learning, Burlington, MA</w:t>
      </w:r>
      <w:r w:rsidR="00296433" w:rsidRPr="00B27C0E">
        <w:t>.</w:t>
      </w:r>
    </w:p>
    <w:p w14:paraId="6208C4D3" w14:textId="781B0E4E" w:rsidR="0023550F" w:rsidRDefault="0023550F" w:rsidP="00301BA0">
      <w:pPr>
        <w:spacing w:line="360" w:lineRule="auto"/>
        <w:rPr>
          <w:lang w:val="en-GB"/>
        </w:rPr>
      </w:pPr>
      <w:r>
        <w:rPr>
          <w:lang w:val="en-GB"/>
        </w:rPr>
        <w:t xml:space="preserve">Coggon, D (2007) ‘Research Ethics Committees: a personal perspective’, </w:t>
      </w:r>
      <w:r w:rsidRPr="00D32663">
        <w:rPr>
          <w:lang w:val="en-GB"/>
        </w:rPr>
        <w:t>Research Ethics Review</w:t>
      </w:r>
      <w:r w:rsidRPr="003D6533">
        <w:rPr>
          <w:lang w:val="en-GB"/>
        </w:rPr>
        <w:t>,</w:t>
      </w:r>
      <w:r>
        <w:rPr>
          <w:lang w:val="en-GB"/>
        </w:rPr>
        <w:t xml:space="preserve"> 3(4), </w:t>
      </w:r>
      <w:r w:rsidR="00296433">
        <w:rPr>
          <w:lang w:val="en-GB"/>
        </w:rPr>
        <w:t>pp.</w:t>
      </w:r>
      <w:r>
        <w:rPr>
          <w:lang w:val="en-GB"/>
        </w:rPr>
        <w:t>118-121</w:t>
      </w:r>
      <w:r w:rsidR="00296433">
        <w:rPr>
          <w:lang w:val="en-GB"/>
        </w:rPr>
        <w:t>.</w:t>
      </w:r>
      <w:r w:rsidR="003D6533">
        <w:rPr>
          <w:lang w:val="en-GB"/>
        </w:rPr>
        <w:t xml:space="preserve"> Available from:</w:t>
      </w:r>
      <w:r w:rsidR="003D6533" w:rsidRPr="003D6533">
        <w:t xml:space="preserve"> </w:t>
      </w:r>
      <w:r w:rsidR="003D6533" w:rsidRPr="003D6533">
        <w:rPr>
          <w:lang w:val="en-GB"/>
        </w:rPr>
        <w:t>https://journals.sagepub.com/doi/pdf/10.1177/174701610700300404</w:t>
      </w:r>
    </w:p>
    <w:p w14:paraId="4F61BDA4" w14:textId="675E6095" w:rsidR="00BE76DD" w:rsidRPr="00BE76DD" w:rsidRDefault="00D54D30" w:rsidP="00301BA0">
      <w:pPr>
        <w:spacing w:line="360" w:lineRule="auto"/>
      </w:pPr>
      <w:r w:rsidRPr="00D54D30">
        <w:rPr>
          <w:lang w:val="en-GB"/>
        </w:rPr>
        <w:t>Commission on the Status of People with Disabilities (1996), A Strategy for Equality: Report of the Commission on the Status of People with Disabilities, Stationery Office: Dublin</w:t>
      </w:r>
      <w:r w:rsidR="00296433">
        <w:rPr>
          <w:lang w:val="en-GB"/>
        </w:rPr>
        <w:t>.</w:t>
      </w:r>
    </w:p>
    <w:p w14:paraId="36FA5DC1" w14:textId="711C1282" w:rsidR="005840F3" w:rsidRPr="005840F3" w:rsidRDefault="005840F3" w:rsidP="00301BA0">
      <w:pPr>
        <w:spacing w:line="360" w:lineRule="auto"/>
        <w:rPr>
          <w:bCs/>
          <w:lang w:val="en-GB"/>
        </w:rPr>
      </w:pPr>
      <w:r w:rsidRPr="005840F3">
        <w:rPr>
          <w:lang w:val="en-GB"/>
        </w:rPr>
        <w:t xml:space="preserve">Connolly, P. (2003), </w:t>
      </w:r>
      <w:r w:rsidRPr="00D32663">
        <w:rPr>
          <w:iCs/>
          <w:lang w:val="en-GB"/>
        </w:rPr>
        <w:t>Ethical Principles for Researching Vulnerable Groups</w:t>
      </w:r>
      <w:r w:rsidRPr="005840F3">
        <w:rPr>
          <w:i/>
          <w:lang w:val="en-GB"/>
        </w:rPr>
        <w:t xml:space="preserve">, </w:t>
      </w:r>
      <w:smartTag w:uri="urn:schemas-microsoft-com:office:smarttags" w:element="place">
        <w:smartTag w:uri="urn:schemas-microsoft-com:office:smarttags" w:element="City">
          <w:r w:rsidRPr="005840F3">
            <w:rPr>
              <w:lang w:val="en-GB"/>
            </w:rPr>
            <w:t>Belfast</w:t>
          </w:r>
        </w:smartTag>
      </w:smartTag>
      <w:r w:rsidRPr="005840F3">
        <w:rPr>
          <w:lang w:val="en-GB"/>
        </w:rPr>
        <w:t xml:space="preserve">: Central Print Unit, Office of the First </w:t>
      </w:r>
      <w:proofErr w:type="gramStart"/>
      <w:r w:rsidRPr="005840F3">
        <w:rPr>
          <w:lang w:val="en-GB"/>
        </w:rPr>
        <w:t>Minister</w:t>
      </w:r>
      <w:proofErr w:type="gramEnd"/>
      <w:r w:rsidRPr="005840F3">
        <w:rPr>
          <w:lang w:val="en-GB"/>
        </w:rPr>
        <w:t xml:space="preserve"> and Deputy Minister. Available </w:t>
      </w:r>
      <w:r w:rsidR="00296433">
        <w:rPr>
          <w:lang w:val="en-GB"/>
        </w:rPr>
        <w:t xml:space="preserve">from: </w:t>
      </w:r>
      <w:hyperlink r:id="rId13" w:history="1">
        <w:r w:rsidR="005135FD" w:rsidRPr="0001425B">
          <w:rPr>
            <w:rStyle w:val="Hyperlink"/>
            <w:bCs/>
            <w:lang w:val="en-GB"/>
          </w:rPr>
          <w:t>https://cain.ulster.ac.uk/issues/victims/docs/connolly03.pdf</w:t>
        </w:r>
      </w:hyperlink>
      <w:r w:rsidR="005135FD">
        <w:rPr>
          <w:bCs/>
          <w:lang w:val="en-GB"/>
        </w:rPr>
        <w:t xml:space="preserve"> </w:t>
      </w:r>
    </w:p>
    <w:p w14:paraId="21C9BF49" w14:textId="44B910D6" w:rsidR="00D54D30" w:rsidRPr="00D54D30" w:rsidRDefault="00D54D30" w:rsidP="00301BA0">
      <w:pPr>
        <w:spacing w:line="360" w:lineRule="auto"/>
        <w:rPr>
          <w:lang w:val="en-GB"/>
        </w:rPr>
      </w:pPr>
      <w:r w:rsidRPr="00D54D30">
        <w:rPr>
          <w:lang w:val="en-GB"/>
        </w:rPr>
        <w:t xml:space="preserve">Commonwealth of Australia (1999) </w:t>
      </w:r>
      <w:r w:rsidRPr="00D54D30">
        <w:rPr>
          <w:lang w:val="en"/>
        </w:rPr>
        <w:t xml:space="preserve">National Statement on Ethical Conduct in Research Involving Humans, Commonwealth </w:t>
      </w:r>
      <w:r w:rsidRPr="00D54D30">
        <w:rPr>
          <w:bCs/>
          <w:lang w:val="en-GB"/>
        </w:rPr>
        <w:t>National</w:t>
      </w:r>
      <w:r w:rsidRPr="00D54D30">
        <w:rPr>
          <w:lang w:val="en-GB"/>
        </w:rPr>
        <w:t xml:space="preserve"> Health and Medical Research Council, </w:t>
      </w:r>
      <w:r w:rsidRPr="00D54D30">
        <w:rPr>
          <w:lang w:val="en"/>
        </w:rPr>
        <w:t xml:space="preserve">Australian Government. Available </w:t>
      </w:r>
      <w:r w:rsidR="00296433">
        <w:rPr>
          <w:lang w:val="en"/>
        </w:rPr>
        <w:t xml:space="preserve">from: </w:t>
      </w:r>
      <w:hyperlink r:id="rId14" w:history="1">
        <w:r w:rsidRPr="00D54D30">
          <w:rPr>
            <w:rStyle w:val="Hyperlink"/>
            <w:lang w:val="en-GB"/>
          </w:rPr>
          <w:t>nhmrc.publications@nhmrc.gov.au</w:t>
        </w:r>
      </w:hyperlink>
      <w:r w:rsidRPr="00D54D30">
        <w:rPr>
          <w:lang w:val="en-GB"/>
        </w:rPr>
        <w:t xml:space="preserve"> </w:t>
      </w:r>
    </w:p>
    <w:p w14:paraId="3DEB8570" w14:textId="2B7F9449" w:rsidR="005840F3" w:rsidRPr="005840F3" w:rsidRDefault="005840F3" w:rsidP="00301BA0">
      <w:pPr>
        <w:spacing w:line="360" w:lineRule="auto"/>
        <w:rPr>
          <w:bCs/>
          <w:lang w:val="en-GB"/>
        </w:rPr>
      </w:pPr>
      <w:r w:rsidRPr="005840F3">
        <w:rPr>
          <w:lang w:val="en-GB"/>
        </w:rPr>
        <w:t xml:space="preserve">Cope Foundation (2005), </w:t>
      </w:r>
      <w:r w:rsidRPr="00D32663">
        <w:rPr>
          <w:iCs/>
          <w:lang w:val="en-GB"/>
        </w:rPr>
        <w:t>A Policy Document for Conducting Research in Cope Foundation</w:t>
      </w:r>
      <w:r w:rsidRPr="003D6533">
        <w:rPr>
          <w:iCs/>
          <w:lang w:val="en-GB"/>
        </w:rPr>
        <w:t>.</w:t>
      </w:r>
      <w:r w:rsidRPr="005840F3">
        <w:rPr>
          <w:lang w:val="en-GB"/>
        </w:rPr>
        <w:t xml:space="preserve"> </w:t>
      </w:r>
    </w:p>
    <w:p w14:paraId="349E0F5C" w14:textId="0CA2F63D" w:rsidR="005840F3" w:rsidRPr="005840F3" w:rsidRDefault="005840F3" w:rsidP="00301BA0">
      <w:pPr>
        <w:spacing w:line="360" w:lineRule="auto"/>
        <w:rPr>
          <w:lang w:val="en-GB"/>
        </w:rPr>
      </w:pPr>
      <w:proofErr w:type="spellStart"/>
      <w:r w:rsidRPr="005840F3">
        <w:rPr>
          <w:lang w:val="en-GB"/>
        </w:rPr>
        <w:t>Culliton</w:t>
      </w:r>
      <w:proofErr w:type="spellEnd"/>
      <w:r w:rsidRPr="005840F3">
        <w:rPr>
          <w:lang w:val="en-GB"/>
        </w:rPr>
        <w:t xml:space="preserve">, B. J. (1983), ‘Coping with fraud: the </w:t>
      </w:r>
      <w:proofErr w:type="spellStart"/>
      <w:r w:rsidRPr="005840F3">
        <w:rPr>
          <w:lang w:val="en-GB"/>
        </w:rPr>
        <w:t>Darse</w:t>
      </w:r>
      <w:proofErr w:type="spellEnd"/>
      <w:r w:rsidRPr="005840F3">
        <w:rPr>
          <w:lang w:val="en-GB"/>
        </w:rPr>
        <w:t xml:space="preserve"> Case’, </w:t>
      </w:r>
      <w:r w:rsidRPr="00D32663">
        <w:rPr>
          <w:iCs/>
          <w:lang w:val="en-GB"/>
        </w:rPr>
        <w:t>Science</w:t>
      </w:r>
      <w:r w:rsidRPr="005840F3">
        <w:rPr>
          <w:lang w:val="en-GB"/>
        </w:rPr>
        <w:t>, 220, pp. 31–5</w:t>
      </w:r>
      <w:r w:rsidR="00D727DC">
        <w:rPr>
          <w:lang w:val="en-GB"/>
        </w:rPr>
        <w:t>.</w:t>
      </w:r>
      <w:r w:rsidR="003D6533">
        <w:rPr>
          <w:lang w:val="en-GB"/>
        </w:rPr>
        <w:t xml:space="preserve"> Available from: </w:t>
      </w:r>
      <w:r w:rsidR="003D6533" w:rsidRPr="003D6533">
        <w:rPr>
          <w:lang w:val="en-GB"/>
        </w:rPr>
        <w:t>https://doi.org/10.1126/science.6828878</w:t>
      </w:r>
      <w:r w:rsidR="003D6533">
        <w:rPr>
          <w:lang w:val="en-GB"/>
        </w:rPr>
        <w:t xml:space="preserve"> </w:t>
      </w:r>
      <w:r w:rsidR="006A426D">
        <w:rPr>
          <w:lang w:val="en-GB"/>
        </w:rPr>
        <w:t>2004</w:t>
      </w:r>
    </w:p>
    <w:p w14:paraId="6C61B023" w14:textId="70B44361" w:rsidR="000E0CD2" w:rsidRDefault="000E0CD2" w:rsidP="00301BA0">
      <w:pPr>
        <w:spacing w:line="360" w:lineRule="auto"/>
        <w:rPr>
          <w:lang w:val="en-GB"/>
        </w:rPr>
      </w:pPr>
      <w:r w:rsidRPr="001B7DDC">
        <w:rPr>
          <w:lang w:val="en-GB"/>
        </w:rPr>
        <w:lastRenderedPageBreak/>
        <w:t xml:space="preserve">Cutcliffe, J. R., Ramcharan, P. (2002), ‘Levelling the Playing Field? Exploring the Merits of the Ethics-as-Process Approach for Judging Qualitative Research Proposals’, </w:t>
      </w:r>
      <w:r w:rsidRPr="00D32663">
        <w:rPr>
          <w:iCs/>
          <w:lang w:val="en-GB"/>
        </w:rPr>
        <w:t>Qualitative Health Research</w:t>
      </w:r>
      <w:r w:rsidRPr="003D6533">
        <w:rPr>
          <w:iCs/>
          <w:lang w:val="en-GB"/>
        </w:rPr>
        <w:t>,</w:t>
      </w:r>
      <w:r w:rsidRPr="001B7DDC">
        <w:rPr>
          <w:lang w:val="en-GB"/>
        </w:rPr>
        <w:t xml:space="preserve"> 12(7), pp. 1000–10</w:t>
      </w:r>
      <w:r w:rsidR="00D727DC">
        <w:rPr>
          <w:lang w:val="en-GB"/>
        </w:rPr>
        <w:t>.</w:t>
      </w:r>
      <w:r w:rsidRPr="001B7DDC">
        <w:rPr>
          <w:lang w:val="en-GB"/>
        </w:rPr>
        <w:t xml:space="preserve"> </w:t>
      </w:r>
      <w:r w:rsidR="003D6533">
        <w:rPr>
          <w:lang w:val="en-GB"/>
        </w:rPr>
        <w:t xml:space="preserve">Available from: </w:t>
      </w:r>
      <w:hyperlink r:id="rId15" w:history="1">
        <w:r w:rsidR="000E6DAC" w:rsidRPr="00337788">
          <w:rPr>
            <w:rStyle w:val="Hyperlink"/>
            <w:lang w:val="en-GB"/>
          </w:rPr>
          <w:t>https://doi.org/10.1177/104973202129120313</w:t>
        </w:r>
      </w:hyperlink>
    </w:p>
    <w:p w14:paraId="33D25BCF" w14:textId="796A41B5" w:rsidR="000E6DAC" w:rsidRPr="001B7DDC" w:rsidRDefault="000E6DAC" w:rsidP="00301BA0">
      <w:pPr>
        <w:spacing w:line="360" w:lineRule="auto"/>
        <w:rPr>
          <w:lang w:val="en-GB"/>
        </w:rPr>
      </w:pPr>
      <w:r w:rsidRPr="000E6DAC">
        <w:rPr>
          <w:lang w:val="en-GB"/>
        </w:rPr>
        <w:t>Dalton, R. Heat rises over UCSD 'misconduct' charge. Nature 385, 566 (1997). https://doi.org/10.1038/385566a0</w:t>
      </w:r>
    </w:p>
    <w:p w14:paraId="68AB72A9" w14:textId="7ADD7D09" w:rsidR="00D04D01" w:rsidRPr="00D04D01" w:rsidRDefault="00D04D01" w:rsidP="00301BA0">
      <w:pPr>
        <w:spacing w:line="360" w:lineRule="auto"/>
      </w:pPr>
      <w:r w:rsidRPr="00D04D01">
        <w:t xml:space="preserve">Data Protection Act 2018 </w:t>
      </w:r>
      <w:hyperlink r:id="rId16" w:history="1">
        <w:r w:rsidR="00D727DC" w:rsidRPr="001C08A5">
          <w:rPr>
            <w:rStyle w:val="Hyperlink"/>
          </w:rPr>
          <w:t>https://www.irishstatutebook.ie/eli/2018/act/7/enacted/en/html</w:t>
        </w:r>
      </w:hyperlink>
      <w:r w:rsidR="00D727DC">
        <w:t xml:space="preserve"> </w:t>
      </w:r>
    </w:p>
    <w:p w14:paraId="5E0541CD" w14:textId="089E2112" w:rsidR="00D04D01" w:rsidRDefault="00C51775" w:rsidP="00301BA0">
      <w:pPr>
        <w:spacing w:line="360" w:lineRule="auto"/>
      </w:pPr>
      <w:r w:rsidRPr="00D04D01">
        <w:t xml:space="preserve">Data Protection Act 2018 (Section 36(2)) (Health Research) Regulations </w:t>
      </w:r>
      <w:r w:rsidR="00D04D01" w:rsidRPr="00D04D01">
        <w:t xml:space="preserve">2018 </w:t>
      </w:r>
      <w:hyperlink r:id="rId17" w:history="1">
        <w:r w:rsidR="00D727DC" w:rsidRPr="001C08A5">
          <w:rPr>
            <w:rStyle w:val="Hyperlink"/>
          </w:rPr>
          <w:t>https://www.irishstatutebook.ie/eli/2018/si/314/made/en/pdf</w:t>
        </w:r>
      </w:hyperlink>
      <w:r w:rsidR="00D727DC">
        <w:t xml:space="preserve"> </w:t>
      </w:r>
    </w:p>
    <w:p w14:paraId="7AAF11FE" w14:textId="23A817AB" w:rsidR="000E0CD2" w:rsidRDefault="000E0CD2" w:rsidP="00301BA0">
      <w:pPr>
        <w:spacing w:line="360" w:lineRule="auto"/>
      </w:pPr>
      <w:r w:rsidRPr="00B27C0E">
        <w:t>Davies B, Gannon S (2006) The practices of collective biography. In: Davies B, Gannon S, eds, Doing Collective Biography: Investigating the Production of Subjectivity (Conducting Educational Research). Open University Press, Maidenhead</w:t>
      </w:r>
      <w:r w:rsidR="00D727DC" w:rsidRPr="00B27C0E">
        <w:t>.</w:t>
      </w:r>
    </w:p>
    <w:p w14:paraId="2952310A" w14:textId="76F7D2D1" w:rsidR="000E0CD2" w:rsidRPr="00AE53C1" w:rsidRDefault="000E0CD2" w:rsidP="00301BA0">
      <w:pPr>
        <w:spacing w:line="360" w:lineRule="auto"/>
        <w:rPr>
          <w:lang w:val="en-GB"/>
        </w:rPr>
      </w:pPr>
      <w:r w:rsidRPr="00AE53C1">
        <w:rPr>
          <w:lang w:val="en-GB"/>
        </w:rPr>
        <w:t xml:space="preserve">Dench, S., </w:t>
      </w:r>
      <w:proofErr w:type="spellStart"/>
      <w:r w:rsidRPr="00AE53C1">
        <w:rPr>
          <w:lang w:val="en-GB"/>
        </w:rPr>
        <w:t>Iphofen</w:t>
      </w:r>
      <w:proofErr w:type="spellEnd"/>
      <w:r w:rsidRPr="00AE53C1">
        <w:rPr>
          <w:lang w:val="en-GB"/>
        </w:rPr>
        <w:t xml:space="preserve">, R. (2003), ‘Developing Ethical Guidelines for Socio-Economic Research in an EU Context’, in National Disability Authority (ed.), </w:t>
      </w:r>
      <w:r w:rsidRPr="00D32663">
        <w:rPr>
          <w:iCs/>
          <w:lang w:val="en-GB"/>
        </w:rPr>
        <w:t>Towards Ethical Guidelines for Disability Research</w:t>
      </w:r>
      <w:r w:rsidRPr="00AE53C1">
        <w:rPr>
          <w:lang w:val="en-GB"/>
        </w:rPr>
        <w:t>, Second Annual National Disability Authority Research Conference, Dublin: NDA</w:t>
      </w:r>
      <w:r w:rsidR="00D727DC">
        <w:rPr>
          <w:lang w:val="en-GB"/>
        </w:rPr>
        <w:t>.</w:t>
      </w:r>
      <w:r w:rsidRPr="00AE53C1">
        <w:rPr>
          <w:lang w:val="en-GB"/>
        </w:rPr>
        <w:t xml:space="preserve"> </w:t>
      </w:r>
    </w:p>
    <w:p w14:paraId="51301889" w14:textId="036644C8" w:rsidR="000E0CD2" w:rsidRDefault="000E0CD2" w:rsidP="00301BA0">
      <w:pPr>
        <w:spacing w:line="360" w:lineRule="auto"/>
      </w:pPr>
      <w:r>
        <w:t>Dempsey PA, Dempsey AD (2000) Using Nursing Research: Process, Critical Evaluation and Utilization. 5th ed. Lippincott, Philadelphia</w:t>
      </w:r>
      <w:r w:rsidR="00D727DC">
        <w:t>.</w:t>
      </w:r>
    </w:p>
    <w:p w14:paraId="63DFCC93" w14:textId="1E796A6B" w:rsidR="00D627F7" w:rsidRDefault="00D627F7" w:rsidP="00301BA0">
      <w:pPr>
        <w:spacing w:line="360" w:lineRule="auto"/>
      </w:pPr>
      <w:r>
        <w:t xml:space="preserve">Department of Health (2005) </w:t>
      </w:r>
      <w:r w:rsidRPr="00D627F7">
        <w:t>Research Governance Framework for Health and Social Care</w:t>
      </w:r>
      <w:r w:rsidR="00D727DC">
        <w:t>. Available from:</w:t>
      </w:r>
      <w:r>
        <w:t xml:space="preserve"> </w:t>
      </w:r>
      <w:hyperlink r:id="rId18" w:history="1">
        <w:r w:rsidRPr="00C13CCB">
          <w:rPr>
            <w:rStyle w:val="Hyperlink"/>
          </w:rPr>
          <w:t>https://assets.publishing.service.gov.uk/government/uploads/system/uploads/attachment_data/file/139565/dh_4122427.pdf</w:t>
        </w:r>
      </w:hyperlink>
      <w:r>
        <w:t xml:space="preserve"> </w:t>
      </w:r>
    </w:p>
    <w:p w14:paraId="0F5377DE" w14:textId="32F43F66" w:rsidR="00383F03" w:rsidRPr="00C272D5" w:rsidRDefault="00383F03" w:rsidP="00301BA0">
      <w:pPr>
        <w:pStyle w:val="NormalAfterList"/>
        <w:spacing w:line="360" w:lineRule="auto"/>
        <w:rPr>
          <w:rFonts w:eastAsia="Arial Unicode MS"/>
          <w:szCs w:val="26"/>
        </w:rPr>
      </w:pPr>
      <w:r>
        <w:lastRenderedPageBreak/>
        <w:t>Department of Public Expenditure and Reform and National Disability Authority, (2023) Customer Communications Toolkit for the Public Service — A Universal Design Approach</w:t>
      </w:r>
      <w:r w:rsidR="00D727DC">
        <w:t>. Available from:</w:t>
      </w:r>
      <w:r>
        <w:t xml:space="preserve"> </w:t>
      </w:r>
      <w:hyperlink r:id="rId19" w:history="1">
        <w:r>
          <w:rPr>
            <w:rStyle w:val="Hyperlink"/>
          </w:rPr>
          <w:t>137563_649af228-7c82-4b53-9184-8e9cb84b6071.pdf</w:t>
        </w:r>
      </w:hyperlink>
      <w:r>
        <w:t xml:space="preserve"> </w:t>
      </w:r>
    </w:p>
    <w:p w14:paraId="3D2A19AF" w14:textId="5F30EC31" w:rsidR="000E0CD2" w:rsidRPr="000E0CD2" w:rsidRDefault="000E0CD2" w:rsidP="00301BA0">
      <w:pPr>
        <w:spacing w:line="360" w:lineRule="auto"/>
        <w:rPr>
          <w:bCs/>
          <w:iCs/>
          <w:color w:val="0000FF"/>
          <w:u w:val="single"/>
        </w:rPr>
      </w:pPr>
      <w:r w:rsidRPr="002244CB">
        <w:rPr>
          <w:bCs/>
          <w:iCs/>
        </w:rPr>
        <w:t>D</w:t>
      </w:r>
      <w:r w:rsidR="006B75E9">
        <w:rPr>
          <w:bCs/>
          <w:iCs/>
        </w:rPr>
        <w:t>oody</w:t>
      </w:r>
      <w:r w:rsidRPr="002244CB">
        <w:rPr>
          <w:bCs/>
          <w:iCs/>
        </w:rPr>
        <w:t>, O. and Noonan, M. (2016) ‘Nursing research ethics, guidance and appli</w:t>
      </w:r>
      <w:r>
        <w:rPr>
          <w:bCs/>
          <w:iCs/>
        </w:rPr>
        <w:t xml:space="preserve">cation in practice’, </w:t>
      </w:r>
      <w:r w:rsidRPr="00D32663">
        <w:rPr>
          <w:bCs/>
          <w:iCs/>
        </w:rPr>
        <w:t>British Journal of Nursing</w:t>
      </w:r>
      <w:r w:rsidRPr="008A21CD">
        <w:rPr>
          <w:bCs/>
          <w:iCs/>
        </w:rPr>
        <w:t>;</w:t>
      </w:r>
      <w:r w:rsidR="005B5AFF">
        <w:rPr>
          <w:bCs/>
          <w:iCs/>
        </w:rPr>
        <w:t xml:space="preserve"> </w:t>
      </w:r>
      <w:r w:rsidRPr="008A21CD">
        <w:rPr>
          <w:bCs/>
          <w:iCs/>
        </w:rPr>
        <w:t>25, (14), pp. 803-807</w:t>
      </w:r>
      <w:r w:rsidR="00D727DC">
        <w:rPr>
          <w:bCs/>
          <w:iCs/>
        </w:rPr>
        <w:t>. Available from:</w:t>
      </w:r>
      <w:r>
        <w:rPr>
          <w:bCs/>
          <w:iCs/>
        </w:rPr>
        <w:t xml:space="preserve"> </w:t>
      </w:r>
      <w:hyperlink r:id="rId20" w:history="1">
        <w:r w:rsidRPr="00904651">
          <w:rPr>
            <w:rStyle w:val="Hyperlink"/>
            <w:bCs/>
            <w:iCs/>
          </w:rPr>
          <w:t>https://hdl.handle.net/10344/5187</w:t>
        </w:r>
      </w:hyperlink>
      <w:r>
        <w:rPr>
          <w:rStyle w:val="Hyperlink"/>
          <w:bCs/>
          <w:iCs/>
        </w:rPr>
        <w:t xml:space="preserve"> </w:t>
      </w:r>
    </w:p>
    <w:p w14:paraId="14817B5E" w14:textId="2B3CCBAD" w:rsidR="005B5AFF" w:rsidRPr="005B5AFF" w:rsidRDefault="005B5AFF" w:rsidP="00301BA0">
      <w:pPr>
        <w:spacing w:line="360" w:lineRule="auto"/>
        <w:rPr>
          <w:bCs/>
          <w:iCs/>
        </w:rPr>
      </w:pPr>
      <w:proofErr w:type="spellStart"/>
      <w:r w:rsidRPr="005B5AFF">
        <w:rPr>
          <w:bCs/>
          <w:iCs/>
        </w:rPr>
        <w:t>Draucker</w:t>
      </w:r>
      <w:proofErr w:type="spellEnd"/>
      <w:r w:rsidRPr="005B5AFF">
        <w:rPr>
          <w:bCs/>
          <w:iCs/>
        </w:rPr>
        <w:t>, CB</w:t>
      </w:r>
      <w:r>
        <w:rPr>
          <w:bCs/>
          <w:iCs/>
        </w:rPr>
        <w:t>.,</w:t>
      </w:r>
      <w:r w:rsidRPr="005B5AFF">
        <w:rPr>
          <w:bCs/>
          <w:iCs/>
        </w:rPr>
        <w:t xml:space="preserve"> </w:t>
      </w:r>
      <w:proofErr w:type="spellStart"/>
      <w:r w:rsidRPr="005B5AFF">
        <w:rPr>
          <w:bCs/>
          <w:iCs/>
        </w:rPr>
        <w:t>Martsolf</w:t>
      </w:r>
      <w:proofErr w:type="spellEnd"/>
      <w:r w:rsidRPr="005B5AFF">
        <w:rPr>
          <w:bCs/>
          <w:iCs/>
        </w:rPr>
        <w:t>, DS. Poole</w:t>
      </w:r>
      <w:r>
        <w:rPr>
          <w:bCs/>
          <w:iCs/>
        </w:rPr>
        <w:t>., C. (2009)</w:t>
      </w:r>
      <w:r w:rsidRPr="005B5AFF">
        <w:t xml:space="preserve"> </w:t>
      </w:r>
      <w:r>
        <w:t>‘</w:t>
      </w:r>
      <w:r w:rsidRPr="005B5AFF">
        <w:rPr>
          <w:bCs/>
          <w:iCs/>
        </w:rPr>
        <w:t>Developing Distress Protocols for Research on Sensitive Topics</w:t>
      </w:r>
      <w:r>
        <w:rPr>
          <w:bCs/>
          <w:iCs/>
        </w:rPr>
        <w:t>’</w:t>
      </w:r>
      <w:r w:rsidRPr="005B5AFF">
        <w:rPr>
          <w:bCs/>
          <w:iCs/>
        </w:rPr>
        <w:t xml:space="preserve"> </w:t>
      </w:r>
      <w:r w:rsidRPr="00D32663">
        <w:rPr>
          <w:bCs/>
          <w:iCs/>
        </w:rPr>
        <w:t>Archives of Psychiatric Nursing</w:t>
      </w:r>
      <w:r w:rsidRPr="005B5AFF">
        <w:rPr>
          <w:bCs/>
          <w:i/>
        </w:rPr>
        <w:t>,</w:t>
      </w:r>
      <w:r w:rsidRPr="005B5AFF">
        <w:rPr>
          <w:bCs/>
          <w:iCs/>
        </w:rPr>
        <w:t xml:space="preserve"> Vol. 23, No. 5 (October), 2009: pp 343–350</w:t>
      </w:r>
      <w:r w:rsidR="00D727DC">
        <w:rPr>
          <w:bCs/>
          <w:iCs/>
        </w:rPr>
        <w:t>. Available from:</w:t>
      </w:r>
      <w:r>
        <w:rPr>
          <w:bCs/>
          <w:iCs/>
        </w:rPr>
        <w:t xml:space="preserve"> </w:t>
      </w:r>
      <w:hyperlink r:id="rId21" w:history="1">
        <w:r w:rsidRPr="00926D89">
          <w:rPr>
            <w:rStyle w:val="Hyperlink"/>
            <w:bCs/>
            <w:iCs/>
          </w:rPr>
          <w:t>https://svri.org/sites/default/files/attachments/2016-01-13/pdf_0.pdf</w:t>
        </w:r>
      </w:hyperlink>
      <w:r w:rsidRPr="005B5AFF">
        <w:rPr>
          <w:bCs/>
          <w:iCs/>
        </w:rPr>
        <w:t xml:space="preserve"> </w:t>
      </w:r>
    </w:p>
    <w:p w14:paraId="13282738" w14:textId="0BD32613" w:rsidR="000E0CD2" w:rsidRDefault="000E0CD2" w:rsidP="00301BA0">
      <w:pPr>
        <w:spacing w:line="360" w:lineRule="auto"/>
        <w:rPr>
          <w:bCs/>
          <w:iCs/>
        </w:rPr>
      </w:pPr>
      <w:proofErr w:type="spellStart"/>
      <w:r w:rsidRPr="005B0890">
        <w:rPr>
          <w:bCs/>
          <w:iCs/>
        </w:rPr>
        <w:t>Elmir</w:t>
      </w:r>
      <w:proofErr w:type="spellEnd"/>
      <w:r w:rsidRPr="005B0890">
        <w:rPr>
          <w:bCs/>
          <w:iCs/>
        </w:rPr>
        <w:t xml:space="preserve"> R, </w:t>
      </w:r>
      <w:proofErr w:type="spellStart"/>
      <w:r w:rsidRPr="005B0890">
        <w:rPr>
          <w:bCs/>
          <w:iCs/>
        </w:rPr>
        <w:t>Schmied</w:t>
      </w:r>
      <w:proofErr w:type="spellEnd"/>
      <w:r w:rsidRPr="005B0890">
        <w:rPr>
          <w:bCs/>
          <w:iCs/>
        </w:rPr>
        <w:t xml:space="preserve"> V, Jackson D, Wilkes L (2011) Interviewing people about potentially sensitive topics. Nurse Res 19(1): 12–6</w:t>
      </w:r>
      <w:r w:rsidR="00D727DC">
        <w:rPr>
          <w:bCs/>
          <w:iCs/>
        </w:rPr>
        <w:t>.</w:t>
      </w:r>
      <w:r w:rsidR="00D727DC" w:rsidRPr="00D727DC">
        <w:t xml:space="preserve"> </w:t>
      </w:r>
      <w:r w:rsidR="00F319CE">
        <w:t>Available from: https://</w:t>
      </w:r>
      <w:r w:rsidR="00D727DC" w:rsidRPr="00D727DC">
        <w:rPr>
          <w:bCs/>
          <w:iCs/>
        </w:rPr>
        <w:t>doi: 10.7748/nr2011.10.19.1.12.c8766</w:t>
      </w:r>
      <w:r w:rsidR="00F319CE">
        <w:rPr>
          <w:bCs/>
          <w:iCs/>
        </w:rPr>
        <w:t xml:space="preserve"> </w:t>
      </w:r>
    </w:p>
    <w:p w14:paraId="3645A46F" w14:textId="5CCA6110" w:rsidR="000E0CD2" w:rsidRDefault="000E0CD2" w:rsidP="00301BA0">
      <w:pPr>
        <w:spacing w:line="360" w:lineRule="auto"/>
      </w:pPr>
      <w:r w:rsidRPr="00D1424B">
        <w:t>European Commission (2013) Ethics for researchers Facilitating Research Excellence in FP7</w:t>
      </w:r>
      <w:r w:rsidR="00D727DC">
        <w:t xml:space="preserve">.  Available from: </w:t>
      </w:r>
      <w:r>
        <w:t xml:space="preserve"> </w:t>
      </w:r>
      <w:hyperlink r:id="rId22" w:history="1">
        <w:r w:rsidRPr="00C13CCB">
          <w:rPr>
            <w:rStyle w:val="Hyperlink"/>
          </w:rPr>
          <w:t>https://ec.europa.eu/research/participants/data/ref/fp7/89888/ethics-for-researchers_en.pdf</w:t>
        </w:r>
      </w:hyperlink>
      <w:r>
        <w:t xml:space="preserve"> </w:t>
      </w:r>
    </w:p>
    <w:p w14:paraId="5AE1EBD9" w14:textId="35BBDC71" w:rsidR="000E0CD2" w:rsidRDefault="000E0CD2" w:rsidP="00301BA0">
      <w:pPr>
        <w:spacing w:line="360" w:lineRule="auto"/>
        <w:rPr>
          <w:bCs/>
          <w:iCs/>
        </w:rPr>
      </w:pPr>
      <w:r w:rsidRPr="008A21CD">
        <w:rPr>
          <w:bCs/>
          <w:iCs/>
        </w:rPr>
        <w:t>Gillon R (1985) Deontological foundations for medical ethics? Br Med J (Clin Res Ed) 290(6478): 1331–3</w:t>
      </w:r>
      <w:r w:rsidR="00D727DC">
        <w:rPr>
          <w:bCs/>
          <w:iCs/>
        </w:rPr>
        <w:t>.</w:t>
      </w:r>
      <w:r w:rsidR="00D727DC" w:rsidRPr="00D727DC">
        <w:t xml:space="preserve"> </w:t>
      </w:r>
      <w:r w:rsidR="00D727DC">
        <w:t xml:space="preserve">Available from: </w:t>
      </w:r>
      <w:r w:rsidR="00D727DC" w:rsidRPr="00D727DC">
        <w:rPr>
          <w:bCs/>
          <w:iCs/>
        </w:rPr>
        <w:t>https://doi.org/10.1136/bmj.290.6478.1331</w:t>
      </w:r>
    </w:p>
    <w:p w14:paraId="2821D26E" w14:textId="5AFA7DC6" w:rsidR="000E0CD2" w:rsidRDefault="000E0CD2" w:rsidP="00301BA0">
      <w:pPr>
        <w:spacing w:line="360" w:lineRule="auto"/>
      </w:pPr>
      <w:r w:rsidRPr="0027460C">
        <w:rPr>
          <w:bCs/>
          <w:iCs/>
        </w:rPr>
        <w:t xml:space="preserve">Good, A. (2020). Disability Research Ethics. In: </w:t>
      </w:r>
      <w:proofErr w:type="spellStart"/>
      <w:r w:rsidRPr="0027460C">
        <w:rPr>
          <w:bCs/>
          <w:iCs/>
        </w:rPr>
        <w:t>Iphofen</w:t>
      </w:r>
      <w:proofErr w:type="spellEnd"/>
      <w:r w:rsidRPr="0027460C">
        <w:rPr>
          <w:bCs/>
          <w:iCs/>
        </w:rPr>
        <w:t xml:space="preserve">, R. (eds) Handbook of Research Ethics and Scientific Integrity. Springer, Cham. </w:t>
      </w:r>
      <w:r w:rsidR="0077608C" w:rsidRPr="0027460C">
        <w:rPr>
          <w:bCs/>
          <w:iCs/>
        </w:rPr>
        <w:t>pp 655–673.</w:t>
      </w:r>
      <w:r w:rsidR="00D727DC">
        <w:rPr>
          <w:bCs/>
          <w:iCs/>
        </w:rPr>
        <w:t xml:space="preserve">Available from: </w:t>
      </w:r>
      <w:hyperlink r:id="rId23" w:history="1">
        <w:r w:rsidR="00D727DC" w:rsidRPr="00D727DC">
          <w:rPr>
            <w:rStyle w:val="Hyperlink"/>
            <w:bCs/>
            <w:iCs/>
          </w:rPr>
          <w:t>https://doi.org/10.1007/978-3-030-16759-2_30</w:t>
        </w:r>
      </w:hyperlink>
      <w:r w:rsidRPr="0027460C">
        <w:rPr>
          <w:bCs/>
          <w:iCs/>
        </w:rPr>
        <w:t xml:space="preserve"> </w:t>
      </w:r>
    </w:p>
    <w:p w14:paraId="4A3B0F43" w14:textId="2482339A" w:rsidR="00C142BF" w:rsidRPr="0027460C" w:rsidRDefault="00C142BF" w:rsidP="00301BA0">
      <w:pPr>
        <w:spacing w:line="360" w:lineRule="auto"/>
        <w:rPr>
          <w:bCs/>
          <w:iCs/>
        </w:rPr>
      </w:pPr>
      <w:r>
        <w:lastRenderedPageBreak/>
        <w:t xml:space="preserve">Government of Ireland (2022) Creating our Future Expert Committee Report. Available from: </w:t>
      </w:r>
      <w:hyperlink r:id="rId24" w:history="1">
        <w:r w:rsidRPr="0034171E">
          <w:rPr>
            <w:rStyle w:val="Hyperlink"/>
          </w:rPr>
          <w:t>https://creatingourfuture.ie/wp-content/uploads/2022/07/Creating-Our-Future-EXPERT-Report.pdf</w:t>
        </w:r>
      </w:hyperlink>
      <w:r>
        <w:t xml:space="preserve"> </w:t>
      </w:r>
    </w:p>
    <w:p w14:paraId="355E214D" w14:textId="50069807" w:rsidR="002A09A9" w:rsidRPr="002A09A9" w:rsidRDefault="002A09A9" w:rsidP="00301BA0">
      <w:pPr>
        <w:spacing w:line="360" w:lineRule="auto"/>
        <w:rPr>
          <w:bCs/>
          <w:iCs/>
          <w:lang w:val="en-GB"/>
        </w:rPr>
      </w:pPr>
      <w:r w:rsidRPr="00DC7D74">
        <w:rPr>
          <w:bCs/>
          <w:iCs/>
          <w:lang w:val="en-GB"/>
        </w:rPr>
        <w:t xml:space="preserve">Graham, J., </w:t>
      </w:r>
      <w:r>
        <w:rPr>
          <w:bCs/>
          <w:iCs/>
          <w:lang w:val="en-GB"/>
        </w:rPr>
        <w:t>Grewal, I</w:t>
      </w:r>
      <w:r w:rsidRPr="00DC7D74">
        <w:rPr>
          <w:bCs/>
          <w:iCs/>
          <w:lang w:val="en-GB"/>
        </w:rPr>
        <w:t xml:space="preserve">. and </w:t>
      </w:r>
      <w:r>
        <w:rPr>
          <w:bCs/>
          <w:iCs/>
          <w:lang w:val="en-GB"/>
        </w:rPr>
        <w:t>Lewis</w:t>
      </w:r>
      <w:r w:rsidRPr="00DC7D74">
        <w:rPr>
          <w:bCs/>
          <w:iCs/>
          <w:lang w:val="en-GB"/>
        </w:rPr>
        <w:t xml:space="preserve">, </w:t>
      </w:r>
      <w:r>
        <w:rPr>
          <w:bCs/>
          <w:iCs/>
          <w:lang w:val="en-GB"/>
        </w:rPr>
        <w:t>J (2007)</w:t>
      </w:r>
      <w:r w:rsidRPr="00DC7D74">
        <w:rPr>
          <w:bCs/>
          <w:iCs/>
          <w:lang w:val="en-GB"/>
        </w:rPr>
        <w:t>.</w:t>
      </w:r>
      <w:r w:rsidRPr="002A09A9">
        <w:rPr>
          <w:bCs/>
          <w:iCs/>
        </w:rPr>
        <w:t xml:space="preserve"> </w:t>
      </w:r>
      <w:r w:rsidRPr="00D32663">
        <w:rPr>
          <w:bCs/>
          <w:iCs/>
        </w:rPr>
        <w:t>Ethics in Social Research: the views of research participants</w:t>
      </w:r>
      <w:r w:rsidR="00D727DC">
        <w:rPr>
          <w:bCs/>
          <w:iCs/>
        </w:rPr>
        <w:t>. Available from:</w:t>
      </w:r>
      <w:r w:rsidRPr="00D32663">
        <w:rPr>
          <w:bCs/>
          <w:iCs/>
        </w:rPr>
        <w:t xml:space="preserve"> </w:t>
      </w:r>
      <w:hyperlink r:id="rId25" w:history="1">
        <w:r w:rsidRPr="00926D89">
          <w:rPr>
            <w:rStyle w:val="Hyperlink"/>
            <w:bCs/>
            <w:iCs/>
            <w:lang w:val="en-GB"/>
          </w:rPr>
          <w:t>https://assets.publishing.service.gov.uk/government/uploads/system/uploads/attachment_data/file/497221/ethics_participants_tcm6-5783.pdf</w:t>
        </w:r>
      </w:hyperlink>
      <w:r>
        <w:rPr>
          <w:bCs/>
          <w:iCs/>
          <w:lang w:val="en-GB"/>
        </w:rPr>
        <w:t xml:space="preserve"> </w:t>
      </w:r>
    </w:p>
    <w:p w14:paraId="34927D55" w14:textId="1F523832" w:rsidR="000E0CD2" w:rsidRDefault="000E0CD2" w:rsidP="00301BA0">
      <w:pPr>
        <w:spacing w:line="360" w:lineRule="auto"/>
        <w:rPr>
          <w:bCs/>
          <w:iCs/>
          <w:lang w:val="en-GB"/>
        </w:rPr>
      </w:pPr>
      <w:r w:rsidRPr="00AE53C1">
        <w:rPr>
          <w:bCs/>
          <w:iCs/>
          <w:lang w:val="en-GB"/>
        </w:rPr>
        <w:t xml:space="preserve">Guillemin, M. and Gillam, L. (2004), ‘Ethics, Reflexivity, and “Ethically Important Moments” in Research’, </w:t>
      </w:r>
      <w:r w:rsidRPr="00D32663">
        <w:rPr>
          <w:bCs/>
          <w:lang w:val="en-GB"/>
        </w:rPr>
        <w:t>Qualitative Inquiry</w:t>
      </w:r>
      <w:r w:rsidRPr="00F319CE">
        <w:rPr>
          <w:bCs/>
          <w:lang w:val="en-GB"/>
        </w:rPr>
        <w:t>,</w:t>
      </w:r>
      <w:r w:rsidRPr="00AE53C1">
        <w:rPr>
          <w:bCs/>
          <w:iCs/>
          <w:lang w:val="en-GB"/>
        </w:rPr>
        <w:t xml:space="preserve"> 10(2), pp. 261–80</w:t>
      </w:r>
      <w:r w:rsidR="00A65AF7">
        <w:rPr>
          <w:bCs/>
          <w:iCs/>
          <w:lang w:val="en-GB"/>
        </w:rPr>
        <w:t xml:space="preserve">. Available from: </w:t>
      </w:r>
      <w:r w:rsidR="00A65AF7" w:rsidRPr="00A65AF7">
        <w:rPr>
          <w:bCs/>
          <w:iCs/>
          <w:lang w:val="en-GB"/>
        </w:rPr>
        <w:t>https://doi.org/10.1177/1077800403262360</w:t>
      </w:r>
      <w:r w:rsidR="00A65AF7">
        <w:rPr>
          <w:bCs/>
          <w:iCs/>
          <w:lang w:val="en-GB"/>
        </w:rPr>
        <w:t xml:space="preserve"> </w:t>
      </w:r>
    </w:p>
    <w:p w14:paraId="040D5766" w14:textId="28032162" w:rsidR="00077441" w:rsidRDefault="00E07841" w:rsidP="00301BA0">
      <w:pPr>
        <w:spacing w:line="360" w:lineRule="auto"/>
        <w:rPr>
          <w:bCs/>
          <w:iCs/>
        </w:rPr>
      </w:pPr>
      <w:r>
        <w:rPr>
          <w:bCs/>
          <w:iCs/>
          <w:lang w:val="en-GB"/>
        </w:rPr>
        <w:t>Haigh, C</w:t>
      </w:r>
      <w:r w:rsidR="00B43A75">
        <w:rPr>
          <w:bCs/>
          <w:iCs/>
          <w:lang w:val="en-GB"/>
        </w:rPr>
        <w:t xml:space="preserve">., </w:t>
      </w:r>
      <w:proofErr w:type="spellStart"/>
      <w:r w:rsidR="00B43A75">
        <w:rPr>
          <w:bCs/>
          <w:iCs/>
          <w:lang w:val="en-GB"/>
        </w:rPr>
        <w:t>Withham</w:t>
      </w:r>
      <w:proofErr w:type="spellEnd"/>
      <w:r w:rsidR="00B43A75">
        <w:rPr>
          <w:bCs/>
          <w:iCs/>
          <w:lang w:val="en-GB"/>
        </w:rPr>
        <w:t>, G (2009),</w:t>
      </w:r>
      <w:r w:rsidR="00B43A75" w:rsidRPr="00B43A75">
        <w:rPr>
          <w:bCs/>
          <w:iCs/>
        </w:rPr>
        <w:t xml:space="preserve"> </w:t>
      </w:r>
      <w:r w:rsidR="00B43A75">
        <w:rPr>
          <w:bCs/>
          <w:iCs/>
          <w:lang w:val="en-GB"/>
        </w:rPr>
        <w:t xml:space="preserve">Manchester Metropolitan University </w:t>
      </w:r>
      <w:r w:rsidRPr="00E07841">
        <w:rPr>
          <w:bCs/>
          <w:iCs/>
        </w:rPr>
        <w:t>Distress Protocol for qualitative data collection Witham Department of Nursing MMU</w:t>
      </w:r>
      <w:r w:rsidR="00B43A75">
        <w:rPr>
          <w:bCs/>
          <w:iCs/>
        </w:rPr>
        <w:t xml:space="preserve"> </w:t>
      </w:r>
      <w:r w:rsidR="00A65AF7">
        <w:rPr>
          <w:bCs/>
          <w:iCs/>
        </w:rPr>
        <w:t xml:space="preserve">Available from: </w:t>
      </w:r>
      <w:hyperlink r:id="rId26" w:history="1">
        <w:r w:rsidR="00A65AF7" w:rsidRPr="00A65AF7">
          <w:rPr>
            <w:rStyle w:val="Hyperlink"/>
            <w:bCs/>
            <w:iCs/>
            <w:lang w:val="en-GB"/>
          </w:rPr>
          <w:t>https://www.mmu.ac.uk/media/mmuacuk/content/documents/rke/Advisory-Distress-Protocol.pdf</w:t>
        </w:r>
      </w:hyperlink>
      <w:r w:rsidR="00B43A75">
        <w:rPr>
          <w:bCs/>
          <w:iCs/>
          <w:lang w:val="en-GB"/>
        </w:rPr>
        <w:t xml:space="preserve"> </w:t>
      </w:r>
    </w:p>
    <w:p w14:paraId="561E82DC" w14:textId="1B24621A" w:rsidR="00A56CF9" w:rsidRDefault="00A56CF9" w:rsidP="00301BA0">
      <w:pPr>
        <w:spacing w:line="360" w:lineRule="auto"/>
      </w:pPr>
      <w:r>
        <w:t xml:space="preserve">HSE (2019) </w:t>
      </w:r>
      <w:r w:rsidRPr="00A56CF9">
        <w:t>HSE Action Plan for Health Research 2019–2029</w:t>
      </w:r>
      <w:r w:rsidR="00A65AF7">
        <w:t>. Available from:</w:t>
      </w:r>
      <w:r>
        <w:t xml:space="preserve"> </w:t>
      </w:r>
      <w:hyperlink r:id="rId27" w:history="1">
        <w:r w:rsidRPr="00F264F5">
          <w:rPr>
            <w:rStyle w:val="Hyperlink"/>
          </w:rPr>
          <w:t>https://hseresearch.ie/wp-content/uploads/2019/12/10-Year-Action-Plan.pdf</w:t>
        </w:r>
      </w:hyperlink>
      <w:r w:rsidR="0077608C">
        <w:rPr>
          <w:rStyle w:val="Hyperlink"/>
        </w:rPr>
        <w:t xml:space="preserve"> </w:t>
      </w:r>
    </w:p>
    <w:p w14:paraId="5DB48972" w14:textId="5DD44D72" w:rsidR="00077441" w:rsidRDefault="00077441" w:rsidP="00301BA0">
      <w:pPr>
        <w:spacing w:line="360" w:lineRule="auto"/>
      </w:pPr>
      <w:r>
        <w:t>HSE</w:t>
      </w:r>
      <w:r w:rsidR="002E64C7">
        <w:t xml:space="preserve"> (</w:t>
      </w:r>
      <w:r>
        <w:t>2021</w:t>
      </w:r>
      <w:r w:rsidR="002E64C7">
        <w:t>)</w:t>
      </w:r>
      <w:r>
        <w:t xml:space="preserve">, </w:t>
      </w:r>
      <w:r w:rsidR="002E64C7" w:rsidRPr="002E64C7">
        <w:t>HSE National Framework for Governance, Management and Support of Health Research</w:t>
      </w:r>
      <w:r w:rsidR="00A65AF7">
        <w:t xml:space="preserve">. Available from: </w:t>
      </w:r>
      <w:r w:rsidR="002E64C7">
        <w:t xml:space="preserve"> </w:t>
      </w:r>
      <w:hyperlink r:id="rId28" w:history="1">
        <w:r w:rsidR="002E64C7" w:rsidRPr="002E64C7">
          <w:rPr>
            <w:rStyle w:val="Hyperlink"/>
          </w:rPr>
          <w:t>https://hseresearch.ie/wp-content/uploads/2021/09/HSE-Framework-for-the-Governance-Web-Optimised.pdf</w:t>
        </w:r>
      </w:hyperlink>
      <w:r w:rsidR="0077608C">
        <w:rPr>
          <w:rStyle w:val="Hyperlink"/>
        </w:rPr>
        <w:t xml:space="preserve"> </w:t>
      </w:r>
    </w:p>
    <w:p w14:paraId="59A8EC52" w14:textId="34ABEBA0" w:rsidR="005F447F" w:rsidRDefault="005F447F" w:rsidP="00301BA0">
      <w:pPr>
        <w:spacing w:line="360" w:lineRule="auto"/>
        <w:rPr>
          <w:bCs/>
          <w:iCs/>
        </w:rPr>
      </w:pPr>
      <w:r>
        <w:rPr>
          <w:bCs/>
          <w:iCs/>
        </w:rPr>
        <w:t xml:space="preserve">HSE (2022) </w:t>
      </w:r>
      <w:r w:rsidRPr="005F447F">
        <w:rPr>
          <w:bCs/>
          <w:iCs/>
        </w:rPr>
        <w:t>Standard Code of Governance and Management Required for HSE Reference Research Ethics Committees</w:t>
      </w:r>
      <w:r w:rsidR="00A65AF7">
        <w:rPr>
          <w:bCs/>
          <w:iCs/>
        </w:rPr>
        <w:t>. Available from:</w:t>
      </w:r>
      <w:r>
        <w:rPr>
          <w:bCs/>
          <w:iCs/>
        </w:rPr>
        <w:t xml:space="preserve"> </w:t>
      </w:r>
      <w:hyperlink r:id="rId29" w:history="1">
        <w:r w:rsidRPr="005F447F">
          <w:rPr>
            <w:rStyle w:val="Hyperlink"/>
            <w:bCs/>
            <w:iCs/>
          </w:rPr>
          <w:t>https://hseresearch.ie/wp-content/uploads/2022/02/Standard-Code-of-Governance-and-Management-Required-for-HSE-RRECs_-V0.9-PF.pdf</w:t>
        </w:r>
      </w:hyperlink>
      <w:r w:rsidR="0077608C">
        <w:rPr>
          <w:rStyle w:val="Hyperlink"/>
          <w:bCs/>
          <w:iCs/>
        </w:rPr>
        <w:t xml:space="preserve"> </w:t>
      </w:r>
      <w:r w:rsidR="0077608C">
        <w:t>[</w:t>
      </w:r>
    </w:p>
    <w:p w14:paraId="5549449B" w14:textId="15BC4D8C" w:rsidR="005C0B59" w:rsidRPr="0046466E" w:rsidRDefault="005C0B59" w:rsidP="00301BA0">
      <w:pPr>
        <w:spacing w:line="360" w:lineRule="auto"/>
        <w:rPr>
          <w:iCs/>
        </w:rPr>
      </w:pPr>
      <w:r>
        <w:rPr>
          <w:bCs/>
          <w:iCs/>
          <w:lang w:val="en-GB"/>
        </w:rPr>
        <w:lastRenderedPageBreak/>
        <w:t>HSE (2023)</w:t>
      </w:r>
      <w:r>
        <w:rPr>
          <w:rFonts w:ascii="Arial-BoldMT" w:eastAsia="SimSun" w:hAnsi="Arial-BoldMT" w:cs="Arial-BoldMT"/>
          <w:b/>
          <w:bCs/>
          <w:color w:val="005BAB"/>
          <w:sz w:val="63"/>
          <w:szCs w:val="63"/>
          <w:lang w:eastAsia="en-IE"/>
        </w:rPr>
        <w:t xml:space="preserve"> </w:t>
      </w:r>
      <w:r w:rsidRPr="0046466E">
        <w:rPr>
          <w:iCs/>
        </w:rPr>
        <w:t xml:space="preserve">HSE National Policy for Consent in Health and Social Care </w:t>
      </w:r>
      <w:r w:rsidR="0046466E">
        <w:rPr>
          <w:iCs/>
        </w:rPr>
        <w:t xml:space="preserve">Research </w:t>
      </w:r>
      <w:r w:rsidR="0046466E" w:rsidRPr="0046466E">
        <w:rPr>
          <w:iCs/>
        </w:rPr>
        <w:t>(V1.1, 2023). Dublin: Health Service Executive</w:t>
      </w:r>
      <w:r w:rsidR="00A65AF7">
        <w:rPr>
          <w:iCs/>
        </w:rPr>
        <w:t xml:space="preserve">. Available from: </w:t>
      </w:r>
      <w:r w:rsidR="0046466E">
        <w:rPr>
          <w:iCs/>
        </w:rPr>
        <w:t xml:space="preserve"> </w:t>
      </w:r>
      <w:r w:rsidR="00A65AF7" w:rsidRPr="00A65AF7">
        <w:rPr>
          <w:iCs/>
        </w:rPr>
        <w:t>https://hseresearch.ie/wp-content/uploads/2023/02/HSE-National-Policy-for-Consent-in-Health-and-Social-Care-Research-compressed.</w:t>
      </w:r>
      <w:r w:rsidR="002B798E" w:rsidRPr="0046466E" w:rsidDel="002B798E">
        <w:rPr>
          <w:iCs/>
        </w:rPr>
        <w:t xml:space="preserve"> </w:t>
      </w:r>
    </w:p>
    <w:p w14:paraId="3B93B3BD" w14:textId="52539795" w:rsidR="00877B2A" w:rsidRDefault="00877B2A" w:rsidP="00301BA0">
      <w:pPr>
        <w:spacing w:line="360" w:lineRule="auto"/>
        <w:rPr>
          <w:bCs/>
          <w:iCs/>
          <w:lang w:val="en-GB"/>
        </w:rPr>
      </w:pPr>
      <w:r w:rsidRPr="00877B2A">
        <w:rPr>
          <w:bCs/>
          <w:iCs/>
          <w:lang w:val="en-GB"/>
        </w:rPr>
        <w:t xml:space="preserve">Humphrey, G. F. (1992), ‘Scientific fraud: the McBride case’, </w:t>
      </w:r>
      <w:r w:rsidRPr="00D32663">
        <w:rPr>
          <w:bCs/>
          <w:lang w:val="en-GB"/>
        </w:rPr>
        <w:t xml:space="preserve">Medicine, </w:t>
      </w:r>
      <w:proofErr w:type="gramStart"/>
      <w:r w:rsidRPr="00D32663">
        <w:rPr>
          <w:bCs/>
          <w:lang w:val="en-GB"/>
        </w:rPr>
        <w:t>Science</w:t>
      </w:r>
      <w:proofErr w:type="gramEnd"/>
      <w:r w:rsidRPr="00D32663">
        <w:rPr>
          <w:bCs/>
          <w:lang w:val="en-GB"/>
        </w:rPr>
        <w:t xml:space="preserve"> and the Law</w:t>
      </w:r>
      <w:r w:rsidRPr="00F319CE">
        <w:rPr>
          <w:bCs/>
          <w:lang w:val="en-GB"/>
        </w:rPr>
        <w:t>,</w:t>
      </w:r>
      <w:r w:rsidRPr="00877B2A">
        <w:rPr>
          <w:bCs/>
          <w:iCs/>
          <w:lang w:val="en-GB"/>
        </w:rPr>
        <w:t xml:space="preserve"> 32, pp. 199–203</w:t>
      </w:r>
      <w:r w:rsidR="00A65AF7">
        <w:rPr>
          <w:bCs/>
          <w:iCs/>
          <w:lang w:val="en-GB"/>
        </w:rPr>
        <w:t xml:space="preserve">. Available from: </w:t>
      </w:r>
      <w:r w:rsidR="00A65AF7" w:rsidRPr="00A65AF7">
        <w:rPr>
          <w:bCs/>
          <w:iCs/>
          <w:lang w:val="en-GB"/>
        </w:rPr>
        <w:t>https://doi.org/10.1177/002580249203200303</w:t>
      </w:r>
      <w:r w:rsidR="00A65AF7">
        <w:rPr>
          <w:bCs/>
          <w:iCs/>
          <w:lang w:val="en-GB"/>
        </w:rPr>
        <w:t xml:space="preserve"> </w:t>
      </w:r>
    </w:p>
    <w:p w14:paraId="48D3CF3A" w14:textId="5FE17158" w:rsidR="00E265CF" w:rsidRPr="00E265CF" w:rsidRDefault="00E265CF" w:rsidP="00301BA0">
      <w:pPr>
        <w:spacing w:line="360" w:lineRule="auto"/>
        <w:rPr>
          <w:bCs/>
          <w:iCs/>
          <w:lang w:val="en-GB"/>
        </w:rPr>
      </w:pPr>
      <w:r w:rsidRPr="00E265CF">
        <w:rPr>
          <w:bCs/>
          <w:iCs/>
          <w:lang w:val="en-GB"/>
        </w:rPr>
        <w:t xml:space="preserve">INVOLVE and the National Research Ethics Service (2009), ‘Statement on </w:t>
      </w:r>
      <w:hyperlink r:id="rId30" w:tgtFrame="_blank" w:history="1">
        <w:r w:rsidRPr="00E265CF">
          <w:rPr>
            <w:rStyle w:val="Hyperlink"/>
            <w:bCs/>
            <w:iCs/>
            <w:lang w:val="en-GB"/>
          </w:rPr>
          <w:t>patient and public involvement in research and research ethics committee review — guidance developed by the National Research Ethics Service (NRES) and INVOLVE</w:t>
        </w:r>
      </w:hyperlink>
      <w:r w:rsidRPr="00E265CF">
        <w:rPr>
          <w:bCs/>
          <w:iCs/>
          <w:lang w:val="en-GB"/>
        </w:rPr>
        <w:t xml:space="preserve"> (NHS)’. Available </w:t>
      </w:r>
      <w:r w:rsidR="00643709">
        <w:rPr>
          <w:bCs/>
          <w:iCs/>
          <w:lang w:val="en-GB"/>
        </w:rPr>
        <w:t>from:</w:t>
      </w:r>
      <w:r w:rsidR="00643709" w:rsidRPr="00E265CF">
        <w:rPr>
          <w:bCs/>
          <w:iCs/>
          <w:lang w:val="en-GB"/>
        </w:rPr>
        <w:t xml:space="preserve"> </w:t>
      </w:r>
      <w:hyperlink r:id="rId31" w:history="1">
        <w:r w:rsidRPr="00E265CF">
          <w:rPr>
            <w:rStyle w:val="Hyperlink"/>
            <w:bCs/>
            <w:iCs/>
            <w:lang w:val="en-GB"/>
          </w:rPr>
          <w:t>http://www.invo.org.uk/Current_Work.asp</w:t>
        </w:r>
      </w:hyperlink>
      <w:r w:rsidRPr="00E265CF">
        <w:rPr>
          <w:bCs/>
          <w:iCs/>
          <w:lang w:val="en-GB"/>
        </w:rPr>
        <w:t xml:space="preserve"> </w:t>
      </w:r>
    </w:p>
    <w:p w14:paraId="1696AB58" w14:textId="2E58F81D" w:rsidR="00505FC8" w:rsidRDefault="00505FC8" w:rsidP="00301BA0">
      <w:pPr>
        <w:spacing w:line="360" w:lineRule="auto"/>
        <w:rPr>
          <w:bCs/>
          <w:iCs/>
        </w:rPr>
      </w:pPr>
      <w:r w:rsidRPr="00B27C0E">
        <w:rPr>
          <w:bCs/>
          <w:iCs/>
        </w:rPr>
        <w:t xml:space="preserve">Leonardi M., </w:t>
      </w:r>
      <w:proofErr w:type="spellStart"/>
      <w:r w:rsidRPr="00B27C0E">
        <w:rPr>
          <w:bCs/>
          <w:iCs/>
        </w:rPr>
        <w:t>Bickenbach</w:t>
      </w:r>
      <w:proofErr w:type="spellEnd"/>
      <w:r w:rsidRPr="00B27C0E">
        <w:rPr>
          <w:bCs/>
          <w:iCs/>
        </w:rPr>
        <w:t xml:space="preserve">, J., </w:t>
      </w:r>
      <w:proofErr w:type="spellStart"/>
      <w:r w:rsidRPr="00B27C0E">
        <w:rPr>
          <w:bCs/>
          <w:iCs/>
        </w:rPr>
        <w:t>Ustun</w:t>
      </w:r>
      <w:proofErr w:type="spellEnd"/>
      <w:r w:rsidRPr="00B27C0E">
        <w:rPr>
          <w:bCs/>
          <w:iCs/>
        </w:rPr>
        <w:t xml:space="preserve">, TB., </w:t>
      </w:r>
      <w:proofErr w:type="spellStart"/>
      <w:r w:rsidRPr="00B27C0E">
        <w:rPr>
          <w:bCs/>
          <w:iCs/>
        </w:rPr>
        <w:t>Kostansjek</w:t>
      </w:r>
      <w:proofErr w:type="spellEnd"/>
      <w:r w:rsidRPr="00B27C0E">
        <w:rPr>
          <w:bCs/>
          <w:iCs/>
        </w:rPr>
        <w:t xml:space="preserve">, N., </w:t>
      </w:r>
      <w:proofErr w:type="spellStart"/>
      <w:r w:rsidRPr="00B27C0E">
        <w:rPr>
          <w:bCs/>
          <w:iCs/>
        </w:rPr>
        <w:t>Chatterji</w:t>
      </w:r>
      <w:proofErr w:type="spellEnd"/>
      <w:r w:rsidRPr="00B27C0E">
        <w:rPr>
          <w:bCs/>
          <w:iCs/>
        </w:rPr>
        <w:t>, S. (2006) The definition of disability: what’s in a name. Lancet 368(9543):1219–1221</w:t>
      </w:r>
      <w:r w:rsidR="00643709" w:rsidRPr="00B27C0E">
        <w:rPr>
          <w:bCs/>
          <w:iCs/>
        </w:rPr>
        <w:t>. Available from:</w:t>
      </w:r>
      <w:r w:rsidR="00643709" w:rsidRPr="00B27C0E">
        <w:t xml:space="preserve"> </w:t>
      </w:r>
      <w:r w:rsidR="00643709" w:rsidRPr="00B27C0E">
        <w:rPr>
          <w:bCs/>
          <w:iCs/>
        </w:rPr>
        <w:t>https://doi.org/10.1016/s0140-6736(06)69498-1</w:t>
      </w:r>
      <w:r w:rsidR="00643709">
        <w:rPr>
          <w:bCs/>
          <w:iCs/>
        </w:rPr>
        <w:t xml:space="preserve"> </w:t>
      </w:r>
    </w:p>
    <w:p w14:paraId="715B1820" w14:textId="4FD1C010" w:rsidR="000E0CD2" w:rsidRDefault="000E0CD2" w:rsidP="00301BA0">
      <w:pPr>
        <w:spacing w:line="360" w:lineRule="auto"/>
        <w:rPr>
          <w:bCs/>
          <w:iCs/>
        </w:rPr>
      </w:pPr>
      <w:r w:rsidRPr="001B7DDC">
        <w:rPr>
          <w:bCs/>
          <w:iCs/>
        </w:rPr>
        <w:t>London School of Hygiene &amp; Tropical Medicine (2020) Ethical Considerations in Disability Research and Safeguarding</w:t>
      </w:r>
      <w:r w:rsidR="00643709">
        <w:rPr>
          <w:bCs/>
          <w:iCs/>
        </w:rPr>
        <w:t>. Available from:</w:t>
      </w:r>
      <w:r w:rsidRPr="001B7DDC">
        <w:rPr>
          <w:bCs/>
          <w:iCs/>
        </w:rPr>
        <w:t xml:space="preserve"> </w:t>
      </w:r>
      <w:hyperlink r:id="rId32" w:history="1">
        <w:r w:rsidR="005F447F" w:rsidRPr="00C13CCB">
          <w:rPr>
            <w:rStyle w:val="Hyperlink"/>
          </w:rPr>
          <w:t>https://www.futurelearn.com/info/courses/global-disability-research-and-evidence/0/steps/99287</w:t>
        </w:r>
      </w:hyperlink>
      <w:r w:rsidR="0077608C">
        <w:rPr>
          <w:rStyle w:val="Hyperlink"/>
        </w:rPr>
        <w:t xml:space="preserve"> </w:t>
      </w:r>
    </w:p>
    <w:p w14:paraId="4EB96568" w14:textId="2156E832" w:rsidR="000E0CD2" w:rsidRDefault="000E0CD2" w:rsidP="00301BA0">
      <w:pPr>
        <w:spacing w:line="360" w:lineRule="auto"/>
        <w:rPr>
          <w:bCs/>
          <w:iCs/>
        </w:rPr>
      </w:pPr>
      <w:r w:rsidRPr="00313FE3">
        <w:rPr>
          <w:bCs/>
          <w:iCs/>
        </w:rPr>
        <w:t xml:space="preserve">L- </w:t>
      </w:r>
      <w:proofErr w:type="spellStart"/>
      <w:r w:rsidRPr="00313FE3">
        <w:rPr>
          <w:bCs/>
          <w:iCs/>
        </w:rPr>
        <w:t>Universitata</w:t>
      </w:r>
      <w:proofErr w:type="spellEnd"/>
      <w:r w:rsidRPr="00313FE3">
        <w:rPr>
          <w:bCs/>
          <w:iCs/>
        </w:rPr>
        <w:t xml:space="preserve"> Malta (2018) Ethical Guidelines for Carrying Out Research with Disabled People</w:t>
      </w:r>
      <w:r w:rsidR="00643709" w:rsidRPr="00313FE3">
        <w:rPr>
          <w:bCs/>
          <w:iCs/>
        </w:rPr>
        <w:t>. Available from:</w:t>
      </w:r>
      <w:r w:rsidR="005F447F" w:rsidRPr="00313FE3">
        <w:t xml:space="preserve"> </w:t>
      </w:r>
      <w:hyperlink r:id="rId33" w:history="1">
        <w:r w:rsidR="005F447F" w:rsidRPr="00313FE3">
          <w:rPr>
            <w:rStyle w:val="Hyperlink"/>
            <w:bCs/>
            <w:iCs/>
          </w:rPr>
          <w:t>https://www.um.edu.mt/media/um/docs/research/urec/DisabilityGuidelines.pdf</w:t>
        </w:r>
      </w:hyperlink>
      <w:r w:rsidR="0077608C" w:rsidRPr="00313FE3">
        <w:rPr>
          <w:rStyle w:val="Hyperlink"/>
          <w:bCs/>
          <w:iCs/>
        </w:rPr>
        <w:t xml:space="preserve"> </w:t>
      </w:r>
    </w:p>
    <w:p w14:paraId="22437924" w14:textId="63CA3289" w:rsidR="00DA3BB0" w:rsidRPr="00DA3BB0" w:rsidRDefault="00DA3BB0" w:rsidP="00301BA0">
      <w:pPr>
        <w:spacing w:line="360" w:lineRule="auto"/>
        <w:rPr>
          <w:iCs/>
        </w:rPr>
      </w:pPr>
      <w:proofErr w:type="spellStart"/>
      <w:r>
        <w:rPr>
          <w:bCs/>
          <w:iCs/>
          <w:lang w:val="en-GB"/>
        </w:rPr>
        <w:t>Marusic</w:t>
      </w:r>
      <w:proofErr w:type="spellEnd"/>
      <w:r>
        <w:rPr>
          <w:bCs/>
          <w:iCs/>
          <w:lang w:val="en-GB"/>
        </w:rPr>
        <w:t xml:space="preserve">, A. (2023) </w:t>
      </w:r>
      <w:r w:rsidRPr="00DA3BB0">
        <w:rPr>
          <w:iCs/>
        </w:rPr>
        <w:t>A Guide to Responsible Research</w:t>
      </w:r>
      <w:r w:rsidR="00E25CC7">
        <w:rPr>
          <w:iCs/>
        </w:rPr>
        <w:t xml:space="preserve">, New York: </w:t>
      </w:r>
      <w:r>
        <w:rPr>
          <w:iCs/>
        </w:rPr>
        <w:t>Springer</w:t>
      </w:r>
      <w:r w:rsidR="00F319CE">
        <w:rPr>
          <w:iCs/>
        </w:rPr>
        <w:t>.</w:t>
      </w:r>
    </w:p>
    <w:p w14:paraId="7BF03813" w14:textId="3408A17D" w:rsidR="00481DAF" w:rsidRDefault="00481DAF" w:rsidP="00301BA0">
      <w:pPr>
        <w:spacing w:line="360" w:lineRule="auto"/>
        <w:rPr>
          <w:bCs/>
          <w:iCs/>
          <w:lang w:val="en-GB"/>
        </w:rPr>
      </w:pPr>
      <w:proofErr w:type="spellStart"/>
      <w:r>
        <w:rPr>
          <w:bCs/>
          <w:iCs/>
          <w:lang w:val="en-GB"/>
        </w:rPr>
        <w:t>McClimens</w:t>
      </w:r>
      <w:proofErr w:type="spellEnd"/>
      <w:r>
        <w:rPr>
          <w:bCs/>
          <w:iCs/>
          <w:lang w:val="en-GB"/>
        </w:rPr>
        <w:t xml:space="preserve">, A. (2008) ‘This is my truth, tell me yours: exploring the internal tensions within collaborative learning disability research’, British Journal of </w:t>
      </w:r>
      <w:r>
        <w:rPr>
          <w:bCs/>
          <w:iCs/>
          <w:lang w:val="en-GB"/>
        </w:rPr>
        <w:lastRenderedPageBreak/>
        <w:t>Learning Disabilities, 36 (4), 271-276.</w:t>
      </w:r>
      <w:r w:rsidR="00643709">
        <w:rPr>
          <w:bCs/>
          <w:iCs/>
          <w:lang w:val="en-GB"/>
        </w:rPr>
        <w:t xml:space="preserve"> Available from: </w:t>
      </w:r>
      <w:r w:rsidR="00643709" w:rsidRPr="00643709">
        <w:rPr>
          <w:bCs/>
          <w:iCs/>
          <w:lang w:val="en-GB"/>
        </w:rPr>
        <w:t>https://doi.org/10.1111/j.1468-3156.2007.00485.x</w:t>
      </w:r>
      <w:r w:rsidR="00643709">
        <w:rPr>
          <w:bCs/>
          <w:iCs/>
          <w:lang w:val="en-GB"/>
        </w:rPr>
        <w:t xml:space="preserve"> </w:t>
      </w:r>
    </w:p>
    <w:p w14:paraId="7BD8E418" w14:textId="3CC1F816" w:rsidR="0077608C" w:rsidRDefault="00296CBC" w:rsidP="00301BA0">
      <w:pPr>
        <w:spacing w:line="360" w:lineRule="auto"/>
      </w:pPr>
      <w:r w:rsidRPr="00296CBC">
        <w:rPr>
          <w:bCs/>
          <w:iCs/>
          <w:lang w:val="en-GB"/>
        </w:rPr>
        <w:t xml:space="preserve">Mitchell, D. (2003), ‘Research methodologies and the quandary of over-analysed populations’ in </w:t>
      </w:r>
      <w:r w:rsidRPr="00D32663">
        <w:rPr>
          <w:bCs/>
          <w:lang w:val="en-GB"/>
        </w:rPr>
        <w:t>Using Emancipatory Methodologies in Disability Research</w:t>
      </w:r>
      <w:r w:rsidRPr="00296CBC">
        <w:rPr>
          <w:bCs/>
          <w:iCs/>
          <w:lang w:val="en-GB"/>
        </w:rPr>
        <w:t>, proceedings of the first NDA Disability Research Conference, Dublin: NDA</w:t>
      </w:r>
      <w:r w:rsidR="00F319CE">
        <w:rPr>
          <w:bCs/>
          <w:iCs/>
          <w:lang w:val="en-GB"/>
        </w:rPr>
        <w:t>.</w:t>
      </w:r>
    </w:p>
    <w:p w14:paraId="230D1584" w14:textId="277892C6" w:rsidR="00877B2A" w:rsidRPr="00877B2A" w:rsidRDefault="00877B2A" w:rsidP="00301BA0">
      <w:pPr>
        <w:spacing w:line="360" w:lineRule="auto"/>
        <w:rPr>
          <w:bCs/>
          <w:iCs/>
          <w:lang w:val="en-GB"/>
        </w:rPr>
      </w:pPr>
      <w:r w:rsidRPr="00877B2A">
        <w:rPr>
          <w:bCs/>
          <w:iCs/>
          <w:lang w:val="en-GB"/>
        </w:rPr>
        <w:t xml:space="preserve">McGraw, L., </w:t>
      </w:r>
      <w:proofErr w:type="spellStart"/>
      <w:r w:rsidRPr="00877B2A">
        <w:rPr>
          <w:bCs/>
          <w:iCs/>
          <w:lang w:val="en-GB"/>
        </w:rPr>
        <w:t>Zvonkovic</w:t>
      </w:r>
      <w:proofErr w:type="spellEnd"/>
      <w:r w:rsidRPr="00877B2A">
        <w:rPr>
          <w:bCs/>
          <w:iCs/>
          <w:lang w:val="en-GB"/>
        </w:rPr>
        <w:t xml:space="preserve">, A. and Walker, A. (2000), ‘Studying post-modern families: A feminist analysis of ethical tensions in work and family research’, </w:t>
      </w:r>
      <w:r w:rsidRPr="00D32663">
        <w:rPr>
          <w:bCs/>
          <w:lang w:val="en-GB"/>
        </w:rPr>
        <w:t>Journal of Marriage and the Family</w:t>
      </w:r>
      <w:r w:rsidRPr="00877B2A">
        <w:rPr>
          <w:bCs/>
          <w:iCs/>
          <w:lang w:val="en-GB"/>
        </w:rPr>
        <w:t xml:space="preserve">, 62(1), </w:t>
      </w:r>
      <w:r w:rsidR="00643709">
        <w:rPr>
          <w:bCs/>
          <w:iCs/>
          <w:lang w:val="en-GB"/>
        </w:rPr>
        <w:t xml:space="preserve">pp. </w:t>
      </w:r>
      <w:r w:rsidRPr="00877B2A">
        <w:rPr>
          <w:bCs/>
          <w:iCs/>
          <w:lang w:val="en-GB"/>
        </w:rPr>
        <w:t>68–77</w:t>
      </w:r>
      <w:r w:rsidR="00643709">
        <w:rPr>
          <w:bCs/>
          <w:iCs/>
          <w:lang w:val="en-GB"/>
        </w:rPr>
        <w:t xml:space="preserve">. Available from: </w:t>
      </w:r>
      <w:r w:rsidR="00643709" w:rsidRPr="00643709">
        <w:rPr>
          <w:bCs/>
          <w:iCs/>
          <w:lang w:val="en-GB"/>
        </w:rPr>
        <w:t>https://www.jstor.org/stable/1566688</w:t>
      </w:r>
      <w:r w:rsidR="00643709">
        <w:rPr>
          <w:bCs/>
          <w:iCs/>
          <w:lang w:val="en-GB"/>
        </w:rPr>
        <w:t xml:space="preserve"> </w:t>
      </w:r>
    </w:p>
    <w:p w14:paraId="3708DE98" w14:textId="78572866" w:rsidR="002B4B46" w:rsidRDefault="000E0CD2" w:rsidP="00301BA0">
      <w:pPr>
        <w:spacing w:line="360" w:lineRule="auto"/>
        <w:rPr>
          <w:bCs/>
          <w:iCs/>
        </w:rPr>
      </w:pPr>
      <w:r w:rsidRPr="0027460C">
        <w:rPr>
          <w:bCs/>
          <w:iCs/>
        </w:rPr>
        <w:t>Montgomery, L., Kelly, B., Campbell, U. </w:t>
      </w:r>
      <w:r w:rsidRPr="0027460C">
        <w:rPr>
          <w:bCs/>
          <w:i/>
          <w:iCs/>
        </w:rPr>
        <w:t>et al.</w:t>
      </w:r>
      <w:r w:rsidRPr="0027460C">
        <w:rPr>
          <w:bCs/>
          <w:iCs/>
        </w:rPr>
        <w:t> </w:t>
      </w:r>
      <w:r w:rsidR="002720EF">
        <w:rPr>
          <w:bCs/>
          <w:iCs/>
        </w:rPr>
        <w:t xml:space="preserve">(2022) </w:t>
      </w:r>
      <w:r w:rsidRPr="0027460C">
        <w:rPr>
          <w:bCs/>
          <w:iCs/>
        </w:rPr>
        <w:t>‘Getting our voices heard in research: a review of peer researcher’s roles and experiences on a qualitative study of adult safeguarding policy. </w:t>
      </w:r>
      <w:r w:rsidRPr="00D32663">
        <w:rPr>
          <w:bCs/>
        </w:rPr>
        <w:t xml:space="preserve">Res </w:t>
      </w:r>
      <w:proofErr w:type="spellStart"/>
      <w:r w:rsidRPr="00D32663">
        <w:rPr>
          <w:bCs/>
        </w:rPr>
        <w:t>Involv</w:t>
      </w:r>
      <w:proofErr w:type="spellEnd"/>
      <w:r w:rsidRPr="00D32663">
        <w:rPr>
          <w:bCs/>
        </w:rPr>
        <w:t xml:space="preserve"> </w:t>
      </w:r>
      <w:proofErr w:type="spellStart"/>
      <w:r w:rsidRPr="00D32663">
        <w:rPr>
          <w:bCs/>
        </w:rPr>
        <w:t>Engagem</w:t>
      </w:r>
      <w:proofErr w:type="spellEnd"/>
      <w:r w:rsidRPr="0027460C">
        <w:rPr>
          <w:bCs/>
          <w:iCs/>
        </w:rPr>
        <w:t> </w:t>
      </w:r>
      <w:r w:rsidRPr="0027460C">
        <w:rPr>
          <w:b/>
          <w:bCs/>
          <w:iCs/>
        </w:rPr>
        <w:t>8</w:t>
      </w:r>
      <w:r w:rsidRPr="0027460C">
        <w:rPr>
          <w:bCs/>
          <w:iCs/>
        </w:rPr>
        <w:t xml:space="preserve">, 64. </w:t>
      </w:r>
      <w:r w:rsidR="00643709">
        <w:rPr>
          <w:bCs/>
          <w:iCs/>
        </w:rPr>
        <w:t xml:space="preserve">Available from: </w:t>
      </w:r>
      <w:hyperlink r:id="rId34" w:history="1">
        <w:r w:rsidR="00643709" w:rsidRPr="00643709">
          <w:rPr>
            <w:rStyle w:val="Hyperlink"/>
            <w:bCs/>
            <w:iCs/>
          </w:rPr>
          <w:t>https://doi.org/10.1186/s40900-022-00403-4</w:t>
        </w:r>
      </w:hyperlink>
      <w:r w:rsidR="0077608C">
        <w:rPr>
          <w:rStyle w:val="Hyperlink"/>
          <w:bCs/>
          <w:iCs/>
        </w:rPr>
        <w:t xml:space="preserve"> </w:t>
      </w:r>
    </w:p>
    <w:p w14:paraId="64F7B634" w14:textId="46F9448B" w:rsidR="002720EF" w:rsidRDefault="002720EF" w:rsidP="00301BA0">
      <w:pPr>
        <w:spacing w:line="360" w:lineRule="auto"/>
      </w:pPr>
      <w:r w:rsidRPr="002720EF">
        <w:t>Murphy, V., Gulati, G., Whelan, D., Dunne, C., &amp; Kelly, B. (2023). The changing face of Capacity legislation in Ireland: Algorithms for clinicians. </w:t>
      </w:r>
      <w:r w:rsidRPr="00D32663">
        <w:t>Irish Journal of Psychological Medicine,</w:t>
      </w:r>
      <w:r w:rsidRPr="00643709">
        <w:t> </w:t>
      </w:r>
      <w:r w:rsidRPr="00D32663">
        <w:t>40</w:t>
      </w:r>
      <w:r w:rsidRPr="002720EF">
        <w:t xml:space="preserve">(2), 109-113. </w:t>
      </w:r>
      <w:r w:rsidR="00490223">
        <w:t xml:space="preserve">Available from: </w:t>
      </w:r>
      <w:r w:rsidR="00490223" w:rsidRPr="00490223">
        <w:t>https://doi.org/10.1017/ipm.2020.7</w:t>
      </w:r>
      <w:r w:rsidR="00490223">
        <w:t xml:space="preserve"> </w:t>
      </w:r>
    </w:p>
    <w:p w14:paraId="43E15AD6" w14:textId="617D5648" w:rsidR="00723DCE" w:rsidRDefault="00723DCE" w:rsidP="00301BA0">
      <w:pPr>
        <w:spacing w:line="360" w:lineRule="auto"/>
      </w:pPr>
      <w:r>
        <w:t xml:space="preserve">NDA (2023) </w:t>
      </w:r>
      <w:r w:rsidRPr="00723DCE">
        <w:t>Collaborative research with disabled people: Guidance for Researchers</w:t>
      </w:r>
      <w:r w:rsidR="00490223">
        <w:t>. Available from:</w:t>
      </w:r>
      <w:r w:rsidR="00816DB3">
        <w:t xml:space="preserve"> </w:t>
      </w:r>
      <w:r w:rsidR="00816DB3" w:rsidRPr="00816DB3">
        <w:t>https://nda.ie/uploads/publications/NDA-Collaborative-Research-Report_final.pdf</w:t>
      </w:r>
      <w:r w:rsidR="00816DB3">
        <w:t xml:space="preserve"> </w:t>
      </w:r>
    </w:p>
    <w:p w14:paraId="3D121D7A" w14:textId="63C75658" w:rsidR="0093029C" w:rsidRDefault="0093029C" w:rsidP="00301BA0">
      <w:pPr>
        <w:spacing w:line="360" w:lineRule="auto"/>
      </w:pPr>
      <w:r w:rsidRPr="002244CB">
        <w:t xml:space="preserve">NDA (2022) </w:t>
      </w:r>
      <w:r>
        <w:t>NDA Advice Paper on Disability Language and Terminology – National Disability Authority</w:t>
      </w:r>
      <w:r w:rsidR="00490223">
        <w:t>. Available from:</w:t>
      </w:r>
      <w:r>
        <w:t xml:space="preserve"> </w:t>
      </w:r>
      <w:hyperlink r:id="rId35" w:history="1">
        <w:r w:rsidRPr="00C13CCB">
          <w:rPr>
            <w:rStyle w:val="Hyperlink"/>
          </w:rPr>
          <w:t>https://nda.ie/publications/nda-advice-paper-on-disability-language-and-terminology</w:t>
        </w:r>
      </w:hyperlink>
      <w:r w:rsidRPr="003A11E9">
        <w:t xml:space="preserve"> </w:t>
      </w:r>
    </w:p>
    <w:p w14:paraId="547E8531" w14:textId="7148639A" w:rsidR="00865A66" w:rsidRPr="002D562D" w:rsidRDefault="00865A66" w:rsidP="00301BA0">
      <w:pPr>
        <w:pStyle w:val="FootnoteText"/>
        <w:spacing w:line="360" w:lineRule="auto"/>
        <w:rPr>
          <w:sz w:val="26"/>
          <w:szCs w:val="26"/>
        </w:rPr>
      </w:pPr>
      <w:r w:rsidRPr="00187FD5">
        <w:rPr>
          <w:sz w:val="26"/>
          <w:szCs w:val="26"/>
        </w:rPr>
        <w:lastRenderedPageBreak/>
        <w:t>NDA (2022</w:t>
      </w:r>
      <w:r>
        <w:rPr>
          <w:sz w:val="26"/>
          <w:szCs w:val="26"/>
        </w:rPr>
        <w:t>a</w:t>
      </w:r>
      <w:r w:rsidRPr="00187FD5">
        <w:rPr>
          <w:sz w:val="26"/>
          <w:szCs w:val="26"/>
        </w:rPr>
        <w:t>) Conducting Collaborative Research with People with Disabilities: A literature review</w:t>
      </w:r>
      <w:r w:rsidR="00490223">
        <w:rPr>
          <w:sz w:val="26"/>
          <w:szCs w:val="26"/>
        </w:rPr>
        <w:t>. Available from:</w:t>
      </w:r>
      <w:r w:rsidRPr="00187FD5">
        <w:rPr>
          <w:sz w:val="26"/>
          <w:szCs w:val="26"/>
        </w:rPr>
        <w:t xml:space="preserve"> </w:t>
      </w:r>
      <w:hyperlink r:id="rId36" w:history="1">
        <w:r w:rsidRPr="00187FD5">
          <w:rPr>
            <w:rStyle w:val="Hyperlink"/>
            <w:sz w:val="26"/>
            <w:szCs w:val="26"/>
          </w:rPr>
          <w:t>https://nda.ie/publications/conducting-collaborative-research-with-people-with-disabilities-a-literature-review</w:t>
        </w:r>
      </w:hyperlink>
      <w:r w:rsidR="0077608C">
        <w:rPr>
          <w:rStyle w:val="Hyperlink"/>
          <w:sz w:val="26"/>
          <w:szCs w:val="26"/>
        </w:rPr>
        <w:t xml:space="preserve"> </w:t>
      </w:r>
    </w:p>
    <w:p w14:paraId="522207F6" w14:textId="012211E5" w:rsidR="00187FD5" w:rsidRDefault="00F53DE8" w:rsidP="00301BA0">
      <w:pPr>
        <w:spacing w:line="360" w:lineRule="auto"/>
      </w:pPr>
      <w:r w:rsidRPr="00F53DE8">
        <w:t>NDA (2022</w:t>
      </w:r>
      <w:r w:rsidR="00865A66">
        <w:t>b</w:t>
      </w:r>
      <w:r w:rsidRPr="00F53DE8">
        <w:t>) Participation Matters: Guidelines on implementing the obligation to meaningfully engage with disabled people in public decision making</w:t>
      </w:r>
      <w:r w:rsidR="00865A66">
        <w:t>.</w:t>
      </w:r>
      <w:r w:rsidR="00490223">
        <w:t xml:space="preserve"> Available from: </w:t>
      </w:r>
      <w:hyperlink r:id="rId37" w:history="1">
        <w:r w:rsidR="00490223" w:rsidRPr="00490223">
          <w:rPr>
            <w:rStyle w:val="Hyperlink"/>
          </w:rPr>
          <w:t>https://nda.ie/publications/participation-matters-guidelines-on-implementing-the-obligation-to-meaningfully-engage-with-disabled-people-in-public-decision-making</w:t>
        </w:r>
      </w:hyperlink>
      <w:r w:rsidR="0077608C">
        <w:rPr>
          <w:rStyle w:val="Hyperlink"/>
        </w:rPr>
        <w:t xml:space="preserve"> </w:t>
      </w:r>
    </w:p>
    <w:p w14:paraId="22261305" w14:textId="557FC9AC" w:rsidR="00A91273" w:rsidRDefault="00A91273" w:rsidP="00A91273">
      <w:pPr>
        <w:spacing w:line="360" w:lineRule="auto"/>
      </w:pPr>
      <w:r>
        <w:t>NDA (2021)</w:t>
      </w:r>
      <w:r w:rsidRPr="00A91273">
        <w:t xml:space="preserve"> </w:t>
      </w:r>
      <w:r>
        <w:t xml:space="preserve">A review of Disabled Persons Organisations (DPOs) and their participation in implementing and monitoring the UNCRPD. Available from: </w:t>
      </w:r>
      <w:r w:rsidRPr="00A91273">
        <w:t>https://nda.ie/uploads/publications/A-review-of-disabled-persons-organisations-and-their-participation-in-implementing-and-monitoring-uncrpd.pdf.pdf</w:t>
      </w:r>
    </w:p>
    <w:p w14:paraId="48FB4454" w14:textId="33095013" w:rsidR="00A91273" w:rsidRDefault="00A91273" w:rsidP="00301BA0">
      <w:pPr>
        <w:spacing w:line="360" w:lineRule="auto"/>
      </w:pPr>
      <w:r>
        <w:t xml:space="preserve">NDA 2009 </w:t>
      </w:r>
      <w:r w:rsidRPr="00A91273">
        <w:t>Ethical Guidance for Research with People with Disabilities</w:t>
      </w:r>
      <w:r>
        <w:t xml:space="preserve">, Disability Research Series 13. Available from: </w:t>
      </w:r>
      <w:r w:rsidRPr="00A91273">
        <w:t>https://nda.ie/publications/ethical-guidance-for-research-with-people-with-disabilities-report</w:t>
      </w:r>
    </w:p>
    <w:p w14:paraId="7B01931B" w14:textId="2FE875BE" w:rsidR="0093029C" w:rsidRDefault="0093029C" w:rsidP="00301BA0">
      <w:pPr>
        <w:spacing w:line="360" w:lineRule="auto"/>
      </w:pPr>
      <w:r w:rsidRPr="002244CB">
        <w:t xml:space="preserve">NEAC (National Ethics Advisory Committee) </w:t>
      </w:r>
      <w:r w:rsidR="00A91273">
        <w:t>(</w:t>
      </w:r>
      <w:r w:rsidRPr="002244CB">
        <w:t>2019</w:t>
      </w:r>
      <w:r w:rsidR="00A91273">
        <w:t>)</w:t>
      </w:r>
      <w:r w:rsidRPr="002244CB">
        <w:t xml:space="preserve"> National Ethical Standards for Health and Disability Research and Quality Improvement. Wellington: Ministry of Health.</w:t>
      </w:r>
      <w:r w:rsidRPr="003A11E9">
        <w:t xml:space="preserve"> </w:t>
      </w:r>
      <w:r w:rsidR="00490223">
        <w:t xml:space="preserve">Available from: </w:t>
      </w:r>
      <w:hyperlink r:id="rId38" w:history="1">
        <w:r w:rsidR="00490223" w:rsidRPr="00490223">
          <w:rPr>
            <w:rStyle w:val="Hyperlink"/>
          </w:rPr>
          <w:t>https://neac.health.govt.nz/publications-and-resources/neac-publications/national-ethical-standards-for-health-and-disability-research-and-quality-improvement/</w:t>
        </w:r>
      </w:hyperlink>
      <w:r>
        <w:t xml:space="preserve"> </w:t>
      </w:r>
    </w:p>
    <w:p w14:paraId="118E512B" w14:textId="6A454FD2" w:rsidR="00DC7D74" w:rsidRPr="00877B2A" w:rsidRDefault="00DC7D74" w:rsidP="00301BA0">
      <w:pPr>
        <w:spacing w:line="360" w:lineRule="auto"/>
        <w:rPr>
          <w:lang w:val="en-GB"/>
        </w:rPr>
      </w:pPr>
      <w:r w:rsidRPr="00DC7D74">
        <w:rPr>
          <w:lang w:val="en-GB"/>
        </w:rPr>
        <w:t xml:space="preserve">Newman, E., Willard, T., Sinclair, R. and </w:t>
      </w:r>
      <w:proofErr w:type="spellStart"/>
      <w:r w:rsidRPr="00DC7D74">
        <w:rPr>
          <w:lang w:val="en-GB"/>
        </w:rPr>
        <w:t>Kaloupek</w:t>
      </w:r>
      <w:proofErr w:type="spellEnd"/>
      <w:r w:rsidRPr="00DC7D74">
        <w:rPr>
          <w:lang w:val="en-GB"/>
        </w:rPr>
        <w:t xml:space="preserve">, D. (2001), ‘Empirically supported ethical practice: the costs and benefits of research from the participants’ view’, </w:t>
      </w:r>
      <w:r w:rsidRPr="00D32663">
        <w:rPr>
          <w:iCs/>
          <w:lang w:val="en-GB"/>
        </w:rPr>
        <w:t>Account Research</w:t>
      </w:r>
      <w:r w:rsidRPr="00DC7D74">
        <w:rPr>
          <w:lang w:val="en-GB"/>
        </w:rPr>
        <w:t>, 8(4), pp. 309–29</w:t>
      </w:r>
      <w:r w:rsidR="00490223">
        <w:rPr>
          <w:lang w:val="en-GB"/>
        </w:rPr>
        <w:t xml:space="preserve">. Available from: </w:t>
      </w:r>
      <w:r w:rsidR="00490223" w:rsidRPr="00490223">
        <w:rPr>
          <w:lang w:val="en-GB"/>
        </w:rPr>
        <w:t>https://doi.org/10.1080/08989620108573983</w:t>
      </w:r>
    </w:p>
    <w:p w14:paraId="021570CE" w14:textId="3DB10A5A" w:rsidR="004760F9" w:rsidRDefault="004760F9" w:rsidP="00301BA0">
      <w:pPr>
        <w:spacing w:line="360" w:lineRule="auto"/>
      </w:pPr>
      <w:r w:rsidRPr="004760F9">
        <w:t>NICE (National Institute of Health and Care Excellence), 2018</w:t>
      </w:r>
      <w:r>
        <w:t xml:space="preserve">, </w:t>
      </w:r>
      <w:r w:rsidRPr="004760F9">
        <w:t>Research governance policy</w:t>
      </w:r>
      <w:r w:rsidR="00490223">
        <w:t>. Available from:</w:t>
      </w:r>
      <w:r>
        <w:t xml:space="preserve"> </w:t>
      </w:r>
      <w:hyperlink r:id="rId39" w:history="1">
        <w:r w:rsidRPr="00C13CCB">
          <w:rPr>
            <w:rStyle w:val="Hyperlink"/>
          </w:rPr>
          <w:t>https://www.nice.org.uk/Media/Default/About/what-we-do/science-policy-and-research/research-governance-policy.pdf</w:t>
        </w:r>
      </w:hyperlink>
      <w:r>
        <w:t xml:space="preserve"> </w:t>
      </w:r>
    </w:p>
    <w:p w14:paraId="35BE0131" w14:textId="5429B6FF" w:rsidR="000463CC" w:rsidRDefault="000463CC" w:rsidP="00301BA0">
      <w:pPr>
        <w:spacing w:line="360" w:lineRule="auto"/>
      </w:pPr>
      <w:r>
        <w:t xml:space="preserve">NMBI </w:t>
      </w:r>
      <w:r w:rsidRPr="000463CC">
        <w:t>(Nursing and Midwifery Board of Ireland</w:t>
      </w:r>
      <w:r>
        <w:t xml:space="preserve">), 2015 </w:t>
      </w:r>
      <w:r w:rsidRPr="000463CC">
        <w:t>Ethical Conduct in Research: Professional Guidance. NMBI, Dublin</w:t>
      </w:r>
      <w:r w:rsidR="00490223">
        <w:t>.</w:t>
      </w:r>
    </w:p>
    <w:p w14:paraId="5F5E3D03" w14:textId="6182656C" w:rsidR="000E6DAC" w:rsidRDefault="000E6DAC" w:rsidP="00301BA0">
      <w:pPr>
        <w:spacing w:line="360" w:lineRule="auto"/>
      </w:pPr>
      <w:r w:rsidRPr="000E6DAC">
        <w:t xml:space="preserve">Oireachtas Library and Research Service (2017). Assisted Decision-Making (Capacity) Act 2015: how will it work? Dublin, Ireland. </w:t>
      </w:r>
      <w:r>
        <w:t xml:space="preserve">Available from: </w:t>
      </w:r>
      <w:hyperlink r:id="rId40" w:history="1">
        <w:r w:rsidRPr="00337788">
          <w:rPr>
            <w:rStyle w:val="Hyperlink"/>
          </w:rPr>
          <w:t>https://data.oireachtas.ie/ie/oireachtas/libraryResearch/2017/2017-05-16_assisted-decision-making-capacity-act-2015-how-will-it-work_en.pdf</w:t>
        </w:r>
      </w:hyperlink>
      <w:r>
        <w:t xml:space="preserve"> </w:t>
      </w:r>
    </w:p>
    <w:p w14:paraId="19C5A650" w14:textId="14C08F11" w:rsidR="000E0CD2" w:rsidRDefault="000E0CD2" w:rsidP="00301BA0">
      <w:pPr>
        <w:spacing w:line="360" w:lineRule="auto"/>
      </w:pPr>
      <w:r>
        <w:t>Parahoo K (2014) Nursing Research Principles, Process</w:t>
      </w:r>
      <w:r w:rsidR="00D305D0">
        <w:t>,</w:t>
      </w:r>
      <w:r>
        <w:t xml:space="preserve"> and Issues. 3rd ed. Palgrave Macmillan, Basingstoke</w:t>
      </w:r>
      <w:r w:rsidR="00490223">
        <w:t>.</w:t>
      </w:r>
      <w:r>
        <w:t xml:space="preserve"> </w:t>
      </w:r>
    </w:p>
    <w:p w14:paraId="051F7B6F" w14:textId="276E857C" w:rsidR="00814449" w:rsidRDefault="00814449" w:rsidP="00301BA0">
      <w:pPr>
        <w:spacing w:line="360" w:lineRule="auto"/>
      </w:pPr>
      <w:r>
        <w:t>Pollard, RQ (2002) ‘Ethical conduct in research involving deaf people’ in Gutman, V.A. (ed.), Ethics in Mental Health and Deafness. Washington, DC</w:t>
      </w:r>
      <w:r w:rsidR="001C1F4B">
        <w:t xml:space="preserve">: Gallaudet University Press, 162-178.                                                                                                </w:t>
      </w:r>
    </w:p>
    <w:p w14:paraId="4E89FB2A" w14:textId="4B473094" w:rsidR="000E0CD2" w:rsidRDefault="000E0CD2" w:rsidP="00301BA0">
      <w:pPr>
        <w:spacing w:line="360" w:lineRule="auto"/>
      </w:pPr>
      <w:r>
        <w:t xml:space="preserve">Polit DF, Beck CT (2013) Essentials of Nursing Research: Appraising Evidence for Nursing Practice. 8th ed. Wolters Kluwer/Lippincott Williams and Wilkins, Philadelphia </w:t>
      </w:r>
    </w:p>
    <w:p w14:paraId="19AEAC26" w14:textId="67E11D75" w:rsidR="000E0CD2" w:rsidRDefault="000E0CD2" w:rsidP="00301BA0">
      <w:pPr>
        <w:spacing w:line="360" w:lineRule="auto"/>
        <w:rPr>
          <w:lang w:val="en-GB"/>
        </w:rPr>
      </w:pPr>
      <w:r w:rsidRPr="00464463">
        <w:rPr>
          <w:lang w:val="en-GB"/>
        </w:rPr>
        <w:t xml:space="preserve">Ramcharan, P. and Cutcliffe, J. R. (2001), ‘Judging the ethics of qualitative research: considering the “ethics as process” model, </w:t>
      </w:r>
      <w:r w:rsidRPr="00D32663">
        <w:rPr>
          <w:iCs/>
          <w:lang w:val="en-GB"/>
        </w:rPr>
        <w:t>Health &amp; Social Care in the Community,</w:t>
      </w:r>
      <w:r w:rsidRPr="00490223">
        <w:rPr>
          <w:iCs/>
          <w:lang w:val="en-GB"/>
        </w:rPr>
        <w:t xml:space="preserve"> </w:t>
      </w:r>
      <w:r w:rsidRPr="00464463">
        <w:rPr>
          <w:lang w:val="en-GB"/>
        </w:rPr>
        <w:t>9(6), pp. 358–66</w:t>
      </w:r>
      <w:r w:rsidR="00490223">
        <w:rPr>
          <w:lang w:val="en-GB"/>
        </w:rPr>
        <w:t xml:space="preserve">. Available from: </w:t>
      </w:r>
      <w:r w:rsidR="00490223" w:rsidRPr="00490223">
        <w:rPr>
          <w:lang w:val="en-GB"/>
        </w:rPr>
        <w:t>https://doi.org/10.1046/j.1365-2524.2001.00323.x</w:t>
      </w:r>
      <w:r w:rsidR="00490223">
        <w:rPr>
          <w:lang w:val="en-GB"/>
        </w:rPr>
        <w:t xml:space="preserve"> </w:t>
      </w:r>
    </w:p>
    <w:p w14:paraId="327E6B92" w14:textId="040AB1A5" w:rsidR="00856D8E" w:rsidRPr="00856D8E" w:rsidRDefault="00856D8E" w:rsidP="00301BA0">
      <w:pPr>
        <w:spacing w:line="360" w:lineRule="auto"/>
        <w:rPr>
          <w:bCs/>
          <w:iCs/>
        </w:rPr>
      </w:pPr>
      <w:proofErr w:type="spellStart"/>
      <w:r w:rsidRPr="00856D8E">
        <w:rPr>
          <w:bCs/>
          <w:iCs/>
        </w:rPr>
        <w:t>Rauhala</w:t>
      </w:r>
      <w:proofErr w:type="spellEnd"/>
      <w:r w:rsidRPr="00856D8E">
        <w:rPr>
          <w:bCs/>
          <w:iCs/>
        </w:rPr>
        <w:t xml:space="preserve">, M, </w:t>
      </w:r>
      <w:bookmarkStart w:id="73" w:name="_Hlk152751875"/>
      <w:proofErr w:type="spellStart"/>
      <w:r w:rsidRPr="00856D8E">
        <w:rPr>
          <w:bCs/>
          <w:iCs/>
        </w:rPr>
        <w:t>Kalokairinou</w:t>
      </w:r>
      <w:bookmarkEnd w:id="73"/>
      <w:proofErr w:type="spellEnd"/>
      <w:r w:rsidRPr="00856D8E">
        <w:rPr>
          <w:bCs/>
          <w:iCs/>
        </w:rPr>
        <w:t xml:space="preserve">, L (2021) Ethics in Social Science and Humanities (at the request of the European Commission and under the supervision of the Research Ethics and Integrity Sector, Directorate Research &amp; Innovation, the European Commission.) </w:t>
      </w:r>
      <w:r w:rsidR="00490223">
        <w:rPr>
          <w:bCs/>
          <w:iCs/>
        </w:rPr>
        <w:t xml:space="preserve">Available from: </w:t>
      </w:r>
      <w:hyperlink r:id="rId41" w:history="1">
        <w:r w:rsidR="00490223" w:rsidRPr="00490223">
          <w:rPr>
            <w:rStyle w:val="Hyperlink"/>
            <w:bCs/>
            <w:iCs/>
          </w:rPr>
          <w:t>https://ec.europa.eu/info/funding-</w:t>
        </w:r>
        <w:r w:rsidR="00490223" w:rsidRPr="00490223">
          <w:rPr>
            <w:rStyle w:val="Hyperlink"/>
            <w:bCs/>
            <w:iCs/>
          </w:rPr>
          <w:lastRenderedPageBreak/>
          <w:t>tenders/opportunities/docs/2021-2027/horizon/guidance/ethics-in-social-science-and-humanities_he_en.pdf</w:t>
        </w:r>
      </w:hyperlink>
      <w:r w:rsidRPr="00856D8E">
        <w:rPr>
          <w:bCs/>
          <w:iCs/>
        </w:rPr>
        <w:t xml:space="preserve"> </w:t>
      </w:r>
    </w:p>
    <w:p w14:paraId="0FFDF417" w14:textId="2614C34E" w:rsidR="0023550F" w:rsidRDefault="0023550F" w:rsidP="00301BA0">
      <w:pPr>
        <w:spacing w:line="360" w:lineRule="auto"/>
      </w:pPr>
      <w:proofErr w:type="spellStart"/>
      <w:r>
        <w:t>Rawbone</w:t>
      </w:r>
      <w:proofErr w:type="spellEnd"/>
      <w:r>
        <w:t xml:space="preserve">, R (2007) Editorial, </w:t>
      </w:r>
      <w:r w:rsidRPr="00D32663">
        <w:t>Research Ethics Review</w:t>
      </w:r>
      <w:r>
        <w:t>, 3(4), pp</w:t>
      </w:r>
      <w:r w:rsidR="00490223">
        <w:t>.</w:t>
      </w:r>
      <w:r>
        <w:t>109-110</w:t>
      </w:r>
      <w:r w:rsidR="00490223">
        <w:t>.</w:t>
      </w:r>
      <w:r w:rsidR="00A87BFE">
        <w:t xml:space="preserve"> Available from: </w:t>
      </w:r>
      <w:r w:rsidR="00A87BFE" w:rsidRPr="00A87BFE">
        <w:t>https://doi.org/10.1177/174701610700300201</w:t>
      </w:r>
    </w:p>
    <w:p w14:paraId="0BC678A4" w14:textId="294DBADE" w:rsidR="00A731F0" w:rsidRDefault="00A731F0" w:rsidP="00301BA0">
      <w:pPr>
        <w:spacing w:line="360" w:lineRule="auto"/>
      </w:pPr>
      <w:r>
        <w:t xml:space="preserve">Research Office, University of Cumbria (2020) </w:t>
      </w:r>
      <w:r w:rsidRPr="00A731F0">
        <w:t>Lone Worker Procedures for Researchers</w:t>
      </w:r>
      <w:r w:rsidR="00A87BFE">
        <w:t xml:space="preserve">. Available from: </w:t>
      </w:r>
      <w:r>
        <w:t xml:space="preserve"> </w:t>
      </w:r>
      <w:hyperlink r:id="rId42" w:history="1">
        <w:r w:rsidRPr="00F264F5">
          <w:rPr>
            <w:rStyle w:val="Hyperlink"/>
          </w:rPr>
          <w:t>https://www.cumbria.ac.uk/media/Lone-Worker-Procedures-for-Researchers.pdf</w:t>
        </w:r>
      </w:hyperlink>
      <w:r w:rsidR="002D562D">
        <w:rPr>
          <w:rStyle w:val="Hyperlink"/>
        </w:rPr>
        <w:t xml:space="preserve"> </w:t>
      </w:r>
    </w:p>
    <w:p w14:paraId="288991B4" w14:textId="2606ABC5" w:rsidR="0093029C" w:rsidRPr="0093029C" w:rsidRDefault="0093029C" w:rsidP="00301BA0">
      <w:pPr>
        <w:spacing w:line="360" w:lineRule="auto"/>
      </w:pPr>
      <w:r w:rsidRPr="002244CB">
        <w:t xml:space="preserve">Resnik, D (2020) What Is Ethics in Research &amp; Why Is It Important? </w:t>
      </w:r>
      <w:r w:rsidR="00A87BFE">
        <w:t xml:space="preserve">Available from: </w:t>
      </w:r>
      <w:hyperlink r:id="rId43" w:history="1">
        <w:r w:rsidR="00A87BFE" w:rsidRPr="001C08A5">
          <w:rPr>
            <w:rStyle w:val="Hyperlink"/>
          </w:rPr>
          <w:t>https://www.niehs.nih.gov/research/resources/bioethics/whatis/index.cfm</w:t>
        </w:r>
      </w:hyperlink>
      <w:r w:rsidR="00296CBC">
        <w:t xml:space="preserve"> </w:t>
      </w:r>
    </w:p>
    <w:p w14:paraId="58CCF1E7" w14:textId="00873B8C" w:rsidR="0093029C" w:rsidRPr="002244CB" w:rsidRDefault="0093029C" w:rsidP="00301BA0">
      <w:pPr>
        <w:spacing w:line="360" w:lineRule="auto"/>
        <w:rPr>
          <w:lang w:val="en-GB"/>
        </w:rPr>
      </w:pPr>
      <w:r w:rsidRPr="002244CB">
        <w:rPr>
          <w:lang w:val="en-GB"/>
        </w:rPr>
        <w:t xml:space="preserve">Resnick, D. (1998), </w:t>
      </w:r>
      <w:r w:rsidRPr="00D32663">
        <w:rPr>
          <w:iCs/>
          <w:lang w:val="en-GB"/>
        </w:rPr>
        <w:t>The Ethics of Science: An Introduction</w:t>
      </w:r>
      <w:r w:rsidRPr="002244CB">
        <w:rPr>
          <w:i/>
          <w:lang w:val="en-GB"/>
        </w:rPr>
        <w:t>,</w:t>
      </w:r>
      <w:r w:rsidRPr="002244CB">
        <w:rPr>
          <w:lang w:val="en-GB"/>
        </w:rPr>
        <w:t xml:space="preserve"> New York: Routledge</w:t>
      </w:r>
      <w:r w:rsidR="00F319CE">
        <w:rPr>
          <w:lang w:val="en-GB"/>
        </w:rPr>
        <w:t>.</w:t>
      </w:r>
    </w:p>
    <w:p w14:paraId="5D0EEB2B" w14:textId="2C062E84" w:rsidR="000E0CD2" w:rsidRDefault="000E0CD2" w:rsidP="00301BA0">
      <w:pPr>
        <w:spacing w:line="360" w:lineRule="auto"/>
        <w:rPr>
          <w:bCs/>
          <w:iCs/>
        </w:rPr>
      </w:pPr>
      <w:r>
        <w:t xml:space="preserve">Richards HM, Schwartz LJ (2002) Ethics of qualitative research: are there special issues for health services research. Fam </w:t>
      </w:r>
      <w:proofErr w:type="spellStart"/>
      <w:r>
        <w:t>Pract</w:t>
      </w:r>
      <w:proofErr w:type="spellEnd"/>
      <w:r>
        <w:t xml:space="preserve"> 19(2): 135–9</w:t>
      </w:r>
      <w:r w:rsidR="00A87BFE">
        <w:t xml:space="preserve">. Available from: </w:t>
      </w:r>
      <w:r w:rsidR="00A87BFE" w:rsidRPr="00A87BFE">
        <w:t>https://doi.org/10.1093/fampra/19.2.135</w:t>
      </w:r>
    </w:p>
    <w:p w14:paraId="2E122EA0" w14:textId="3703AEA1" w:rsidR="00AB71F2" w:rsidRPr="00AB71F2" w:rsidRDefault="00AB71F2" w:rsidP="00301BA0">
      <w:pPr>
        <w:spacing w:line="360" w:lineRule="auto"/>
        <w:rPr>
          <w:lang w:val="en-GB"/>
        </w:rPr>
      </w:pPr>
      <w:proofErr w:type="spellStart"/>
      <w:r w:rsidRPr="00AB71F2">
        <w:rPr>
          <w:lang w:val="en-GB"/>
        </w:rPr>
        <w:t>Ristock</w:t>
      </w:r>
      <w:proofErr w:type="spellEnd"/>
      <w:r w:rsidRPr="00AB71F2">
        <w:rPr>
          <w:lang w:val="en-GB"/>
        </w:rPr>
        <w:t xml:space="preserve">, J. L. and Pennell, J. (1996), </w:t>
      </w:r>
      <w:r w:rsidRPr="00D32663">
        <w:rPr>
          <w:iCs/>
          <w:lang w:val="en-GB"/>
        </w:rPr>
        <w:t>Community Research as Empowerment: Feminist Links, Postmodern Interruptions</w:t>
      </w:r>
      <w:r w:rsidRPr="00A87BFE">
        <w:rPr>
          <w:iCs/>
          <w:lang w:val="en-GB"/>
        </w:rPr>
        <w:t>,</w:t>
      </w:r>
      <w:r w:rsidRPr="00AB71F2">
        <w:rPr>
          <w:lang w:val="en-GB"/>
        </w:rPr>
        <w:t xml:space="preserve"> Toronto, Canada: Oxford University Press</w:t>
      </w:r>
      <w:r w:rsidR="00F319CE">
        <w:rPr>
          <w:lang w:val="en-GB"/>
        </w:rPr>
        <w:t>.</w:t>
      </w:r>
      <w:r w:rsidRPr="00AB71F2">
        <w:rPr>
          <w:lang w:val="en-GB"/>
        </w:rPr>
        <w:t xml:space="preserve"> </w:t>
      </w:r>
    </w:p>
    <w:p w14:paraId="7580B84F" w14:textId="328C8B76" w:rsidR="00723D41" w:rsidRPr="00723D41" w:rsidRDefault="00723D41" w:rsidP="00301BA0">
      <w:pPr>
        <w:spacing w:line="360" w:lineRule="auto"/>
        <w:rPr>
          <w:lang w:val="en-GB"/>
        </w:rPr>
      </w:pPr>
      <w:r w:rsidRPr="00723D41">
        <w:rPr>
          <w:bCs/>
          <w:lang w:val="en-GB"/>
        </w:rPr>
        <w:t xml:space="preserve">Roberts, L. W., Warner, T. D. and Brody, J. L. (2000), ‘Perspectives of patients with schizophrenia and psychiatrists regarding ethically important aspects of research participation’, </w:t>
      </w:r>
      <w:r w:rsidRPr="00D32663">
        <w:rPr>
          <w:bCs/>
          <w:iCs/>
          <w:lang w:val="en-GB"/>
        </w:rPr>
        <w:t>American Journal of Psychiatry,</w:t>
      </w:r>
      <w:r w:rsidRPr="00723D41">
        <w:rPr>
          <w:bCs/>
          <w:lang w:val="en-GB"/>
        </w:rPr>
        <w:t xml:space="preserve"> 157, pp. 67–74</w:t>
      </w:r>
      <w:r w:rsidR="00F319CE">
        <w:rPr>
          <w:bCs/>
          <w:lang w:val="en-GB"/>
        </w:rPr>
        <w:t xml:space="preserve">. Available from: </w:t>
      </w:r>
      <w:r w:rsidR="00F319CE" w:rsidRPr="00F319CE">
        <w:rPr>
          <w:bCs/>
          <w:lang w:val="en-GB"/>
        </w:rPr>
        <w:t>https://doi.org/10.1176/ajp.157.1.67</w:t>
      </w:r>
    </w:p>
    <w:p w14:paraId="662B9A4B" w14:textId="48D3C628" w:rsidR="00723D41" w:rsidRPr="00723D41" w:rsidRDefault="00723D41" w:rsidP="00301BA0">
      <w:pPr>
        <w:spacing w:line="360" w:lineRule="auto"/>
        <w:rPr>
          <w:lang w:val="en-GB"/>
        </w:rPr>
      </w:pPr>
      <w:r w:rsidRPr="00723D41">
        <w:rPr>
          <w:bCs/>
          <w:lang w:val="en-GB"/>
        </w:rPr>
        <w:t xml:space="preserve">Roberts, L. W., </w:t>
      </w:r>
      <w:proofErr w:type="spellStart"/>
      <w:r w:rsidRPr="00723D41">
        <w:rPr>
          <w:bCs/>
          <w:lang w:val="en-GB"/>
        </w:rPr>
        <w:t>Geppert</w:t>
      </w:r>
      <w:proofErr w:type="spellEnd"/>
      <w:r w:rsidRPr="00723D41">
        <w:rPr>
          <w:bCs/>
          <w:lang w:val="en-GB"/>
        </w:rPr>
        <w:t xml:space="preserve">, C. M. A., and Brody, J. L. (2001), ‘A Framework for Considering the Ethical Aspects of Psychiatric Research Protocols’, </w:t>
      </w:r>
      <w:r w:rsidRPr="00D32663">
        <w:rPr>
          <w:bCs/>
          <w:iCs/>
          <w:lang w:val="en-GB"/>
        </w:rPr>
        <w:t>Comprehensive Psychiatry,</w:t>
      </w:r>
      <w:r w:rsidRPr="00723D41">
        <w:rPr>
          <w:bCs/>
          <w:lang w:val="en-GB"/>
        </w:rPr>
        <w:t xml:space="preserve"> 42(5) pp. 351–63</w:t>
      </w:r>
      <w:r w:rsidR="00F319CE">
        <w:rPr>
          <w:bCs/>
          <w:lang w:val="en-GB"/>
        </w:rPr>
        <w:t xml:space="preserve">. Available from: </w:t>
      </w:r>
      <w:r w:rsidR="00F319CE" w:rsidRPr="00F319CE">
        <w:rPr>
          <w:bCs/>
          <w:lang w:val="en-GB"/>
        </w:rPr>
        <w:t>https://doi.org/10.1053/comp.2001.26269</w:t>
      </w:r>
    </w:p>
    <w:p w14:paraId="043CBC5C" w14:textId="7CC1ADC5" w:rsidR="00AB71F2" w:rsidRPr="00AB71F2" w:rsidRDefault="00AB71F2" w:rsidP="00301BA0">
      <w:pPr>
        <w:spacing w:line="360" w:lineRule="auto"/>
        <w:rPr>
          <w:lang w:val="en-GB"/>
        </w:rPr>
      </w:pPr>
      <w:proofErr w:type="spellStart"/>
      <w:r w:rsidRPr="00AB71F2">
        <w:rPr>
          <w:lang w:val="en-GB"/>
        </w:rPr>
        <w:lastRenderedPageBreak/>
        <w:t>Rolph</w:t>
      </w:r>
      <w:proofErr w:type="spellEnd"/>
      <w:r w:rsidRPr="00AB71F2">
        <w:rPr>
          <w:lang w:val="en-GB"/>
        </w:rPr>
        <w:t xml:space="preserve">, S. (1998), ‘Ethical dilemmas in historical research with people with learning difficulties’, </w:t>
      </w:r>
      <w:r w:rsidRPr="002D562D">
        <w:rPr>
          <w:iCs/>
          <w:lang w:val="en-GB"/>
        </w:rPr>
        <w:t>British Journal of Learning Disabilities,</w:t>
      </w:r>
      <w:r w:rsidRPr="00AB71F2">
        <w:rPr>
          <w:lang w:val="en-GB"/>
        </w:rPr>
        <w:t xml:space="preserve"> </w:t>
      </w:r>
      <w:r w:rsidR="00EB5A0E" w:rsidRPr="00AB71F2">
        <w:rPr>
          <w:lang w:val="en-GB"/>
        </w:rPr>
        <w:t>2</w:t>
      </w:r>
      <w:r w:rsidR="00EB5A0E">
        <w:rPr>
          <w:lang w:val="en-GB"/>
        </w:rPr>
        <w:t>6</w:t>
      </w:r>
      <w:r w:rsidRPr="00AB71F2">
        <w:rPr>
          <w:lang w:val="en-GB"/>
        </w:rPr>
        <w:t xml:space="preserve">(4), pp. </w:t>
      </w:r>
      <w:r w:rsidR="00EB5A0E" w:rsidRPr="00AB71F2">
        <w:rPr>
          <w:lang w:val="en-GB"/>
        </w:rPr>
        <w:t>13</w:t>
      </w:r>
      <w:r w:rsidR="00EB5A0E">
        <w:rPr>
          <w:lang w:val="en-GB"/>
        </w:rPr>
        <w:t>5</w:t>
      </w:r>
      <w:r w:rsidRPr="00AB71F2">
        <w:rPr>
          <w:lang w:val="en-GB"/>
        </w:rPr>
        <w:t>–9</w:t>
      </w:r>
      <w:r w:rsidR="00EB5A0E">
        <w:rPr>
          <w:lang w:val="en-GB"/>
        </w:rPr>
        <w:t>.</w:t>
      </w:r>
      <w:r w:rsidR="00EB5A0E" w:rsidRPr="00EB5A0E">
        <w:t xml:space="preserve"> </w:t>
      </w:r>
      <w:r w:rsidR="00EB5A0E">
        <w:t xml:space="preserve">Available from: </w:t>
      </w:r>
      <w:r w:rsidR="00EB5A0E" w:rsidRPr="00EB5A0E">
        <w:rPr>
          <w:lang w:val="en-GB"/>
        </w:rPr>
        <w:t>https://doi.org/10.1111/j.1468-3156.1998.tb00069.x</w:t>
      </w:r>
    </w:p>
    <w:p w14:paraId="2060C7C2" w14:textId="6498572D" w:rsidR="000E0CD2" w:rsidRDefault="000E0CD2" w:rsidP="00301BA0">
      <w:pPr>
        <w:spacing w:line="360" w:lineRule="auto"/>
      </w:pPr>
      <w:proofErr w:type="spellStart"/>
      <w:r w:rsidRPr="005B0890">
        <w:t>Rossetto</w:t>
      </w:r>
      <w:proofErr w:type="spellEnd"/>
      <w:r w:rsidRPr="005B0890">
        <w:t xml:space="preserve"> KR (2014) Qualitative research interviews assessing the therapeutic value and challenges. Journal of Social and Personal Relationships 31(4): 482–9</w:t>
      </w:r>
      <w:r w:rsidR="00EB5A0E">
        <w:t>. Available from:</w:t>
      </w:r>
      <w:r w:rsidR="00EB5A0E" w:rsidRPr="00EB5A0E">
        <w:t xml:space="preserve"> https://doi.org/10.1177/0265407514522892</w:t>
      </w:r>
    </w:p>
    <w:p w14:paraId="0E958D01" w14:textId="2D3467C3" w:rsidR="002D562D" w:rsidRDefault="00DD1795" w:rsidP="00301BA0">
      <w:pPr>
        <w:spacing w:line="360" w:lineRule="auto"/>
      </w:pPr>
      <w:r>
        <w:t>Royal Irish Academy (2010) Ensuring Integrity in Irish Research</w:t>
      </w:r>
      <w:r w:rsidR="00EB5A0E">
        <w:t>.</w:t>
      </w:r>
      <w:r>
        <w:t xml:space="preserve"> </w:t>
      </w:r>
      <w:r w:rsidR="00EB5A0E">
        <w:t xml:space="preserve">Available from: </w:t>
      </w:r>
      <w:hyperlink r:id="rId44" w:history="1">
        <w:r w:rsidR="00EB5A0E" w:rsidRPr="00EB5A0E">
          <w:rPr>
            <w:rStyle w:val="Hyperlink"/>
          </w:rPr>
          <w:t>https://oai.web2.ncku.edu.tw/var/file/72/1072/img/454/ensuring-integrity-in-irish-research.pdf.pdf</w:t>
        </w:r>
      </w:hyperlink>
      <w:r w:rsidR="002D562D">
        <w:t xml:space="preserve"> </w:t>
      </w:r>
    </w:p>
    <w:p w14:paraId="3BDC2FF9" w14:textId="6A2C5F0D" w:rsidR="000E0CD2" w:rsidRDefault="000E0CD2" w:rsidP="00301BA0">
      <w:pPr>
        <w:spacing w:line="360" w:lineRule="auto"/>
      </w:pPr>
      <w:r w:rsidRPr="00D11631">
        <w:t xml:space="preserve">Scott CR (2005) Anonymity in applied communication research: tension between IRBs, researchers, and human subjects. J </w:t>
      </w:r>
      <w:proofErr w:type="spellStart"/>
      <w:r w:rsidRPr="00D11631">
        <w:t>Appl</w:t>
      </w:r>
      <w:proofErr w:type="spellEnd"/>
      <w:r w:rsidRPr="00D11631">
        <w:t xml:space="preserve"> </w:t>
      </w:r>
      <w:proofErr w:type="spellStart"/>
      <w:r w:rsidRPr="00D11631">
        <w:t>Commun</w:t>
      </w:r>
      <w:proofErr w:type="spellEnd"/>
      <w:r w:rsidRPr="00D11631">
        <w:t xml:space="preserve"> Res 33(3): 242–57</w:t>
      </w:r>
      <w:r w:rsidR="00EB5A0E">
        <w:t xml:space="preserve">. Available from: </w:t>
      </w:r>
      <w:hyperlink r:id="rId45" w:history="1">
        <w:r w:rsidR="00526F14" w:rsidRPr="00B44AC9">
          <w:rPr>
            <w:rStyle w:val="Hyperlink"/>
          </w:rPr>
          <w:t>https://doi.org/10.1080/00909880500149445</w:t>
        </w:r>
      </w:hyperlink>
    </w:p>
    <w:p w14:paraId="4294E8AD" w14:textId="77777777" w:rsidR="00526F14" w:rsidRDefault="00526F14" w:rsidP="00526F14">
      <w:pPr>
        <w:spacing w:line="360" w:lineRule="auto"/>
      </w:pPr>
      <w:r>
        <w:t>Shakespeare T (2010) 'The social model of disability' in The Disability Studies Reader, Ed. Lennard J Davis. NY: Routledge, pp266-73.</w:t>
      </w:r>
    </w:p>
    <w:p w14:paraId="3E54F1BC" w14:textId="4258C4E2" w:rsidR="00526F14" w:rsidRDefault="00526F14" w:rsidP="00526F14">
      <w:pPr>
        <w:spacing w:line="360" w:lineRule="auto"/>
      </w:pPr>
      <w:r>
        <w:t xml:space="preserve">Shakespeare, T. and Watson, N. (2001), "The social model of disability: An outdated ideology?"  </w:t>
      </w:r>
      <w:proofErr w:type="spellStart"/>
      <w:r>
        <w:t>Barnartt</w:t>
      </w:r>
      <w:proofErr w:type="spellEnd"/>
      <w:r>
        <w:t xml:space="preserve">, S.N. and Altman, B.M. (Ed.) Exploring Theories and Expanding Methodologies: Where we are and where we need to go (Research in Social Science and Disability, Vol. 2), Emerald Group Publishing Limited, Leeds, pp. 9-28. Available from: </w:t>
      </w:r>
      <w:hyperlink r:id="rId46" w:history="1">
        <w:r w:rsidR="006B7530" w:rsidRPr="000360AF">
          <w:rPr>
            <w:rStyle w:val="Hyperlink"/>
          </w:rPr>
          <w:t>https://doi.org/10.1016/S1479-3547(01)80018-X</w:t>
        </w:r>
      </w:hyperlink>
      <w:r w:rsidR="006B7530">
        <w:t xml:space="preserve"> </w:t>
      </w:r>
    </w:p>
    <w:p w14:paraId="4D4C49AB" w14:textId="66E33A4C" w:rsidR="00376C2F" w:rsidRPr="00376C2F" w:rsidRDefault="00376C2F" w:rsidP="00301BA0">
      <w:pPr>
        <w:spacing w:line="360" w:lineRule="auto"/>
      </w:pPr>
      <w:r>
        <w:t xml:space="preserve">Shepherd, V., Griffith, R., Sheehan, M., Wood, F., Hood, K (2018) </w:t>
      </w:r>
      <w:r w:rsidRPr="00376C2F">
        <w:t>Protection by Exclusion? Capacity as a Gatekeeper to Research</w:t>
      </w:r>
      <w:r w:rsidR="00EB5A0E">
        <w:t>. Available from:</w:t>
      </w:r>
      <w:r w:rsidRPr="00376C2F">
        <w:t xml:space="preserve"> </w:t>
      </w:r>
      <w:hyperlink r:id="rId47" w:history="1">
        <w:r w:rsidR="006B7530" w:rsidRPr="000360AF">
          <w:rPr>
            <w:rStyle w:val="Hyperlink"/>
          </w:rPr>
          <w:t>https://blogs.bmj.com/medical-ethics/2018/04/27/protection-by-exclusion-capacity-as-a-gatekeeper-to-research/</w:t>
        </w:r>
      </w:hyperlink>
      <w:r w:rsidR="006B7530">
        <w:t xml:space="preserve"> </w:t>
      </w:r>
    </w:p>
    <w:p w14:paraId="499A2BD7" w14:textId="36ED7799" w:rsidR="00376C2F" w:rsidRDefault="00376C2F" w:rsidP="00301BA0">
      <w:pPr>
        <w:spacing w:line="360" w:lineRule="auto"/>
        <w:rPr>
          <w:lang w:val="en-GB"/>
        </w:rPr>
      </w:pPr>
      <w:proofErr w:type="spellStart"/>
      <w:r w:rsidRPr="00877B2A">
        <w:rPr>
          <w:lang w:val="en-GB"/>
        </w:rPr>
        <w:t>Spece</w:t>
      </w:r>
      <w:proofErr w:type="spellEnd"/>
      <w:r w:rsidRPr="00877B2A">
        <w:rPr>
          <w:lang w:val="en-GB"/>
        </w:rPr>
        <w:t xml:space="preserve">, R. G., Shimm, D. S. and Buchanan, A. E. (1996) </w:t>
      </w:r>
      <w:r w:rsidRPr="00D32663">
        <w:rPr>
          <w:iCs/>
          <w:lang w:val="en-GB"/>
        </w:rPr>
        <w:t>Conflicts of Interest in Clinical Practice and Research</w:t>
      </w:r>
      <w:r w:rsidRPr="00EB5A0E">
        <w:rPr>
          <w:iCs/>
          <w:lang w:val="en-GB"/>
        </w:rPr>
        <w:t>,</w:t>
      </w:r>
      <w:r w:rsidRPr="00877B2A">
        <w:rPr>
          <w:lang w:val="en-GB"/>
        </w:rPr>
        <w:t xml:space="preserve"> New York: Oxford University Press</w:t>
      </w:r>
      <w:r w:rsidR="00EB5A0E">
        <w:rPr>
          <w:lang w:val="en-GB"/>
        </w:rPr>
        <w:t>.</w:t>
      </w:r>
    </w:p>
    <w:p w14:paraId="721D76E1" w14:textId="1CE400E4" w:rsidR="00E25CC7" w:rsidRDefault="00E25CC7" w:rsidP="00301BA0">
      <w:pPr>
        <w:spacing w:line="360" w:lineRule="auto"/>
      </w:pPr>
      <w:r>
        <w:lastRenderedPageBreak/>
        <w:t>Stewart, C. Neal and C, Neal, Jr. Stewart (2011) Research Ethics for Scientists: A companion for students, New Jersey: John Wiley and Sons</w:t>
      </w:r>
      <w:r w:rsidR="00EB5A0E">
        <w:t>.</w:t>
      </w:r>
    </w:p>
    <w:p w14:paraId="0D3AE9E4" w14:textId="0975FBBC" w:rsidR="00236A05" w:rsidRPr="00236A05" w:rsidRDefault="00236A05" w:rsidP="00301BA0">
      <w:pPr>
        <w:spacing w:line="360" w:lineRule="auto"/>
        <w:rPr>
          <w:lang w:val="en-GB"/>
        </w:rPr>
      </w:pPr>
      <w:proofErr w:type="spellStart"/>
      <w:r w:rsidRPr="00236A05">
        <w:rPr>
          <w:lang w:val="en-GB"/>
        </w:rPr>
        <w:t>Stineman</w:t>
      </w:r>
      <w:proofErr w:type="spellEnd"/>
      <w:r w:rsidRPr="00236A05">
        <w:rPr>
          <w:lang w:val="en-GB"/>
        </w:rPr>
        <w:t xml:space="preserve">, M. G., </w:t>
      </w:r>
      <w:proofErr w:type="spellStart"/>
      <w:r w:rsidRPr="00236A05">
        <w:rPr>
          <w:lang w:val="en-GB"/>
        </w:rPr>
        <w:t>Musick</w:t>
      </w:r>
      <w:proofErr w:type="spellEnd"/>
      <w:r w:rsidRPr="00236A05">
        <w:rPr>
          <w:lang w:val="en-GB"/>
        </w:rPr>
        <w:t xml:space="preserve">, D. W. (2001), ‘Protection of human subjects with disability: guidelines for research’, </w:t>
      </w:r>
      <w:r w:rsidRPr="00D32663">
        <w:rPr>
          <w:iCs/>
          <w:lang w:val="en-GB"/>
        </w:rPr>
        <w:t>Archives Physical Medicine and Rehabilitation</w:t>
      </w:r>
      <w:r w:rsidRPr="00EB5A0E">
        <w:rPr>
          <w:iCs/>
          <w:lang w:val="en-GB"/>
        </w:rPr>
        <w:t>,</w:t>
      </w:r>
      <w:r w:rsidRPr="00236A05">
        <w:rPr>
          <w:lang w:val="en-GB"/>
        </w:rPr>
        <w:t xml:space="preserve"> 82(12), s9–s14</w:t>
      </w:r>
      <w:r w:rsidR="00EB5A0E">
        <w:rPr>
          <w:lang w:val="en-GB"/>
        </w:rPr>
        <w:t xml:space="preserve">. Available from: </w:t>
      </w:r>
      <w:r w:rsidR="00EB5A0E" w:rsidRPr="00EB5A0E">
        <w:rPr>
          <w:lang w:val="en-GB"/>
        </w:rPr>
        <w:t>https://doi.org/10.1053/apmr.2001.31002</w:t>
      </w:r>
    </w:p>
    <w:p w14:paraId="07373591" w14:textId="01E1D0D8" w:rsidR="0039105E" w:rsidRDefault="00877B2A" w:rsidP="00301BA0">
      <w:pPr>
        <w:spacing w:line="360" w:lineRule="auto"/>
      </w:pPr>
      <w:r w:rsidRPr="00877B2A">
        <w:rPr>
          <w:lang w:val="en-GB"/>
        </w:rPr>
        <w:t xml:space="preserve">Tee, S. R., </w:t>
      </w:r>
      <w:proofErr w:type="spellStart"/>
      <w:r w:rsidRPr="00877B2A">
        <w:rPr>
          <w:lang w:val="en-GB"/>
        </w:rPr>
        <w:t>Lathlean</w:t>
      </w:r>
      <w:proofErr w:type="spellEnd"/>
      <w:r w:rsidRPr="00877B2A">
        <w:rPr>
          <w:lang w:val="en-GB"/>
        </w:rPr>
        <w:t xml:space="preserve">, J. A. (2004), ‘The ethics of conducting a co-operative inquiry with vulnerable people’, </w:t>
      </w:r>
      <w:r w:rsidRPr="00D32663">
        <w:rPr>
          <w:iCs/>
          <w:lang w:val="en-GB"/>
        </w:rPr>
        <w:t>Journal of Advanced Nursing</w:t>
      </w:r>
      <w:r w:rsidRPr="00EB5A0E">
        <w:rPr>
          <w:iCs/>
          <w:lang w:val="en-GB"/>
        </w:rPr>
        <w:t>,</w:t>
      </w:r>
      <w:r w:rsidRPr="00877B2A">
        <w:rPr>
          <w:lang w:val="en-GB"/>
        </w:rPr>
        <w:t xml:space="preserve"> 47(5), pp. 536–43</w:t>
      </w:r>
      <w:r w:rsidR="00EB5A0E">
        <w:rPr>
          <w:lang w:val="en-GB"/>
        </w:rPr>
        <w:t xml:space="preserve">. Available from: </w:t>
      </w:r>
      <w:r w:rsidR="00EB5A0E" w:rsidRPr="00EB5A0E">
        <w:rPr>
          <w:lang w:val="en-GB"/>
        </w:rPr>
        <w:t>https://doi.org/10.1111/j.1365-2648.2004.03130.x</w:t>
      </w:r>
    </w:p>
    <w:p w14:paraId="09293CC6" w14:textId="00FA6D9B" w:rsidR="000E0CD2" w:rsidRPr="000A2ACF" w:rsidRDefault="000E0CD2" w:rsidP="00301BA0">
      <w:pPr>
        <w:spacing w:line="360" w:lineRule="auto"/>
        <w:rPr>
          <w:bCs/>
          <w:iCs/>
          <w:lang w:val="en-GB"/>
        </w:rPr>
      </w:pPr>
      <w:proofErr w:type="spellStart"/>
      <w:r w:rsidRPr="000A2ACF">
        <w:rPr>
          <w:bCs/>
          <w:iCs/>
          <w:lang w:val="en-GB"/>
        </w:rPr>
        <w:t>Tuffrey-Wijne</w:t>
      </w:r>
      <w:proofErr w:type="spellEnd"/>
      <w:r w:rsidRPr="000A2ACF">
        <w:rPr>
          <w:bCs/>
          <w:iCs/>
          <w:lang w:val="en-GB"/>
        </w:rPr>
        <w:t xml:space="preserve">, </w:t>
      </w:r>
      <w:smartTag w:uri="urn:schemas-microsoft-com:office:smarttags" w:element="place">
        <w:r w:rsidRPr="000A2ACF">
          <w:rPr>
            <w:bCs/>
            <w:iCs/>
            <w:lang w:val="en-GB"/>
          </w:rPr>
          <w:t>I.</w:t>
        </w:r>
      </w:smartTag>
      <w:r w:rsidRPr="000A2ACF">
        <w:rPr>
          <w:bCs/>
          <w:iCs/>
          <w:lang w:val="en-GB"/>
        </w:rPr>
        <w:t xml:space="preserve">, Bernal, J. and Hollins, S. (2008), ‘Doing research on people with learning disabilities, cancer and dying: ethics, possibilities and pitfalls’, </w:t>
      </w:r>
      <w:r w:rsidRPr="00D32663">
        <w:rPr>
          <w:bCs/>
          <w:lang w:val="en-GB"/>
        </w:rPr>
        <w:t>British Journal of Learning Disabilities</w:t>
      </w:r>
      <w:r w:rsidRPr="00EB5A0E">
        <w:rPr>
          <w:bCs/>
          <w:lang w:val="en-GB"/>
        </w:rPr>
        <w:t xml:space="preserve">, </w:t>
      </w:r>
      <w:r w:rsidRPr="000A2ACF">
        <w:rPr>
          <w:bCs/>
          <w:iCs/>
          <w:lang w:val="en-GB"/>
        </w:rPr>
        <w:t>36(3), pp. 185–90</w:t>
      </w:r>
      <w:r w:rsidR="00EB5A0E">
        <w:rPr>
          <w:bCs/>
          <w:iCs/>
          <w:lang w:val="en-GB"/>
        </w:rPr>
        <w:t>.</w:t>
      </w:r>
      <w:r w:rsidR="00EB5A0E" w:rsidRPr="00EB5A0E">
        <w:t xml:space="preserve"> </w:t>
      </w:r>
      <w:r w:rsidR="00EB5A0E" w:rsidRPr="00EB5A0E">
        <w:rPr>
          <w:bCs/>
          <w:iCs/>
          <w:lang w:val="en-GB"/>
        </w:rPr>
        <w:t>Available from:</w:t>
      </w:r>
      <w:r w:rsidR="009C1C01" w:rsidRPr="009C1C01">
        <w:t xml:space="preserve"> </w:t>
      </w:r>
      <w:r w:rsidR="009C1C01" w:rsidRPr="009C1C01">
        <w:rPr>
          <w:bCs/>
          <w:iCs/>
          <w:lang w:val="en-GB"/>
        </w:rPr>
        <w:t>https://doi.org/10.1111/j.1468-3156.2008.00519.x</w:t>
      </w:r>
    </w:p>
    <w:p w14:paraId="670EB6FA" w14:textId="74A7FFAB" w:rsidR="00FA28B7" w:rsidRPr="002244CB" w:rsidRDefault="00FA28B7" w:rsidP="00301BA0">
      <w:pPr>
        <w:spacing w:line="360" w:lineRule="auto"/>
      </w:pPr>
      <w:r w:rsidRPr="002301ED">
        <w:t xml:space="preserve">UK </w:t>
      </w:r>
      <w:r w:rsidRPr="002301ED">
        <w:rPr>
          <w:lang w:val="en-GB"/>
        </w:rPr>
        <w:t>Economic and Social Research Council (ESRC)</w:t>
      </w:r>
      <w:r w:rsidR="0053163B" w:rsidRPr="002301ED">
        <w:rPr>
          <w:lang w:val="en-GB"/>
        </w:rPr>
        <w:t xml:space="preserve"> (2023)</w:t>
      </w:r>
      <w:r w:rsidRPr="002301ED">
        <w:t xml:space="preserve"> Framework for Research Ethics</w:t>
      </w:r>
      <w:r w:rsidR="009C1C01" w:rsidRPr="002301ED">
        <w:t>. Available from:</w:t>
      </w:r>
      <w:r w:rsidRPr="002301ED">
        <w:t xml:space="preserve"> </w:t>
      </w:r>
      <w:hyperlink r:id="rId48" w:history="1">
        <w:r w:rsidRPr="002301ED">
          <w:rPr>
            <w:rStyle w:val="Hyperlink"/>
          </w:rPr>
          <w:t>https://www.ukri.org/councils/esrc/guidance-for-applicants/research-ethics-guidance/useful-resources/key-terms-glossary/</w:t>
        </w:r>
      </w:hyperlink>
      <w:r w:rsidR="00301BA0" w:rsidRPr="002301ED">
        <w:rPr>
          <w:rStyle w:val="Hyperlink"/>
        </w:rPr>
        <w:t xml:space="preserve"> </w:t>
      </w:r>
    </w:p>
    <w:p w14:paraId="277747F0" w14:textId="6C083502" w:rsidR="00723D41" w:rsidRDefault="00723D41" w:rsidP="00301BA0">
      <w:pPr>
        <w:spacing w:line="360" w:lineRule="auto"/>
        <w:rPr>
          <w:bCs/>
          <w:iCs/>
        </w:rPr>
      </w:pPr>
      <w:r>
        <w:rPr>
          <w:bCs/>
          <w:iCs/>
        </w:rPr>
        <w:t xml:space="preserve">UKRI Medical Research Council Regulatory Support Centre (2018) </w:t>
      </w:r>
      <w:r w:rsidRPr="00723D41">
        <w:rPr>
          <w:bCs/>
          <w:iCs/>
        </w:rPr>
        <w:t>GDPR: Lawful basis, research consent and confidentiality</w:t>
      </w:r>
      <w:r w:rsidR="009C1C01">
        <w:rPr>
          <w:bCs/>
          <w:iCs/>
        </w:rPr>
        <w:t>. Available from:</w:t>
      </w:r>
      <w:r w:rsidRPr="00723D41">
        <w:t xml:space="preserve"> </w:t>
      </w:r>
      <w:hyperlink r:id="rId49" w:history="1">
        <w:r w:rsidRPr="00296468">
          <w:rPr>
            <w:rStyle w:val="Hyperlink"/>
            <w:bCs/>
            <w:iCs/>
          </w:rPr>
          <w:t>https://www.ukri.org/wp-content/uploads/2021/08/MRC-0208212-GDPR-lawful-basis-research-consent-and-confidentiality.pdf</w:t>
        </w:r>
      </w:hyperlink>
      <w:r w:rsidR="002D562D">
        <w:rPr>
          <w:rStyle w:val="Hyperlink"/>
          <w:bCs/>
          <w:iCs/>
        </w:rPr>
        <w:t xml:space="preserve"> </w:t>
      </w:r>
    </w:p>
    <w:p w14:paraId="4EF6974F" w14:textId="13002D86" w:rsidR="00FC3EE7" w:rsidRDefault="00FC3EE7" w:rsidP="00301BA0">
      <w:pPr>
        <w:spacing w:line="360" w:lineRule="auto"/>
        <w:rPr>
          <w:bCs/>
          <w:iCs/>
        </w:rPr>
      </w:pPr>
      <w:r>
        <w:rPr>
          <w:bCs/>
          <w:iCs/>
        </w:rPr>
        <w:t xml:space="preserve">United Nations (2006) Convention on the Rights of Persons with Disabilities. Accessible from: </w:t>
      </w:r>
      <w:r w:rsidRPr="00FC3EE7">
        <w:rPr>
          <w:bCs/>
          <w:iCs/>
        </w:rPr>
        <w:t>https://social.desa.un.org/issues/disability/crpd/convention-on-the-rights-of-persons-with-disabilities-crpd</w:t>
      </w:r>
    </w:p>
    <w:p w14:paraId="6D43A5C9" w14:textId="11E69187" w:rsidR="00DD1795" w:rsidRDefault="00DD1795" w:rsidP="00301BA0">
      <w:pPr>
        <w:spacing w:line="360" w:lineRule="auto"/>
        <w:rPr>
          <w:bCs/>
          <w:iCs/>
        </w:rPr>
      </w:pPr>
      <w:r w:rsidRPr="004D6AC4">
        <w:rPr>
          <w:bCs/>
          <w:iCs/>
        </w:rPr>
        <w:t>Universities UK (2019)</w:t>
      </w:r>
      <w:r w:rsidRPr="004D6AC4">
        <w:t xml:space="preserve"> The Concordat to support research integrity</w:t>
      </w:r>
      <w:r w:rsidR="009C1C01" w:rsidRPr="004D6AC4">
        <w:t>. Available from:</w:t>
      </w:r>
      <w:r w:rsidRPr="004D6AC4">
        <w:t xml:space="preserve"> </w:t>
      </w:r>
      <w:hyperlink r:id="rId50" w:history="1">
        <w:r w:rsidRPr="004D6AC4">
          <w:rPr>
            <w:rStyle w:val="Hyperlink"/>
            <w:bCs/>
            <w:iCs/>
          </w:rPr>
          <w:t>https://www.universitiesuk.ac.uk/sites/default/files/field/downloads/2021-08/Updated%20FINAL-the-concordat-to-support-research-integrity.pdf</w:t>
        </w:r>
      </w:hyperlink>
      <w:r w:rsidR="004D6AC4">
        <w:rPr>
          <w:rStyle w:val="Hyperlink"/>
          <w:bCs/>
          <w:iCs/>
        </w:rPr>
        <w:t>winn</w:t>
      </w:r>
      <w:r w:rsidR="002D562D" w:rsidRPr="00D32663">
        <w:rPr>
          <w:rStyle w:val="Hyperlink"/>
          <w:bCs/>
          <w:iCs/>
          <w:highlight w:val="yellow"/>
        </w:rPr>
        <w:t xml:space="preserve"> </w:t>
      </w:r>
    </w:p>
    <w:p w14:paraId="6EF19DCF" w14:textId="5569AF00" w:rsidR="00A079D6" w:rsidRPr="00A079D6" w:rsidRDefault="00A079D6" w:rsidP="00301BA0">
      <w:pPr>
        <w:spacing w:line="360" w:lineRule="auto"/>
        <w:rPr>
          <w:bCs/>
          <w:iCs/>
        </w:rPr>
      </w:pPr>
      <w:r>
        <w:rPr>
          <w:bCs/>
          <w:iCs/>
        </w:rPr>
        <w:lastRenderedPageBreak/>
        <w:t>US Department of Health and Human Services</w:t>
      </w:r>
      <w:r w:rsidR="00E35D1E">
        <w:rPr>
          <w:bCs/>
          <w:iCs/>
        </w:rPr>
        <w:t xml:space="preserve"> (2022)</w:t>
      </w:r>
      <w:r>
        <w:rPr>
          <w:bCs/>
          <w:iCs/>
        </w:rPr>
        <w:t xml:space="preserve"> the 1947 Nuremberg Code</w:t>
      </w:r>
      <w:r w:rsidR="009C1C01">
        <w:rPr>
          <w:bCs/>
          <w:iCs/>
        </w:rPr>
        <w:t>. Available from:</w:t>
      </w:r>
      <w:r>
        <w:rPr>
          <w:bCs/>
          <w:iCs/>
        </w:rPr>
        <w:t xml:space="preserve"> </w:t>
      </w:r>
      <w:hyperlink r:id="rId51" w:history="1">
        <w:r w:rsidRPr="00547F79">
          <w:rPr>
            <w:rStyle w:val="Hyperlink"/>
            <w:bCs/>
            <w:iCs/>
          </w:rPr>
          <w:t>https://www.hhs.gov/ohrp/international/ethical-codes-and-research-standards/index.html</w:t>
        </w:r>
      </w:hyperlink>
      <w:r>
        <w:rPr>
          <w:bCs/>
          <w:iCs/>
        </w:rPr>
        <w:t xml:space="preserve"> </w:t>
      </w:r>
    </w:p>
    <w:p w14:paraId="0D61F87C" w14:textId="7EE71D4D" w:rsidR="0093029C" w:rsidRDefault="000E0CD2" w:rsidP="00301BA0">
      <w:pPr>
        <w:spacing w:line="360" w:lineRule="auto"/>
        <w:rPr>
          <w:bCs/>
          <w:iCs/>
        </w:rPr>
      </w:pPr>
      <w:r w:rsidRPr="00D11631">
        <w:rPr>
          <w:bCs/>
          <w:iCs/>
        </w:rPr>
        <w:t>Wertheimer A (2013) Is payment a benefit? Bioethics 27(2): 105–116</w:t>
      </w:r>
      <w:r w:rsidR="009C1C01">
        <w:rPr>
          <w:bCs/>
          <w:iCs/>
        </w:rPr>
        <w:t>.</w:t>
      </w:r>
      <w:r w:rsidRPr="00D11631">
        <w:rPr>
          <w:bCs/>
          <w:iCs/>
        </w:rPr>
        <w:t xml:space="preserve"> </w:t>
      </w:r>
      <w:r w:rsidR="009C1C01">
        <w:rPr>
          <w:bCs/>
          <w:iCs/>
        </w:rPr>
        <w:t>Available from:</w:t>
      </w:r>
      <w:r w:rsidR="009C1C01" w:rsidRPr="009C1C01">
        <w:t xml:space="preserve"> </w:t>
      </w:r>
      <w:r w:rsidR="009C1C01" w:rsidRPr="009C1C01">
        <w:rPr>
          <w:bCs/>
          <w:iCs/>
        </w:rPr>
        <w:t>https://doi.org/10.1111/j.1467-8519.2011.01892.x</w:t>
      </w:r>
    </w:p>
    <w:p w14:paraId="51009773" w14:textId="7E4F64DE" w:rsidR="00CA1CA5" w:rsidRDefault="00CA1CA5" w:rsidP="00301BA0">
      <w:pPr>
        <w:spacing w:line="360" w:lineRule="auto"/>
        <w:rPr>
          <w:bCs/>
        </w:rPr>
      </w:pPr>
      <w:r w:rsidRPr="00CA1CA5">
        <w:rPr>
          <w:iCs/>
        </w:rPr>
        <w:t xml:space="preserve">Wiles, R., Crow, G., Charles, V., Heath, S </w:t>
      </w:r>
      <w:r>
        <w:rPr>
          <w:iCs/>
        </w:rPr>
        <w:t xml:space="preserve">(2007) </w:t>
      </w:r>
      <w:r w:rsidRPr="00CA1CA5">
        <w:rPr>
          <w:iCs/>
        </w:rPr>
        <w:t>Informed Consent and the Research Process: Following Rules or Striking Balances?</w:t>
      </w:r>
      <w:r>
        <w:rPr>
          <w:iCs/>
        </w:rPr>
        <w:t xml:space="preserve"> </w:t>
      </w:r>
      <w:r w:rsidRPr="00D32663">
        <w:rPr>
          <w:bCs/>
        </w:rPr>
        <w:t>Sociological Research Online, 12</w:t>
      </w:r>
      <w:r w:rsidR="00424C82" w:rsidRPr="00D32663">
        <w:rPr>
          <w:bCs/>
        </w:rPr>
        <w:t>(2)</w:t>
      </w:r>
      <w:r w:rsidR="009C1C01">
        <w:rPr>
          <w:bCs/>
        </w:rPr>
        <w:t>. Available from:</w:t>
      </w:r>
      <w:r w:rsidRPr="00CA1CA5">
        <w:rPr>
          <w:bCs/>
          <w:i/>
          <w:iCs/>
        </w:rPr>
        <w:t xml:space="preserve"> </w:t>
      </w:r>
      <w:hyperlink r:id="rId52" w:history="1">
        <w:r w:rsidRPr="00CA1CA5">
          <w:rPr>
            <w:rStyle w:val="Hyperlink"/>
            <w:bCs/>
          </w:rPr>
          <w:t>https://www.socresonline.org.uk/12/2/wiles.html</w:t>
        </w:r>
      </w:hyperlink>
      <w:r>
        <w:rPr>
          <w:bCs/>
        </w:rPr>
        <w:t xml:space="preserve"> </w:t>
      </w:r>
    </w:p>
    <w:p w14:paraId="21F86479" w14:textId="3F998538" w:rsidR="000A29F8" w:rsidRDefault="000A29F8" w:rsidP="00301BA0">
      <w:pPr>
        <w:spacing w:line="360" w:lineRule="auto"/>
        <w:rPr>
          <w:bCs/>
          <w:iCs/>
        </w:rPr>
      </w:pPr>
      <w:r>
        <w:rPr>
          <w:bCs/>
          <w:iCs/>
        </w:rPr>
        <w:t>Williams, P (2019</w:t>
      </w:r>
      <w:r w:rsidR="00192F41">
        <w:rPr>
          <w:bCs/>
          <w:iCs/>
        </w:rPr>
        <w:t xml:space="preserve"> a</w:t>
      </w:r>
      <w:r>
        <w:rPr>
          <w:bCs/>
          <w:iCs/>
        </w:rPr>
        <w:t xml:space="preserve">) </w:t>
      </w:r>
      <w:r w:rsidRPr="000A29F8">
        <w:rPr>
          <w:bCs/>
          <w:iCs/>
        </w:rPr>
        <w:t>“It all sounds very interesting, but we’re just too busy!”: Exploring why ‘gatekeeper’ supporters of people with learning disabilities sometimes decline to give access to potential research participants</w:t>
      </w:r>
      <w:r w:rsidR="009C1C01">
        <w:rPr>
          <w:bCs/>
          <w:iCs/>
        </w:rPr>
        <w:t xml:space="preserve">. Available from: </w:t>
      </w:r>
      <w:hyperlink r:id="rId53" w:history="1">
        <w:r w:rsidRPr="00F264F5">
          <w:rPr>
            <w:rStyle w:val="Hyperlink"/>
            <w:bCs/>
            <w:iCs/>
          </w:rPr>
          <w:t>https://discovery.ucl.ac.uk/id/eprint/10114438/1/Williams_Barnett_UPDATED%20Figures%20PAPER.pdf</w:t>
        </w:r>
      </w:hyperlink>
      <w:r>
        <w:rPr>
          <w:bCs/>
          <w:iCs/>
        </w:rPr>
        <w:t xml:space="preserve"> </w:t>
      </w:r>
    </w:p>
    <w:p w14:paraId="537970A1" w14:textId="7F988ECE" w:rsidR="00192F41" w:rsidRDefault="00192F41" w:rsidP="00301BA0">
      <w:pPr>
        <w:spacing w:line="360" w:lineRule="auto"/>
        <w:rPr>
          <w:bCs/>
          <w:iCs/>
          <w:lang w:val="en-GB"/>
        </w:rPr>
      </w:pPr>
      <w:r>
        <w:rPr>
          <w:bCs/>
          <w:iCs/>
          <w:lang w:val="en-GB"/>
        </w:rPr>
        <w:t>Williams, P (2019 b) Response to comments on his research on g</w:t>
      </w:r>
      <w:proofErr w:type="spellStart"/>
      <w:r w:rsidRPr="00192F41">
        <w:rPr>
          <w:bCs/>
          <w:iCs/>
        </w:rPr>
        <w:t>atekeepers</w:t>
      </w:r>
      <w:proofErr w:type="spellEnd"/>
      <w:r w:rsidRPr="00192F41">
        <w:rPr>
          <w:bCs/>
          <w:iCs/>
        </w:rPr>
        <w:t xml:space="preserve"> and support for research involving people with learning disabilities</w:t>
      </w:r>
      <w:r w:rsidR="009C1C01">
        <w:rPr>
          <w:bCs/>
          <w:iCs/>
        </w:rPr>
        <w:t>. Available from:</w:t>
      </w:r>
      <w:r w:rsidRPr="00192F41">
        <w:rPr>
          <w:bCs/>
          <w:iCs/>
        </w:rPr>
        <w:t xml:space="preserve"> </w:t>
      </w:r>
      <w:hyperlink r:id="rId54" w:history="1">
        <w:r w:rsidRPr="00F264F5">
          <w:rPr>
            <w:rStyle w:val="Hyperlink"/>
            <w:bCs/>
            <w:iCs/>
            <w:lang w:val="en-GB"/>
          </w:rPr>
          <w:t>https://discovery.ucl.ac.uk/id/eprint/10116975/1/Williams_Article-symposium-response-Gatekeepers%20and%20support%20for%20research%20involving%20people%20with%20learning%20disabilities.pdf</w:t>
        </w:r>
      </w:hyperlink>
      <w:r>
        <w:rPr>
          <w:bCs/>
          <w:iCs/>
          <w:lang w:val="en-GB"/>
        </w:rPr>
        <w:t xml:space="preserve"> </w:t>
      </w:r>
    </w:p>
    <w:p w14:paraId="02E16B15" w14:textId="3565A827" w:rsidR="002B61ED" w:rsidRDefault="002B61ED" w:rsidP="00301BA0">
      <w:pPr>
        <w:spacing w:line="360" w:lineRule="auto"/>
        <w:rPr>
          <w:bCs/>
          <w:iCs/>
          <w:lang w:val="en-GB"/>
        </w:rPr>
      </w:pPr>
      <w:r w:rsidRPr="002B61ED">
        <w:rPr>
          <w:bCs/>
          <w:iCs/>
          <w:lang w:val="en-GB"/>
        </w:rPr>
        <w:t>Williamson T.</w:t>
      </w:r>
      <w:r>
        <w:rPr>
          <w:bCs/>
          <w:iCs/>
          <w:lang w:val="en-GB"/>
        </w:rPr>
        <w:t xml:space="preserve"> </w:t>
      </w:r>
      <w:r w:rsidRPr="002B61ED">
        <w:rPr>
          <w:bCs/>
          <w:iCs/>
          <w:lang w:val="en-GB"/>
        </w:rPr>
        <w:t xml:space="preserve">(2015). Dementia, </w:t>
      </w:r>
      <w:proofErr w:type="gramStart"/>
      <w:r w:rsidRPr="002B61ED">
        <w:rPr>
          <w:bCs/>
          <w:iCs/>
          <w:lang w:val="en-GB"/>
        </w:rPr>
        <w:t>rights</w:t>
      </w:r>
      <w:proofErr w:type="gramEnd"/>
      <w:r w:rsidRPr="002B61ED">
        <w:rPr>
          <w:bCs/>
          <w:iCs/>
          <w:lang w:val="en-GB"/>
        </w:rPr>
        <w:t xml:space="preserve"> and the social model of disability. The Journal of Dementia Care, 23, 12–13.</w:t>
      </w:r>
    </w:p>
    <w:p w14:paraId="2AF36545" w14:textId="4F15AE15" w:rsidR="00686232" w:rsidRDefault="00296CBC" w:rsidP="006B7530">
      <w:pPr>
        <w:spacing w:line="360" w:lineRule="auto"/>
        <w:rPr>
          <w:bCs/>
          <w:iCs/>
        </w:rPr>
      </w:pPr>
      <w:r w:rsidRPr="00296CBC">
        <w:rPr>
          <w:bCs/>
          <w:iCs/>
          <w:lang w:val="en-GB"/>
        </w:rPr>
        <w:t xml:space="preserve">Woods, M. (2002), </w:t>
      </w:r>
      <w:r w:rsidRPr="00D32663">
        <w:rPr>
          <w:bCs/>
          <w:lang w:val="en-GB"/>
        </w:rPr>
        <w:t>Reflection from Both Sides of the Fence</w:t>
      </w:r>
      <w:r w:rsidRPr="009C1C01">
        <w:rPr>
          <w:bCs/>
          <w:lang w:val="en-GB"/>
        </w:rPr>
        <w:t xml:space="preserve"> in </w:t>
      </w:r>
      <w:r w:rsidRPr="00D32663">
        <w:rPr>
          <w:bCs/>
          <w:lang w:val="en-GB"/>
        </w:rPr>
        <w:t>Using Emancipatory Methodologies in Disability Research</w:t>
      </w:r>
      <w:r w:rsidRPr="00296CBC">
        <w:rPr>
          <w:bCs/>
          <w:iCs/>
          <w:lang w:val="en-GB"/>
        </w:rPr>
        <w:t>, proceedings of the first NDA Disability Research Conference, Dublin: NDA</w:t>
      </w:r>
      <w:r w:rsidR="009C1C01">
        <w:rPr>
          <w:bCs/>
          <w:iCs/>
          <w:lang w:val="en-GB"/>
        </w:rPr>
        <w:t>.</w:t>
      </w:r>
      <w:r w:rsidR="00686232">
        <w:rPr>
          <w:bCs/>
          <w:iCs/>
        </w:rPr>
        <w:br w:type="page"/>
      </w:r>
    </w:p>
    <w:p w14:paraId="1BBF3A0C" w14:textId="77777777" w:rsidR="00686232" w:rsidRDefault="00686232" w:rsidP="00301BA0">
      <w:pPr>
        <w:pStyle w:val="Heading1"/>
        <w:spacing w:line="360" w:lineRule="auto"/>
        <w:rPr>
          <w:lang w:val="en-GB"/>
        </w:rPr>
      </w:pPr>
      <w:bookmarkStart w:id="74" w:name="_Toc150873280"/>
      <w:bookmarkStart w:id="75" w:name="_Toc156380509"/>
      <w:r w:rsidRPr="009E1656">
        <w:rPr>
          <w:lang w:val="en-GB"/>
        </w:rPr>
        <w:lastRenderedPageBreak/>
        <w:t>Appendix 1</w:t>
      </w:r>
      <w:bookmarkEnd w:id="74"/>
      <w:bookmarkEnd w:id="75"/>
      <w:r>
        <w:rPr>
          <w:lang w:val="en-GB"/>
        </w:rPr>
        <w:t xml:space="preserve"> </w:t>
      </w:r>
    </w:p>
    <w:p w14:paraId="122292AA" w14:textId="77777777" w:rsidR="00686232" w:rsidRPr="008814FB" w:rsidRDefault="00686232" w:rsidP="00301BA0">
      <w:pPr>
        <w:spacing w:before="240" w:after="120" w:line="360" w:lineRule="auto"/>
        <w:rPr>
          <w:bCs/>
          <w:iCs/>
          <w:lang w:val="en-GB"/>
        </w:rPr>
      </w:pPr>
      <w:r w:rsidRPr="008814FB">
        <w:rPr>
          <w:bCs/>
          <w:iCs/>
        </w:rPr>
        <w:t xml:space="preserve">The below codes and standards show </w:t>
      </w:r>
      <w:r>
        <w:rPr>
          <w:bCs/>
          <w:iCs/>
        </w:rPr>
        <w:t xml:space="preserve">how </w:t>
      </w:r>
      <w:r w:rsidRPr="008814FB">
        <w:rPr>
          <w:bCs/>
          <w:iCs/>
        </w:rPr>
        <w:t>principles and values</w:t>
      </w:r>
      <w:r>
        <w:rPr>
          <w:bCs/>
          <w:iCs/>
        </w:rPr>
        <w:t xml:space="preserve"> are presented in different ways, but the core content recurs</w:t>
      </w:r>
      <w:r w:rsidRPr="008814FB">
        <w:rPr>
          <w:bCs/>
          <w:iCs/>
        </w:rPr>
        <w:t xml:space="preserve">: </w:t>
      </w:r>
      <w:r w:rsidRPr="008814FB">
        <w:rPr>
          <w:bCs/>
          <w:iCs/>
          <w:lang w:val="en-GB"/>
        </w:rPr>
        <w:t xml:space="preserve">beneficence, </w:t>
      </w:r>
      <w:r w:rsidRPr="008814FB">
        <w:rPr>
          <w:bCs/>
          <w:iCs/>
        </w:rPr>
        <w:t xml:space="preserve">non-maleficence, justice, respect, solidarity, autonomy, professional integrity, </w:t>
      </w:r>
      <w:r>
        <w:rPr>
          <w:bCs/>
          <w:iCs/>
        </w:rPr>
        <w:t>consent, confidentiality, equality, etc.</w:t>
      </w:r>
      <w:r w:rsidRPr="008814FB">
        <w:rPr>
          <w:bCs/>
          <w:iCs/>
        </w:rPr>
        <w:t xml:space="preserve"> </w:t>
      </w:r>
    </w:p>
    <w:p w14:paraId="53612EFE" w14:textId="77777777" w:rsidR="00686232" w:rsidRPr="000722B4" w:rsidRDefault="00686232" w:rsidP="00301BA0">
      <w:pPr>
        <w:spacing w:before="240" w:after="120" w:line="360" w:lineRule="auto"/>
        <w:rPr>
          <w:bCs/>
          <w:iCs/>
        </w:rPr>
      </w:pPr>
      <w:r w:rsidRPr="000722B4">
        <w:rPr>
          <w:bCs/>
          <w:iCs/>
        </w:rPr>
        <w:t>The 2005 Universal Declaration on Bioethics and Human Rights contains 28 articles address</w:t>
      </w:r>
      <w:r>
        <w:rPr>
          <w:bCs/>
          <w:iCs/>
        </w:rPr>
        <w:t>ing</w:t>
      </w:r>
      <w:r w:rsidRPr="000722B4">
        <w:rPr>
          <w:bCs/>
          <w:iCs/>
        </w:rPr>
        <w:t xml:space="preserve"> fundamental principles and their application: </w:t>
      </w:r>
    </w:p>
    <w:p w14:paraId="525498B2" w14:textId="77777777" w:rsidR="00686232" w:rsidRPr="000722B4" w:rsidRDefault="00686232" w:rsidP="00AC7513">
      <w:pPr>
        <w:numPr>
          <w:ilvl w:val="0"/>
          <w:numId w:val="14"/>
        </w:numPr>
        <w:spacing w:line="360" w:lineRule="auto"/>
        <w:ind w:left="714" w:hanging="357"/>
        <w:contextualSpacing/>
        <w:rPr>
          <w:iCs/>
        </w:rPr>
      </w:pPr>
      <w:r w:rsidRPr="000722B4">
        <w:rPr>
          <w:iCs/>
        </w:rPr>
        <w:t>Respect for human dignity, human rights, fundamental freedoms (Article 3)</w:t>
      </w:r>
    </w:p>
    <w:p w14:paraId="1272B703" w14:textId="77777777" w:rsidR="00686232" w:rsidRPr="000722B4" w:rsidRDefault="00686232" w:rsidP="00AC7513">
      <w:pPr>
        <w:numPr>
          <w:ilvl w:val="0"/>
          <w:numId w:val="14"/>
        </w:numPr>
        <w:spacing w:line="360" w:lineRule="auto"/>
        <w:contextualSpacing/>
        <w:rPr>
          <w:iCs/>
        </w:rPr>
      </w:pPr>
      <w:r w:rsidRPr="000722B4">
        <w:rPr>
          <w:iCs/>
        </w:rPr>
        <w:t>Benefit and harm (Article 4)</w:t>
      </w:r>
    </w:p>
    <w:p w14:paraId="55E3B977" w14:textId="77777777" w:rsidR="00686232" w:rsidRPr="000722B4" w:rsidRDefault="00686232" w:rsidP="00AC7513">
      <w:pPr>
        <w:numPr>
          <w:ilvl w:val="0"/>
          <w:numId w:val="14"/>
        </w:numPr>
        <w:spacing w:line="360" w:lineRule="auto"/>
        <w:contextualSpacing/>
        <w:rPr>
          <w:iCs/>
        </w:rPr>
      </w:pPr>
      <w:r w:rsidRPr="000722B4">
        <w:rPr>
          <w:iCs/>
        </w:rPr>
        <w:t xml:space="preserve">Autonomy and individual responsibility (Article 5) </w:t>
      </w:r>
    </w:p>
    <w:p w14:paraId="1C4F0018" w14:textId="77777777" w:rsidR="00686232" w:rsidRPr="000722B4" w:rsidRDefault="00686232" w:rsidP="00AC7513">
      <w:pPr>
        <w:numPr>
          <w:ilvl w:val="0"/>
          <w:numId w:val="14"/>
        </w:numPr>
        <w:spacing w:line="360" w:lineRule="auto"/>
        <w:contextualSpacing/>
        <w:rPr>
          <w:iCs/>
        </w:rPr>
      </w:pPr>
      <w:r w:rsidRPr="000722B4">
        <w:rPr>
          <w:iCs/>
        </w:rPr>
        <w:t>Consent (Article 6)</w:t>
      </w:r>
    </w:p>
    <w:p w14:paraId="1DC367D8" w14:textId="77777777" w:rsidR="00686232" w:rsidRPr="000722B4" w:rsidRDefault="00686232" w:rsidP="00AC7513">
      <w:pPr>
        <w:numPr>
          <w:ilvl w:val="0"/>
          <w:numId w:val="14"/>
        </w:numPr>
        <w:spacing w:line="360" w:lineRule="auto"/>
        <w:contextualSpacing/>
        <w:rPr>
          <w:iCs/>
        </w:rPr>
      </w:pPr>
      <w:r w:rsidRPr="000722B4">
        <w:rPr>
          <w:iCs/>
        </w:rPr>
        <w:t>Persons without the capacity to consent (Article 7)</w:t>
      </w:r>
    </w:p>
    <w:p w14:paraId="6C739C1D" w14:textId="77777777" w:rsidR="00686232" w:rsidRPr="000722B4" w:rsidRDefault="00686232" w:rsidP="00AC7513">
      <w:pPr>
        <w:numPr>
          <w:ilvl w:val="0"/>
          <w:numId w:val="14"/>
        </w:numPr>
        <w:spacing w:line="360" w:lineRule="auto"/>
        <w:contextualSpacing/>
        <w:rPr>
          <w:iCs/>
        </w:rPr>
      </w:pPr>
      <w:r w:rsidRPr="000722B4">
        <w:rPr>
          <w:iCs/>
        </w:rPr>
        <w:t>Respect for human vulnerability and personal integrity (Article 8)</w:t>
      </w:r>
    </w:p>
    <w:p w14:paraId="2A38EBCA" w14:textId="77777777" w:rsidR="00686232" w:rsidRPr="000722B4" w:rsidRDefault="00686232" w:rsidP="00AC7513">
      <w:pPr>
        <w:numPr>
          <w:ilvl w:val="0"/>
          <w:numId w:val="14"/>
        </w:numPr>
        <w:spacing w:line="360" w:lineRule="auto"/>
        <w:contextualSpacing/>
        <w:rPr>
          <w:iCs/>
        </w:rPr>
      </w:pPr>
      <w:r w:rsidRPr="000722B4">
        <w:rPr>
          <w:iCs/>
        </w:rPr>
        <w:t>Privacy and confidentiality (Article 9)</w:t>
      </w:r>
    </w:p>
    <w:p w14:paraId="64BA638C" w14:textId="77777777" w:rsidR="00686232" w:rsidRPr="000722B4" w:rsidRDefault="00686232" w:rsidP="00AC7513">
      <w:pPr>
        <w:numPr>
          <w:ilvl w:val="0"/>
          <w:numId w:val="14"/>
        </w:numPr>
        <w:spacing w:line="360" w:lineRule="auto"/>
        <w:contextualSpacing/>
        <w:rPr>
          <w:iCs/>
        </w:rPr>
      </w:pPr>
      <w:r w:rsidRPr="000722B4">
        <w:rPr>
          <w:iCs/>
        </w:rPr>
        <w:t>Equality, justice, and equity (Article 10)</w:t>
      </w:r>
    </w:p>
    <w:p w14:paraId="5D89D06B" w14:textId="77777777" w:rsidR="00686232" w:rsidRPr="000722B4" w:rsidRDefault="00686232" w:rsidP="00AC7513">
      <w:pPr>
        <w:numPr>
          <w:ilvl w:val="0"/>
          <w:numId w:val="14"/>
        </w:numPr>
        <w:spacing w:line="360" w:lineRule="auto"/>
        <w:contextualSpacing/>
        <w:rPr>
          <w:iCs/>
        </w:rPr>
      </w:pPr>
      <w:r w:rsidRPr="000722B4">
        <w:rPr>
          <w:iCs/>
        </w:rPr>
        <w:t>Non-discrimination and non-stigmatization (Article 11)</w:t>
      </w:r>
    </w:p>
    <w:p w14:paraId="0B0D7B8E" w14:textId="77777777" w:rsidR="00686232" w:rsidRPr="000722B4" w:rsidRDefault="00686232" w:rsidP="00AC7513">
      <w:pPr>
        <w:numPr>
          <w:ilvl w:val="0"/>
          <w:numId w:val="14"/>
        </w:numPr>
        <w:spacing w:line="360" w:lineRule="auto"/>
        <w:contextualSpacing/>
        <w:rPr>
          <w:iCs/>
        </w:rPr>
      </w:pPr>
      <w:r w:rsidRPr="000722B4">
        <w:rPr>
          <w:iCs/>
        </w:rPr>
        <w:t>Respect for cultural diversity and pluralism (Article 12)</w:t>
      </w:r>
    </w:p>
    <w:p w14:paraId="1F49B288" w14:textId="77777777" w:rsidR="00686232" w:rsidRPr="000722B4" w:rsidRDefault="00686232" w:rsidP="00AC7513">
      <w:pPr>
        <w:numPr>
          <w:ilvl w:val="0"/>
          <w:numId w:val="14"/>
        </w:numPr>
        <w:spacing w:line="360" w:lineRule="auto"/>
        <w:contextualSpacing/>
        <w:rPr>
          <w:iCs/>
        </w:rPr>
      </w:pPr>
      <w:r w:rsidRPr="000722B4">
        <w:rPr>
          <w:iCs/>
        </w:rPr>
        <w:t>Solidarity and cooperation (Article 13)</w:t>
      </w:r>
    </w:p>
    <w:p w14:paraId="6952CADE" w14:textId="77777777" w:rsidR="00686232" w:rsidRPr="000722B4" w:rsidRDefault="00686232" w:rsidP="00AC7513">
      <w:pPr>
        <w:numPr>
          <w:ilvl w:val="0"/>
          <w:numId w:val="14"/>
        </w:numPr>
        <w:spacing w:line="360" w:lineRule="auto"/>
        <w:contextualSpacing/>
        <w:rPr>
          <w:iCs/>
        </w:rPr>
      </w:pPr>
      <w:r w:rsidRPr="000722B4">
        <w:rPr>
          <w:iCs/>
        </w:rPr>
        <w:t>Social responsibility and health (Article 14)</w:t>
      </w:r>
    </w:p>
    <w:p w14:paraId="283DA115" w14:textId="77777777" w:rsidR="00686232" w:rsidRPr="000722B4" w:rsidRDefault="00686232" w:rsidP="00AC7513">
      <w:pPr>
        <w:numPr>
          <w:ilvl w:val="0"/>
          <w:numId w:val="14"/>
        </w:numPr>
        <w:spacing w:line="360" w:lineRule="auto"/>
        <w:contextualSpacing/>
        <w:rPr>
          <w:iCs/>
        </w:rPr>
      </w:pPr>
      <w:r w:rsidRPr="000722B4">
        <w:rPr>
          <w:iCs/>
        </w:rPr>
        <w:t>Sharing of benefits (Article 15)</w:t>
      </w:r>
    </w:p>
    <w:p w14:paraId="47891113" w14:textId="77777777" w:rsidR="00686232" w:rsidRDefault="00686232" w:rsidP="00301BA0">
      <w:pPr>
        <w:spacing w:line="360" w:lineRule="auto"/>
        <w:rPr>
          <w:lang w:val="en-GB"/>
        </w:rPr>
      </w:pPr>
    </w:p>
    <w:p w14:paraId="3EC6B497" w14:textId="77777777" w:rsidR="00686232" w:rsidRPr="00686232" w:rsidRDefault="00686232" w:rsidP="00301BA0">
      <w:pPr>
        <w:spacing w:line="360" w:lineRule="auto"/>
      </w:pPr>
      <w:r w:rsidRPr="000722B4">
        <w:rPr>
          <w:lang w:val="en-GB"/>
        </w:rPr>
        <w:t>The National Ethical Research Standards for Health and Disability research in New Zealand (NEAC, 2019)</w:t>
      </w:r>
      <w:r>
        <w:rPr>
          <w:lang w:val="en-GB"/>
        </w:rPr>
        <w:t>,</w:t>
      </w:r>
      <w:r w:rsidRPr="000722B4">
        <w:rPr>
          <w:lang w:val="en-GB"/>
        </w:rPr>
        <w:t xml:space="preserve"> which apply to all </w:t>
      </w:r>
      <w:r>
        <w:rPr>
          <w:lang w:val="en-GB"/>
        </w:rPr>
        <w:t xml:space="preserve">research with human participants living </w:t>
      </w:r>
      <w:r w:rsidRPr="000722B4">
        <w:rPr>
          <w:lang w:val="en-GB"/>
        </w:rPr>
        <w:t>in New Zealand</w:t>
      </w:r>
      <w:r>
        <w:rPr>
          <w:lang w:val="en-GB"/>
        </w:rPr>
        <w:t>,</w:t>
      </w:r>
      <w:r w:rsidRPr="000722B4">
        <w:rPr>
          <w:lang w:val="en-GB"/>
        </w:rPr>
        <w:t xml:space="preserve"> are rooted in two sets of principles</w:t>
      </w:r>
      <w:r>
        <w:rPr>
          <w:lang w:val="en-GB"/>
        </w:rPr>
        <w:t xml:space="preserve"> - </w:t>
      </w:r>
      <w:r w:rsidRPr="00686232">
        <w:rPr>
          <w:lang w:val="en-GB"/>
        </w:rPr>
        <w:t xml:space="preserve">four bioethical principles and four </w:t>
      </w:r>
      <w:r w:rsidRPr="00686232">
        <w:t>M</w:t>
      </w:r>
      <w:r w:rsidRPr="00686232">
        <w:rPr>
          <w:rFonts w:ascii="Calibri" w:hAnsi="Calibri" w:cs="Calibri"/>
        </w:rPr>
        <w:t>ā</w:t>
      </w:r>
      <w:r w:rsidRPr="00686232">
        <w:t xml:space="preserve">ori ethical principles </w:t>
      </w:r>
    </w:p>
    <w:p w14:paraId="02AA7544" w14:textId="7991D1C7" w:rsidR="00686232" w:rsidRPr="000F66E2" w:rsidRDefault="00686232" w:rsidP="00301BA0">
      <w:pPr>
        <w:spacing w:after="0" w:line="360" w:lineRule="auto"/>
        <w:rPr>
          <w:b/>
          <w:bCs/>
          <w:lang w:val="en-GB"/>
        </w:rPr>
      </w:pPr>
      <w:r w:rsidRPr="000F66E2">
        <w:rPr>
          <w:b/>
          <w:bCs/>
          <w:lang w:val="en-GB"/>
        </w:rPr>
        <w:lastRenderedPageBreak/>
        <w:t xml:space="preserve">Four bioethical principles </w:t>
      </w:r>
    </w:p>
    <w:p w14:paraId="60616507" w14:textId="77777777" w:rsidR="00686232" w:rsidRDefault="00686232" w:rsidP="00AC7513">
      <w:pPr>
        <w:pStyle w:val="ListParagraph"/>
        <w:numPr>
          <w:ilvl w:val="0"/>
          <w:numId w:val="26"/>
        </w:numPr>
        <w:spacing w:line="360" w:lineRule="auto"/>
      </w:pPr>
      <w:r>
        <w:t>B</w:t>
      </w:r>
      <w:r w:rsidRPr="000722B4">
        <w:t>eneficence</w:t>
      </w:r>
      <w:r>
        <w:t xml:space="preserve"> and</w:t>
      </w:r>
      <w:r w:rsidRPr="000722B4">
        <w:t xml:space="preserve"> non-maleficence</w:t>
      </w:r>
    </w:p>
    <w:p w14:paraId="136DA7A6" w14:textId="77777777" w:rsidR="00686232" w:rsidRDefault="00686232" w:rsidP="00AC7513">
      <w:pPr>
        <w:pStyle w:val="ListParagraph"/>
        <w:numPr>
          <w:ilvl w:val="0"/>
          <w:numId w:val="26"/>
        </w:numPr>
        <w:spacing w:line="360" w:lineRule="auto"/>
      </w:pPr>
      <w:r>
        <w:t>J</w:t>
      </w:r>
      <w:r w:rsidRPr="000722B4">
        <w:t>ustice</w:t>
      </w:r>
    </w:p>
    <w:p w14:paraId="70C53736" w14:textId="77777777" w:rsidR="00686232" w:rsidRPr="000F66E2" w:rsidRDefault="00686232" w:rsidP="00AC7513">
      <w:pPr>
        <w:pStyle w:val="ListParagraph"/>
        <w:numPr>
          <w:ilvl w:val="0"/>
          <w:numId w:val="26"/>
        </w:numPr>
        <w:spacing w:line="360" w:lineRule="auto"/>
        <w:rPr>
          <w:lang w:val="en-GB"/>
        </w:rPr>
      </w:pPr>
      <w:r>
        <w:t>R</w:t>
      </w:r>
      <w:r w:rsidRPr="000722B4">
        <w:t xml:space="preserve">espect for people </w:t>
      </w:r>
    </w:p>
    <w:p w14:paraId="58E3FD64" w14:textId="77777777" w:rsidR="00686232" w:rsidRPr="000F66E2" w:rsidRDefault="00686232" w:rsidP="00301BA0">
      <w:pPr>
        <w:spacing w:after="0" w:line="360" w:lineRule="auto"/>
        <w:rPr>
          <w:b/>
          <w:bCs/>
        </w:rPr>
      </w:pPr>
      <w:r w:rsidRPr="000F66E2">
        <w:rPr>
          <w:b/>
          <w:bCs/>
        </w:rPr>
        <w:t xml:space="preserve">Four </w:t>
      </w:r>
      <w:bookmarkStart w:id="76" w:name="_Hlk145495522"/>
      <w:r w:rsidRPr="000F66E2">
        <w:rPr>
          <w:b/>
          <w:bCs/>
        </w:rPr>
        <w:t>M</w:t>
      </w:r>
      <w:r w:rsidRPr="000F66E2">
        <w:rPr>
          <w:rFonts w:ascii="Calibri" w:hAnsi="Calibri" w:cs="Calibri"/>
          <w:b/>
          <w:bCs/>
        </w:rPr>
        <w:t>ā</w:t>
      </w:r>
      <w:r w:rsidRPr="000F66E2">
        <w:rPr>
          <w:b/>
          <w:bCs/>
        </w:rPr>
        <w:t xml:space="preserve">ori ethical principles </w:t>
      </w:r>
    </w:p>
    <w:bookmarkEnd w:id="76"/>
    <w:p w14:paraId="3D7CB906" w14:textId="77777777" w:rsidR="00686232" w:rsidRPr="000722B4" w:rsidRDefault="00686232" w:rsidP="00301BA0">
      <w:pPr>
        <w:spacing w:line="360" w:lineRule="auto"/>
      </w:pPr>
      <w:r>
        <w:t xml:space="preserve">These </w:t>
      </w:r>
      <w:r w:rsidRPr="000722B4">
        <w:t>M</w:t>
      </w:r>
      <w:r w:rsidRPr="000722B4">
        <w:rPr>
          <w:rFonts w:ascii="Calibri" w:hAnsi="Calibri" w:cs="Calibri"/>
        </w:rPr>
        <w:t>ā</w:t>
      </w:r>
      <w:r w:rsidRPr="000722B4">
        <w:t>ori ethical principles draw on a M</w:t>
      </w:r>
      <w:r w:rsidRPr="000722B4">
        <w:rPr>
          <w:rFonts w:ascii="Calibri" w:hAnsi="Calibri" w:cs="Calibri"/>
        </w:rPr>
        <w:t>ā</w:t>
      </w:r>
      <w:r w:rsidRPr="000722B4">
        <w:t xml:space="preserve">ori foundation of </w:t>
      </w:r>
      <w:r w:rsidRPr="000722B4">
        <w:rPr>
          <w:rFonts w:cs="Gill Sans MT"/>
        </w:rPr>
        <w:t>‘</w:t>
      </w:r>
      <w:proofErr w:type="spellStart"/>
      <w:r w:rsidRPr="000722B4">
        <w:t>Te</w:t>
      </w:r>
      <w:proofErr w:type="spellEnd"/>
      <w:r w:rsidRPr="000722B4">
        <w:t xml:space="preserve"> Ara Tika</w:t>
      </w:r>
      <w:r w:rsidRPr="000722B4">
        <w:rPr>
          <w:rFonts w:cs="Gill Sans MT"/>
        </w:rPr>
        <w:t>’</w:t>
      </w:r>
      <w:r w:rsidRPr="000722B4">
        <w:t xml:space="preserve"> (to follow the right path) practices</w:t>
      </w:r>
      <w:r>
        <w:t xml:space="preserve"> </w:t>
      </w:r>
      <w:r w:rsidRPr="000722B4">
        <w:t xml:space="preserve">are taken as a generic set of principles that apply to all human persons in New Zealand: </w:t>
      </w:r>
    </w:p>
    <w:p w14:paraId="74D2F0E5" w14:textId="77777777" w:rsidR="00686232" w:rsidRPr="000722B4" w:rsidRDefault="00686232" w:rsidP="00301BA0">
      <w:pPr>
        <w:spacing w:line="360" w:lineRule="auto"/>
      </w:pPr>
      <w:r w:rsidRPr="000722B4">
        <w:t xml:space="preserve">1) </w:t>
      </w:r>
      <w:r w:rsidRPr="000722B4">
        <w:rPr>
          <w:i/>
          <w:iCs/>
        </w:rPr>
        <w:t>Tika</w:t>
      </w:r>
      <w:r w:rsidRPr="000722B4">
        <w:t>, that is, doing what is right and good in concrete situations e.g., research design, respectful relationships, engagement with group on which research questions are the important ones.</w:t>
      </w:r>
    </w:p>
    <w:p w14:paraId="5B70799A" w14:textId="77777777" w:rsidR="00686232" w:rsidRPr="000722B4" w:rsidRDefault="00686232" w:rsidP="00301BA0">
      <w:pPr>
        <w:spacing w:line="360" w:lineRule="auto"/>
      </w:pPr>
      <w:r w:rsidRPr="000722B4">
        <w:t xml:space="preserve">2) </w:t>
      </w:r>
      <w:proofErr w:type="spellStart"/>
      <w:r w:rsidRPr="000722B4">
        <w:rPr>
          <w:i/>
          <w:iCs/>
        </w:rPr>
        <w:t>Manaakitanga</w:t>
      </w:r>
      <w:proofErr w:type="spellEnd"/>
      <w:r w:rsidRPr="000722B4">
        <w:t xml:space="preserve"> is caring for others, being careful in the way one treats them. </w:t>
      </w:r>
    </w:p>
    <w:p w14:paraId="04F5DEE4" w14:textId="77777777" w:rsidR="00686232" w:rsidRPr="000722B4" w:rsidRDefault="00686232" w:rsidP="00301BA0">
      <w:pPr>
        <w:spacing w:line="360" w:lineRule="auto"/>
      </w:pPr>
      <w:r w:rsidRPr="000722B4">
        <w:t xml:space="preserve">3) </w:t>
      </w:r>
      <w:r w:rsidRPr="000722B4">
        <w:rPr>
          <w:i/>
          <w:iCs/>
        </w:rPr>
        <w:t>Whakapapa</w:t>
      </w:r>
      <w:r w:rsidRPr="000722B4">
        <w:t xml:space="preserve"> is the quality of relationships, the reasons for their formation and the processes established to support them. </w:t>
      </w:r>
    </w:p>
    <w:p w14:paraId="6774916A" w14:textId="77777777" w:rsidR="00686232" w:rsidRPr="000722B4" w:rsidRDefault="00686232" w:rsidP="00301BA0">
      <w:pPr>
        <w:spacing w:line="360" w:lineRule="auto"/>
      </w:pPr>
      <w:r w:rsidRPr="000722B4">
        <w:t xml:space="preserve">4) </w:t>
      </w:r>
      <w:r w:rsidRPr="000722B4">
        <w:rPr>
          <w:i/>
          <w:iCs/>
        </w:rPr>
        <w:t>Mana</w:t>
      </w:r>
      <w:r w:rsidRPr="000722B4">
        <w:t xml:space="preserve"> refers to power, prestige, leadership, or authority bestowed, gained or inherited individually or collectively. It infers that everyone has the right to determine their destiny themselves (autonomy). It relates to distributive justice and equity in terms of risks, benefits, and outcomes of research. </w:t>
      </w:r>
    </w:p>
    <w:p w14:paraId="7DFB7F5F" w14:textId="77777777" w:rsidR="00686232" w:rsidRPr="001671D6" w:rsidRDefault="00686232" w:rsidP="00301BA0">
      <w:pPr>
        <w:spacing w:before="240" w:line="360" w:lineRule="auto"/>
      </w:pPr>
      <w:r w:rsidRPr="001671D6">
        <w:t>The 2023 HSE National Policy for Consent in Health and Social Care Research Consent Policy states that the ethical principles underpinning the process of consent for health research include:</w:t>
      </w:r>
      <w:r w:rsidRPr="001671D6">
        <w:rPr>
          <w:vertAlign w:val="superscript"/>
        </w:rPr>
        <w:footnoteReference w:id="148"/>
      </w:r>
    </w:p>
    <w:p w14:paraId="345266FC" w14:textId="77777777" w:rsidR="00686232" w:rsidRPr="001671D6" w:rsidRDefault="00686232" w:rsidP="00AC7513">
      <w:pPr>
        <w:numPr>
          <w:ilvl w:val="0"/>
          <w:numId w:val="15"/>
        </w:numPr>
        <w:spacing w:before="120" w:after="120" w:line="360" w:lineRule="auto"/>
        <w:ind w:left="714" w:hanging="357"/>
      </w:pPr>
      <w:r w:rsidRPr="001671D6">
        <w:t xml:space="preserve">Beneficence </w:t>
      </w:r>
    </w:p>
    <w:p w14:paraId="5845949B" w14:textId="77777777" w:rsidR="00686232" w:rsidRPr="001671D6" w:rsidRDefault="00686232" w:rsidP="00AC7513">
      <w:pPr>
        <w:numPr>
          <w:ilvl w:val="0"/>
          <w:numId w:val="15"/>
        </w:numPr>
        <w:spacing w:before="120" w:after="120" w:line="360" w:lineRule="auto"/>
        <w:ind w:left="714" w:hanging="357"/>
      </w:pPr>
      <w:r w:rsidRPr="001671D6">
        <w:lastRenderedPageBreak/>
        <w:t xml:space="preserve">Justice </w:t>
      </w:r>
    </w:p>
    <w:p w14:paraId="0062EDF5" w14:textId="77777777" w:rsidR="00686232" w:rsidRPr="001671D6" w:rsidRDefault="00686232" w:rsidP="00AC7513">
      <w:pPr>
        <w:numPr>
          <w:ilvl w:val="0"/>
          <w:numId w:val="15"/>
        </w:numPr>
        <w:spacing w:before="120" w:after="120" w:line="360" w:lineRule="auto"/>
        <w:ind w:left="714" w:hanging="357"/>
      </w:pPr>
      <w:r w:rsidRPr="001671D6">
        <w:t xml:space="preserve">Respect for persons </w:t>
      </w:r>
    </w:p>
    <w:p w14:paraId="6E4F75D7" w14:textId="77777777" w:rsidR="00686232" w:rsidRPr="001671D6" w:rsidRDefault="00686232" w:rsidP="00AC7513">
      <w:pPr>
        <w:numPr>
          <w:ilvl w:val="0"/>
          <w:numId w:val="15"/>
        </w:numPr>
        <w:spacing w:before="120" w:after="120" w:line="360" w:lineRule="auto"/>
        <w:ind w:left="714" w:hanging="357"/>
      </w:pPr>
      <w:r w:rsidRPr="001671D6">
        <w:t xml:space="preserve">Solidarity </w:t>
      </w:r>
    </w:p>
    <w:p w14:paraId="400A5DBC" w14:textId="77777777" w:rsidR="00686232" w:rsidRDefault="00686232" w:rsidP="00301BA0">
      <w:pPr>
        <w:spacing w:before="240" w:after="120" w:line="360" w:lineRule="auto"/>
        <w:rPr>
          <w:lang w:val="en-GB"/>
        </w:rPr>
      </w:pPr>
      <w:r>
        <w:rPr>
          <w:lang w:val="en-GB"/>
        </w:rPr>
        <w:t>T</w:t>
      </w:r>
      <w:r w:rsidRPr="000722B4">
        <w:rPr>
          <w:lang w:val="en-GB"/>
        </w:rPr>
        <w:t>he Nursing and Midwifery Board of Ireland (NMBI) identif</w:t>
      </w:r>
      <w:r>
        <w:rPr>
          <w:lang w:val="en-GB"/>
        </w:rPr>
        <w:t>y</w:t>
      </w:r>
      <w:r w:rsidRPr="000722B4">
        <w:rPr>
          <w:lang w:val="en-GB"/>
        </w:rPr>
        <w:t xml:space="preserve"> seven principles</w:t>
      </w:r>
      <w:r>
        <w:rPr>
          <w:lang w:val="en-GB"/>
        </w:rPr>
        <w:t xml:space="preserve"> for ethical research:</w:t>
      </w:r>
      <w:r>
        <w:rPr>
          <w:rStyle w:val="FootnoteReference"/>
          <w:lang w:val="en-GB"/>
        </w:rPr>
        <w:footnoteReference w:id="149"/>
      </w:r>
    </w:p>
    <w:p w14:paraId="68BAC757"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Beneficence and non-maleficence</w:t>
      </w:r>
    </w:p>
    <w:p w14:paraId="607E50D6"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 xml:space="preserve">Justice, </w:t>
      </w:r>
    </w:p>
    <w:p w14:paraId="68F001B9"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Veracity</w:t>
      </w:r>
    </w:p>
    <w:p w14:paraId="5A7F0A32"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Fidelity</w:t>
      </w:r>
    </w:p>
    <w:p w14:paraId="56B700E5"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Autonomy</w:t>
      </w:r>
    </w:p>
    <w:p w14:paraId="45AA3E23" w14:textId="77777777" w:rsidR="00686232" w:rsidRPr="001671D6" w:rsidRDefault="00686232" w:rsidP="00AC7513">
      <w:pPr>
        <w:pStyle w:val="ListParagraph"/>
        <w:numPr>
          <w:ilvl w:val="0"/>
          <w:numId w:val="25"/>
        </w:numPr>
        <w:spacing w:before="120" w:after="120" w:line="360" w:lineRule="auto"/>
        <w:ind w:left="714" w:hanging="357"/>
        <w:rPr>
          <w:lang w:val="en-GB"/>
        </w:rPr>
      </w:pPr>
      <w:r w:rsidRPr="001671D6">
        <w:rPr>
          <w:lang w:val="en-GB"/>
        </w:rPr>
        <w:t>Confidentiality</w:t>
      </w:r>
    </w:p>
    <w:p w14:paraId="365AABC5" w14:textId="77B148C2" w:rsidR="00686232" w:rsidRDefault="00686232" w:rsidP="00301BA0">
      <w:pPr>
        <w:spacing w:line="360" w:lineRule="auto"/>
        <w:rPr>
          <w:bCs/>
          <w:iCs/>
        </w:rPr>
      </w:pPr>
    </w:p>
    <w:sectPr w:rsidR="00686232">
      <w:headerReference w:type="default" r:id="rId55"/>
      <w:footerReference w:type="default" r:id="rId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42AC" w14:textId="77777777" w:rsidR="00C34B5B" w:rsidRDefault="00C34B5B">
      <w:r>
        <w:separator/>
      </w:r>
    </w:p>
  </w:endnote>
  <w:endnote w:type="continuationSeparator" w:id="0">
    <w:p w14:paraId="5B19A39E" w14:textId="77777777" w:rsidR="00C34B5B" w:rsidRDefault="00C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dgbcgAdvTT5843c571">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82637"/>
      <w:docPartObj>
        <w:docPartGallery w:val="Page Numbers (Bottom of Page)"/>
        <w:docPartUnique/>
      </w:docPartObj>
    </w:sdtPr>
    <w:sdtEndPr>
      <w:rPr>
        <w:noProof/>
      </w:rPr>
    </w:sdtEndPr>
    <w:sdtContent>
      <w:p w14:paraId="29B0D313" w14:textId="77777777" w:rsidR="008A21CD" w:rsidRDefault="008A21CD">
        <w:pPr>
          <w:pStyle w:val="Footer"/>
          <w:jc w:val="right"/>
        </w:pPr>
        <w:r>
          <w:fldChar w:fldCharType="begin"/>
        </w:r>
        <w:r>
          <w:instrText xml:space="preserve"> PAGE   \* MERGEFORMAT </w:instrText>
        </w:r>
        <w:r>
          <w:fldChar w:fldCharType="separate"/>
        </w:r>
        <w:r w:rsidR="000A2ACF">
          <w:rPr>
            <w:noProof/>
          </w:rPr>
          <w:t>48</w:t>
        </w:r>
        <w:r>
          <w:rPr>
            <w:noProof/>
          </w:rPr>
          <w:fldChar w:fldCharType="end"/>
        </w:r>
      </w:p>
    </w:sdtContent>
  </w:sdt>
  <w:p w14:paraId="7F9E37DF" w14:textId="77777777" w:rsidR="008A21CD" w:rsidRDefault="008A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AF28" w14:textId="77777777" w:rsidR="00C34B5B" w:rsidRDefault="00C34B5B">
      <w:r>
        <w:separator/>
      </w:r>
    </w:p>
  </w:footnote>
  <w:footnote w:type="continuationSeparator" w:id="0">
    <w:p w14:paraId="1307B20B" w14:textId="77777777" w:rsidR="00C34B5B" w:rsidRDefault="00C34B5B">
      <w:r>
        <w:continuationSeparator/>
      </w:r>
    </w:p>
  </w:footnote>
  <w:footnote w:id="1">
    <w:p w14:paraId="1743907B" w14:textId="6CAB9271" w:rsidR="008A21CD" w:rsidRDefault="008A21CD">
      <w:pPr>
        <w:pStyle w:val="FootnoteText"/>
      </w:pPr>
      <w:r>
        <w:rPr>
          <w:rStyle w:val="FootnoteReference"/>
        </w:rPr>
        <w:footnoteRef/>
      </w:r>
      <w:r>
        <w:t xml:space="preserve"> </w:t>
      </w:r>
      <w:r w:rsidRPr="005C5831">
        <w:t>NDA</w:t>
      </w:r>
      <w:r w:rsidR="00C93FD2">
        <w:t xml:space="preserve">, </w:t>
      </w:r>
      <w:r w:rsidRPr="005C5831">
        <w:t>2022</w:t>
      </w:r>
    </w:p>
  </w:footnote>
  <w:footnote w:id="2">
    <w:p w14:paraId="0E828CC1" w14:textId="38575403" w:rsidR="00A91273" w:rsidRDefault="00A91273">
      <w:pPr>
        <w:pStyle w:val="FootnoteText"/>
      </w:pPr>
      <w:r>
        <w:rPr>
          <w:rStyle w:val="FootnoteReference"/>
        </w:rPr>
        <w:footnoteRef/>
      </w:r>
      <w:r>
        <w:t xml:space="preserve"> NDA, 2009</w:t>
      </w:r>
    </w:p>
  </w:footnote>
  <w:footnote w:id="3">
    <w:p w14:paraId="1F86F9FE" w14:textId="75EFA107" w:rsidR="00AF134B" w:rsidRPr="00D32663" w:rsidRDefault="00AF134B">
      <w:pPr>
        <w:pStyle w:val="FootnoteText"/>
        <w:rPr>
          <w:highlight w:val="yellow"/>
        </w:rPr>
      </w:pPr>
      <w:r w:rsidRPr="00D64428">
        <w:rPr>
          <w:rStyle w:val="FootnoteReference"/>
        </w:rPr>
        <w:footnoteRef/>
      </w:r>
      <w:r w:rsidRPr="00D64428">
        <w:t xml:space="preserve"> </w:t>
      </w:r>
      <w:r w:rsidR="00FC3EE7" w:rsidRPr="00D32663">
        <w:t>United Nations</w:t>
      </w:r>
      <w:r w:rsidRPr="00D64428">
        <w:t>, 2006</w:t>
      </w:r>
    </w:p>
  </w:footnote>
  <w:footnote w:id="4">
    <w:p w14:paraId="677C9348" w14:textId="05018EFF" w:rsidR="0006422E" w:rsidRPr="00D64428" w:rsidRDefault="00BA450D">
      <w:pPr>
        <w:pStyle w:val="FootnoteText"/>
      </w:pPr>
      <w:r w:rsidRPr="00D64428">
        <w:rPr>
          <w:rStyle w:val="FootnoteReference"/>
        </w:rPr>
        <w:footnoteRef/>
      </w:r>
      <w:r w:rsidR="00FC3EE7" w:rsidRPr="00D64428">
        <w:t xml:space="preserve">Assisted Decision-Making (Capacity) Act 2015 </w:t>
      </w:r>
      <w:r w:rsidRPr="00D64428">
        <w:t xml:space="preserve"> </w:t>
      </w:r>
    </w:p>
  </w:footnote>
  <w:footnote w:id="5">
    <w:p w14:paraId="38697EDA" w14:textId="27D76D15" w:rsidR="00BA450D" w:rsidRPr="00D64428" w:rsidRDefault="00BA450D">
      <w:pPr>
        <w:pStyle w:val="FootnoteText"/>
      </w:pPr>
      <w:r w:rsidRPr="00D64428">
        <w:rPr>
          <w:rStyle w:val="FootnoteReference"/>
        </w:rPr>
        <w:footnoteRef/>
      </w:r>
      <w:r w:rsidR="00FC3EE7" w:rsidRPr="00D64428">
        <w:t xml:space="preserve">Assisted Decision-Making (Capacity) (Amendment) Act 2022 </w:t>
      </w:r>
      <w:r w:rsidRPr="00D64428">
        <w:t xml:space="preserve"> </w:t>
      </w:r>
    </w:p>
  </w:footnote>
  <w:footnote w:id="6">
    <w:p w14:paraId="739BDA87" w14:textId="0E808B0F" w:rsidR="0006422E" w:rsidRPr="00D64428" w:rsidRDefault="00BA450D">
      <w:pPr>
        <w:pStyle w:val="FootnoteText"/>
      </w:pPr>
      <w:r w:rsidRPr="00D64428">
        <w:rPr>
          <w:rStyle w:val="FootnoteReference"/>
        </w:rPr>
        <w:footnoteRef/>
      </w:r>
      <w:r w:rsidRPr="00D64428">
        <w:t xml:space="preserve"> </w:t>
      </w:r>
      <w:r w:rsidR="00FC3EE7" w:rsidRPr="00D64428">
        <w:t>Data Protection Act 2018 (Section 36(2)) (Health Research) Regulations 2018).</w:t>
      </w:r>
      <w:r w:rsidR="00FC3EE7" w:rsidRPr="00D32663" w:rsidDel="00FC3EE7">
        <w:t xml:space="preserve"> </w:t>
      </w:r>
    </w:p>
  </w:footnote>
  <w:footnote w:id="7">
    <w:p w14:paraId="15189D17" w14:textId="1C760C74" w:rsidR="0006422E" w:rsidRDefault="00BA450D">
      <w:pPr>
        <w:pStyle w:val="FootnoteText"/>
      </w:pPr>
      <w:r w:rsidRPr="00D64428">
        <w:rPr>
          <w:rStyle w:val="FootnoteReference"/>
        </w:rPr>
        <w:footnoteRef/>
      </w:r>
      <w:r w:rsidRPr="00D64428">
        <w:t xml:space="preserve"> </w:t>
      </w:r>
      <w:r w:rsidR="00C30789" w:rsidRPr="00D32663">
        <w:t xml:space="preserve">Data Protection Act 2018 </w:t>
      </w:r>
    </w:p>
  </w:footnote>
  <w:footnote w:id="8">
    <w:p w14:paraId="1113701E" w14:textId="1DE31772" w:rsidR="00B43FA5" w:rsidRDefault="00B43FA5">
      <w:pPr>
        <w:pStyle w:val="FootnoteText"/>
      </w:pPr>
      <w:r>
        <w:rPr>
          <w:rStyle w:val="FootnoteReference"/>
        </w:rPr>
        <w:footnoteRef/>
      </w:r>
      <w:r>
        <w:t xml:space="preserve"> </w:t>
      </w:r>
      <w:r w:rsidR="007019AB" w:rsidRPr="007019AB">
        <w:t>DP</w:t>
      </w:r>
      <w:r w:rsidR="00746FA1">
        <w:t>Os</w:t>
      </w:r>
      <w:r w:rsidR="007019AB" w:rsidRPr="007019AB">
        <w:t xml:space="preserve"> are civil society organisations of persons with disabilities</w:t>
      </w:r>
      <w:r w:rsidR="007019AB">
        <w:t xml:space="preserve">. They </w:t>
      </w:r>
      <w:r w:rsidRPr="00B43FA5">
        <w:t>are led, directed</w:t>
      </w:r>
      <w:r>
        <w:t>,</w:t>
      </w:r>
      <w:r w:rsidRPr="00B43FA5">
        <w:t xml:space="preserve"> and governed by disabled people for disabled people</w:t>
      </w:r>
      <w:r>
        <w:t>.</w:t>
      </w:r>
      <w:r w:rsidR="007019AB" w:rsidRPr="007019AB">
        <w:rPr>
          <w:sz w:val="26"/>
          <w:szCs w:val="24"/>
        </w:rPr>
        <w:t xml:space="preserve"> </w:t>
      </w:r>
      <w:r w:rsidR="00A0228E">
        <w:t xml:space="preserve">The </w:t>
      </w:r>
      <w:r w:rsidR="007019AB" w:rsidRPr="007019AB">
        <w:t xml:space="preserve">CRPD </w:t>
      </w:r>
      <w:r w:rsidR="008F0CCE">
        <w:t>states in Article 4.3: “In the d</w:t>
      </w:r>
      <w:r w:rsidR="008F0CCE" w:rsidRPr="008F0CCE">
        <w:t>e</w:t>
      </w:r>
      <w:r w:rsidR="008F0CCE">
        <w:t>vel</w:t>
      </w:r>
      <w:r w:rsidR="008F0CCE" w:rsidRPr="008F0CCE">
        <w:t>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008F0CCE">
        <w:t>”</w:t>
      </w:r>
      <w:r w:rsidR="008F0CCE" w:rsidRPr="008F0CCE">
        <w:t>.</w:t>
      </w:r>
      <w:r w:rsidR="008F0CCE">
        <w:t xml:space="preserve"> </w:t>
      </w:r>
      <w:r w:rsidR="00746FA1">
        <w:t>For more information s</w:t>
      </w:r>
      <w:r w:rsidR="007019AB">
        <w:t>ee the 2021 NDA</w:t>
      </w:r>
      <w:r w:rsidR="007019AB" w:rsidRPr="007019AB">
        <w:t xml:space="preserve"> </w:t>
      </w:r>
      <w:r w:rsidR="007019AB">
        <w:t>paper ‘</w:t>
      </w:r>
      <w:hyperlink r:id="rId1" w:history="1">
        <w:r w:rsidR="007019AB" w:rsidRPr="00746FA1">
          <w:rPr>
            <w:rStyle w:val="Hyperlink"/>
          </w:rPr>
          <w:t>A review of Disabled Persons Organisations and their participation in implementing and monitoring the UNCRPD</w:t>
        </w:r>
      </w:hyperlink>
      <w:r w:rsidR="007019AB">
        <w:t>.</w:t>
      </w:r>
    </w:p>
  </w:footnote>
  <w:footnote w:id="9">
    <w:p w14:paraId="160A75AF" w14:textId="2A638A27" w:rsidR="008A21CD" w:rsidRPr="00C30789" w:rsidRDefault="008A21CD">
      <w:pPr>
        <w:pStyle w:val="FootnoteText"/>
      </w:pPr>
      <w:r>
        <w:rPr>
          <w:rStyle w:val="FootnoteReference"/>
        </w:rPr>
        <w:footnoteRef/>
      </w:r>
      <w:r>
        <w:t xml:space="preserve"> </w:t>
      </w:r>
      <w:r w:rsidR="00D00ADB" w:rsidRPr="00C30789">
        <w:t xml:space="preserve">The National Ethics Advisory Committee </w:t>
      </w:r>
      <w:r w:rsidR="004D1BCA" w:rsidRPr="00C30789">
        <w:t xml:space="preserve">(NEAC) </w:t>
      </w:r>
      <w:r w:rsidR="00D00ADB" w:rsidRPr="00C30789">
        <w:t>– K</w:t>
      </w:r>
      <w:r w:rsidR="00D00ADB" w:rsidRPr="00C30789">
        <w:rPr>
          <w:rFonts w:ascii="Calibri" w:hAnsi="Calibri" w:cs="Calibri"/>
        </w:rPr>
        <w:t>ā</w:t>
      </w:r>
      <w:r w:rsidR="00D00ADB" w:rsidRPr="00C30789">
        <w:t xml:space="preserve">hui Matatika o te Motu (NEAC) </w:t>
      </w:r>
      <w:r w:rsidR="00AA4012" w:rsidRPr="00C30789">
        <w:t xml:space="preserve">- </w:t>
      </w:r>
      <w:r w:rsidR="00D00ADB" w:rsidRPr="00C30789">
        <w:t>is an independent advisor to the Minister of Health in New Zealand on ethical issues related to health and disability research and services.</w:t>
      </w:r>
    </w:p>
  </w:footnote>
  <w:footnote w:id="10">
    <w:p w14:paraId="15225A4C" w14:textId="1259E1CD" w:rsidR="00D636A9" w:rsidRPr="00526F14" w:rsidRDefault="00D636A9" w:rsidP="00D636A9">
      <w:pPr>
        <w:pStyle w:val="FootnoteText"/>
      </w:pPr>
      <w:r w:rsidRPr="00526F14">
        <w:rPr>
          <w:rStyle w:val="FootnoteReference"/>
        </w:rPr>
        <w:footnoteRef/>
      </w:r>
      <w:r w:rsidRPr="00526F14">
        <w:t xml:space="preserve"> </w:t>
      </w:r>
      <w:r w:rsidR="00460142">
        <w:t>A</w:t>
      </w:r>
      <w:r w:rsidRPr="00526F14">
        <w:t xml:space="preserve"> social approach to disability has been indispensable to overcome the medicalisation of disability, which has been an obstacle to analysis and policy. A social approach focuses on social-political issues, but more sophisticated and complex approaches will further explain and </w:t>
      </w:r>
      <w:r w:rsidR="0098423F" w:rsidRPr="00526F14">
        <w:t xml:space="preserve">address the </w:t>
      </w:r>
      <w:r w:rsidRPr="00526F14">
        <w:t>social exclusion that disabled people face and the complexity of their needs</w:t>
      </w:r>
      <w:r w:rsidR="00460142">
        <w:t xml:space="preserve"> ( Shakespeare and Watson 2001; Shakespeare 2010)</w:t>
      </w:r>
      <w:r w:rsidRPr="00526F14">
        <w:t xml:space="preserve">. </w:t>
      </w:r>
    </w:p>
  </w:footnote>
  <w:footnote w:id="11">
    <w:p w14:paraId="12D4E4EE" w14:textId="354FCBF4" w:rsidR="008A21CD" w:rsidRPr="00D32663" w:rsidRDefault="008A21CD">
      <w:pPr>
        <w:pStyle w:val="FootnoteText"/>
        <w:rPr>
          <w:highlight w:val="yellow"/>
        </w:rPr>
      </w:pPr>
      <w:r w:rsidRPr="00C142BF">
        <w:rPr>
          <w:rStyle w:val="FootnoteReference"/>
        </w:rPr>
        <w:footnoteRef/>
      </w:r>
      <w:r w:rsidRPr="00C142BF">
        <w:t xml:space="preserve"> </w:t>
      </w:r>
      <w:r w:rsidRPr="00C142BF">
        <w:rPr>
          <w:lang w:val="en-GB"/>
        </w:rPr>
        <w:t xml:space="preserve">Williamson 2015 cited by </w:t>
      </w:r>
      <w:r w:rsidR="003F6ACF" w:rsidRPr="00C142BF">
        <w:t>National Ethics Advisory Committee (</w:t>
      </w:r>
      <w:r w:rsidRPr="00C142BF">
        <w:rPr>
          <w:lang w:val="en-GB"/>
        </w:rPr>
        <w:t>NEAC</w:t>
      </w:r>
      <w:r w:rsidR="003F6ACF" w:rsidRPr="00C142BF">
        <w:rPr>
          <w:lang w:val="en-GB"/>
        </w:rPr>
        <w:t>)</w:t>
      </w:r>
      <w:r w:rsidRPr="00C142BF">
        <w:rPr>
          <w:lang w:val="en-GB"/>
        </w:rPr>
        <w:t xml:space="preserve">, 2019.  </w:t>
      </w:r>
    </w:p>
  </w:footnote>
  <w:footnote w:id="12">
    <w:p w14:paraId="0C5F37EF" w14:textId="52D83584" w:rsidR="008A21CD" w:rsidRDefault="008A21CD">
      <w:pPr>
        <w:pStyle w:val="FootnoteText"/>
      </w:pPr>
      <w:r w:rsidRPr="00C142BF">
        <w:rPr>
          <w:rStyle w:val="FootnoteReference"/>
        </w:rPr>
        <w:footnoteRef/>
      </w:r>
      <w:r w:rsidRPr="00C142BF">
        <w:t xml:space="preserve"> NEAC</w:t>
      </w:r>
      <w:r w:rsidR="006A6812" w:rsidRPr="00C142BF">
        <w:t xml:space="preserve">, </w:t>
      </w:r>
      <w:r w:rsidRPr="00C142BF">
        <w:t>2019</w:t>
      </w:r>
    </w:p>
  </w:footnote>
  <w:footnote w:id="13">
    <w:p w14:paraId="021024D1" w14:textId="05AC980D" w:rsidR="006F6AAA" w:rsidRDefault="006F6AAA">
      <w:pPr>
        <w:pStyle w:val="FootnoteText"/>
      </w:pPr>
      <w:r>
        <w:rPr>
          <w:rStyle w:val="FootnoteReference"/>
        </w:rPr>
        <w:footnoteRef/>
      </w:r>
      <w:r>
        <w:t xml:space="preserve"> </w:t>
      </w:r>
      <w:r w:rsidRPr="006F6AAA">
        <w:t>Leonardi et al</w:t>
      </w:r>
      <w:r>
        <w:t>,</w:t>
      </w:r>
      <w:r w:rsidRPr="006F6AAA">
        <w:t xml:space="preserve"> 2006 cited by Good, 2020</w:t>
      </w:r>
    </w:p>
  </w:footnote>
  <w:footnote w:id="14">
    <w:p w14:paraId="1D56A213" w14:textId="32FA8675" w:rsidR="00C82642" w:rsidRDefault="00C82642">
      <w:pPr>
        <w:pStyle w:val="FootnoteText"/>
      </w:pPr>
      <w:r>
        <w:rPr>
          <w:rStyle w:val="FootnoteReference"/>
        </w:rPr>
        <w:footnoteRef/>
      </w:r>
      <w:r>
        <w:t xml:space="preserve"> NEAC, 2019, p. 51-52</w:t>
      </w:r>
    </w:p>
  </w:footnote>
  <w:footnote w:id="15">
    <w:p w14:paraId="7626D91B" w14:textId="31DF8486" w:rsidR="00276FAD" w:rsidRDefault="00276FAD">
      <w:pPr>
        <w:pStyle w:val="FootnoteText"/>
      </w:pPr>
      <w:r>
        <w:rPr>
          <w:rStyle w:val="FootnoteReference"/>
        </w:rPr>
        <w:footnoteRef/>
      </w:r>
      <w:r>
        <w:t xml:space="preserve"> Good, 2020</w:t>
      </w:r>
    </w:p>
  </w:footnote>
  <w:footnote w:id="16">
    <w:p w14:paraId="1E71D119" w14:textId="4A501787" w:rsidR="00AD2330" w:rsidRDefault="00AD2330">
      <w:pPr>
        <w:pStyle w:val="FootnoteText"/>
      </w:pPr>
      <w:r>
        <w:rPr>
          <w:rStyle w:val="FootnoteReference"/>
        </w:rPr>
        <w:footnoteRef/>
      </w:r>
      <w:r>
        <w:t xml:space="preserve"> Good</w:t>
      </w:r>
      <w:r w:rsidR="0053163B">
        <w:t xml:space="preserve">, </w:t>
      </w:r>
      <w:r>
        <w:t>2020</w:t>
      </w:r>
    </w:p>
  </w:footnote>
  <w:footnote w:id="17">
    <w:p w14:paraId="27E2DC86" w14:textId="451387F3" w:rsidR="006F6AAA" w:rsidRDefault="006F6AAA">
      <w:pPr>
        <w:pStyle w:val="FootnoteText"/>
      </w:pPr>
      <w:r>
        <w:rPr>
          <w:rStyle w:val="FootnoteReference"/>
        </w:rPr>
        <w:footnoteRef/>
      </w:r>
      <w:r>
        <w:t xml:space="preserve"> Good, 2020</w:t>
      </w:r>
    </w:p>
  </w:footnote>
  <w:footnote w:id="18">
    <w:p w14:paraId="04778DAA" w14:textId="2BDC8EE0" w:rsidR="00244EAD" w:rsidRPr="00C142BF" w:rsidRDefault="00244EAD">
      <w:pPr>
        <w:pStyle w:val="FootnoteText"/>
      </w:pPr>
      <w:r w:rsidRPr="00C142BF">
        <w:rPr>
          <w:rStyle w:val="FootnoteReference"/>
        </w:rPr>
        <w:footnoteRef/>
      </w:r>
      <w:r w:rsidRPr="00C142BF">
        <w:t xml:space="preserve"> </w:t>
      </w:r>
      <w:hyperlink r:id="rId2" w:history="1">
        <w:r w:rsidRPr="00C142BF">
          <w:rPr>
            <w:rStyle w:val="Hyperlink"/>
          </w:rPr>
          <w:t>Article 4 – General obligations | United Nations Enable</w:t>
        </w:r>
      </w:hyperlink>
    </w:p>
  </w:footnote>
  <w:footnote w:id="19">
    <w:p w14:paraId="355F3FA1" w14:textId="3164F5AE" w:rsidR="00707AC9" w:rsidRDefault="00707AC9">
      <w:pPr>
        <w:pStyle w:val="FootnoteText"/>
      </w:pPr>
      <w:r w:rsidRPr="00C142BF">
        <w:rPr>
          <w:rStyle w:val="FootnoteReference"/>
        </w:rPr>
        <w:footnoteRef/>
      </w:r>
      <w:r w:rsidRPr="00C142BF">
        <w:t xml:space="preserve"> </w:t>
      </w:r>
      <w:hyperlink r:id="rId3" w:history="1">
        <w:r w:rsidRPr="00C142BF">
          <w:rPr>
            <w:rStyle w:val="Hyperlink"/>
          </w:rPr>
          <w:t>Article 31 – Statistics and data collection | United Nations Enable</w:t>
        </w:r>
      </w:hyperlink>
    </w:p>
  </w:footnote>
  <w:footnote w:id="20">
    <w:p w14:paraId="5692344D" w14:textId="3A9AFC02" w:rsidR="00712D43" w:rsidRDefault="00712D43">
      <w:pPr>
        <w:pStyle w:val="FootnoteText"/>
      </w:pPr>
      <w:r>
        <w:rPr>
          <w:rStyle w:val="FootnoteReference"/>
        </w:rPr>
        <w:footnoteRef/>
      </w:r>
      <w:r>
        <w:t xml:space="preserve"> Good, 2020</w:t>
      </w:r>
    </w:p>
  </w:footnote>
  <w:footnote w:id="21">
    <w:p w14:paraId="52B54627" w14:textId="77777777" w:rsidR="00125C16" w:rsidRDefault="00125C16" w:rsidP="00125C16">
      <w:pPr>
        <w:pStyle w:val="FootnoteText"/>
      </w:pPr>
      <w:r>
        <w:rPr>
          <w:rStyle w:val="FootnoteReference"/>
        </w:rPr>
        <w:footnoteRef/>
      </w:r>
      <w:r>
        <w:t xml:space="preserve"> </w:t>
      </w:r>
      <w:r w:rsidRPr="00125C16">
        <w:t xml:space="preserve">Article 4.1. CRPD states that “States Parties undertake to ensure and promote the full realization of all human rights and fundamental freedoms for all persons with disabilities without discrimination of any kind on the basis of disability”. </w:t>
      </w:r>
    </w:p>
    <w:p w14:paraId="0F51343E" w14:textId="77777777" w:rsidR="00125C16" w:rsidRDefault="00125C16" w:rsidP="00125C16">
      <w:pPr>
        <w:pStyle w:val="FootnoteText"/>
      </w:pPr>
      <w:r w:rsidRPr="00125C16">
        <w:t xml:space="preserve">Article 4.2. CRPD states that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14:paraId="394DDB7B" w14:textId="77777777" w:rsidR="00125C16" w:rsidRDefault="00125C16" w:rsidP="00125C16">
      <w:pPr>
        <w:pStyle w:val="FootnoteText"/>
        <w:rPr>
          <w:lang w:val="en-GB"/>
        </w:rPr>
      </w:pPr>
      <w:r w:rsidRPr="00C16BC8">
        <w:rPr>
          <w:lang w:val="en-GB"/>
        </w:rPr>
        <w:t>Article 33 addresses national implementation and monitoring</w:t>
      </w:r>
      <w:r>
        <w:rPr>
          <w:lang w:val="en-GB"/>
        </w:rPr>
        <w:t xml:space="preserve">. </w:t>
      </w:r>
    </w:p>
    <w:p w14:paraId="7AE9D6EB" w14:textId="77777777" w:rsidR="00125C16" w:rsidRDefault="00125C16" w:rsidP="00125C16">
      <w:pPr>
        <w:pStyle w:val="FootnoteText"/>
      </w:pPr>
      <w:r w:rsidRPr="00125C16">
        <w:t xml:space="preserve">Article 4.3. </w:t>
      </w:r>
      <w:r>
        <w:t xml:space="preserve">CRPD </w:t>
      </w:r>
      <w:r w:rsidRPr="00125C16">
        <w:t xml:space="preserve">states that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14:paraId="3E345F69" w14:textId="7737CF77" w:rsidR="00125C16" w:rsidRPr="00583583" w:rsidRDefault="00125C16" w:rsidP="00125C16">
      <w:pPr>
        <w:pStyle w:val="FootnoteText"/>
        <w:rPr>
          <w:lang w:val="en-GB"/>
        </w:rPr>
      </w:pPr>
      <w:r w:rsidRPr="00125C16">
        <w:t>General Comment No. 7 on the participation of persons with disabilities, issued in 2018, to provide States Parties with guidance on how to implement Article 4(3) and Article 33. General Comment 7 states that the rights under these Articles are civil and political rights and therefore of immediate application. General Comments are the interpretation of the Committee on a particular Article and while not legally binding countries are encouraged to apply them</w:t>
      </w:r>
    </w:p>
  </w:footnote>
  <w:footnote w:id="22">
    <w:p w14:paraId="61C42E6C" w14:textId="5C8F83A2" w:rsidR="008601B8" w:rsidRDefault="008601B8">
      <w:pPr>
        <w:pStyle w:val="FootnoteText"/>
      </w:pPr>
      <w:r>
        <w:rPr>
          <w:rStyle w:val="FootnoteReference"/>
        </w:rPr>
        <w:footnoteRef/>
      </w:r>
      <w:r>
        <w:t xml:space="preserve"> NDA, 2022</w:t>
      </w:r>
      <w:r w:rsidR="00877598">
        <w:t>b</w:t>
      </w:r>
    </w:p>
  </w:footnote>
  <w:footnote w:id="23">
    <w:p w14:paraId="3AE5E9B8" w14:textId="2718FE48" w:rsidR="0071669B" w:rsidRPr="00D32663" w:rsidRDefault="0071669B">
      <w:pPr>
        <w:pStyle w:val="FootnoteText"/>
        <w:rPr>
          <w:highlight w:val="yellow"/>
        </w:rPr>
      </w:pPr>
      <w:r w:rsidRPr="00C778D3">
        <w:rPr>
          <w:rStyle w:val="FootnoteReference"/>
        </w:rPr>
        <w:footnoteRef/>
      </w:r>
      <w:r w:rsidRPr="00C778D3">
        <w:t xml:space="preserve"> Commission on the Status of People with Disabilities, 1996</w:t>
      </w:r>
    </w:p>
  </w:footnote>
  <w:footnote w:id="24">
    <w:p w14:paraId="344ECD74" w14:textId="1D38395C" w:rsidR="00216B51" w:rsidRDefault="00216B51">
      <w:pPr>
        <w:pStyle w:val="FootnoteText"/>
      </w:pPr>
      <w:r w:rsidRPr="00C142BF">
        <w:rPr>
          <w:rStyle w:val="FootnoteReference"/>
        </w:rPr>
        <w:footnoteRef/>
      </w:r>
      <w:r w:rsidRPr="00C142BF">
        <w:t xml:space="preserve"> </w:t>
      </w:r>
      <w:hyperlink r:id="rId4" w:history="1">
        <w:r w:rsidR="00C142BF">
          <w:rPr>
            <w:rStyle w:val="Hyperlink"/>
          </w:rPr>
          <w:t>Government</w:t>
        </w:r>
      </w:hyperlink>
      <w:r w:rsidR="00C142BF">
        <w:rPr>
          <w:rStyle w:val="Hyperlink"/>
        </w:rPr>
        <w:t xml:space="preserve"> of Ireland</w:t>
      </w:r>
      <w:r w:rsidR="00460142">
        <w:rPr>
          <w:rStyle w:val="Hyperlink"/>
        </w:rPr>
        <w:t>,</w:t>
      </w:r>
      <w:r w:rsidR="00C142BF">
        <w:rPr>
          <w:rStyle w:val="Hyperlink"/>
        </w:rPr>
        <w:t xml:space="preserve"> 2022</w:t>
      </w:r>
    </w:p>
  </w:footnote>
  <w:footnote w:id="25">
    <w:p w14:paraId="0AD755E9" w14:textId="1B42C8D4" w:rsidR="00E636DA" w:rsidRDefault="00E636DA">
      <w:pPr>
        <w:pStyle w:val="FootnoteText"/>
      </w:pPr>
      <w:r>
        <w:rPr>
          <w:rStyle w:val="FootnoteReference"/>
        </w:rPr>
        <w:footnoteRef/>
      </w:r>
      <w:r>
        <w:t xml:space="preserve"> NEAC, 2019</w:t>
      </w:r>
    </w:p>
  </w:footnote>
  <w:footnote w:id="26">
    <w:p w14:paraId="50C732B7" w14:textId="5FB1B0B8" w:rsidR="00E05807" w:rsidRDefault="00E05807" w:rsidP="00E05807">
      <w:pPr>
        <w:pStyle w:val="FootnoteText"/>
      </w:pPr>
      <w:r>
        <w:rPr>
          <w:rStyle w:val="FootnoteReference"/>
        </w:rPr>
        <w:footnoteRef/>
      </w:r>
      <w:r>
        <w:t xml:space="preserve"> Doody </w:t>
      </w:r>
      <w:r w:rsidR="00313FE3">
        <w:t>and Noonan</w:t>
      </w:r>
      <w:r>
        <w:t>, 2016 in table 1</w:t>
      </w:r>
      <w:r w:rsidR="00DB4FDC">
        <w:t xml:space="preserve"> </w:t>
      </w:r>
      <w:r>
        <w:t xml:space="preserve">give examples of research where there were human rights violations. The 11 studies they listed include the Tuskegee syphilis study (1932-1972) where treatment was withheld from 399 African American syphilis sufferers to study the long-term effects of the disease; the Willowbrook Study (1963-1966) where children with disability were infected with hepatitis to investigate the course of the disease and to test a potential vaccine. The Bristol Royal Infirmary Inquiry (2001) investigated 30-35 children who had heart surgery between 1991-1995 as experimental subjects and died unnecessarily as the surgeon operated to introduce new techniques despite poor survival. </w:t>
      </w:r>
    </w:p>
  </w:footnote>
  <w:footnote w:id="27">
    <w:p w14:paraId="1BDA6F44" w14:textId="59BC9B7D" w:rsidR="003E1798" w:rsidRDefault="003E1798" w:rsidP="003E1798">
      <w:pPr>
        <w:pStyle w:val="FootnoteText"/>
      </w:pPr>
      <w:r>
        <w:rPr>
          <w:rStyle w:val="FootnoteReference"/>
        </w:rPr>
        <w:footnoteRef/>
      </w:r>
      <w:r>
        <w:t xml:space="preserve"> </w:t>
      </w:r>
      <w:r w:rsidRPr="00E0404D">
        <w:t>Good</w:t>
      </w:r>
      <w:r w:rsidR="0053163B">
        <w:t>,</w:t>
      </w:r>
      <w:r w:rsidRPr="00E0404D">
        <w:t xml:space="preserve"> 2020</w:t>
      </w:r>
    </w:p>
  </w:footnote>
  <w:footnote w:id="28">
    <w:p w14:paraId="3C820991" w14:textId="09AFEDDB" w:rsidR="008A21CD" w:rsidRDefault="008A21CD">
      <w:pPr>
        <w:pStyle w:val="FootnoteText"/>
      </w:pPr>
      <w:r>
        <w:rPr>
          <w:rStyle w:val="FootnoteReference"/>
        </w:rPr>
        <w:footnoteRef/>
      </w:r>
      <w:r>
        <w:t xml:space="preserve"> UK </w:t>
      </w:r>
      <w:r w:rsidRPr="00801377">
        <w:rPr>
          <w:lang w:val="en-GB"/>
        </w:rPr>
        <w:t>Economic and Social Research Council</w:t>
      </w:r>
      <w:r w:rsidR="0053163B">
        <w:rPr>
          <w:lang w:val="en-GB"/>
        </w:rPr>
        <w:t>, 2023</w:t>
      </w:r>
    </w:p>
  </w:footnote>
  <w:footnote w:id="29">
    <w:p w14:paraId="6DDA4B7D" w14:textId="77777777" w:rsidR="00526024" w:rsidRPr="00907B4A" w:rsidRDefault="00526024" w:rsidP="00526024">
      <w:pPr>
        <w:pStyle w:val="FootnoteText"/>
      </w:pPr>
      <w:r>
        <w:rPr>
          <w:rStyle w:val="FootnoteReference"/>
        </w:rPr>
        <w:footnoteRef/>
      </w:r>
      <w:r>
        <w:t xml:space="preserve"> </w:t>
      </w:r>
      <w:r w:rsidRPr="00907B4A">
        <w:t xml:space="preserve">Curation of data is </w:t>
      </w:r>
      <w:r w:rsidRPr="00907B4A">
        <w:rPr>
          <w:bCs/>
        </w:rPr>
        <w:t>the process of creating, organizing, and maintaining data sets so they can be accessed and used by people looking for information</w:t>
      </w:r>
      <w:r w:rsidRPr="00907B4A">
        <w:t>. </w:t>
      </w:r>
    </w:p>
  </w:footnote>
  <w:footnote w:id="30">
    <w:p w14:paraId="6A8EE70E" w14:textId="13F76508" w:rsidR="00526024" w:rsidRDefault="00526024" w:rsidP="00526024">
      <w:pPr>
        <w:pStyle w:val="FootnoteText"/>
      </w:pPr>
      <w:r>
        <w:rPr>
          <w:rStyle w:val="FootnoteReference"/>
        </w:rPr>
        <w:footnoteRef/>
      </w:r>
      <w:r>
        <w:t xml:space="preserve"> UK </w:t>
      </w:r>
      <w:r w:rsidRPr="00801377">
        <w:rPr>
          <w:lang w:val="en-GB"/>
        </w:rPr>
        <w:t>Economic and Social Research Council</w:t>
      </w:r>
      <w:r w:rsidR="0053163B">
        <w:rPr>
          <w:lang w:val="en-GB"/>
        </w:rPr>
        <w:t>, 2023</w:t>
      </w:r>
    </w:p>
  </w:footnote>
  <w:footnote w:id="31">
    <w:p w14:paraId="0742EC9D" w14:textId="16113611" w:rsidR="00526024" w:rsidRDefault="00526024" w:rsidP="00526024">
      <w:pPr>
        <w:pStyle w:val="FootnoteText"/>
      </w:pPr>
      <w:r>
        <w:rPr>
          <w:rStyle w:val="FootnoteReference"/>
        </w:rPr>
        <w:footnoteRef/>
      </w:r>
      <w:r>
        <w:t xml:space="preserve"> Barnes, </w:t>
      </w:r>
      <w:r w:rsidRPr="007123FC">
        <w:t>2008</w:t>
      </w:r>
    </w:p>
  </w:footnote>
  <w:footnote w:id="32">
    <w:p w14:paraId="166A6F63" w14:textId="77777777" w:rsidR="00306861" w:rsidRDefault="00306861" w:rsidP="00306861">
      <w:pPr>
        <w:pStyle w:val="FootnoteText"/>
      </w:pPr>
      <w:r>
        <w:rPr>
          <w:rStyle w:val="FootnoteReference"/>
        </w:rPr>
        <w:footnoteRef/>
      </w:r>
      <w:r>
        <w:t xml:space="preserve"> Stewart et al, 2011</w:t>
      </w:r>
    </w:p>
  </w:footnote>
  <w:footnote w:id="33">
    <w:p w14:paraId="64BED361" w14:textId="77777777" w:rsidR="00CE48C0" w:rsidRDefault="00CE48C0" w:rsidP="00CE48C0">
      <w:pPr>
        <w:pStyle w:val="FootnoteText"/>
      </w:pPr>
      <w:r>
        <w:rPr>
          <w:rStyle w:val="FootnoteReference"/>
        </w:rPr>
        <w:footnoteRef/>
      </w:r>
      <w:r>
        <w:t xml:space="preserve"> </w:t>
      </w:r>
      <w:r w:rsidRPr="00D1424B">
        <w:t>European Commission, 2013</w:t>
      </w:r>
    </w:p>
  </w:footnote>
  <w:footnote w:id="34">
    <w:p w14:paraId="7612C2AA" w14:textId="5C93D9CD" w:rsidR="00642499" w:rsidRDefault="00642499" w:rsidP="00642499">
      <w:pPr>
        <w:pStyle w:val="FootnoteText"/>
      </w:pPr>
      <w:r>
        <w:rPr>
          <w:rStyle w:val="FootnoteReference"/>
        </w:rPr>
        <w:footnoteRef/>
      </w:r>
      <w:r>
        <w:t xml:space="preserve"> Resnik,, 2020 </w:t>
      </w:r>
    </w:p>
  </w:footnote>
  <w:footnote w:id="35">
    <w:p w14:paraId="44C71D5A" w14:textId="25BB5428" w:rsidR="00A079D6" w:rsidRDefault="00A079D6">
      <w:pPr>
        <w:pStyle w:val="FootnoteText"/>
      </w:pPr>
      <w:r>
        <w:rPr>
          <w:rStyle w:val="FootnoteReference"/>
        </w:rPr>
        <w:footnoteRef/>
      </w:r>
      <w:r>
        <w:t xml:space="preserve"> US Department of Health and Human Services, 2022</w:t>
      </w:r>
    </w:p>
  </w:footnote>
  <w:footnote w:id="36">
    <w:p w14:paraId="7E36D095" w14:textId="23D89727" w:rsidR="002E1BBA" w:rsidRDefault="002E1BBA">
      <w:pPr>
        <w:pStyle w:val="FootnoteText"/>
      </w:pPr>
      <w:r>
        <w:rPr>
          <w:rStyle w:val="FootnoteReference"/>
        </w:rPr>
        <w:footnoteRef/>
      </w:r>
      <w:r>
        <w:t xml:space="preserve"> Because t</w:t>
      </w:r>
      <w:r w:rsidRPr="002E1BBA">
        <w:t>he values/principles</w:t>
      </w:r>
      <w:r>
        <w:t>/standards</w:t>
      </w:r>
      <w:r w:rsidRPr="002E1BBA">
        <w:t xml:space="preserve"> for ethical research flow from </w:t>
      </w:r>
      <w:r>
        <w:t xml:space="preserve">human </w:t>
      </w:r>
      <w:r w:rsidRPr="002E1BBA">
        <w:t xml:space="preserve">rights that inhere in all human </w:t>
      </w:r>
      <w:r>
        <w:t>beings</w:t>
      </w:r>
      <w:r w:rsidRPr="002E1BBA">
        <w:t xml:space="preserve">, </w:t>
      </w:r>
      <w:r>
        <w:t xml:space="preserve">they are fundamentally the same even though expressed or summarised in various ways. </w:t>
      </w:r>
    </w:p>
  </w:footnote>
  <w:footnote w:id="37">
    <w:p w14:paraId="3C5CBE98" w14:textId="682CE4D4" w:rsidR="004760F9" w:rsidRDefault="004760F9">
      <w:pPr>
        <w:pStyle w:val="FootnoteText"/>
      </w:pPr>
      <w:r>
        <w:rPr>
          <w:rStyle w:val="FootnoteReference"/>
        </w:rPr>
        <w:footnoteRef/>
      </w:r>
      <w:r>
        <w:t xml:space="preserve"> National Institute of Health and Care Excellence</w:t>
      </w:r>
      <w:r w:rsidR="00D02EF6">
        <w:t xml:space="preserve"> (</w:t>
      </w:r>
      <w:r w:rsidR="005F447F" w:rsidRPr="005F447F">
        <w:t>NICE</w:t>
      </w:r>
      <w:r w:rsidR="00D02EF6">
        <w:t>),</w:t>
      </w:r>
      <w:r w:rsidR="005F447F" w:rsidRPr="005F447F">
        <w:t xml:space="preserve"> </w:t>
      </w:r>
      <w:r>
        <w:t>2018</w:t>
      </w:r>
    </w:p>
  </w:footnote>
  <w:footnote w:id="38">
    <w:p w14:paraId="017CEDF1" w14:textId="77777777" w:rsidR="005F379B" w:rsidRDefault="005F379B" w:rsidP="005F379B">
      <w:pPr>
        <w:pStyle w:val="FootnoteText"/>
      </w:pPr>
      <w:r>
        <w:rPr>
          <w:rStyle w:val="FootnoteReference"/>
        </w:rPr>
        <w:footnoteRef/>
      </w:r>
      <w:r>
        <w:t xml:space="preserve"> </w:t>
      </w:r>
      <w:r w:rsidRPr="00814459">
        <w:rPr>
          <w:bCs/>
          <w:iCs/>
          <w:lang w:val="en-GB"/>
        </w:rPr>
        <w:t xml:space="preserve">Dench </w:t>
      </w:r>
      <w:r>
        <w:rPr>
          <w:bCs/>
          <w:iCs/>
          <w:lang w:val="en-GB"/>
        </w:rPr>
        <w:t>et al, 2003</w:t>
      </w:r>
    </w:p>
  </w:footnote>
  <w:footnote w:id="39">
    <w:p w14:paraId="7D24E185" w14:textId="5395E875" w:rsidR="00553A15" w:rsidRDefault="00553A15">
      <w:pPr>
        <w:pStyle w:val="FootnoteText"/>
      </w:pPr>
      <w:r>
        <w:rPr>
          <w:rStyle w:val="FootnoteReference"/>
        </w:rPr>
        <w:footnoteRef/>
      </w:r>
      <w:r>
        <w:t xml:space="preserve"> Detailed references to capacity are found at Sections 3.3. and 3.4.</w:t>
      </w:r>
    </w:p>
  </w:footnote>
  <w:footnote w:id="40">
    <w:p w14:paraId="29022202" w14:textId="77777777" w:rsidR="00814449" w:rsidRDefault="00814449" w:rsidP="00814449">
      <w:pPr>
        <w:pStyle w:val="FootnoteText"/>
      </w:pPr>
      <w:r>
        <w:rPr>
          <w:rStyle w:val="FootnoteReference"/>
        </w:rPr>
        <w:footnoteRef/>
      </w:r>
      <w:r>
        <w:t xml:space="preserve"> Health Research Regulation, 2018</w:t>
      </w:r>
    </w:p>
  </w:footnote>
  <w:footnote w:id="41">
    <w:p w14:paraId="51DF6152" w14:textId="77777777" w:rsidR="00814449" w:rsidRDefault="00814449" w:rsidP="00814449">
      <w:pPr>
        <w:pStyle w:val="FootnoteText"/>
      </w:pPr>
      <w:r>
        <w:rPr>
          <w:rStyle w:val="FootnoteReference"/>
        </w:rPr>
        <w:footnoteRef/>
      </w:r>
      <w:r>
        <w:t xml:space="preserve"> More information on Irish legislation in provided in section 3.3.</w:t>
      </w:r>
      <w:r w:rsidRPr="00AA4012">
        <w:t xml:space="preserve"> </w:t>
      </w:r>
    </w:p>
  </w:footnote>
  <w:footnote w:id="42">
    <w:p w14:paraId="01F555FB" w14:textId="4A05180B" w:rsidR="00D61801" w:rsidRDefault="00D61801">
      <w:pPr>
        <w:pStyle w:val="FootnoteText"/>
      </w:pPr>
      <w:r>
        <w:rPr>
          <w:rStyle w:val="FootnoteReference"/>
        </w:rPr>
        <w:footnoteRef/>
      </w:r>
      <w:r>
        <w:t xml:space="preserve"> </w:t>
      </w:r>
      <w:hyperlink r:id="rId5" w:history="1">
        <w:r w:rsidRPr="00D07BA4">
          <w:rPr>
            <w:rStyle w:val="Hyperlink"/>
          </w:rPr>
          <w:t>National Office for Research Ethics Committees - NREC (nrecoffice.ie)</w:t>
        </w:r>
      </w:hyperlink>
    </w:p>
  </w:footnote>
  <w:footnote w:id="43">
    <w:p w14:paraId="3C2E0C74" w14:textId="77777777" w:rsidR="00A56CF9" w:rsidRDefault="00A56CF9" w:rsidP="00A56CF9">
      <w:pPr>
        <w:pStyle w:val="FootnoteText"/>
      </w:pPr>
      <w:r>
        <w:rPr>
          <w:rStyle w:val="FootnoteReference"/>
        </w:rPr>
        <w:footnoteRef/>
      </w:r>
      <w:r>
        <w:t xml:space="preserve"> HSE, 2019</w:t>
      </w:r>
    </w:p>
  </w:footnote>
  <w:footnote w:id="44">
    <w:p w14:paraId="28E43CF9" w14:textId="0AE985AA" w:rsidR="00077441" w:rsidRDefault="00077441">
      <w:pPr>
        <w:pStyle w:val="FootnoteText"/>
      </w:pPr>
      <w:r>
        <w:rPr>
          <w:rStyle w:val="FootnoteReference"/>
        </w:rPr>
        <w:footnoteRef/>
      </w:r>
      <w:r>
        <w:t xml:space="preserve"> HSE, 2021</w:t>
      </w:r>
    </w:p>
  </w:footnote>
  <w:footnote w:id="45">
    <w:p w14:paraId="76FD446A" w14:textId="4CAC86C3" w:rsidR="00424C82" w:rsidRPr="005F447F" w:rsidRDefault="00424C82" w:rsidP="00424C82">
      <w:pPr>
        <w:pStyle w:val="FootnoteText"/>
      </w:pPr>
      <w:r>
        <w:rPr>
          <w:rStyle w:val="FootnoteReference"/>
        </w:rPr>
        <w:footnoteRef/>
      </w:r>
      <w:r>
        <w:t xml:space="preserve"> </w:t>
      </w:r>
      <w:r w:rsidR="00077441">
        <w:t>HSE, 2022</w:t>
      </w:r>
    </w:p>
  </w:footnote>
  <w:footnote w:id="46">
    <w:p w14:paraId="3FF24027" w14:textId="112A9093" w:rsidR="00077441" w:rsidRDefault="00077441">
      <w:pPr>
        <w:pStyle w:val="FootnoteText"/>
      </w:pPr>
      <w:r>
        <w:rPr>
          <w:rStyle w:val="FootnoteReference"/>
        </w:rPr>
        <w:footnoteRef/>
      </w:r>
      <w:r>
        <w:t xml:space="preserve"> HSE, 2023</w:t>
      </w:r>
    </w:p>
  </w:footnote>
  <w:footnote w:id="47">
    <w:p w14:paraId="2D6AF6FA" w14:textId="115A6E85" w:rsidR="00EF09EC" w:rsidRDefault="00EF09EC">
      <w:pPr>
        <w:pStyle w:val="FootnoteText"/>
      </w:pPr>
      <w:r>
        <w:rPr>
          <w:rStyle w:val="FootnoteReference"/>
        </w:rPr>
        <w:footnoteRef/>
      </w:r>
      <w:r>
        <w:t xml:space="preserve"> Coggon, 2007</w:t>
      </w:r>
    </w:p>
  </w:footnote>
  <w:footnote w:id="48">
    <w:p w14:paraId="7485F4D3" w14:textId="2F3E6698" w:rsidR="00EF09EC" w:rsidRDefault="00EF09EC">
      <w:pPr>
        <w:pStyle w:val="FootnoteText"/>
      </w:pPr>
      <w:r>
        <w:rPr>
          <w:rStyle w:val="FootnoteReference"/>
        </w:rPr>
        <w:footnoteRef/>
      </w:r>
      <w:r>
        <w:t xml:space="preserve"> Rawbone, 2007</w:t>
      </w:r>
      <w:r w:rsidR="0053163B">
        <w:t xml:space="preserve"> P. 110</w:t>
      </w:r>
    </w:p>
  </w:footnote>
  <w:footnote w:id="49">
    <w:p w14:paraId="38DD40CF" w14:textId="7F007860" w:rsidR="00CD798A" w:rsidRDefault="00CD798A" w:rsidP="00CD798A">
      <w:pPr>
        <w:pStyle w:val="FootnoteText"/>
      </w:pPr>
      <w:r>
        <w:rPr>
          <w:rStyle w:val="FootnoteReference"/>
        </w:rPr>
        <w:footnoteRef/>
      </w:r>
      <w:r>
        <w:t xml:space="preserve"> </w:t>
      </w:r>
      <w:r w:rsidRPr="00D627F7">
        <w:rPr>
          <w:lang w:val="en-GB"/>
        </w:rPr>
        <w:t>Department of Health, 200</w:t>
      </w:r>
      <w:r>
        <w:rPr>
          <w:lang w:val="en-GB"/>
        </w:rPr>
        <w:t>5</w:t>
      </w:r>
      <w:r w:rsidR="000D7C3C">
        <w:rPr>
          <w:lang w:val="en-GB"/>
        </w:rPr>
        <w:t xml:space="preserve">, </w:t>
      </w:r>
      <w:r w:rsidR="000D7C3C" w:rsidRPr="00284D85">
        <w:rPr>
          <w:lang w:val="en-GB"/>
        </w:rPr>
        <w:t>s2.2.6</w:t>
      </w:r>
    </w:p>
  </w:footnote>
  <w:footnote w:id="50">
    <w:p w14:paraId="1B0C16E0" w14:textId="77777777" w:rsidR="00CD798A" w:rsidRDefault="00CD798A" w:rsidP="00CD798A">
      <w:pPr>
        <w:pStyle w:val="FootnoteText"/>
      </w:pPr>
      <w:r>
        <w:rPr>
          <w:rStyle w:val="FootnoteReference"/>
        </w:rPr>
        <w:footnoteRef/>
      </w:r>
      <w:r>
        <w:t xml:space="preserve"> </w:t>
      </w:r>
      <w:bookmarkStart w:id="32" w:name="_Hlk138766647"/>
      <w:r w:rsidRPr="006A4377">
        <w:t>Montgomery</w:t>
      </w:r>
      <w:r>
        <w:t xml:space="preserve"> et al</w:t>
      </w:r>
      <w:r>
        <w:rPr>
          <w:i/>
          <w:iCs/>
        </w:rPr>
        <w:t>,</w:t>
      </w:r>
      <w:r w:rsidRPr="006A4377">
        <w:t> </w:t>
      </w:r>
      <w:bookmarkEnd w:id="32"/>
      <w:r>
        <w:t>2022</w:t>
      </w:r>
    </w:p>
  </w:footnote>
  <w:footnote w:id="51">
    <w:p w14:paraId="39D64267" w14:textId="126AC42D" w:rsidR="00CD798A" w:rsidRPr="00A666E8" w:rsidRDefault="00CD798A" w:rsidP="00CD798A">
      <w:pPr>
        <w:pStyle w:val="FootnoteText"/>
        <w:rPr>
          <w:lang w:val="x-none"/>
        </w:rPr>
      </w:pPr>
      <w:r>
        <w:rPr>
          <w:rStyle w:val="FootnoteReference"/>
        </w:rPr>
        <w:footnoteRef/>
      </w:r>
      <w:r>
        <w:t xml:space="preserve"> </w:t>
      </w:r>
      <w:bookmarkStart w:id="33" w:name="_Hlk144210070"/>
      <w:r w:rsidR="00A666E8" w:rsidRPr="00A666E8">
        <w:t>NDA</w:t>
      </w:r>
      <w:r w:rsidR="00865A66">
        <w:t>,</w:t>
      </w:r>
      <w:r w:rsidR="00877598">
        <w:t xml:space="preserve"> </w:t>
      </w:r>
      <w:r w:rsidR="00A666E8" w:rsidRPr="00A666E8">
        <w:t>2022</w:t>
      </w:r>
      <w:r w:rsidR="00865A66">
        <w:t>a</w:t>
      </w:r>
      <w:r w:rsidR="00A666E8" w:rsidRPr="00A666E8">
        <w:t xml:space="preserve"> </w:t>
      </w:r>
      <w:bookmarkEnd w:id="33"/>
    </w:p>
  </w:footnote>
  <w:footnote w:id="52">
    <w:p w14:paraId="7B12EDB5" w14:textId="6CB6FB07" w:rsidR="00723DCE" w:rsidRDefault="00723DCE">
      <w:pPr>
        <w:pStyle w:val="FootnoteText"/>
      </w:pPr>
      <w:r>
        <w:rPr>
          <w:rStyle w:val="FootnoteReference"/>
        </w:rPr>
        <w:footnoteRef/>
      </w:r>
      <w:r>
        <w:t xml:space="preserve"> NDA, 2023</w:t>
      </w:r>
    </w:p>
  </w:footnote>
  <w:footnote w:id="53">
    <w:p w14:paraId="61EA453E" w14:textId="1706C6DC" w:rsidR="00923CD2" w:rsidRDefault="00923CD2">
      <w:pPr>
        <w:pStyle w:val="FootnoteText"/>
      </w:pPr>
      <w:r>
        <w:rPr>
          <w:rStyle w:val="FootnoteReference"/>
        </w:rPr>
        <w:footnoteRef/>
      </w:r>
      <w:r>
        <w:t xml:space="preserve"> </w:t>
      </w:r>
      <w:r w:rsidR="00F53DE8">
        <w:t>NDA, 2022</w:t>
      </w:r>
      <w:r w:rsidR="00865A66">
        <w:t>b</w:t>
      </w:r>
      <w:r w:rsidR="00F53DE8">
        <w:t xml:space="preserve"> </w:t>
      </w:r>
    </w:p>
  </w:footnote>
  <w:footnote w:id="54">
    <w:p w14:paraId="199C634F" w14:textId="77777777" w:rsidR="00AA536E" w:rsidRDefault="00AA536E" w:rsidP="00AA536E">
      <w:pPr>
        <w:pStyle w:val="FootnoteText"/>
      </w:pPr>
      <w:r>
        <w:rPr>
          <w:rStyle w:val="FootnoteReference"/>
        </w:rPr>
        <w:footnoteRef/>
      </w:r>
      <w:r>
        <w:t xml:space="preserve"> Ableism is a set of beliefs or practices that devalue and discriminate against people with physical, intellectual, or psychiatric disabilities and often rests on the assumption that disabled people need to be ‘fixed’ in one form or the other – Center for Disability Rights, the USA </w:t>
      </w:r>
      <w:hyperlink r:id="rId6" w:history="1">
        <w:r>
          <w:rPr>
            <w:rStyle w:val="Hyperlink"/>
          </w:rPr>
          <w:t>https://cdrnys.org/blog/uncategorized/ableism/</w:t>
        </w:r>
      </w:hyperlink>
      <w:r>
        <w:t xml:space="preserve"> (Accessed June 2023)</w:t>
      </w:r>
    </w:p>
  </w:footnote>
  <w:footnote w:id="55">
    <w:p w14:paraId="1F9A8F30" w14:textId="77777777" w:rsidR="00AA536E" w:rsidRDefault="00AA536E" w:rsidP="00AA536E">
      <w:pPr>
        <w:pStyle w:val="FootnoteText"/>
      </w:pPr>
      <w:r>
        <w:rPr>
          <w:rStyle w:val="FootnoteReference"/>
        </w:rPr>
        <w:footnoteRef/>
      </w:r>
      <w:r>
        <w:t xml:space="preserve"> </w:t>
      </w:r>
      <w:r>
        <w:rPr>
          <w:lang w:val="en-GB"/>
        </w:rPr>
        <w:t>McClimens, 2008</w:t>
      </w:r>
    </w:p>
  </w:footnote>
  <w:footnote w:id="56">
    <w:p w14:paraId="69CDB096" w14:textId="0B938772" w:rsidR="006F7FF6" w:rsidRPr="006F7FF6" w:rsidRDefault="006F7FF6">
      <w:pPr>
        <w:pStyle w:val="FootnoteText"/>
        <w:rPr>
          <w:lang w:val="en-GB"/>
        </w:rPr>
      </w:pPr>
      <w:r>
        <w:rPr>
          <w:rStyle w:val="FootnoteReference"/>
        </w:rPr>
        <w:footnoteRef/>
      </w:r>
      <w:r>
        <w:t xml:space="preserve"> </w:t>
      </w:r>
      <w:r w:rsidRPr="006F7FF6">
        <w:rPr>
          <w:lang w:val="en-GB"/>
        </w:rPr>
        <w:t xml:space="preserve">Pollard (2002) gave the example of a physician researcher who informed a </w:t>
      </w:r>
      <w:r w:rsidR="00CA3B15">
        <w:rPr>
          <w:lang w:val="en-GB"/>
        </w:rPr>
        <w:t>D</w:t>
      </w:r>
      <w:r w:rsidR="00CA3B15" w:rsidRPr="006F7FF6">
        <w:rPr>
          <w:lang w:val="en-GB"/>
        </w:rPr>
        <w:t xml:space="preserve">eaf </w:t>
      </w:r>
      <w:r w:rsidRPr="006F7FF6">
        <w:rPr>
          <w:lang w:val="en-GB"/>
        </w:rPr>
        <w:t xml:space="preserve">woman that participating in the study would entail ‘the usual risks associated with anaesthesia’. The sign language interpreter conveyed to both parties that more specific information was needed before she could convey what usual risks referred to. When the researcher provided further details, the </w:t>
      </w:r>
      <w:r w:rsidR="00CA3B15">
        <w:rPr>
          <w:lang w:val="en-GB"/>
        </w:rPr>
        <w:t>D</w:t>
      </w:r>
      <w:r w:rsidR="00CA3B15" w:rsidRPr="006F7FF6">
        <w:rPr>
          <w:lang w:val="en-GB"/>
        </w:rPr>
        <w:t xml:space="preserve">eaf </w:t>
      </w:r>
      <w:r w:rsidRPr="006F7FF6">
        <w:rPr>
          <w:lang w:val="en-GB"/>
        </w:rPr>
        <w:t xml:space="preserve">participant expressed dismay that critical information had been withheld from her and chose to withdraw from the study. Fund of information differences between </w:t>
      </w:r>
      <w:r w:rsidR="00CA3B15">
        <w:rPr>
          <w:lang w:val="en-GB"/>
        </w:rPr>
        <w:t>D</w:t>
      </w:r>
      <w:r w:rsidR="00CA3B15" w:rsidRPr="006F7FF6">
        <w:rPr>
          <w:lang w:val="en-GB"/>
        </w:rPr>
        <w:t xml:space="preserve">eaf </w:t>
      </w:r>
      <w:r w:rsidRPr="006F7FF6">
        <w:rPr>
          <w:lang w:val="en-GB"/>
        </w:rPr>
        <w:t>and hearing people are common and arise from differing access to auditory information sources and differences in written literacy. (Fund of information is the accumulated pool of facts one knows and is a separate matter to intelligence). Where fund of information is significant to participation in research, researchers must take extra precautions to avoid an unintended form of deception.</w:t>
      </w:r>
    </w:p>
  </w:footnote>
  <w:footnote w:id="57">
    <w:p w14:paraId="06848BC4" w14:textId="77777777" w:rsidR="00AA536E" w:rsidRDefault="00AA536E" w:rsidP="00AA536E">
      <w:pPr>
        <w:pStyle w:val="FootnoteText"/>
        <w:rPr>
          <w:lang w:val="en-GB"/>
        </w:rPr>
      </w:pPr>
      <w:r>
        <w:rPr>
          <w:rStyle w:val="FootnoteReference"/>
        </w:rPr>
        <w:footnoteRef/>
      </w:r>
      <w:r>
        <w:t xml:space="preserve"> </w:t>
      </w:r>
      <w:r>
        <w:rPr>
          <w:lang w:val="en-GB"/>
        </w:rPr>
        <w:t xml:space="preserve">INVOLVE and the National Research Ethics Service, 2009, p.2 </w:t>
      </w:r>
    </w:p>
  </w:footnote>
  <w:footnote w:id="58">
    <w:p w14:paraId="016EF310" w14:textId="77777777" w:rsidR="00DF514A" w:rsidRDefault="00DF514A" w:rsidP="00DF514A">
      <w:pPr>
        <w:pStyle w:val="FootnoteText"/>
      </w:pPr>
      <w:r>
        <w:rPr>
          <w:rStyle w:val="FootnoteReference"/>
        </w:rPr>
        <w:footnoteRef/>
      </w:r>
      <w:r>
        <w:t xml:space="preserve"> </w:t>
      </w:r>
      <w:r w:rsidRPr="006109FA">
        <w:rPr>
          <w:bCs/>
          <w:iCs/>
          <w:lang w:val="en-GB"/>
        </w:rPr>
        <w:t xml:space="preserve">Rolph, 1998 p.135, citing Ristock </w:t>
      </w:r>
      <w:r>
        <w:rPr>
          <w:bCs/>
          <w:iCs/>
          <w:lang w:val="en-GB"/>
        </w:rPr>
        <w:t>et al</w:t>
      </w:r>
      <w:r w:rsidRPr="006109FA">
        <w:rPr>
          <w:bCs/>
          <w:iCs/>
          <w:lang w:val="en-GB"/>
        </w:rPr>
        <w:t>, 1996</w:t>
      </w:r>
    </w:p>
  </w:footnote>
  <w:footnote w:id="59">
    <w:p w14:paraId="186F702D" w14:textId="77777777" w:rsidR="00DF514A" w:rsidRDefault="00DF514A" w:rsidP="00DF514A">
      <w:pPr>
        <w:pStyle w:val="FootnoteText"/>
      </w:pPr>
      <w:r>
        <w:rPr>
          <w:rStyle w:val="FootnoteReference"/>
        </w:rPr>
        <w:footnoteRef/>
      </w:r>
      <w:r>
        <w:t xml:space="preserve"> </w:t>
      </w:r>
      <w:r w:rsidRPr="0020027E">
        <w:rPr>
          <w:bCs/>
          <w:iCs/>
          <w:lang w:val="en-GB"/>
        </w:rPr>
        <w:t>Tuffrey-Wijne et al</w:t>
      </w:r>
      <w:r>
        <w:rPr>
          <w:bCs/>
          <w:iCs/>
          <w:lang w:val="en-GB"/>
        </w:rPr>
        <w:t xml:space="preserve">, </w:t>
      </w:r>
      <w:r w:rsidRPr="0020027E">
        <w:rPr>
          <w:bCs/>
          <w:iCs/>
          <w:lang w:val="en-GB"/>
        </w:rPr>
        <w:t xml:space="preserve">2008 </w:t>
      </w:r>
    </w:p>
  </w:footnote>
  <w:footnote w:id="60">
    <w:p w14:paraId="062F2D25" w14:textId="77777777" w:rsidR="00DF514A" w:rsidRDefault="00DF514A" w:rsidP="00DF514A">
      <w:pPr>
        <w:pStyle w:val="FootnoteText"/>
      </w:pPr>
      <w:r>
        <w:rPr>
          <w:rStyle w:val="FootnoteReference"/>
        </w:rPr>
        <w:footnoteRef/>
      </w:r>
      <w:r>
        <w:t xml:space="preserve"> </w:t>
      </w:r>
      <w:r w:rsidRPr="0020027E">
        <w:rPr>
          <w:bCs/>
          <w:iCs/>
          <w:lang w:val="en-GB"/>
        </w:rPr>
        <w:t>W</w:t>
      </w:r>
      <w:r>
        <w:rPr>
          <w:bCs/>
          <w:iCs/>
          <w:lang w:val="en-GB"/>
        </w:rPr>
        <w:t>iles et al, 2004</w:t>
      </w:r>
    </w:p>
  </w:footnote>
  <w:footnote w:id="61">
    <w:p w14:paraId="657D942E" w14:textId="77777777" w:rsidR="00DF514A" w:rsidRDefault="00DF514A" w:rsidP="00DF514A">
      <w:pPr>
        <w:pStyle w:val="FootnoteText"/>
      </w:pPr>
      <w:r>
        <w:rPr>
          <w:rStyle w:val="FootnoteReference"/>
        </w:rPr>
        <w:footnoteRef/>
      </w:r>
      <w:r>
        <w:t xml:space="preserve"> </w:t>
      </w:r>
      <w:r>
        <w:rPr>
          <w:bCs/>
          <w:iCs/>
          <w:lang w:val="en-GB"/>
        </w:rPr>
        <w:t>Guillemin et al, 2004</w:t>
      </w:r>
    </w:p>
  </w:footnote>
  <w:footnote w:id="62">
    <w:p w14:paraId="326A80DE" w14:textId="77777777" w:rsidR="00DF514A" w:rsidRDefault="00DF514A" w:rsidP="00DF514A">
      <w:pPr>
        <w:pStyle w:val="FootnoteText"/>
      </w:pPr>
      <w:r>
        <w:rPr>
          <w:rStyle w:val="FootnoteReference"/>
        </w:rPr>
        <w:footnoteRef/>
      </w:r>
      <w:r>
        <w:t xml:space="preserve"> </w:t>
      </w:r>
      <w:r>
        <w:rPr>
          <w:bCs/>
          <w:iCs/>
          <w:lang w:val="en-GB"/>
        </w:rPr>
        <w:t>Cutcliffe et al, 2002</w:t>
      </w:r>
    </w:p>
  </w:footnote>
  <w:footnote w:id="63">
    <w:p w14:paraId="341D157D" w14:textId="77777777" w:rsidR="00B20604" w:rsidRDefault="00B20604" w:rsidP="00B20604">
      <w:pPr>
        <w:pStyle w:val="FootnoteText"/>
      </w:pPr>
      <w:r>
        <w:rPr>
          <w:rStyle w:val="FootnoteReference"/>
        </w:rPr>
        <w:footnoteRef/>
      </w:r>
      <w:r>
        <w:t xml:space="preserve"> </w:t>
      </w:r>
      <w:r w:rsidRPr="00FA0FE0">
        <w:rPr>
          <w:bCs/>
          <w:iCs/>
          <w:lang w:val="en-GB"/>
        </w:rPr>
        <w:t>Ramcha</w:t>
      </w:r>
      <w:r>
        <w:rPr>
          <w:bCs/>
          <w:iCs/>
          <w:lang w:val="en-GB"/>
        </w:rPr>
        <w:t>ran et al, 2001</w:t>
      </w:r>
    </w:p>
  </w:footnote>
  <w:footnote w:id="64">
    <w:p w14:paraId="21DBACD9" w14:textId="35BFE3DA" w:rsidR="00CD0BD1" w:rsidRDefault="00CD0BD1" w:rsidP="00CD0BD1">
      <w:pPr>
        <w:pStyle w:val="FootnoteText"/>
      </w:pPr>
      <w:r>
        <w:rPr>
          <w:rStyle w:val="FootnoteReference"/>
        </w:rPr>
        <w:footnoteRef/>
      </w:r>
      <w:r>
        <w:t xml:space="preserve"> </w:t>
      </w:r>
      <w:r w:rsidR="00313FE3" w:rsidRPr="00313FE3">
        <w:rPr>
          <w:lang w:val="en-GB"/>
        </w:rPr>
        <w:t>L- Universitata Malta</w:t>
      </w:r>
      <w:r w:rsidRPr="00313FE3">
        <w:rPr>
          <w:lang w:val="en-GB"/>
        </w:rPr>
        <w:t>, 2018</w:t>
      </w:r>
    </w:p>
  </w:footnote>
  <w:footnote w:id="65">
    <w:p w14:paraId="314E8562" w14:textId="1D94E7F5" w:rsidR="000722B4" w:rsidRDefault="000722B4" w:rsidP="000722B4">
      <w:pPr>
        <w:pStyle w:val="FootnoteText"/>
      </w:pPr>
      <w:r>
        <w:rPr>
          <w:rStyle w:val="FootnoteReference"/>
        </w:rPr>
        <w:footnoteRef/>
      </w:r>
      <w:r>
        <w:t xml:space="preserve"> Beauchamp and Childress, 2012 and Parahoo, 2014 cited by Doody </w:t>
      </w:r>
      <w:r w:rsidR="00313FE3">
        <w:t>and Noonan</w:t>
      </w:r>
      <w:r>
        <w:t xml:space="preserve">, 2016 </w:t>
      </w:r>
    </w:p>
  </w:footnote>
  <w:footnote w:id="66">
    <w:p w14:paraId="2C5FBBA6" w14:textId="74935999" w:rsidR="000722B4" w:rsidRDefault="000722B4" w:rsidP="000722B4">
      <w:pPr>
        <w:pStyle w:val="FootnoteText"/>
      </w:pPr>
      <w:r>
        <w:rPr>
          <w:rStyle w:val="FootnoteReference"/>
        </w:rPr>
        <w:footnoteRef/>
      </w:r>
      <w:r>
        <w:t xml:space="preserve"> Butts and Rich, 2013 as cited by Doody </w:t>
      </w:r>
      <w:r w:rsidR="00313FE3">
        <w:t>and Noonan</w:t>
      </w:r>
      <w:r>
        <w:t>, 2016</w:t>
      </w:r>
    </w:p>
  </w:footnote>
  <w:footnote w:id="67">
    <w:p w14:paraId="2FE9F80A" w14:textId="77777777" w:rsidR="00793FC9" w:rsidRDefault="00793FC9" w:rsidP="00793FC9">
      <w:pPr>
        <w:pStyle w:val="FootnoteText"/>
        <w:rPr>
          <w:bCs/>
        </w:rPr>
      </w:pPr>
      <w:r>
        <w:rPr>
          <w:rStyle w:val="FootnoteReference"/>
        </w:rPr>
        <w:footnoteRef/>
      </w:r>
      <w:r>
        <w:t xml:space="preserve"> London School of Hygiene &amp; Tropical Medicine, 2020</w:t>
      </w:r>
    </w:p>
  </w:footnote>
  <w:footnote w:id="68">
    <w:p w14:paraId="3DDD75E5" w14:textId="77777777" w:rsidR="00793FC9" w:rsidRDefault="00793FC9" w:rsidP="00793FC9">
      <w:pPr>
        <w:pStyle w:val="FootnoteText"/>
      </w:pPr>
      <w:r>
        <w:rPr>
          <w:rStyle w:val="FootnoteReference"/>
        </w:rPr>
        <w:footnoteRef/>
      </w:r>
      <w:r>
        <w:t xml:space="preserve"> Parahoo, 2014</w:t>
      </w:r>
    </w:p>
  </w:footnote>
  <w:footnote w:id="69">
    <w:p w14:paraId="58187C26" w14:textId="53E13A3E" w:rsidR="005B2E02" w:rsidRPr="00DA1656" w:rsidRDefault="005B2E02" w:rsidP="005B2E02">
      <w:pPr>
        <w:pStyle w:val="FootnoteText"/>
      </w:pPr>
      <w:r>
        <w:rPr>
          <w:rStyle w:val="FootnoteReference"/>
        </w:rPr>
        <w:footnoteRef/>
      </w:r>
      <w:r>
        <w:t xml:space="preserve"> </w:t>
      </w:r>
      <w:r w:rsidRPr="00DA1656">
        <w:t xml:space="preserve">Davies and Gannon, 2006; Elmir et al, 2011; Rossetto 2014 cited by Doody </w:t>
      </w:r>
      <w:r w:rsidR="00A92468">
        <w:t xml:space="preserve"> </w:t>
      </w:r>
      <w:r w:rsidR="00313FE3">
        <w:t>and Noonan</w:t>
      </w:r>
      <w:r w:rsidRPr="00DA1656">
        <w:t>, 2016</w:t>
      </w:r>
    </w:p>
  </w:footnote>
  <w:footnote w:id="70">
    <w:p w14:paraId="5E184CC2" w14:textId="02843983" w:rsidR="0025449A" w:rsidRDefault="0025449A" w:rsidP="0025449A">
      <w:pPr>
        <w:pStyle w:val="FootnoteText"/>
      </w:pPr>
      <w:r>
        <w:rPr>
          <w:rStyle w:val="FootnoteReference"/>
        </w:rPr>
        <w:footnoteRef/>
      </w:r>
      <w:r>
        <w:t xml:space="preserve"> Doody </w:t>
      </w:r>
      <w:r w:rsidR="00313FE3">
        <w:t>and Noonan</w:t>
      </w:r>
      <w:r>
        <w:t>, 2016</w:t>
      </w:r>
    </w:p>
  </w:footnote>
  <w:footnote w:id="71">
    <w:p w14:paraId="45AF7022" w14:textId="259F1A07" w:rsidR="00793FC9" w:rsidRDefault="00793FC9">
      <w:pPr>
        <w:pStyle w:val="FootnoteText"/>
      </w:pPr>
      <w:r>
        <w:rPr>
          <w:rStyle w:val="FootnoteReference"/>
        </w:rPr>
        <w:footnoteRef/>
      </w:r>
      <w:r w:rsidRPr="00793FC9">
        <w:rPr>
          <w:lang w:val="en-GB"/>
        </w:rPr>
        <w:t>Newman et al, 2001</w:t>
      </w:r>
      <w:r w:rsidR="0053163B">
        <w:rPr>
          <w:lang w:val="en-GB"/>
        </w:rPr>
        <w:t xml:space="preserve"> </w:t>
      </w:r>
      <w:r w:rsidR="0053163B" w:rsidRPr="00793FC9">
        <w:rPr>
          <w:lang w:val="en-GB"/>
        </w:rPr>
        <w:t>p.323</w:t>
      </w:r>
    </w:p>
  </w:footnote>
  <w:footnote w:id="72">
    <w:p w14:paraId="2546C9EA" w14:textId="5F55A125" w:rsidR="008234F7" w:rsidRPr="00DA1656" w:rsidRDefault="008234F7" w:rsidP="008234F7">
      <w:pPr>
        <w:pStyle w:val="FootnoteText"/>
      </w:pPr>
      <w:r w:rsidRPr="00DA1656">
        <w:rPr>
          <w:rStyle w:val="FootnoteReference"/>
          <w:rFonts w:ascii="Gill Sans MT" w:hAnsi="Gill Sans MT"/>
        </w:rPr>
        <w:footnoteRef/>
      </w:r>
      <w:r w:rsidRPr="00DA1656">
        <w:t xml:space="preserve"> Graham et al, 2007</w:t>
      </w:r>
      <w:r w:rsidRPr="00415D22">
        <w:rPr>
          <w:sz w:val="26"/>
          <w:szCs w:val="24"/>
        </w:rPr>
        <w:t xml:space="preserve"> </w:t>
      </w:r>
      <w:r w:rsidRPr="00415D22">
        <w:t xml:space="preserve">The study design included </w:t>
      </w:r>
      <w:r w:rsidRPr="00415D22">
        <w:rPr>
          <w:lang w:val="en-GB"/>
        </w:rPr>
        <w:t xml:space="preserve">50 </w:t>
      </w:r>
      <w:r w:rsidRPr="00415D22">
        <w:t>in-depth main interviews with follow up interviews at two weeks - 10 participants from five qualitative and five quantitative research studies</w:t>
      </w:r>
      <w:r w:rsidR="00F45C0A">
        <w:t>.</w:t>
      </w:r>
    </w:p>
  </w:footnote>
  <w:footnote w:id="73">
    <w:p w14:paraId="57A84E34" w14:textId="77777777" w:rsidR="000722B4" w:rsidRDefault="000722B4" w:rsidP="000722B4">
      <w:pPr>
        <w:pStyle w:val="FootnoteText"/>
      </w:pPr>
      <w:r>
        <w:rPr>
          <w:rStyle w:val="FootnoteReference"/>
        </w:rPr>
        <w:footnoteRef/>
      </w:r>
      <w:r>
        <w:t xml:space="preserve"> Polit and Beck, 2013</w:t>
      </w:r>
    </w:p>
  </w:footnote>
  <w:footnote w:id="74">
    <w:p w14:paraId="75412A36" w14:textId="77777777" w:rsidR="00AC7513" w:rsidRDefault="00AC7513" w:rsidP="00AC7513">
      <w:pPr>
        <w:pStyle w:val="FootnoteText"/>
        <w:rPr>
          <w:bCs/>
          <w:lang w:val="en-GB"/>
        </w:rPr>
      </w:pPr>
      <w:r>
        <w:rPr>
          <w:rStyle w:val="FootnoteReference"/>
        </w:rPr>
        <w:footnoteRef/>
      </w:r>
      <w:r>
        <w:t xml:space="preserve"> </w:t>
      </w:r>
      <w:r>
        <w:rPr>
          <w:bCs/>
          <w:lang w:val="en-GB"/>
        </w:rPr>
        <w:t xml:space="preserve">Stineman et al, 2001 </w:t>
      </w:r>
    </w:p>
  </w:footnote>
  <w:footnote w:id="75">
    <w:p w14:paraId="5FFD5D57" w14:textId="77777777" w:rsidR="00AC7513" w:rsidRDefault="00AC7513" w:rsidP="00AC7513">
      <w:pPr>
        <w:pStyle w:val="FootnoteText"/>
      </w:pPr>
      <w:r>
        <w:rPr>
          <w:rStyle w:val="FootnoteReference"/>
        </w:rPr>
        <w:footnoteRef/>
      </w:r>
      <w:r>
        <w:t xml:space="preserve"> Wertheimer, 2013</w:t>
      </w:r>
    </w:p>
  </w:footnote>
  <w:footnote w:id="76">
    <w:p w14:paraId="2789F941" w14:textId="32EE6FA6" w:rsidR="00C37488" w:rsidRPr="00C37488" w:rsidRDefault="00C37488" w:rsidP="00C37488">
      <w:pPr>
        <w:pStyle w:val="FootnoteText"/>
      </w:pPr>
      <w:r>
        <w:rPr>
          <w:rStyle w:val="FootnoteReference"/>
        </w:rPr>
        <w:footnoteRef/>
      </w:r>
      <w:r>
        <w:t xml:space="preserve"> Undue </w:t>
      </w:r>
      <w:r w:rsidRPr="00C37488">
        <w:t xml:space="preserve">influence </w:t>
      </w:r>
      <w:r>
        <w:t xml:space="preserve">is influence </w:t>
      </w:r>
      <w:r w:rsidRPr="00C37488">
        <w:t>by which a person is induced to act otherwise than by their own free will or without adequate attention to the consequences.</w:t>
      </w:r>
    </w:p>
    <w:p w14:paraId="6388AF3B" w14:textId="732BF60C" w:rsidR="00C37488" w:rsidRDefault="00C37488">
      <w:pPr>
        <w:pStyle w:val="FootnoteText"/>
      </w:pPr>
    </w:p>
  </w:footnote>
  <w:footnote w:id="77">
    <w:p w14:paraId="50C073D1" w14:textId="536FE6CB" w:rsidR="00B169A6" w:rsidRDefault="00B169A6" w:rsidP="00B169A6">
      <w:pPr>
        <w:pStyle w:val="FootnoteText"/>
      </w:pPr>
      <w:r>
        <w:rPr>
          <w:rStyle w:val="FootnoteReference"/>
        </w:rPr>
        <w:footnoteRef/>
      </w:r>
      <w:r>
        <w:t xml:space="preserve"> Payment can also compromise the validity of the research</w:t>
      </w:r>
      <w:r w:rsidR="00F45C0A">
        <w:t>.</w:t>
      </w:r>
    </w:p>
  </w:footnote>
  <w:footnote w:id="78">
    <w:p w14:paraId="4776E530" w14:textId="77777777" w:rsidR="000722B4" w:rsidRDefault="000722B4" w:rsidP="000722B4">
      <w:pPr>
        <w:pStyle w:val="FootnoteText"/>
      </w:pPr>
      <w:r>
        <w:rPr>
          <w:rStyle w:val="FootnoteReference"/>
        </w:rPr>
        <w:footnoteRef/>
      </w:r>
      <w:r>
        <w:t xml:space="preserve"> </w:t>
      </w:r>
      <w:r>
        <w:rPr>
          <w:lang w:val="en-GB"/>
        </w:rPr>
        <w:t>Roberts et al., 2001</w:t>
      </w:r>
    </w:p>
  </w:footnote>
  <w:footnote w:id="79">
    <w:p w14:paraId="24F27B64" w14:textId="77777777" w:rsidR="00A666E8" w:rsidRDefault="00A666E8" w:rsidP="00A666E8">
      <w:pPr>
        <w:pStyle w:val="FootnoteText"/>
      </w:pPr>
      <w:r>
        <w:rPr>
          <w:rStyle w:val="FootnoteReference"/>
        </w:rPr>
        <w:footnoteRef/>
      </w:r>
      <w:r>
        <w:t xml:space="preserve"> </w:t>
      </w:r>
      <w:r>
        <w:rPr>
          <w:lang w:val="en-GB"/>
        </w:rPr>
        <w:t>HSE, 2022</w:t>
      </w:r>
    </w:p>
  </w:footnote>
  <w:footnote w:id="80">
    <w:p w14:paraId="2977C0F3" w14:textId="77777777" w:rsidR="000722B4" w:rsidRDefault="000722B4" w:rsidP="000722B4">
      <w:pPr>
        <w:pStyle w:val="FootnoteText"/>
      </w:pPr>
      <w:r>
        <w:rPr>
          <w:rStyle w:val="FootnoteReference"/>
        </w:rPr>
        <w:footnoteRef/>
      </w:r>
      <w:r>
        <w:t xml:space="preserve"> </w:t>
      </w:r>
      <w:r>
        <w:rPr>
          <w:bCs/>
          <w:lang w:val="en-GB"/>
        </w:rPr>
        <w:t>Mitchell, 2003</w:t>
      </w:r>
    </w:p>
  </w:footnote>
  <w:footnote w:id="81">
    <w:p w14:paraId="7231F32E" w14:textId="77777777" w:rsidR="000722B4" w:rsidRDefault="000722B4" w:rsidP="000722B4">
      <w:pPr>
        <w:pStyle w:val="FootnoteText"/>
        <w:rPr>
          <w:b/>
          <w:bCs/>
          <w:lang w:val="en-GB"/>
        </w:rPr>
      </w:pPr>
      <w:r>
        <w:rPr>
          <w:rStyle w:val="FootnoteReference"/>
        </w:rPr>
        <w:footnoteRef/>
      </w:r>
      <w:r>
        <w:t xml:space="preserve"> </w:t>
      </w:r>
      <w:r>
        <w:rPr>
          <w:bCs/>
          <w:lang w:val="en-GB"/>
        </w:rPr>
        <w:t>Woods, 2002</w:t>
      </w:r>
    </w:p>
  </w:footnote>
  <w:footnote w:id="82">
    <w:p w14:paraId="014B21CD" w14:textId="2F77E942" w:rsidR="000722B4" w:rsidRDefault="000722B4" w:rsidP="000722B4">
      <w:pPr>
        <w:pStyle w:val="FootnoteText"/>
      </w:pPr>
      <w:r>
        <w:rPr>
          <w:rStyle w:val="FootnoteReference"/>
        </w:rPr>
        <w:footnoteRef/>
      </w:r>
      <w:r>
        <w:t xml:space="preserve"> </w:t>
      </w:r>
      <w:r w:rsidR="00AB7B2A">
        <w:t xml:space="preserve">For example, </w:t>
      </w:r>
      <w:r w:rsidR="00AB7B2A">
        <w:rPr>
          <w:rFonts w:cs="Arial"/>
          <w:szCs w:val="26"/>
        </w:rPr>
        <w:t>s</w:t>
      </w:r>
      <w:r>
        <w:rPr>
          <w:rFonts w:cs="Arial"/>
          <w:szCs w:val="26"/>
        </w:rPr>
        <w:t xml:space="preserve">ee Health Safety Authority on lone workers </w:t>
      </w:r>
      <w:hyperlink r:id="rId7" w:history="1">
        <w:r>
          <w:rPr>
            <w:rStyle w:val="Hyperlink"/>
            <w:rFonts w:cs="Arial"/>
            <w:szCs w:val="26"/>
          </w:rPr>
          <w:t>https://www.hsa.ie/eng/topics/hazards/lone_workers/</w:t>
        </w:r>
      </w:hyperlink>
      <w:r>
        <w:rPr>
          <w:rFonts w:cs="Arial"/>
          <w:szCs w:val="26"/>
        </w:rPr>
        <w:t xml:space="preserve"> and the 2022 HSE Policy and Guidance on Lone Working </w:t>
      </w:r>
      <w:hyperlink r:id="rId8" w:history="1">
        <w:r>
          <w:rPr>
            <w:rStyle w:val="Hyperlink"/>
            <w:rFonts w:cs="Arial"/>
            <w:szCs w:val="26"/>
          </w:rPr>
          <w:t>https://assets.hse.ie/media/documents/Lone_Working_policy.pdf</w:t>
        </w:r>
      </w:hyperlink>
    </w:p>
  </w:footnote>
  <w:footnote w:id="83">
    <w:p w14:paraId="3A5C7324" w14:textId="63B6444D" w:rsidR="000722B4" w:rsidRDefault="000722B4" w:rsidP="000722B4">
      <w:pPr>
        <w:pStyle w:val="FootnoteText"/>
      </w:pPr>
      <w:r>
        <w:rPr>
          <w:rStyle w:val="FootnoteReference"/>
        </w:rPr>
        <w:footnoteRef/>
      </w:r>
      <w:r>
        <w:t xml:space="preserve"> Doody </w:t>
      </w:r>
      <w:r w:rsidR="00313FE3">
        <w:t>and Noonan</w:t>
      </w:r>
      <w:r>
        <w:t>, 2016</w:t>
      </w:r>
    </w:p>
  </w:footnote>
  <w:footnote w:id="84">
    <w:p w14:paraId="3F6229B9" w14:textId="78F7A00F" w:rsidR="002E1BBA" w:rsidRDefault="002E1BBA" w:rsidP="002E1BBA">
      <w:pPr>
        <w:pStyle w:val="FootnoteText"/>
      </w:pPr>
      <w:r>
        <w:rPr>
          <w:rStyle w:val="FootnoteReference"/>
        </w:rPr>
        <w:footnoteRef/>
      </w:r>
      <w:r>
        <w:t xml:space="preserve"> </w:t>
      </w:r>
      <w:r w:rsidRPr="00435CF9">
        <w:t>A key issue in Lone Worker Procedures for Researchers is the appointment of a contact person with clearly delineated responsibilities should a researcher fail to make contact according to an agreed schedule.</w:t>
      </w:r>
    </w:p>
  </w:footnote>
  <w:footnote w:id="85">
    <w:p w14:paraId="07B9F25E" w14:textId="77777777" w:rsidR="000722B4" w:rsidRDefault="000722B4" w:rsidP="000722B4">
      <w:pPr>
        <w:pStyle w:val="FootnoteText"/>
      </w:pPr>
      <w:r>
        <w:rPr>
          <w:rStyle w:val="FootnoteReference"/>
        </w:rPr>
        <w:footnoteRef/>
      </w:r>
      <w:r>
        <w:t xml:space="preserve"> </w:t>
      </w:r>
      <w:r>
        <w:rPr>
          <w:lang w:val="en-GB"/>
        </w:rPr>
        <w:t>Stalker, 1998</w:t>
      </w:r>
    </w:p>
  </w:footnote>
  <w:footnote w:id="86">
    <w:p w14:paraId="0393A744" w14:textId="77777777" w:rsidR="000722B4" w:rsidRDefault="000722B4" w:rsidP="000722B4">
      <w:pPr>
        <w:pStyle w:val="FootnoteText"/>
      </w:pPr>
      <w:r>
        <w:rPr>
          <w:rStyle w:val="FootnoteReference"/>
        </w:rPr>
        <w:footnoteRef/>
      </w:r>
      <w:r>
        <w:t xml:space="preserve"> </w:t>
      </w:r>
      <w:r>
        <w:rPr>
          <w:lang w:val="en-GB"/>
        </w:rPr>
        <w:t xml:space="preserve">Booth, 1998 </w:t>
      </w:r>
    </w:p>
  </w:footnote>
  <w:footnote w:id="87">
    <w:p w14:paraId="52848823" w14:textId="77777777" w:rsidR="000722B4" w:rsidRDefault="000722B4" w:rsidP="000722B4">
      <w:pPr>
        <w:pStyle w:val="FootnoteText"/>
      </w:pPr>
      <w:r>
        <w:rPr>
          <w:rStyle w:val="FootnoteReference"/>
        </w:rPr>
        <w:footnoteRef/>
      </w:r>
      <w:r>
        <w:t xml:space="preserve"> NMBI, 2015 </w:t>
      </w:r>
    </w:p>
  </w:footnote>
  <w:footnote w:id="88">
    <w:p w14:paraId="4167758A" w14:textId="5D07ECF1" w:rsidR="000722B4" w:rsidRDefault="000722B4" w:rsidP="000722B4">
      <w:pPr>
        <w:pStyle w:val="FootnoteText"/>
      </w:pPr>
      <w:r>
        <w:rPr>
          <w:rStyle w:val="FootnoteReference"/>
        </w:rPr>
        <w:footnoteRef/>
      </w:r>
      <w:r>
        <w:t xml:space="preserve"> Haigh et al, 2009 </w:t>
      </w:r>
    </w:p>
  </w:footnote>
  <w:footnote w:id="89">
    <w:p w14:paraId="39150C45" w14:textId="77777777" w:rsidR="000722B4" w:rsidRDefault="000722B4" w:rsidP="000722B4">
      <w:pPr>
        <w:pStyle w:val="FootnoteText"/>
      </w:pPr>
      <w:r>
        <w:rPr>
          <w:rStyle w:val="FootnoteReference"/>
        </w:rPr>
        <w:footnoteRef/>
      </w:r>
      <w:r>
        <w:t xml:space="preserve"> Draucker et al, 2009</w:t>
      </w:r>
    </w:p>
  </w:footnote>
  <w:footnote w:id="90">
    <w:p w14:paraId="4EE23CB1" w14:textId="1A7F344B" w:rsidR="00FA1AD2" w:rsidRDefault="00FA1AD2">
      <w:pPr>
        <w:pStyle w:val="FootnoteText"/>
      </w:pPr>
      <w:r>
        <w:rPr>
          <w:rStyle w:val="FootnoteReference"/>
        </w:rPr>
        <w:footnoteRef/>
      </w:r>
      <w:r>
        <w:t xml:space="preserve"> Graham et al, 2007</w:t>
      </w:r>
    </w:p>
  </w:footnote>
  <w:footnote w:id="91">
    <w:p w14:paraId="4D1E15E1" w14:textId="77777777" w:rsidR="00564FBA" w:rsidRDefault="00564FBA" w:rsidP="00564FBA">
      <w:pPr>
        <w:pStyle w:val="FootnoteText"/>
      </w:pPr>
      <w:r>
        <w:rPr>
          <w:rStyle w:val="FootnoteReference"/>
        </w:rPr>
        <w:footnoteRef/>
      </w:r>
      <w:r>
        <w:t xml:space="preserve"> Burns et al, 2013</w:t>
      </w:r>
    </w:p>
  </w:footnote>
  <w:footnote w:id="92">
    <w:p w14:paraId="28CE79AC" w14:textId="77777777" w:rsidR="00564FBA" w:rsidRDefault="00564FBA" w:rsidP="00564FBA">
      <w:pPr>
        <w:pStyle w:val="FootnoteText"/>
      </w:pPr>
      <w:r>
        <w:rPr>
          <w:rStyle w:val="FootnoteReference"/>
        </w:rPr>
        <w:footnoteRef/>
      </w:r>
      <w:r>
        <w:t xml:space="preserve"> </w:t>
      </w:r>
      <w:r>
        <w:rPr>
          <w:bCs/>
          <w:lang w:val="en-GB"/>
        </w:rPr>
        <w:t>Atkinson, 2007, p. 138</w:t>
      </w:r>
    </w:p>
  </w:footnote>
  <w:footnote w:id="93">
    <w:p w14:paraId="141E7914" w14:textId="77777777" w:rsidR="00564FBA" w:rsidRDefault="00564FBA" w:rsidP="00564FBA">
      <w:pPr>
        <w:pStyle w:val="FootnoteText"/>
      </w:pPr>
      <w:r>
        <w:rPr>
          <w:rStyle w:val="FootnoteReference"/>
        </w:rPr>
        <w:footnoteRef/>
      </w:r>
      <w:r>
        <w:t xml:space="preserve"> Shepherd et al, 2018</w:t>
      </w:r>
    </w:p>
  </w:footnote>
  <w:footnote w:id="94">
    <w:p w14:paraId="7017B394" w14:textId="77777777" w:rsidR="00564FBA" w:rsidRDefault="00564FBA" w:rsidP="00564FBA">
      <w:pPr>
        <w:pStyle w:val="FootnoteText"/>
      </w:pPr>
      <w:r>
        <w:rPr>
          <w:rStyle w:val="FootnoteReference"/>
        </w:rPr>
        <w:footnoteRef/>
      </w:r>
      <w:r>
        <w:t xml:space="preserve"> Williams, 2019 (a)</w:t>
      </w:r>
    </w:p>
  </w:footnote>
  <w:footnote w:id="95">
    <w:p w14:paraId="58512143" w14:textId="77777777" w:rsidR="00564FBA" w:rsidRDefault="00564FBA" w:rsidP="00564FBA">
      <w:pPr>
        <w:pStyle w:val="FootnoteText"/>
      </w:pPr>
      <w:r>
        <w:rPr>
          <w:rStyle w:val="FootnoteReference"/>
        </w:rPr>
        <w:footnoteRef/>
      </w:r>
      <w:r>
        <w:t xml:space="preserve"> Williams, 2019 (b)</w:t>
      </w:r>
    </w:p>
  </w:footnote>
  <w:footnote w:id="96">
    <w:p w14:paraId="6661C467" w14:textId="626732EF" w:rsidR="000D1668" w:rsidRDefault="000D1668" w:rsidP="000D1668">
      <w:pPr>
        <w:pStyle w:val="FootnoteText"/>
      </w:pPr>
      <w:r>
        <w:rPr>
          <w:rStyle w:val="FootnoteReference"/>
        </w:rPr>
        <w:footnoteRef/>
      </w:r>
      <w:r>
        <w:t xml:space="preserve"> Gillon, 1985 cited by </w:t>
      </w:r>
      <w:r w:rsidRPr="00D65E97">
        <w:t>Doody</w:t>
      </w:r>
      <w:r>
        <w:t xml:space="preserve"> </w:t>
      </w:r>
      <w:r w:rsidR="00313FE3">
        <w:t xml:space="preserve"> and Noonan</w:t>
      </w:r>
      <w:r>
        <w:t xml:space="preserve">, </w:t>
      </w:r>
      <w:r w:rsidRPr="00D65E97">
        <w:t>2016</w:t>
      </w:r>
    </w:p>
  </w:footnote>
  <w:footnote w:id="97">
    <w:p w14:paraId="691F6B94" w14:textId="77777777" w:rsidR="00184F0C" w:rsidRDefault="00184F0C" w:rsidP="00184F0C">
      <w:pPr>
        <w:pStyle w:val="FootnoteText"/>
      </w:pPr>
      <w:r>
        <w:rPr>
          <w:rStyle w:val="FootnoteReference"/>
        </w:rPr>
        <w:footnoteRef/>
      </w:r>
      <w:r>
        <w:t xml:space="preserve"> </w:t>
      </w:r>
      <w:r w:rsidRPr="005D6BA8">
        <w:t>UKRI, Medical Research Council</w:t>
      </w:r>
    </w:p>
  </w:footnote>
  <w:footnote w:id="98">
    <w:p w14:paraId="756F0BB1" w14:textId="77777777" w:rsidR="00184F0C" w:rsidRDefault="00184F0C" w:rsidP="00184F0C">
      <w:pPr>
        <w:pStyle w:val="FootnoteText"/>
      </w:pPr>
      <w:r>
        <w:rPr>
          <w:rStyle w:val="FootnoteReference"/>
        </w:rPr>
        <w:footnoteRef/>
      </w:r>
      <w:r>
        <w:t xml:space="preserve"> </w:t>
      </w:r>
      <w:r w:rsidRPr="002A4599">
        <w:t>ibid</w:t>
      </w:r>
    </w:p>
  </w:footnote>
  <w:footnote w:id="99">
    <w:p w14:paraId="402079F7" w14:textId="791C8B9A" w:rsidR="00184F0C" w:rsidRDefault="00184F0C" w:rsidP="00184F0C">
      <w:pPr>
        <w:pStyle w:val="FootnoteText"/>
      </w:pPr>
      <w:r>
        <w:rPr>
          <w:rStyle w:val="FootnoteReference"/>
        </w:rPr>
        <w:footnoteRef/>
      </w:r>
      <w:r>
        <w:t xml:space="preserve"> </w:t>
      </w:r>
      <w:r w:rsidRPr="00826A51">
        <w:t>Beauchamp a</w:t>
      </w:r>
      <w:r>
        <w:t xml:space="preserve">nd Childress, 2012 cited by </w:t>
      </w:r>
      <w:r w:rsidRPr="00D65E97">
        <w:t>Doody, and Noonan, , 2016</w:t>
      </w:r>
    </w:p>
  </w:footnote>
  <w:footnote w:id="100">
    <w:p w14:paraId="38F3CB87" w14:textId="57249C10" w:rsidR="00184F0C" w:rsidRDefault="00184F0C" w:rsidP="00184F0C">
      <w:pPr>
        <w:pStyle w:val="FootnoteText"/>
      </w:pPr>
      <w:r>
        <w:rPr>
          <w:rStyle w:val="FootnoteReference"/>
        </w:rPr>
        <w:footnoteRef/>
      </w:r>
      <w:r>
        <w:t xml:space="preserve"> Doody </w:t>
      </w:r>
      <w:r w:rsidR="00155C87">
        <w:t>and Noonan</w:t>
      </w:r>
      <w:r>
        <w:t xml:space="preserve"> 2016</w:t>
      </w:r>
    </w:p>
    <w:p w14:paraId="7BD3C8DD" w14:textId="77777777" w:rsidR="00184F0C" w:rsidRDefault="00184F0C" w:rsidP="00184F0C">
      <w:pPr>
        <w:pStyle w:val="FootnoteText"/>
      </w:pPr>
    </w:p>
  </w:footnote>
  <w:footnote w:id="101">
    <w:p w14:paraId="06CDC9CA" w14:textId="77777777" w:rsidR="00184F0C" w:rsidRDefault="00184F0C" w:rsidP="00184F0C">
      <w:pPr>
        <w:pStyle w:val="FootnoteText"/>
      </w:pPr>
      <w:r>
        <w:rPr>
          <w:rStyle w:val="FootnoteReference"/>
        </w:rPr>
        <w:footnoteRef/>
      </w:r>
      <w:r>
        <w:t xml:space="preserve"> HSE, 2022</w:t>
      </w:r>
    </w:p>
  </w:footnote>
  <w:footnote w:id="102">
    <w:p w14:paraId="1BFAD5B6" w14:textId="77777777" w:rsidR="006E0366" w:rsidRDefault="006E0366" w:rsidP="006E0366">
      <w:pPr>
        <w:pStyle w:val="FootnoteText"/>
      </w:pPr>
      <w:r>
        <w:rPr>
          <w:rStyle w:val="FootnoteReference"/>
        </w:rPr>
        <w:footnoteRef/>
      </w:r>
      <w:r>
        <w:t xml:space="preserve"> P.19, HSE, </w:t>
      </w:r>
      <w:r w:rsidRPr="009B2491">
        <w:t>2023</w:t>
      </w:r>
    </w:p>
  </w:footnote>
  <w:footnote w:id="103">
    <w:p w14:paraId="56A6B4AF" w14:textId="6B2212EF" w:rsidR="00AC76E1" w:rsidRDefault="00AC76E1">
      <w:pPr>
        <w:pStyle w:val="FootnoteText"/>
      </w:pPr>
      <w:r>
        <w:rPr>
          <w:rStyle w:val="FootnoteReference"/>
        </w:rPr>
        <w:footnoteRef/>
      </w:r>
      <w:r>
        <w:t xml:space="preserve"> British Psychological Society, 2008</w:t>
      </w:r>
      <w:r w:rsidR="00846A5B">
        <w:t>, Section 3</w:t>
      </w:r>
    </w:p>
  </w:footnote>
  <w:footnote w:id="104">
    <w:p w14:paraId="43D55DC5" w14:textId="3283FB3D" w:rsidR="00F84020" w:rsidRPr="00C8434C" w:rsidRDefault="00F84020" w:rsidP="00F84020">
      <w:pPr>
        <w:pStyle w:val="FootnoteText"/>
      </w:pPr>
      <w:r w:rsidRPr="00C8434C">
        <w:rPr>
          <w:rStyle w:val="FootnoteReference"/>
        </w:rPr>
        <w:footnoteRef/>
      </w:r>
      <w:r w:rsidRPr="00C8434C">
        <w:t xml:space="preserve"> </w:t>
      </w:r>
      <w:hyperlink r:id="rId9" w:history="1">
        <w:r w:rsidR="00A81E14" w:rsidRPr="00C8434C">
          <w:rPr>
            <w:rStyle w:val="Hyperlink"/>
          </w:rPr>
          <w:t>https://hrcdc.ie/</w:t>
        </w:r>
      </w:hyperlink>
      <w:r w:rsidR="00A81E14" w:rsidRPr="00C8434C">
        <w:t xml:space="preserve"> </w:t>
      </w:r>
      <w:r w:rsidRPr="00C8434C">
        <w:t>/</w:t>
      </w:r>
    </w:p>
  </w:footnote>
  <w:footnote w:id="105">
    <w:p w14:paraId="3FB7B9E3" w14:textId="0C4A1C72" w:rsidR="00286F99" w:rsidRDefault="00286F99">
      <w:pPr>
        <w:pStyle w:val="FootnoteText"/>
      </w:pPr>
      <w:r w:rsidRPr="00C8434C">
        <w:rPr>
          <w:rStyle w:val="FootnoteReference"/>
        </w:rPr>
        <w:footnoteRef/>
      </w:r>
      <w:r w:rsidRPr="00C8434C">
        <w:t xml:space="preserve"> </w:t>
      </w:r>
      <w:r w:rsidR="00F45C0A" w:rsidRPr="00C8434C">
        <w:t xml:space="preserve">https://hrcdc.ie/guidance/  </w:t>
      </w:r>
      <w:r w:rsidRPr="00C8434C">
        <w:t>/</w:t>
      </w:r>
    </w:p>
  </w:footnote>
  <w:footnote w:id="106">
    <w:p w14:paraId="0F0AE815" w14:textId="0C610126" w:rsidR="002A6F91" w:rsidRDefault="002A6F91">
      <w:pPr>
        <w:pStyle w:val="FootnoteText"/>
      </w:pPr>
      <w:r>
        <w:rPr>
          <w:rStyle w:val="FootnoteReference"/>
        </w:rPr>
        <w:footnoteRef/>
      </w:r>
      <w:r>
        <w:t xml:space="preserve"> P. 54, HSE 2023</w:t>
      </w:r>
    </w:p>
  </w:footnote>
  <w:footnote w:id="107">
    <w:p w14:paraId="5F09C491" w14:textId="1F81780A" w:rsidR="00B578E8" w:rsidRDefault="00B578E8" w:rsidP="00B578E8">
      <w:pPr>
        <w:pStyle w:val="FootnoteText"/>
      </w:pPr>
      <w:r>
        <w:rPr>
          <w:rStyle w:val="FootnoteReference"/>
        </w:rPr>
        <w:footnoteRef/>
      </w:r>
      <w:r>
        <w:t xml:space="preserve"> </w:t>
      </w:r>
      <w:r w:rsidRPr="003A2FB2">
        <w:t xml:space="preserve">Oireachtas Library and Research Service, 2017, as cited by </w:t>
      </w:r>
      <w:r w:rsidRPr="00EC33C9">
        <w:t xml:space="preserve">Murphy et al, </w:t>
      </w:r>
      <w:r w:rsidR="00EC33C9" w:rsidRPr="00EC33C9">
        <w:t>2023</w:t>
      </w:r>
      <w:r w:rsidR="00EC33C9" w:rsidRPr="003A2FB2">
        <w:rPr>
          <w:b/>
          <w:bCs/>
        </w:rPr>
        <w:t> </w:t>
      </w:r>
    </w:p>
  </w:footnote>
  <w:footnote w:id="108">
    <w:p w14:paraId="58807867" w14:textId="77777777" w:rsidR="00576C55" w:rsidRDefault="00576C55" w:rsidP="00576C55">
      <w:pPr>
        <w:pStyle w:val="FootnoteText"/>
      </w:pPr>
      <w:r>
        <w:rPr>
          <w:rStyle w:val="FootnoteReference"/>
        </w:rPr>
        <w:footnoteRef/>
      </w:r>
      <w:r>
        <w:t xml:space="preserve"> P.20-23, HSE, 2023</w:t>
      </w:r>
    </w:p>
  </w:footnote>
  <w:footnote w:id="109">
    <w:p w14:paraId="42A47947" w14:textId="73609666" w:rsidR="00B91B6B" w:rsidRDefault="00B91B6B" w:rsidP="00B91B6B">
      <w:pPr>
        <w:pStyle w:val="FootnoteText"/>
      </w:pPr>
      <w:r>
        <w:rPr>
          <w:rStyle w:val="FootnoteReference"/>
        </w:rPr>
        <w:footnoteRef/>
      </w:r>
      <w:r>
        <w:t xml:space="preserve"> </w:t>
      </w:r>
      <w:bookmarkStart w:id="47" w:name="_Hlk143697794"/>
      <w:r w:rsidR="008E0B11">
        <w:t xml:space="preserve">Murphy et al, </w:t>
      </w:r>
      <w:bookmarkEnd w:id="47"/>
      <w:r w:rsidR="00EC33C9">
        <w:t xml:space="preserve">2023 </w:t>
      </w:r>
    </w:p>
  </w:footnote>
  <w:footnote w:id="110">
    <w:p w14:paraId="425F5ED4" w14:textId="734EC8C2" w:rsidR="008E0B11" w:rsidRDefault="00B91B6B" w:rsidP="00B91B6B">
      <w:pPr>
        <w:pStyle w:val="FootnoteText"/>
      </w:pPr>
      <w:r>
        <w:rPr>
          <w:rStyle w:val="FootnoteReference"/>
        </w:rPr>
        <w:footnoteRef/>
      </w:r>
      <w:r>
        <w:t xml:space="preserve"> </w:t>
      </w:r>
      <w:r w:rsidR="008E0B11" w:rsidRPr="008E0B11">
        <w:t xml:space="preserve">Murphy et al, </w:t>
      </w:r>
      <w:r w:rsidR="00EC33C9" w:rsidRPr="008E0B11">
        <w:t>202</w:t>
      </w:r>
      <w:r w:rsidR="00EC33C9">
        <w:t>3</w:t>
      </w:r>
      <w:r w:rsidR="00EC33C9" w:rsidRPr="008E0B11">
        <w:t xml:space="preserve"> </w:t>
      </w:r>
      <w:r w:rsidR="008E0B11">
        <w:t xml:space="preserve">and </w:t>
      </w:r>
      <w:r w:rsidR="00941B4A" w:rsidRPr="00EC33C9">
        <w:t>Decision Support Service</w:t>
      </w:r>
      <w:r w:rsidR="00941B4A">
        <w:t xml:space="preserve"> </w:t>
      </w:r>
    </w:p>
    <w:p w14:paraId="5A9807F9" w14:textId="5314070D" w:rsidR="008E0B11" w:rsidRDefault="00D42226" w:rsidP="00B91B6B">
      <w:pPr>
        <w:pStyle w:val="FootnoteText"/>
      </w:pPr>
      <w:hyperlink r:id="rId10" w:history="1">
        <w:r w:rsidR="008E0B11" w:rsidRPr="00547F79">
          <w:rPr>
            <w:rStyle w:val="Hyperlink"/>
          </w:rPr>
          <w:t>https://www.decisionsupportservice.ie/services/decision-support-arrangements</w:t>
        </w:r>
      </w:hyperlink>
      <w:r w:rsidR="008E0B11">
        <w:t xml:space="preserve"> </w:t>
      </w:r>
    </w:p>
    <w:p w14:paraId="601C2E9F" w14:textId="3ABCAA41" w:rsidR="008E0B11" w:rsidRDefault="00D42226" w:rsidP="00B91B6B">
      <w:pPr>
        <w:pStyle w:val="FootnoteText"/>
      </w:pPr>
      <w:hyperlink r:id="rId11" w:history="1">
        <w:r w:rsidR="008E0B11" w:rsidRPr="008E0B11">
          <w:rPr>
            <w:rStyle w:val="Hyperlink"/>
          </w:rPr>
          <w:t>https://www.decisionsupportservice.ie/services/decision-supporters</w:t>
        </w:r>
      </w:hyperlink>
    </w:p>
  </w:footnote>
  <w:footnote w:id="111">
    <w:p w14:paraId="1CAC7385" w14:textId="691E975B" w:rsidR="0053163B" w:rsidRDefault="006E0366" w:rsidP="006E0366">
      <w:pPr>
        <w:pStyle w:val="FootnoteText"/>
      </w:pPr>
      <w:r>
        <w:rPr>
          <w:rStyle w:val="FootnoteReference"/>
        </w:rPr>
        <w:footnoteRef/>
      </w:r>
      <w:r>
        <w:t xml:space="preserve"> </w:t>
      </w:r>
      <w:hyperlink r:id="rId12" w:history="1">
        <w:r w:rsidR="0053163B" w:rsidRPr="002A5FB4">
          <w:rPr>
            <w:rStyle w:val="Hyperlink"/>
          </w:rPr>
          <w:t>https://decisionsupportservice.ie</w:t>
        </w:r>
      </w:hyperlink>
    </w:p>
  </w:footnote>
  <w:footnote w:id="112">
    <w:p w14:paraId="0B10D05C" w14:textId="47E86ECA" w:rsidR="00160AC5" w:rsidRDefault="00160AC5">
      <w:pPr>
        <w:pStyle w:val="FootnoteText"/>
      </w:pPr>
      <w:r>
        <w:rPr>
          <w:rStyle w:val="FootnoteReference"/>
        </w:rPr>
        <w:footnoteRef/>
      </w:r>
      <w:r>
        <w:t xml:space="preserve"> HSE, 2023</w:t>
      </w:r>
    </w:p>
  </w:footnote>
  <w:footnote w:id="113">
    <w:p w14:paraId="2931D56D" w14:textId="3078A939" w:rsidR="00C72EEE" w:rsidRDefault="00C72EEE" w:rsidP="00C72EEE">
      <w:pPr>
        <w:pStyle w:val="FootnoteText"/>
      </w:pPr>
      <w:r>
        <w:rPr>
          <w:rStyle w:val="FootnoteReference"/>
        </w:rPr>
        <w:footnoteRef/>
      </w:r>
      <w:r>
        <w:t xml:space="preserve"> </w:t>
      </w:r>
      <w:r w:rsidR="00A81E14">
        <w:t xml:space="preserve">Ibid, </w:t>
      </w:r>
      <w:r>
        <w:t>P.51</w:t>
      </w:r>
    </w:p>
  </w:footnote>
  <w:footnote w:id="114">
    <w:p w14:paraId="0FEEFD2F" w14:textId="24CA4F42" w:rsidR="002A70CD" w:rsidRDefault="002A70CD">
      <w:pPr>
        <w:pStyle w:val="FootnoteText"/>
      </w:pPr>
      <w:r>
        <w:rPr>
          <w:rStyle w:val="FootnoteReference"/>
        </w:rPr>
        <w:footnoteRef/>
      </w:r>
      <w:r>
        <w:t xml:space="preserve"> </w:t>
      </w:r>
      <w:r w:rsidR="00C8434C" w:rsidRPr="00C8434C">
        <w:t>Data Protection Act 2018 (Section 36(2)) (Health Research) Regulations 2018</w:t>
      </w:r>
    </w:p>
  </w:footnote>
  <w:footnote w:id="115">
    <w:p w14:paraId="4F11B541" w14:textId="2000B52B" w:rsidR="005C0B59" w:rsidRDefault="005C0B59" w:rsidP="005C0B59">
      <w:pPr>
        <w:pStyle w:val="FootnoteText"/>
      </w:pPr>
      <w:r>
        <w:rPr>
          <w:rStyle w:val="FootnoteReference"/>
        </w:rPr>
        <w:footnoteRef/>
      </w:r>
      <w:r>
        <w:t xml:space="preserve"> Rauhala </w:t>
      </w:r>
      <w:r w:rsidR="007F73E4">
        <w:t xml:space="preserve">and </w:t>
      </w:r>
      <w:r w:rsidR="007F73E4" w:rsidRPr="007F73E4">
        <w:t>Kalokairinou</w:t>
      </w:r>
      <w:r>
        <w:t xml:space="preserve"> (European Commission), 2021</w:t>
      </w:r>
    </w:p>
  </w:footnote>
  <w:footnote w:id="116">
    <w:p w14:paraId="62453A2C" w14:textId="218BFC56" w:rsidR="00865A66" w:rsidRDefault="00081A58" w:rsidP="00081A58">
      <w:pPr>
        <w:pStyle w:val="FootnoteText"/>
      </w:pPr>
      <w:r>
        <w:rPr>
          <w:rStyle w:val="FootnoteReference"/>
        </w:rPr>
        <w:footnoteRef/>
      </w:r>
      <w:r>
        <w:t xml:space="preserve"> </w:t>
      </w:r>
      <w:r w:rsidR="00C8434C">
        <w:t xml:space="preserve">Data Protection Act 2018. See also : </w:t>
      </w:r>
      <w:hyperlink r:id="rId13" w:history="1">
        <w:r w:rsidR="007F73E4" w:rsidRPr="007F73E4">
          <w:rPr>
            <w:rStyle w:val="Hyperlink"/>
          </w:rPr>
          <w:t>https://www.dataprotection.ie/sites/default/files/uploads/2019-07/190710%20Data%20Protection%20Basics.pdf</w:t>
        </w:r>
      </w:hyperlink>
    </w:p>
  </w:footnote>
  <w:footnote w:id="117">
    <w:p w14:paraId="007F96CE" w14:textId="77777777" w:rsidR="00FC5B4F" w:rsidRDefault="00FC5B4F" w:rsidP="00FC5B4F">
      <w:pPr>
        <w:pStyle w:val="FootnoteText"/>
      </w:pPr>
      <w:r>
        <w:rPr>
          <w:rStyle w:val="FootnoteReference"/>
        </w:rPr>
        <w:footnoteRef/>
      </w:r>
      <w:r>
        <w:t xml:space="preserve"> P.20, HSE, 2023</w:t>
      </w:r>
    </w:p>
  </w:footnote>
  <w:footnote w:id="118">
    <w:p w14:paraId="4D1F041F" w14:textId="7BE2A588" w:rsidR="000D7C3C" w:rsidRDefault="000D7C3C">
      <w:pPr>
        <w:pStyle w:val="FootnoteText"/>
      </w:pPr>
      <w:r>
        <w:rPr>
          <w:rStyle w:val="FootnoteReference"/>
        </w:rPr>
        <w:footnoteRef/>
      </w:r>
      <w:r>
        <w:t xml:space="preserve"> </w:t>
      </w:r>
      <w:r w:rsidR="00A81E14">
        <w:t xml:space="preserve">Ibid, </w:t>
      </w:r>
      <w:r>
        <w:t>P.28</w:t>
      </w:r>
    </w:p>
  </w:footnote>
  <w:footnote w:id="119">
    <w:p w14:paraId="0798A397" w14:textId="40F5542F" w:rsidR="00081A58" w:rsidRDefault="00081A58" w:rsidP="00081A58">
      <w:pPr>
        <w:pStyle w:val="FootnoteText"/>
      </w:pPr>
      <w:r>
        <w:rPr>
          <w:rStyle w:val="FootnoteReference"/>
        </w:rPr>
        <w:footnoteRef/>
      </w:r>
      <w:r>
        <w:t xml:space="preserve"> Rauhala </w:t>
      </w:r>
      <w:r w:rsidR="007F73E4">
        <w:t xml:space="preserve">and </w:t>
      </w:r>
      <w:r w:rsidR="007F73E4" w:rsidRPr="007F73E4">
        <w:t>Kalokairinou</w:t>
      </w:r>
      <w:r>
        <w:t xml:space="preserve"> (European Commission), 2021. </w:t>
      </w:r>
      <w:r w:rsidRPr="00DE4D5D">
        <w:t>Th</w:t>
      </w:r>
      <w:r>
        <w:t>e</w:t>
      </w:r>
      <w:r w:rsidRPr="00DE4D5D">
        <w:t xml:space="preserve"> document </w:t>
      </w:r>
      <w:r>
        <w:t xml:space="preserve">is </w:t>
      </w:r>
      <w:r w:rsidRPr="00DE4D5D">
        <w:t xml:space="preserve">available online to </w:t>
      </w:r>
      <w:r>
        <w:t>support</w:t>
      </w:r>
      <w:r w:rsidRPr="00DE4D5D">
        <w:t xml:space="preserve"> researchers in social sciences and humanities to identify and address ethical dimensions </w:t>
      </w:r>
      <w:r>
        <w:t xml:space="preserve">and ensure that research ethics is integrated into their research design </w:t>
      </w:r>
      <w:r w:rsidRPr="00DE4D5D">
        <w:t>when involved in research financed by the EU. It is also designed to help the wider research community deal with the ethical issues that may arise in interdisciplinary research using social sciences and humanities methodology.</w:t>
      </w:r>
    </w:p>
  </w:footnote>
  <w:footnote w:id="120">
    <w:p w14:paraId="04A9C0FF" w14:textId="77777777" w:rsidR="00EC286B" w:rsidRDefault="00EC286B" w:rsidP="00EC286B">
      <w:pPr>
        <w:pStyle w:val="FootnoteText"/>
      </w:pPr>
      <w:r>
        <w:rPr>
          <w:rStyle w:val="FootnoteReference"/>
        </w:rPr>
        <w:footnoteRef/>
      </w:r>
      <w:r>
        <w:t xml:space="preserve"> Scott, 2005</w:t>
      </w:r>
    </w:p>
  </w:footnote>
  <w:footnote w:id="121">
    <w:p w14:paraId="7F5DA191" w14:textId="77777777" w:rsidR="00EC286B" w:rsidRDefault="00EC286B" w:rsidP="00EC286B">
      <w:pPr>
        <w:pStyle w:val="FootnoteText"/>
      </w:pPr>
      <w:r>
        <w:rPr>
          <w:rStyle w:val="FootnoteReference"/>
        </w:rPr>
        <w:footnoteRef/>
      </w:r>
      <w:r>
        <w:t xml:space="preserve"> </w:t>
      </w:r>
      <w:r w:rsidRPr="000053BE">
        <w:t>Richards and</w:t>
      </w:r>
      <w:r>
        <w:t xml:space="preserve"> Schwartz, 2002; Parahoo, 2014</w:t>
      </w:r>
    </w:p>
  </w:footnote>
  <w:footnote w:id="122">
    <w:p w14:paraId="45568BD8" w14:textId="77777777" w:rsidR="00081A58" w:rsidRDefault="00081A58" w:rsidP="00081A58">
      <w:pPr>
        <w:pStyle w:val="FootnoteText"/>
      </w:pPr>
      <w:r>
        <w:rPr>
          <w:rStyle w:val="FootnoteReference"/>
        </w:rPr>
        <w:footnoteRef/>
      </w:r>
      <w:r>
        <w:t xml:space="preserve"> Polit and Beck, 2013</w:t>
      </w:r>
    </w:p>
  </w:footnote>
  <w:footnote w:id="123">
    <w:p w14:paraId="2F2382AD" w14:textId="298B2ECF" w:rsidR="00EC214B" w:rsidRDefault="00EC214B" w:rsidP="00EC214B">
      <w:pPr>
        <w:pStyle w:val="FootnoteText"/>
      </w:pPr>
      <w:r>
        <w:rPr>
          <w:rStyle w:val="FootnoteReference"/>
        </w:rPr>
        <w:footnoteRef/>
      </w:r>
      <w:r>
        <w:t xml:space="preserve"> NMBI, 2015 </w:t>
      </w:r>
    </w:p>
  </w:footnote>
  <w:footnote w:id="124">
    <w:p w14:paraId="0058F0BB" w14:textId="77777777" w:rsidR="00EC214B" w:rsidRDefault="00EC214B" w:rsidP="00EC214B">
      <w:pPr>
        <w:pStyle w:val="FootnoteText"/>
      </w:pPr>
      <w:r>
        <w:rPr>
          <w:rStyle w:val="FootnoteReference"/>
        </w:rPr>
        <w:footnoteRef/>
      </w:r>
      <w:r>
        <w:t xml:space="preserve"> NMBI, 2015</w:t>
      </w:r>
    </w:p>
  </w:footnote>
  <w:footnote w:id="125">
    <w:p w14:paraId="03F1EC5B" w14:textId="77777777" w:rsidR="00EC214B" w:rsidRDefault="00EC214B" w:rsidP="00EC214B">
      <w:pPr>
        <w:pStyle w:val="FootnoteText"/>
      </w:pPr>
      <w:r>
        <w:rPr>
          <w:rStyle w:val="FootnoteReference"/>
        </w:rPr>
        <w:footnoteRef/>
      </w:r>
      <w:r>
        <w:t xml:space="preserve"> Dempsey and Dempsey, 2000</w:t>
      </w:r>
    </w:p>
  </w:footnote>
  <w:footnote w:id="126">
    <w:p w14:paraId="793CA1B6" w14:textId="5B8F7C76" w:rsidR="00081A58" w:rsidRDefault="00081A58" w:rsidP="00081A58">
      <w:pPr>
        <w:pStyle w:val="FootnoteText"/>
      </w:pPr>
      <w:r>
        <w:rPr>
          <w:rStyle w:val="FootnoteReference"/>
        </w:rPr>
        <w:footnoteRef/>
      </w:r>
      <w:r>
        <w:t xml:space="preserve"> </w:t>
      </w:r>
      <w:r w:rsidRPr="00124CAD">
        <w:t>D</w:t>
      </w:r>
      <w:r>
        <w:t>oody</w:t>
      </w:r>
      <w:r w:rsidR="00671DD9">
        <w:t xml:space="preserve"> </w:t>
      </w:r>
      <w:r w:rsidR="007F73E4">
        <w:t>and Noonan</w:t>
      </w:r>
      <w:r w:rsidR="00671DD9">
        <w:t>,</w:t>
      </w:r>
      <w:r>
        <w:t xml:space="preserve"> </w:t>
      </w:r>
      <w:r w:rsidRPr="00124CAD">
        <w:t>2016</w:t>
      </w:r>
    </w:p>
  </w:footnote>
  <w:footnote w:id="127">
    <w:p w14:paraId="6FA576E3" w14:textId="77777777" w:rsidR="0098423F" w:rsidRDefault="0098423F" w:rsidP="0098423F">
      <w:pPr>
        <w:pStyle w:val="FootnoteText"/>
      </w:pPr>
      <w:r>
        <w:rPr>
          <w:rStyle w:val="FootnoteReference"/>
        </w:rPr>
        <w:footnoteRef/>
      </w:r>
      <w:r>
        <w:t xml:space="preserve"> Marusic, 2023  </w:t>
      </w:r>
    </w:p>
  </w:footnote>
  <w:footnote w:id="128">
    <w:p w14:paraId="5F2A3CF3" w14:textId="06F6A46A" w:rsidR="00BF266C" w:rsidRDefault="00BF266C">
      <w:pPr>
        <w:pStyle w:val="FootnoteText"/>
      </w:pPr>
      <w:r>
        <w:rPr>
          <w:rStyle w:val="FootnoteReference"/>
        </w:rPr>
        <w:footnoteRef/>
      </w:r>
      <w:r>
        <w:t xml:space="preserve"> The list of organisations which comprise the forum can be accessed in Appendix 1 of the National Policy Statement </w:t>
      </w:r>
      <w:hyperlink r:id="rId14" w:history="1">
        <w:r w:rsidR="00A81E14" w:rsidRPr="001C08A5">
          <w:rPr>
            <w:rStyle w:val="Hyperlink"/>
          </w:rPr>
          <w:t>https://www.iua.ie/wp-content/uploads/2021/04/National-Policy-Statement-on-Ensuring-Research-Integrity-in-Ireland.pdf</w:t>
        </w:r>
      </w:hyperlink>
      <w:r w:rsidR="00A81E14">
        <w:t xml:space="preserve"> </w:t>
      </w:r>
    </w:p>
  </w:footnote>
  <w:footnote w:id="129">
    <w:p w14:paraId="1A9AB8BC" w14:textId="27D2E60F" w:rsidR="00BF266C" w:rsidRDefault="00BF266C">
      <w:pPr>
        <w:pStyle w:val="FootnoteText"/>
      </w:pPr>
      <w:r>
        <w:rPr>
          <w:rStyle w:val="FootnoteReference"/>
        </w:rPr>
        <w:footnoteRef/>
      </w:r>
      <w:r>
        <w:t xml:space="preserve"> </w:t>
      </w:r>
      <w:hyperlink r:id="rId15" w:history="1">
        <w:r w:rsidR="00A81E14" w:rsidRPr="001C08A5">
          <w:rPr>
            <w:rStyle w:val="Hyperlink"/>
          </w:rPr>
          <w:t>https://www.iua.ie/wp-content/uploads/2021/04/National-Policy-Statement-on-Ensuring-Research-Integrity-in-Ireland.pdf</w:t>
        </w:r>
      </w:hyperlink>
      <w:r w:rsidR="00A81E14">
        <w:t xml:space="preserve"> </w:t>
      </w:r>
    </w:p>
  </w:footnote>
  <w:footnote w:id="130">
    <w:p w14:paraId="7894FA56" w14:textId="4B6BB9DE" w:rsidR="00C94A30" w:rsidRDefault="00C94A30">
      <w:pPr>
        <w:pStyle w:val="FootnoteText"/>
      </w:pPr>
      <w:r>
        <w:rPr>
          <w:rStyle w:val="FootnoteReference"/>
        </w:rPr>
        <w:footnoteRef/>
      </w:r>
      <w:r>
        <w:t xml:space="preserve"> </w:t>
      </w:r>
      <w:bookmarkStart w:id="55" w:name="_Hlk143700587"/>
      <w:r w:rsidRPr="00C94A30">
        <w:t>ALLEA</w:t>
      </w:r>
      <w:r w:rsidR="00DD1795">
        <w:t xml:space="preserve">, </w:t>
      </w:r>
      <w:r w:rsidRPr="00C94A30">
        <w:t>2023</w:t>
      </w:r>
    </w:p>
    <w:bookmarkEnd w:id="55"/>
  </w:footnote>
  <w:footnote w:id="131">
    <w:p w14:paraId="6CBC246C" w14:textId="5EB0EEC8" w:rsidR="00C94A30" w:rsidRDefault="00C94A30">
      <w:pPr>
        <w:pStyle w:val="FootnoteText"/>
      </w:pPr>
      <w:r>
        <w:rPr>
          <w:rStyle w:val="FootnoteReference"/>
        </w:rPr>
        <w:footnoteRef/>
      </w:r>
      <w:r>
        <w:t xml:space="preserve"> </w:t>
      </w:r>
      <w:r w:rsidR="00DD1795">
        <w:t>Royal Irish Academy, 2010</w:t>
      </w:r>
    </w:p>
  </w:footnote>
  <w:footnote w:id="132">
    <w:p w14:paraId="5B2A9796" w14:textId="364B474E" w:rsidR="00C94A30" w:rsidRDefault="00C94A30">
      <w:pPr>
        <w:pStyle w:val="FootnoteText"/>
      </w:pPr>
      <w:r>
        <w:rPr>
          <w:rStyle w:val="FootnoteReference"/>
        </w:rPr>
        <w:footnoteRef/>
      </w:r>
      <w:r>
        <w:t xml:space="preserve"> </w:t>
      </w:r>
      <w:r w:rsidR="00DD1795">
        <w:t>Universities UK, 2019</w:t>
      </w:r>
    </w:p>
  </w:footnote>
  <w:footnote w:id="133">
    <w:p w14:paraId="4F7FFBD3" w14:textId="77777777" w:rsidR="00CD798A" w:rsidRDefault="00CD798A" w:rsidP="00CD798A">
      <w:pPr>
        <w:pStyle w:val="FootnoteText"/>
      </w:pPr>
      <w:r>
        <w:rPr>
          <w:rStyle w:val="FootnoteReference"/>
        </w:rPr>
        <w:footnoteRef/>
      </w:r>
      <w:r>
        <w:t xml:space="preserve"> Connolly 2003</w:t>
      </w:r>
      <w:r w:rsidRPr="00996F61">
        <w:rPr>
          <w:lang w:val="en-GB"/>
        </w:rPr>
        <w:t>, p. 9</w:t>
      </w:r>
    </w:p>
  </w:footnote>
  <w:footnote w:id="134">
    <w:p w14:paraId="7BECB32D" w14:textId="77777777" w:rsidR="00CD798A" w:rsidRDefault="00CD798A" w:rsidP="00CD798A">
      <w:pPr>
        <w:pStyle w:val="FootnoteText"/>
      </w:pPr>
      <w:r>
        <w:rPr>
          <w:rStyle w:val="FootnoteReference"/>
        </w:rPr>
        <w:footnoteRef/>
      </w:r>
      <w:r>
        <w:t xml:space="preserve"> </w:t>
      </w:r>
      <w:r w:rsidRPr="00996F61">
        <w:rPr>
          <w:lang w:val="en-GB"/>
        </w:rPr>
        <w:t xml:space="preserve">Australian Government, 2006, p. 45 - comment from Ethics Committee member </w:t>
      </w:r>
    </w:p>
  </w:footnote>
  <w:footnote w:id="135">
    <w:p w14:paraId="42A2CA45" w14:textId="77777777" w:rsidR="00CD798A" w:rsidRPr="00996F61" w:rsidRDefault="00CD798A" w:rsidP="00CD798A">
      <w:pPr>
        <w:pStyle w:val="FootnoteText"/>
        <w:rPr>
          <w:lang w:val="en-GB"/>
        </w:rPr>
      </w:pPr>
      <w:r>
        <w:rPr>
          <w:rStyle w:val="FootnoteReference"/>
        </w:rPr>
        <w:footnoteRef/>
      </w:r>
      <w:r>
        <w:t xml:space="preserve"> </w:t>
      </w:r>
      <w:r w:rsidRPr="00996F61">
        <w:rPr>
          <w:lang w:val="en-GB"/>
        </w:rPr>
        <w:t xml:space="preserve">Roberts et al., 2001, p. 352, citing, among others, Spece et al., 1996; Culliton, 1983; Humphrey, 1992; Dalton, 1997  </w:t>
      </w:r>
    </w:p>
  </w:footnote>
  <w:footnote w:id="136">
    <w:p w14:paraId="7A369BE5" w14:textId="77777777" w:rsidR="00CD798A" w:rsidRPr="00996F61" w:rsidRDefault="00CD798A" w:rsidP="00CD798A">
      <w:pPr>
        <w:pStyle w:val="FootnoteText"/>
        <w:rPr>
          <w:lang w:val="en-GB"/>
        </w:rPr>
      </w:pPr>
      <w:r>
        <w:rPr>
          <w:rStyle w:val="FootnoteReference"/>
        </w:rPr>
        <w:footnoteRef/>
      </w:r>
      <w:r>
        <w:t xml:space="preserve"> </w:t>
      </w:r>
      <w:r w:rsidRPr="00996F61">
        <w:rPr>
          <w:lang w:val="en-GB"/>
        </w:rPr>
        <w:t>Roberts et al., 2001 citing Roberts et al., 2000</w:t>
      </w:r>
    </w:p>
  </w:footnote>
  <w:footnote w:id="137">
    <w:p w14:paraId="1C079070" w14:textId="61E23249" w:rsidR="00CD798A" w:rsidRDefault="00CD798A" w:rsidP="00CD798A">
      <w:pPr>
        <w:pStyle w:val="FootnoteText"/>
      </w:pPr>
      <w:r>
        <w:rPr>
          <w:rStyle w:val="FootnoteReference"/>
        </w:rPr>
        <w:footnoteRef/>
      </w:r>
      <w:r>
        <w:t xml:space="preserve"> Doody </w:t>
      </w:r>
      <w:r w:rsidR="007F73E4">
        <w:t>and Noonan</w:t>
      </w:r>
      <w:r>
        <w:t>, 2016</w:t>
      </w:r>
    </w:p>
  </w:footnote>
  <w:footnote w:id="138">
    <w:p w14:paraId="693CD00F" w14:textId="1F4D98F0" w:rsidR="00CD798A" w:rsidRDefault="00CD798A" w:rsidP="00CD798A">
      <w:pPr>
        <w:pStyle w:val="FootnoteText"/>
      </w:pPr>
      <w:r>
        <w:rPr>
          <w:rStyle w:val="FootnoteReference"/>
        </w:rPr>
        <w:footnoteRef/>
      </w:r>
      <w:r>
        <w:t xml:space="preserve"> </w:t>
      </w:r>
      <w:r w:rsidR="006B7530">
        <w:t>I</w:t>
      </w:r>
      <w:r w:rsidRPr="00EA391F">
        <w:t>t may be ethical in some circumstances to conceal the true research question</w:t>
      </w:r>
      <w:r>
        <w:t xml:space="preserve">. </w:t>
      </w:r>
      <w:r w:rsidRPr="00EA391F">
        <w:t xml:space="preserve"> </w:t>
      </w:r>
      <w:r w:rsidRPr="00275E9E">
        <w:t xml:space="preserve">The European Commission addresses methodologies that </w:t>
      </w:r>
      <w:r>
        <w:t>involve deception (</w:t>
      </w:r>
      <w:r w:rsidRPr="00275E9E">
        <w:t xml:space="preserve">Rauhala </w:t>
      </w:r>
      <w:r w:rsidR="007F73E4">
        <w:t>and</w:t>
      </w:r>
      <w:r w:rsidR="007F73E4" w:rsidRPr="007F73E4">
        <w:t xml:space="preserve"> Kalokairinou</w:t>
      </w:r>
      <w:r w:rsidR="007F73E4">
        <w:t xml:space="preserve"> </w:t>
      </w:r>
      <w:r w:rsidRPr="00275E9E">
        <w:t>, 2021</w:t>
      </w:r>
      <w:r>
        <w:t>,</w:t>
      </w:r>
      <w:r w:rsidRPr="00275E9E">
        <w:t xml:space="preserve"> for the European Commission </w:t>
      </w:r>
      <w:r>
        <w:t>-</w:t>
      </w:r>
      <w:r w:rsidRPr="00275E9E">
        <w:t>DG Research and Innovation)</w:t>
      </w:r>
      <w:r>
        <w:t xml:space="preserve">. </w:t>
      </w:r>
      <w:r w:rsidRPr="00275E9E">
        <w:t>Covert research, for example, is done without informing those that are the focus of the research that they are being researched.</w:t>
      </w:r>
      <w:r>
        <w:t xml:space="preserve"> Such research </w:t>
      </w:r>
      <w:r w:rsidRPr="00275E9E">
        <w:t xml:space="preserve">requires strong justification and a demonstration of </w:t>
      </w:r>
      <w:r>
        <w:t xml:space="preserve">the </w:t>
      </w:r>
      <w:r w:rsidRPr="00275E9E">
        <w:t>clear benefits of the chosen method over any other approach. Covert research should be avoided unless it is the only method by which information can be gathered. Circumstances that may lend support to using covert methods include settings where research participants change behaviour because they know they are being studied. Covert research must be conducted with respect for privacy</w:t>
      </w:r>
      <w:r>
        <w:t>.</w:t>
      </w:r>
      <w:r w:rsidRPr="00275E9E">
        <w:t xml:space="preserve"> </w:t>
      </w:r>
      <w:r>
        <w:t>D</w:t>
      </w:r>
      <w:r w:rsidRPr="00275E9E">
        <w:t xml:space="preserve">ata should be fully anonymised at the point and time of collection and data are collected unobtrusively and in accordance with local cultural values. </w:t>
      </w:r>
    </w:p>
  </w:footnote>
  <w:footnote w:id="139">
    <w:p w14:paraId="5D06B234" w14:textId="77777777" w:rsidR="00CD798A" w:rsidRDefault="00CD798A" w:rsidP="00CD798A">
      <w:pPr>
        <w:pStyle w:val="FootnoteText"/>
      </w:pPr>
      <w:r>
        <w:rPr>
          <w:rStyle w:val="FootnoteReference"/>
        </w:rPr>
        <w:footnoteRef/>
      </w:r>
      <w:r>
        <w:t xml:space="preserve"> </w:t>
      </w:r>
      <w:r w:rsidRPr="00275317">
        <w:t>Parahoo, 2014</w:t>
      </w:r>
    </w:p>
  </w:footnote>
  <w:footnote w:id="140">
    <w:p w14:paraId="64EF5E2A" w14:textId="77777777" w:rsidR="00CD798A" w:rsidRDefault="00CD798A" w:rsidP="00CD798A">
      <w:pPr>
        <w:pStyle w:val="FootnoteText"/>
      </w:pPr>
      <w:r>
        <w:rPr>
          <w:rStyle w:val="FootnoteReference"/>
        </w:rPr>
        <w:footnoteRef/>
      </w:r>
      <w:r>
        <w:t xml:space="preserve"> </w:t>
      </w:r>
      <w:r w:rsidRPr="0049282C">
        <w:rPr>
          <w:lang w:val="en-GB"/>
        </w:rPr>
        <w:t>Connolly, 2003</w:t>
      </w:r>
    </w:p>
  </w:footnote>
  <w:footnote w:id="141">
    <w:p w14:paraId="4DFC52F7" w14:textId="77777777" w:rsidR="00CD798A" w:rsidRDefault="00CD798A" w:rsidP="00CD798A">
      <w:pPr>
        <w:pStyle w:val="FootnoteText"/>
      </w:pPr>
      <w:r>
        <w:rPr>
          <w:rStyle w:val="FootnoteReference"/>
        </w:rPr>
        <w:footnoteRef/>
      </w:r>
      <w:r>
        <w:t xml:space="preserve"> </w:t>
      </w:r>
      <w:r w:rsidRPr="00996F61">
        <w:rPr>
          <w:lang w:val="en-GB"/>
        </w:rPr>
        <w:t>McGraw et al., 2000, p. 68</w:t>
      </w:r>
    </w:p>
  </w:footnote>
  <w:footnote w:id="142">
    <w:p w14:paraId="04A28E40" w14:textId="6B4DED0D" w:rsidR="000D7C3C" w:rsidRDefault="00CD798A" w:rsidP="00CD798A">
      <w:pPr>
        <w:pStyle w:val="FootnoteText"/>
      </w:pPr>
      <w:r>
        <w:rPr>
          <w:rStyle w:val="FootnoteReference"/>
        </w:rPr>
        <w:footnoteRef/>
      </w:r>
      <w:r>
        <w:t xml:space="preserve"> ERIC (Ethical Research involving Children) citing </w:t>
      </w:r>
      <w:hyperlink r:id="rId16" w:history="1">
        <w:r w:rsidR="000D7C3C" w:rsidRPr="00FC1938">
          <w:rPr>
            <w:rStyle w:val="Hyperlink"/>
          </w:rPr>
          <w:t>https://childethics.com/philosophy/</w:t>
        </w:r>
      </w:hyperlink>
    </w:p>
  </w:footnote>
  <w:footnote w:id="143">
    <w:p w14:paraId="13E56706" w14:textId="32FD1A20" w:rsidR="00CD798A" w:rsidRDefault="00CD798A" w:rsidP="00CD798A">
      <w:pPr>
        <w:pStyle w:val="FootnoteText"/>
      </w:pPr>
      <w:r>
        <w:rPr>
          <w:rStyle w:val="FootnoteReference"/>
        </w:rPr>
        <w:footnoteRef/>
      </w:r>
      <w:r>
        <w:t xml:space="preserve"> </w:t>
      </w:r>
      <w:r w:rsidRPr="0049282C">
        <w:rPr>
          <w:bCs/>
          <w:lang w:val="en-GB"/>
        </w:rPr>
        <w:t>Commonwealth of Australia, 1999</w:t>
      </w:r>
      <w:r w:rsidR="00B27C0E">
        <w:rPr>
          <w:bCs/>
          <w:lang w:val="en-GB"/>
        </w:rPr>
        <w:t xml:space="preserve">. </w:t>
      </w:r>
      <w:r w:rsidR="00B27C0E" w:rsidRPr="00B27C0E">
        <w:rPr>
          <w:bCs/>
          <w:lang w:val="en-GB"/>
        </w:rPr>
        <w:t>This statement was replaced by the Australian Government</w:t>
      </w:r>
      <w:r w:rsidR="00B27C0E">
        <w:rPr>
          <w:bCs/>
          <w:lang w:val="en-GB"/>
        </w:rPr>
        <w:t>’</w:t>
      </w:r>
      <w:r w:rsidR="00B27C0E" w:rsidRPr="00B27C0E">
        <w:rPr>
          <w:bCs/>
          <w:lang w:val="en-GB"/>
        </w:rPr>
        <w:t>s 2007 statement</w:t>
      </w:r>
      <w:r w:rsidR="00B27C0E">
        <w:rPr>
          <w:bCs/>
          <w:lang w:val="en-GB"/>
        </w:rPr>
        <w:t>.</w:t>
      </w:r>
    </w:p>
  </w:footnote>
  <w:footnote w:id="144">
    <w:p w14:paraId="7BAB567A" w14:textId="77777777" w:rsidR="000D7C3C" w:rsidRDefault="000D7C3C" w:rsidP="000D7C3C">
      <w:pPr>
        <w:pStyle w:val="FootnoteText"/>
      </w:pPr>
      <w:r>
        <w:rPr>
          <w:rStyle w:val="FootnoteReference"/>
        </w:rPr>
        <w:footnoteRef/>
      </w:r>
      <w:r>
        <w:t xml:space="preserve"> </w:t>
      </w:r>
      <w:r w:rsidRPr="006B7530">
        <w:t>Cope Foundation, 2005</w:t>
      </w:r>
      <w:r w:rsidRPr="00996F61">
        <w:t xml:space="preserve"> </w:t>
      </w:r>
      <w:r>
        <w:t xml:space="preserve">and </w:t>
      </w:r>
      <w:r w:rsidRPr="00996F61">
        <w:t>Tee and Lathlean</w:t>
      </w:r>
      <w:r>
        <w:t>, 2004</w:t>
      </w:r>
    </w:p>
  </w:footnote>
  <w:footnote w:id="145">
    <w:p w14:paraId="0C5F8350" w14:textId="26828DF4" w:rsidR="007A6EB9" w:rsidRDefault="007A6EB9">
      <w:pPr>
        <w:pStyle w:val="FootnoteText"/>
      </w:pPr>
      <w:r>
        <w:rPr>
          <w:rStyle w:val="FootnoteReference"/>
        </w:rPr>
        <w:footnoteRef/>
      </w:r>
      <w:r>
        <w:t xml:space="preserve"> </w:t>
      </w:r>
      <w:r w:rsidR="00383F03">
        <w:t xml:space="preserve">Department of Public Expenditure and Reform and </w:t>
      </w:r>
      <w:r w:rsidR="006A426D">
        <w:t>NDA</w:t>
      </w:r>
      <w:r>
        <w:t>, 2023</w:t>
      </w:r>
    </w:p>
  </w:footnote>
  <w:footnote w:id="146">
    <w:p w14:paraId="358FC2BE" w14:textId="75F4F5B3" w:rsidR="007A6EB9" w:rsidRDefault="007A6EB9">
      <w:pPr>
        <w:pStyle w:val="FootnoteText"/>
      </w:pPr>
      <w:r>
        <w:rPr>
          <w:rStyle w:val="FootnoteReference"/>
        </w:rPr>
        <w:footnoteRef/>
      </w:r>
      <w:r>
        <w:t xml:space="preserve"> NDA, 2022</w:t>
      </w:r>
      <w:r w:rsidR="00383F03">
        <w:t>b</w:t>
      </w:r>
    </w:p>
  </w:footnote>
  <w:footnote w:id="147">
    <w:p w14:paraId="725B5704" w14:textId="0770CC85" w:rsidR="00383F03" w:rsidRDefault="00383F03">
      <w:pPr>
        <w:pStyle w:val="FootnoteText"/>
      </w:pPr>
      <w:r>
        <w:rPr>
          <w:rStyle w:val="FootnoteReference"/>
        </w:rPr>
        <w:footnoteRef/>
      </w:r>
      <w:r>
        <w:t xml:space="preserve"> NDA, 2023</w:t>
      </w:r>
    </w:p>
  </w:footnote>
  <w:footnote w:id="148">
    <w:p w14:paraId="4550B846" w14:textId="77777777" w:rsidR="00686232" w:rsidRDefault="00686232" w:rsidP="00686232">
      <w:pPr>
        <w:pStyle w:val="FootnoteText"/>
      </w:pPr>
      <w:r>
        <w:rPr>
          <w:rStyle w:val="FootnoteReference"/>
        </w:rPr>
        <w:footnoteRef/>
      </w:r>
      <w:r>
        <w:t xml:space="preserve"> P.27, HSE, 2023</w:t>
      </w:r>
    </w:p>
  </w:footnote>
  <w:footnote w:id="149">
    <w:p w14:paraId="44BA3676" w14:textId="77777777" w:rsidR="00686232" w:rsidRDefault="00686232" w:rsidP="00686232">
      <w:pPr>
        <w:pStyle w:val="FootnoteText"/>
      </w:pPr>
      <w:r>
        <w:rPr>
          <w:rStyle w:val="FootnoteReference"/>
        </w:rPr>
        <w:footnoteRef/>
      </w:r>
      <w:r>
        <w:t xml:space="preserve"> NMBI,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A166" w14:textId="0732CF18" w:rsidR="00FE4F60" w:rsidRDefault="00FE4F60">
    <w:pPr>
      <w:pStyle w:val="Header"/>
    </w:pPr>
  </w:p>
  <w:p w14:paraId="58AAAE23" w14:textId="77777777" w:rsidR="00FE4F60" w:rsidRDefault="00FE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AFF4D8A2"/>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7BD870A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7FEAEB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2D84754"/>
    <w:multiLevelType w:val="hybridMultilevel"/>
    <w:tmpl w:val="69AA1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2F7780A"/>
    <w:multiLevelType w:val="hybridMultilevel"/>
    <w:tmpl w:val="2B42C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90E26"/>
    <w:multiLevelType w:val="multilevel"/>
    <w:tmpl w:val="D34E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33B92"/>
    <w:multiLevelType w:val="hybridMultilevel"/>
    <w:tmpl w:val="0FF48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8715DA"/>
    <w:multiLevelType w:val="multilevel"/>
    <w:tmpl w:val="0F16FB76"/>
    <w:lvl w:ilvl="0">
      <w:start w:val="1"/>
      <w:numFmt w:val="decimal"/>
      <w:lvlText w:val="%1.0."/>
      <w:lvlJc w:val="left"/>
      <w:pPr>
        <w:ind w:left="436" w:hanging="720"/>
      </w:pPr>
      <w:rPr>
        <w:rFonts w:hint="default"/>
      </w:rPr>
    </w:lvl>
    <w:lvl w:ilvl="1">
      <w:start w:val="1"/>
      <w:numFmt w:val="decimal"/>
      <w:lvlText w:val="%1.%2."/>
      <w:lvlJc w:val="left"/>
      <w:pPr>
        <w:ind w:left="1156" w:hanging="720"/>
      </w:pPr>
      <w:rPr>
        <w:rFonts w:hint="default"/>
      </w:rPr>
    </w:lvl>
    <w:lvl w:ilvl="2">
      <w:start w:val="1"/>
      <w:numFmt w:val="decimal"/>
      <w:lvlText w:val="%1.%2.%3."/>
      <w:lvlJc w:val="left"/>
      <w:pPr>
        <w:ind w:left="2236" w:hanging="1080"/>
      </w:pPr>
      <w:rPr>
        <w:rFonts w:hint="default"/>
      </w:rPr>
    </w:lvl>
    <w:lvl w:ilvl="3">
      <w:start w:val="1"/>
      <w:numFmt w:val="decimal"/>
      <w:lvlText w:val="%1.%2.%3.%4."/>
      <w:lvlJc w:val="left"/>
      <w:pPr>
        <w:ind w:left="3316" w:hanging="1440"/>
      </w:pPr>
      <w:rPr>
        <w:rFonts w:hint="default"/>
      </w:rPr>
    </w:lvl>
    <w:lvl w:ilvl="4">
      <w:start w:val="1"/>
      <w:numFmt w:val="decimal"/>
      <w:lvlText w:val="%1.%2.%3.%4.%5."/>
      <w:lvlJc w:val="left"/>
      <w:pPr>
        <w:ind w:left="4036" w:hanging="1440"/>
      </w:pPr>
      <w:rPr>
        <w:rFonts w:hint="default"/>
      </w:rPr>
    </w:lvl>
    <w:lvl w:ilvl="5">
      <w:start w:val="1"/>
      <w:numFmt w:val="decimal"/>
      <w:lvlText w:val="%1.%2.%3.%4.%5.%6."/>
      <w:lvlJc w:val="left"/>
      <w:pPr>
        <w:ind w:left="5116" w:hanging="1800"/>
      </w:pPr>
      <w:rPr>
        <w:rFonts w:hint="default"/>
      </w:rPr>
    </w:lvl>
    <w:lvl w:ilvl="6">
      <w:start w:val="1"/>
      <w:numFmt w:val="decimal"/>
      <w:lvlText w:val="%1.%2.%3.%4.%5.%6.%7."/>
      <w:lvlJc w:val="left"/>
      <w:pPr>
        <w:ind w:left="6196" w:hanging="2160"/>
      </w:pPr>
      <w:rPr>
        <w:rFonts w:hint="default"/>
      </w:rPr>
    </w:lvl>
    <w:lvl w:ilvl="7">
      <w:start w:val="1"/>
      <w:numFmt w:val="decimal"/>
      <w:lvlText w:val="%1.%2.%3.%4.%5.%6.%7.%8."/>
      <w:lvlJc w:val="left"/>
      <w:pPr>
        <w:ind w:left="7276" w:hanging="2520"/>
      </w:pPr>
      <w:rPr>
        <w:rFonts w:hint="default"/>
      </w:rPr>
    </w:lvl>
    <w:lvl w:ilvl="8">
      <w:start w:val="1"/>
      <w:numFmt w:val="decimal"/>
      <w:lvlText w:val="%1.%2.%3.%4.%5.%6.%7.%8.%9."/>
      <w:lvlJc w:val="left"/>
      <w:pPr>
        <w:ind w:left="7996" w:hanging="2520"/>
      </w:pPr>
      <w:rPr>
        <w:rFonts w:hint="default"/>
      </w:rPr>
    </w:lvl>
  </w:abstractNum>
  <w:abstractNum w:abstractNumId="11" w15:restartNumberingAfterBreak="0">
    <w:nsid w:val="189665C5"/>
    <w:multiLevelType w:val="hybridMultilevel"/>
    <w:tmpl w:val="7DD283B8"/>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946500F"/>
    <w:multiLevelType w:val="hybridMultilevel"/>
    <w:tmpl w:val="26527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AE5B0E"/>
    <w:multiLevelType w:val="hybridMultilevel"/>
    <w:tmpl w:val="CFACA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B2201"/>
    <w:multiLevelType w:val="hybridMultilevel"/>
    <w:tmpl w:val="7116C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E59D9"/>
    <w:multiLevelType w:val="hybridMultilevel"/>
    <w:tmpl w:val="2656F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495D29"/>
    <w:multiLevelType w:val="hybridMultilevel"/>
    <w:tmpl w:val="774E5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646A5D"/>
    <w:multiLevelType w:val="multilevel"/>
    <w:tmpl w:val="9A9CC7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3DA00E6"/>
    <w:multiLevelType w:val="hybridMultilevel"/>
    <w:tmpl w:val="62ACF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A8398F"/>
    <w:multiLevelType w:val="hybridMultilevel"/>
    <w:tmpl w:val="E6EEF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A04504"/>
    <w:multiLevelType w:val="hybridMultilevel"/>
    <w:tmpl w:val="D9AC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086771"/>
    <w:multiLevelType w:val="multilevel"/>
    <w:tmpl w:val="68C26FFC"/>
    <w:lvl w:ilvl="0">
      <w:start w:val="3"/>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BC6750"/>
    <w:multiLevelType w:val="hybridMultilevel"/>
    <w:tmpl w:val="7F5A0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E73149"/>
    <w:multiLevelType w:val="hybridMultilevel"/>
    <w:tmpl w:val="E6C6C396"/>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343ED6"/>
    <w:multiLevelType w:val="hybridMultilevel"/>
    <w:tmpl w:val="C6B0E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1856FF"/>
    <w:multiLevelType w:val="hybridMultilevel"/>
    <w:tmpl w:val="6A687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786810"/>
    <w:multiLevelType w:val="hybridMultilevel"/>
    <w:tmpl w:val="0180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4C052A"/>
    <w:multiLevelType w:val="hybridMultilevel"/>
    <w:tmpl w:val="95905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3F5312"/>
    <w:multiLevelType w:val="hybridMultilevel"/>
    <w:tmpl w:val="2D5A4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2C7CFD"/>
    <w:multiLevelType w:val="hybridMultilevel"/>
    <w:tmpl w:val="ADB69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A151DB"/>
    <w:multiLevelType w:val="hybridMultilevel"/>
    <w:tmpl w:val="25384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43204A"/>
    <w:multiLevelType w:val="hybridMultilevel"/>
    <w:tmpl w:val="ED8EF7B2"/>
    <w:lvl w:ilvl="0" w:tplc="18090001">
      <w:start w:val="1"/>
      <w:numFmt w:val="bullet"/>
      <w:lvlText w:val=""/>
      <w:lvlJc w:val="left"/>
      <w:pPr>
        <w:tabs>
          <w:tab w:val="num" w:pos="720"/>
        </w:tabs>
        <w:ind w:left="720" w:hanging="360"/>
      </w:pPr>
      <w:rPr>
        <w:rFonts w:ascii="Symbol" w:hAnsi="Symbol" w:hint="default"/>
        <w:color w:val="auto"/>
        <w:sz w:val="24"/>
      </w:rPr>
    </w:lvl>
    <w:lvl w:ilvl="1" w:tplc="A3EC2F2C">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742C91"/>
    <w:multiLevelType w:val="hybridMultilevel"/>
    <w:tmpl w:val="235A9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CF56B4"/>
    <w:multiLevelType w:val="multilevel"/>
    <w:tmpl w:val="1AF8FD50"/>
    <w:lvl w:ilvl="0">
      <w:start w:val="3"/>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DE1FE0"/>
    <w:multiLevelType w:val="hybridMultilevel"/>
    <w:tmpl w:val="1D360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CD3635"/>
    <w:multiLevelType w:val="hybridMultilevel"/>
    <w:tmpl w:val="950ED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80815624">
    <w:abstractNumId w:val="5"/>
  </w:num>
  <w:num w:numId="2" w16cid:durableId="396438362">
    <w:abstractNumId w:val="3"/>
  </w:num>
  <w:num w:numId="3" w16cid:durableId="339435936">
    <w:abstractNumId w:val="2"/>
  </w:num>
  <w:num w:numId="4" w16cid:durableId="1949583119">
    <w:abstractNumId w:val="4"/>
  </w:num>
  <w:num w:numId="5" w16cid:durableId="1044909083">
    <w:abstractNumId w:val="1"/>
  </w:num>
  <w:num w:numId="6" w16cid:durableId="981546805">
    <w:abstractNumId w:val="0"/>
  </w:num>
  <w:num w:numId="7" w16cid:durableId="606931599">
    <w:abstractNumId w:val="22"/>
  </w:num>
  <w:num w:numId="8" w16cid:durableId="1964727924">
    <w:abstractNumId w:val="29"/>
  </w:num>
  <w:num w:numId="9" w16cid:durableId="1963998359">
    <w:abstractNumId w:val="26"/>
  </w:num>
  <w:num w:numId="10" w16cid:durableId="133759566">
    <w:abstractNumId w:val="7"/>
  </w:num>
  <w:num w:numId="11" w16cid:durableId="1512527751">
    <w:abstractNumId w:val="21"/>
  </w:num>
  <w:num w:numId="12" w16cid:durableId="744760085">
    <w:abstractNumId w:val="30"/>
  </w:num>
  <w:num w:numId="13" w16cid:durableId="471488724">
    <w:abstractNumId w:val="19"/>
  </w:num>
  <w:num w:numId="14" w16cid:durableId="1015039590">
    <w:abstractNumId w:val="27"/>
  </w:num>
  <w:num w:numId="15" w16cid:durableId="1297565633">
    <w:abstractNumId w:val="35"/>
  </w:num>
  <w:num w:numId="16" w16cid:durableId="1792087851">
    <w:abstractNumId w:val="31"/>
  </w:num>
  <w:num w:numId="17" w16cid:durableId="479542490">
    <w:abstractNumId w:val="12"/>
  </w:num>
  <w:num w:numId="18" w16cid:durableId="1559514497">
    <w:abstractNumId w:val="17"/>
  </w:num>
  <w:num w:numId="19" w16cid:durableId="393165421">
    <w:abstractNumId w:val="25"/>
  </w:num>
  <w:num w:numId="20" w16cid:durableId="14574087">
    <w:abstractNumId w:val="23"/>
  </w:num>
  <w:num w:numId="21" w16cid:durableId="1865317098">
    <w:abstractNumId w:val="16"/>
  </w:num>
  <w:num w:numId="22" w16cid:durableId="966205123">
    <w:abstractNumId w:val="5"/>
  </w:num>
  <w:num w:numId="23" w16cid:durableId="226381916">
    <w:abstractNumId w:val="34"/>
  </w:num>
  <w:num w:numId="24" w16cid:durableId="1694041109">
    <w:abstractNumId w:val="14"/>
  </w:num>
  <w:num w:numId="25" w16cid:durableId="1937404736">
    <w:abstractNumId w:val="15"/>
  </w:num>
  <w:num w:numId="26" w16cid:durableId="1651790298">
    <w:abstractNumId w:val="24"/>
  </w:num>
  <w:num w:numId="27" w16cid:durableId="555626478">
    <w:abstractNumId w:val="11"/>
  </w:num>
  <w:num w:numId="28" w16cid:durableId="342980984">
    <w:abstractNumId w:val="32"/>
  </w:num>
  <w:num w:numId="29" w16cid:durableId="163861947">
    <w:abstractNumId w:val="9"/>
  </w:num>
  <w:num w:numId="30" w16cid:durableId="146365668">
    <w:abstractNumId w:val="28"/>
  </w:num>
  <w:num w:numId="31" w16cid:durableId="1141535874">
    <w:abstractNumId w:val="20"/>
  </w:num>
  <w:num w:numId="32" w16cid:durableId="784733458">
    <w:abstractNumId w:val="18"/>
  </w:num>
  <w:num w:numId="33" w16cid:durableId="768239070">
    <w:abstractNumId w:val="8"/>
  </w:num>
  <w:num w:numId="34" w16cid:durableId="1438331128">
    <w:abstractNumId w:val="13"/>
  </w:num>
  <w:num w:numId="35" w16cid:durableId="1582713068">
    <w:abstractNumId w:val="10"/>
  </w:num>
  <w:num w:numId="36" w16cid:durableId="883717389">
    <w:abstractNumId w:val="6"/>
  </w:num>
  <w:num w:numId="37" w16cid:durableId="102367682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13"/>
    <w:rsid w:val="00000C73"/>
    <w:rsid w:val="00001728"/>
    <w:rsid w:val="000053BE"/>
    <w:rsid w:val="00011604"/>
    <w:rsid w:val="00011A1B"/>
    <w:rsid w:val="00023B13"/>
    <w:rsid w:val="00030174"/>
    <w:rsid w:val="00030EE0"/>
    <w:rsid w:val="00033C4C"/>
    <w:rsid w:val="00040E37"/>
    <w:rsid w:val="00041101"/>
    <w:rsid w:val="00042489"/>
    <w:rsid w:val="00043350"/>
    <w:rsid w:val="000463CC"/>
    <w:rsid w:val="000469A5"/>
    <w:rsid w:val="00047E96"/>
    <w:rsid w:val="00051DC7"/>
    <w:rsid w:val="000550F1"/>
    <w:rsid w:val="000569F6"/>
    <w:rsid w:val="00062F86"/>
    <w:rsid w:val="000633D6"/>
    <w:rsid w:val="0006422E"/>
    <w:rsid w:val="00067870"/>
    <w:rsid w:val="00070193"/>
    <w:rsid w:val="00071044"/>
    <w:rsid w:val="000722B4"/>
    <w:rsid w:val="000742A3"/>
    <w:rsid w:val="00075FC2"/>
    <w:rsid w:val="00076350"/>
    <w:rsid w:val="00077441"/>
    <w:rsid w:val="00081151"/>
    <w:rsid w:val="00081A58"/>
    <w:rsid w:val="000831A3"/>
    <w:rsid w:val="0008582D"/>
    <w:rsid w:val="000871DA"/>
    <w:rsid w:val="0009394D"/>
    <w:rsid w:val="00094A52"/>
    <w:rsid w:val="000A004F"/>
    <w:rsid w:val="000A06BB"/>
    <w:rsid w:val="000A08F9"/>
    <w:rsid w:val="000A11F3"/>
    <w:rsid w:val="000A133D"/>
    <w:rsid w:val="000A1D4B"/>
    <w:rsid w:val="000A29F8"/>
    <w:rsid w:val="000A2ACF"/>
    <w:rsid w:val="000A50F3"/>
    <w:rsid w:val="000A52E8"/>
    <w:rsid w:val="000A5465"/>
    <w:rsid w:val="000B1245"/>
    <w:rsid w:val="000B2E0D"/>
    <w:rsid w:val="000B3518"/>
    <w:rsid w:val="000B4C4E"/>
    <w:rsid w:val="000B618A"/>
    <w:rsid w:val="000B64E4"/>
    <w:rsid w:val="000C3D4B"/>
    <w:rsid w:val="000C4345"/>
    <w:rsid w:val="000C45F7"/>
    <w:rsid w:val="000D058B"/>
    <w:rsid w:val="000D1668"/>
    <w:rsid w:val="000D285B"/>
    <w:rsid w:val="000D479A"/>
    <w:rsid w:val="000D4C39"/>
    <w:rsid w:val="000D5323"/>
    <w:rsid w:val="000D5DAD"/>
    <w:rsid w:val="000D5E02"/>
    <w:rsid w:val="000D67A0"/>
    <w:rsid w:val="000D7C3C"/>
    <w:rsid w:val="000E0CD2"/>
    <w:rsid w:val="000E12AB"/>
    <w:rsid w:val="000E6DAC"/>
    <w:rsid w:val="000E7519"/>
    <w:rsid w:val="000E7DAC"/>
    <w:rsid w:val="000F029F"/>
    <w:rsid w:val="000F1474"/>
    <w:rsid w:val="000F30C7"/>
    <w:rsid w:val="000F5A02"/>
    <w:rsid w:val="000F66E2"/>
    <w:rsid w:val="00100DB6"/>
    <w:rsid w:val="001011AD"/>
    <w:rsid w:val="00103658"/>
    <w:rsid w:val="001103FF"/>
    <w:rsid w:val="0011058F"/>
    <w:rsid w:val="00110BB1"/>
    <w:rsid w:val="00116C59"/>
    <w:rsid w:val="001171BB"/>
    <w:rsid w:val="00120BC2"/>
    <w:rsid w:val="00123101"/>
    <w:rsid w:val="001239C0"/>
    <w:rsid w:val="00124CAD"/>
    <w:rsid w:val="00124DAC"/>
    <w:rsid w:val="001258A0"/>
    <w:rsid w:val="00125C16"/>
    <w:rsid w:val="00126016"/>
    <w:rsid w:val="00131C44"/>
    <w:rsid w:val="00134A77"/>
    <w:rsid w:val="00134F6B"/>
    <w:rsid w:val="001373B6"/>
    <w:rsid w:val="001456AA"/>
    <w:rsid w:val="00146E1A"/>
    <w:rsid w:val="00147566"/>
    <w:rsid w:val="00147EE7"/>
    <w:rsid w:val="00151751"/>
    <w:rsid w:val="00153C94"/>
    <w:rsid w:val="00154BC2"/>
    <w:rsid w:val="001550FA"/>
    <w:rsid w:val="00155615"/>
    <w:rsid w:val="00155C87"/>
    <w:rsid w:val="00160AC5"/>
    <w:rsid w:val="00161B2A"/>
    <w:rsid w:val="00163877"/>
    <w:rsid w:val="00163AC0"/>
    <w:rsid w:val="00163DB3"/>
    <w:rsid w:val="001660A6"/>
    <w:rsid w:val="0016648D"/>
    <w:rsid w:val="001671D6"/>
    <w:rsid w:val="00167A03"/>
    <w:rsid w:val="001716F6"/>
    <w:rsid w:val="001724EE"/>
    <w:rsid w:val="00180E10"/>
    <w:rsid w:val="00181FE6"/>
    <w:rsid w:val="00184F0C"/>
    <w:rsid w:val="0018508F"/>
    <w:rsid w:val="001854B6"/>
    <w:rsid w:val="00187FD5"/>
    <w:rsid w:val="001905DC"/>
    <w:rsid w:val="00191876"/>
    <w:rsid w:val="00191DB6"/>
    <w:rsid w:val="00192F41"/>
    <w:rsid w:val="00195680"/>
    <w:rsid w:val="00196650"/>
    <w:rsid w:val="001A4C66"/>
    <w:rsid w:val="001A5445"/>
    <w:rsid w:val="001A6248"/>
    <w:rsid w:val="001B04D4"/>
    <w:rsid w:val="001B3F68"/>
    <w:rsid w:val="001B6D4A"/>
    <w:rsid w:val="001B7C57"/>
    <w:rsid w:val="001B7DDC"/>
    <w:rsid w:val="001C0C44"/>
    <w:rsid w:val="001C1F4B"/>
    <w:rsid w:val="001C2577"/>
    <w:rsid w:val="001C4969"/>
    <w:rsid w:val="001D13F6"/>
    <w:rsid w:val="001D2338"/>
    <w:rsid w:val="001D5739"/>
    <w:rsid w:val="001D6795"/>
    <w:rsid w:val="001D7245"/>
    <w:rsid w:val="001E4EA6"/>
    <w:rsid w:val="001E53F0"/>
    <w:rsid w:val="001E618C"/>
    <w:rsid w:val="001E65AD"/>
    <w:rsid w:val="001F1015"/>
    <w:rsid w:val="001F15E2"/>
    <w:rsid w:val="001F4AA5"/>
    <w:rsid w:val="001F5E4F"/>
    <w:rsid w:val="0020027E"/>
    <w:rsid w:val="002030F1"/>
    <w:rsid w:val="002032B3"/>
    <w:rsid w:val="002057FC"/>
    <w:rsid w:val="00205D9C"/>
    <w:rsid w:val="0020682A"/>
    <w:rsid w:val="00206C8A"/>
    <w:rsid w:val="00206FD6"/>
    <w:rsid w:val="00210512"/>
    <w:rsid w:val="00210E6E"/>
    <w:rsid w:val="00213068"/>
    <w:rsid w:val="002159F6"/>
    <w:rsid w:val="0021659C"/>
    <w:rsid w:val="00216B51"/>
    <w:rsid w:val="0021710E"/>
    <w:rsid w:val="002175CA"/>
    <w:rsid w:val="002242D8"/>
    <w:rsid w:val="002244CB"/>
    <w:rsid w:val="002301ED"/>
    <w:rsid w:val="00232092"/>
    <w:rsid w:val="00232D87"/>
    <w:rsid w:val="002348A9"/>
    <w:rsid w:val="0023550F"/>
    <w:rsid w:val="00236A05"/>
    <w:rsid w:val="00242AB6"/>
    <w:rsid w:val="00243902"/>
    <w:rsid w:val="00243CC6"/>
    <w:rsid w:val="0024427B"/>
    <w:rsid w:val="00244EAD"/>
    <w:rsid w:val="00250A43"/>
    <w:rsid w:val="002524E5"/>
    <w:rsid w:val="002537CD"/>
    <w:rsid w:val="0025411A"/>
    <w:rsid w:val="0025449A"/>
    <w:rsid w:val="00256AD3"/>
    <w:rsid w:val="00260F80"/>
    <w:rsid w:val="00265A79"/>
    <w:rsid w:val="00265C28"/>
    <w:rsid w:val="0026716A"/>
    <w:rsid w:val="0027004D"/>
    <w:rsid w:val="00270A65"/>
    <w:rsid w:val="002720EF"/>
    <w:rsid w:val="0027460C"/>
    <w:rsid w:val="00275317"/>
    <w:rsid w:val="00275E9E"/>
    <w:rsid w:val="00276AF7"/>
    <w:rsid w:val="00276FAD"/>
    <w:rsid w:val="00277AD8"/>
    <w:rsid w:val="002815BB"/>
    <w:rsid w:val="002840C1"/>
    <w:rsid w:val="00284AB7"/>
    <w:rsid w:val="00284D85"/>
    <w:rsid w:val="00284E9A"/>
    <w:rsid w:val="00286A68"/>
    <w:rsid w:val="00286F99"/>
    <w:rsid w:val="00287B8E"/>
    <w:rsid w:val="00291079"/>
    <w:rsid w:val="00296433"/>
    <w:rsid w:val="00296CBC"/>
    <w:rsid w:val="002A09A9"/>
    <w:rsid w:val="002A3C34"/>
    <w:rsid w:val="002A4599"/>
    <w:rsid w:val="002A6F91"/>
    <w:rsid w:val="002A70CD"/>
    <w:rsid w:val="002B17D0"/>
    <w:rsid w:val="002B4B46"/>
    <w:rsid w:val="002B5301"/>
    <w:rsid w:val="002B605D"/>
    <w:rsid w:val="002B61ED"/>
    <w:rsid w:val="002B798E"/>
    <w:rsid w:val="002C1CA3"/>
    <w:rsid w:val="002D1AE9"/>
    <w:rsid w:val="002D1D6C"/>
    <w:rsid w:val="002D562D"/>
    <w:rsid w:val="002D5B65"/>
    <w:rsid w:val="002E16C1"/>
    <w:rsid w:val="002E1BBA"/>
    <w:rsid w:val="002E1CB9"/>
    <w:rsid w:val="002E20B0"/>
    <w:rsid w:val="002E3412"/>
    <w:rsid w:val="002E63F8"/>
    <w:rsid w:val="002E64C7"/>
    <w:rsid w:val="002F46AC"/>
    <w:rsid w:val="002F68C8"/>
    <w:rsid w:val="003017DD"/>
    <w:rsid w:val="00301BA0"/>
    <w:rsid w:val="00301F50"/>
    <w:rsid w:val="00306861"/>
    <w:rsid w:val="00313CD8"/>
    <w:rsid w:val="00313FE3"/>
    <w:rsid w:val="00316CDF"/>
    <w:rsid w:val="00317271"/>
    <w:rsid w:val="00317733"/>
    <w:rsid w:val="003201C0"/>
    <w:rsid w:val="00323B83"/>
    <w:rsid w:val="00324DEE"/>
    <w:rsid w:val="003277FE"/>
    <w:rsid w:val="00332932"/>
    <w:rsid w:val="0033387A"/>
    <w:rsid w:val="0033547B"/>
    <w:rsid w:val="00336577"/>
    <w:rsid w:val="00341659"/>
    <w:rsid w:val="003426BF"/>
    <w:rsid w:val="00344C66"/>
    <w:rsid w:val="00346FEF"/>
    <w:rsid w:val="00351F09"/>
    <w:rsid w:val="00352840"/>
    <w:rsid w:val="003571E5"/>
    <w:rsid w:val="003572DD"/>
    <w:rsid w:val="0036181D"/>
    <w:rsid w:val="00364257"/>
    <w:rsid w:val="0036542A"/>
    <w:rsid w:val="00365960"/>
    <w:rsid w:val="00370A69"/>
    <w:rsid w:val="00371C19"/>
    <w:rsid w:val="00371C8C"/>
    <w:rsid w:val="00373529"/>
    <w:rsid w:val="00374D1E"/>
    <w:rsid w:val="00376C2F"/>
    <w:rsid w:val="0038202F"/>
    <w:rsid w:val="003833F0"/>
    <w:rsid w:val="00383F03"/>
    <w:rsid w:val="00384E89"/>
    <w:rsid w:val="00385A1E"/>
    <w:rsid w:val="00385C9B"/>
    <w:rsid w:val="00387B3A"/>
    <w:rsid w:val="0039105E"/>
    <w:rsid w:val="00392FB6"/>
    <w:rsid w:val="00394A5E"/>
    <w:rsid w:val="00395FC2"/>
    <w:rsid w:val="003A05A5"/>
    <w:rsid w:val="003A070B"/>
    <w:rsid w:val="003A11E9"/>
    <w:rsid w:val="003A3B51"/>
    <w:rsid w:val="003A44C8"/>
    <w:rsid w:val="003A5615"/>
    <w:rsid w:val="003A6651"/>
    <w:rsid w:val="003A713C"/>
    <w:rsid w:val="003B0980"/>
    <w:rsid w:val="003B10EC"/>
    <w:rsid w:val="003B3F46"/>
    <w:rsid w:val="003B42F4"/>
    <w:rsid w:val="003B508B"/>
    <w:rsid w:val="003B6CF6"/>
    <w:rsid w:val="003C017F"/>
    <w:rsid w:val="003C16D8"/>
    <w:rsid w:val="003C460B"/>
    <w:rsid w:val="003C593F"/>
    <w:rsid w:val="003C5968"/>
    <w:rsid w:val="003D0695"/>
    <w:rsid w:val="003D0E86"/>
    <w:rsid w:val="003D195E"/>
    <w:rsid w:val="003D1AD7"/>
    <w:rsid w:val="003D21D0"/>
    <w:rsid w:val="003D3360"/>
    <w:rsid w:val="003D6533"/>
    <w:rsid w:val="003E1798"/>
    <w:rsid w:val="003E18BB"/>
    <w:rsid w:val="003E22EA"/>
    <w:rsid w:val="003E57A6"/>
    <w:rsid w:val="003F09A1"/>
    <w:rsid w:val="003F15A9"/>
    <w:rsid w:val="003F1FF2"/>
    <w:rsid w:val="003F4D99"/>
    <w:rsid w:val="003F6408"/>
    <w:rsid w:val="003F6ACF"/>
    <w:rsid w:val="003F7DAD"/>
    <w:rsid w:val="004010DA"/>
    <w:rsid w:val="00401F8A"/>
    <w:rsid w:val="00402094"/>
    <w:rsid w:val="00407A63"/>
    <w:rsid w:val="00410075"/>
    <w:rsid w:val="00412086"/>
    <w:rsid w:val="004164E9"/>
    <w:rsid w:val="004167FF"/>
    <w:rsid w:val="004242E1"/>
    <w:rsid w:val="00424C82"/>
    <w:rsid w:val="00430EAF"/>
    <w:rsid w:val="0043134A"/>
    <w:rsid w:val="00435164"/>
    <w:rsid w:val="00435CF9"/>
    <w:rsid w:val="0043730D"/>
    <w:rsid w:val="0044073D"/>
    <w:rsid w:val="00440997"/>
    <w:rsid w:val="00441C2C"/>
    <w:rsid w:val="00441E98"/>
    <w:rsid w:val="004424EA"/>
    <w:rsid w:val="00444107"/>
    <w:rsid w:val="00446024"/>
    <w:rsid w:val="00446306"/>
    <w:rsid w:val="00451800"/>
    <w:rsid w:val="0045745B"/>
    <w:rsid w:val="00457C17"/>
    <w:rsid w:val="00460142"/>
    <w:rsid w:val="00463B8E"/>
    <w:rsid w:val="00463E74"/>
    <w:rsid w:val="00464463"/>
    <w:rsid w:val="0046466E"/>
    <w:rsid w:val="00465CF5"/>
    <w:rsid w:val="00466F95"/>
    <w:rsid w:val="00467196"/>
    <w:rsid w:val="0047178A"/>
    <w:rsid w:val="004760F9"/>
    <w:rsid w:val="004765F1"/>
    <w:rsid w:val="00476B7F"/>
    <w:rsid w:val="00477E69"/>
    <w:rsid w:val="00481DAF"/>
    <w:rsid w:val="0048214A"/>
    <w:rsid w:val="004831A1"/>
    <w:rsid w:val="00483B5D"/>
    <w:rsid w:val="0048564B"/>
    <w:rsid w:val="00490223"/>
    <w:rsid w:val="0049282C"/>
    <w:rsid w:val="004934C9"/>
    <w:rsid w:val="0049642A"/>
    <w:rsid w:val="0049771C"/>
    <w:rsid w:val="004A3DBB"/>
    <w:rsid w:val="004A446C"/>
    <w:rsid w:val="004A6C2B"/>
    <w:rsid w:val="004B0BC7"/>
    <w:rsid w:val="004B7A96"/>
    <w:rsid w:val="004C00AA"/>
    <w:rsid w:val="004C1D75"/>
    <w:rsid w:val="004C2815"/>
    <w:rsid w:val="004C3FF8"/>
    <w:rsid w:val="004C424B"/>
    <w:rsid w:val="004C572A"/>
    <w:rsid w:val="004C5836"/>
    <w:rsid w:val="004C6764"/>
    <w:rsid w:val="004C7827"/>
    <w:rsid w:val="004D0B74"/>
    <w:rsid w:val="004D1BCA"/>
    <w:rsid w:val="004D1E79"/>
    <w:rsid w:val="004D39B4"/>
    <w:rsid w:val="004D5AB2"/>
    <w:rsid w:val="004D6664"/>
    <w:rsid w:val="004D6AC4"/>
    <w:rsid w:val="004E0DB0"/>
    <w:rsid w:val="004E36A4"/>
    <w:rsid w:val="004E462C"/>
    <w:rsid w:val="004E5E49"/>
    <w:rsid w:val="004E7EA5"/>
    <w:rsid w:val="004F1328"/>
    <w:rsid w:val="004F1FE2"/>
    <w:rsid w:val="00500AFB"/>
    <w:rsid w:val="005011A6"/>
    <w:rsid w:val="00505FC8"/>
    <w:rsid w:val="00506D44"/>
    <w:rsid w:val="00507983"/>
    <w:rsid w:val="00507B60"/>
    <w:rsid w:val="005132EF"/>
    <w:rsid w:val="005135FD"/>
    <w:rsid w:val="00513B12"/>
    <w:rsid w:val="005154B0"/>
    <w:rsid w:val="0052085A"/>
    <w:rsid w:val="00522F70"/>
    <w:rsid w:val="00526024"/>
    <w:rsid w:val="00526F14"/>
    <w:rsid w:val="0053016D"/>
    <w:rsid w:val="0053163B"/>
    <w:rsid w:val="005336C6"/>
    <w:rsid w:val="00534A84"/>
    <w:rsid w:val="005430FF"/>
    <w:rsid w:val="00543546"/>
    <w:rsid w:val="005464D8"/>
    <w:rsid w:val="005523E1"/>
    <w:rsid w:val="00553A15"/>
    <w:rsid w:val="00555856"/>
    <w:rsid w:val="0055599A"/>
    <w:rsid w:val="0055666D"/>
    <w:rsid w:val="00556BEA"/>
    <w:rsid w:val="00560E20"/>
    <w:rsid w:val="005625C7"/>
    <w:rsid w:val="00564FBA"/>
    <w:rsid w:val="00565CE9"/>
    <w:rsid w:val="005746E8"/>
    <w:rsid w:val="005752E3"/>
    <w:rsid w:val="00575663"/>
    <w:rsid w:val="00576C55"/>
    <w:rsid w:val="00577FBB"/>
    <w:rsid w:val="00583583"/>
    <w:rsid w:val="005840F3"/>
    <w:rsid w:val="005971E1"/>
    <w:rsid w:val="005A30D8"/>
    <w:rsid w:val="005A6D6A"/>
    <w:rsid w:val="005B0890"/>
    <w:rsid w:val="005B1610"/>
    <w:rsid w:val="005B2E02"/>
    <w:rsid w:val="005B3734"/>
    <w:rsid w:val="005B429D"/>
    <w:rsid w:val="005B4CE1"/>
    <w:rsid w:val="005B5AFF"/>
    <w:rsid w:val="005B6070"/>
    <w:rsid w:val="005C0B59"/>
    <w:rsid w:val="005C480C"/>
    <w:rsid w:val="005C5831"/>
    <w:rsid w:val="005D1EEB"/>
    <w:rsid w:val="005D3B4B"/>
    <w:rsid w:val="005D6BA8"/>
    <w:rsid w:val="005E3B8B"/>
    <w:rsid w:val="005E42FC"/>
    <w:rsid w:val="005E57B0"/>
    <w:rsid w:val="005E5D84"/>
    <w:rsid w:val="005E7B29"/>
    <w:rsid w:val="005F09E7"/>
    <w:rsid w:val="005F1001"/>
    <w:rsid w:val="005F10F6"/>
    <w:rsid w:val="005F379B"/>
    <w:rsid w:val="005F447F"/>
    <w:rsid w:val="005F6408"/>
    <w:rsid w:val="005F6CCD"/>
    <w:rsid w:val="005F74F5"/>
    <w:rsid w:val="0060017B"/>
    <w:rsid w:val="0060096D"/>
    <w:rsid w:val="00602FD4"/>
    <w:rsid w:val="0060419F"/>
    <w:rsid w:val="00607A5D"/>
    <w:rsid w:val="00607D6F"/>
    <w:rsid w:val="00610739"/>
    <w:rsid w:val="006109FA"/>
    <w:rsid w:val="006112D3"/>
    <w:rsid w:val="00611716"/>
    <w:rsid w:val="00612F87"/>
    <w:rsid w:val="00613BE8"/>
    <w:rsid w:val="00617EE7"/>
    <w:rsid w:val="006234F3"/>
    <w:rsid w:val="00623AC6"/>
    <w:rsid w:val="006256FC"/>
    <w:rsid w:val="00627409"/>
    <w:rsid w:val="006349ED"/>
    <w:rsid w:val="00634EB3"/>
    <w:rsid w:val="00642499"/>
    <w:rsid w:val="006424BF"/>
    <w:rsid w:val="00643184"/>
    <w:rsid w:val="00643266"/>
    <w:rsid w:val="00643709"/>
    <w:rsid w:val="006443AB"/>
    <w:rsid w:val="00644B8F"/>
    <w:rsid w:val="00646B8E"/>
    <w:rsid w:val="00647C90"/>
    <w:rsid w:val="006523BD"/>
    <w:rsid w:val="0065427D"/>
    <w:rsid w:val="0065434F"/>
    <w:rsid w:val="00662F84"/>
    <w:rsid w:val="006637F3"/>
    <w:rsid w:val="00663C2B"/>
    <w:rsid w:val="0066495D"/>
    <w:rsid w:val="00667D25"/>
    <w:rsid w:val="00671A61"/>
    <w:rsid w:val="00671DD9"/>
    <w:rsid w:val="00672593"/>
    <w:rsid w:val="006776A4"/>
    <w:rsid w:val="00682140"/>
    <w:rsid w:val="006855FD"/>
    <w:rsid w:val="00686232"/>
    <w:rsid w:val="00686DB4"/>
    <w:rsid w:val="00687434"/>
    <w:rsid w:val="0069017D"/>
    <w:rsid w:val="006901F7"/>
    <w:rsid w:val="00690B34"/>
    <w:rsid w:val="00690B89"/>
    <w:rsid w:val="00690DDE"/>
    <w:rsid w:val="006911C5"/>
    <w:rsid w:val="006913E6"/>
    <w:rsid w:val="006A15D7"/>
    <w:rsid w:val="006A349E"/>
    <w:rsid w:val="006A426D"/>
    <w:rsid w:val="006A4377"/>
    <w:rsid w:val="006A6812"/>
    <w:rsid w:val="006B1A3F"/>
    <w:rsid w:val="006B4D2D"/>
    <w:rsid w:val="006B501E"/>
    <w:rsid w:val="006B7530"/>
    <w:rsid w:val="006B75E9"/>
    <w:rsid w:val="006C0561"/>
    <w:rsid w:val="006C10E8"/>
    <w:rsid w:val="006C3F79"/>
    <w:rsid w:val="006C4B3A"/>
    <w:rsid w:val="006C5E4C"/>
    <w:rsid w:val="006C6672"/>
    <w:rsid w:val="006D0782"/>
    <w:rsid w:val="006D0923"/>
    <w:rsid w:val="006D6183"/>
    <w:rsid w:val="006D6419"/>
    <w:rsid w:val="006E0366"/>
    <w:rsid w:val="006E7DCC"/>
    <w:rsid w:val="006F096C"/>
    <w:rsid w:val="006F3864"/>
    <w:rsid w:val="006F4B1D"/>
    <w:rsid w:val="006F5297"/>
    <w:rsid w:val="006F5710"/>
    <w:rsid w:val="006F6925"/>
    <w:rsid w:val="006F6AAA"/>
    <w:rsid w:val="006F7FF6"/>
    <w:rsid w:val="007019AB"/>
    <w:rsid w:val="0070342F"/>
    <w:rsid w:val="007037C6"/>
    <w:rsid w:val="00706975"/>
    <w:rsid w:val="00707AC9"/>
    <w:rsid w:val="00710DA8"/>
    <w:rsid w:val="007123FC"/>
    <w:rsid w:val="00712D43"/>
    <w:rsid w:val="0071669B"/>
    <w:rsid w:val="007201C3"/>
    <w:rsid w:val="00720501"/>
    <w:rsid w:val="00720649"/>
    <w:rsid w:val="00721253"/>
    <w:rsid w:val="00723D41"/>
    <w:rsid w:val="00723DCE"/>
    <w:rsid w:val="0072500A"/>
    <w:rsid w:val="007271C9"/>
    <w:rsid w:val="007343C1"/>
    <w:rsid w:val="00734FC3"/>
    <w:rsid w:val="00737AD5"/>
    <w:rsid w:val="0074107F"/>
    <w:rsid w:val="007411E7"/>
    <w:rsid w:val="007433D4"/>
    <w:rsid w:val="00744439"/>
    <w:rsid w:val="00746FA1"/>
    <w:rsid w:val="00751AEF"/>
    <w:rsid w:val="0075412D"/>
    <w:rsid w:val="0075768E"/>
    <w:rsid w:val="00764364"/>
    <w:rsid w:val="00765BE7"/>
    <w:rsid w:val="00765D65"/>
    <w:rsid w:val="007669E2"/>
    <w:rsid w:val="00767899"/>
    <w:rsid w:val="0077608C"/>
    <w:rsid w:val="00776797"/>
    <w:rsid w:val="00781EDE"/>
    <w:rsid w:val="00785DD5"/>
    <w:rsid w:val="00790C67"/>
    <w:rsid w:val="00790C8F"/>
    <w:rsid w:val="00793FC9"/>
    <w:rsid w:val="007A2267"/>
    <w:rsid w:val="007A2504"/>
    <w:rsid w:val="007A5ADF"/>
    <w:rsid w:val="007A6EB9"/>
    <w:rsid w:val="007A7B52"/>
    <w:rsid w:val="007B4DAB"/>
    <w:rsid w:val="007B7B91"/>
    <w:rsid w:val="007C00CD"/>
    <w:rsid w:val="007C02CD"/>
    <w:rsid w:val="007C0C5B"/>
    <w:rsid w:val="007C1369"/>
    <w:rsid w:val="007C1D90"/>
    <w:rsid w:val="007C6F9F"/>
    <w:rsid w:val="007C71BD"/>
    <w:rsid w:val="007D1025"/>
    <w:rsid w:val="007D33AA"/>
    <w:rsid w:val="007D3AB1"/>
    <w:rsid w:val="007D70CD"/>
    <w:rsid w:val="007E3233"/>
    <w:rsid w:val="007E50E4"/>
    <w:rsid w:val="007E6A63"/>
    <w:rsid w:val="007F0090"/>
    <w:rsid w:val="007F00CF"/>
    <w:rsid w:val="007F0785"/>
    <w:rsid w:val="007F25C9"/>
    <w:rsid w:val="007F32DE"/>
    <w:rsid w:val="007F3DA8"/>
    <w:rsid w:val="007F4206"/>
    <w:rsid w:val="007F73E4"/>
    <w:rsid w:val="00801377"/>
    <w:rsid w:val="00804412"/>
    <w:rsid w:val="008057B6"/>
    <w:rsid w:val="00806BEC"/>
    <w:rsid w:val="00811171"/>
    <w:rsid w:val="0081276B"/>
    <w:rsid w:val="0081293D"/>
    <w:rsid w:val="00814449"/>
    <w:rsid w:val="00814459"/>
    <w:rsid w:val="008151F3"/>
    <w:rsid w:val="0081639C"/>
    <w:rsid w:val="00816DB3"/>
    <w:rsid w:val="008234F7"/>
    <w:rsid w:val="00824CF4"/>
    <w:rsid w:val="00825057"/>
    <w:rsid w:val="00826A51"/>
    <w:rsid w:val="00830ED8"/>
    <w:rsid w:val="00831FA1"/>
    <w:rsid w:val="00837589"/>
    <w:rsid w:val="00844D5A"/>
    <w:rsid w:val="00846A5B"/>
    <w:rsid w:val="008528FC"/>
    <w:rsid w:val="00853503"/>
    <w:rsid w:val="00853C5D"/>
    <w:rsid w:val="0085438E"/>
    <w:rsid w:val="00856D8E"/>
    <w:rsid w:val="00857A74"/>
    <w:rsid w:val="008601B8"/>
    <w:rsid w:val="00865A66"/>
    <w:rsid w:val="008663E9"/>
    <w:rsid w:val="00866E42"/>
    <w:rsid w:val="008707CC"/>
    <w:rsid w:val="008716FC"/>
    <w:rsid w:val="00872818"/>
    <w:rsid w:val="00874481"/>
    <w:rsid w:val="008749AF"/>
    <w:rsid w:val="00876BF1"/>
    <w:rsid w:val="00877598"/>
    <w:rsid w:val="00877B2A"/>
    <w:rsid w:val="0088052D"/>
    <w:rsid w:val="00880E7D"/>
    <w:rsid w:val="008814FB"/>
    <w:rsid w:val="008817EC"/>
    <w:rsid w:val="008852C5"/>
    <w:rsid w:val="00885657"/>
    <w:rsid w:val="00890525"/>
    <w:rsid w:val="008938BF"/>
    <w:rsid w:val="00894326"/>
    <w:rsid w:val="00897FF4"/>
    <w:rsid w:val="008A21CD"/>
    <w:rsid w:val="008A2AB9"/>
    <w:rsid w:val="008A7327"/>
    <w:rsid w:val="008A7856"/>
    <w:rsid w:val="008B0501"/>
    <w:rsid w:val="008B1D98"/>
    <w:rsid w:val="008B5D35"/>
    <w:rsid w:val="008B69F2"/>
    <w:rsid w:val="008B7C5B"/>
    <w:rsid w:val="008C13D2"/>
    <w:rsid w:val="008C2CD6"/>
    <w:rsid w:val="008C4328"/>
    <w:rsid w:val="008C4A2E"/>
    <w:rsid w:val="008C6190"/>
    <w:rsid w:val="008C69DA"/>
    <w:rsid w:val="008C7745"/>
    <w:rsid w:val="008D2F8C"/>
    <w:rsid w:val="008D4477"/>
    <w:rsid w:val="008D4C0F"/>
    <w:rsid w:val="008D61C1"/>
    <w:rsid w:val="008E0B11"/>
    <w:rsid w:val="008E1B83"/>
    <w:rsid w:val="008F0CCE"/>
    <w:rsid w:val="008F29EC"/>
    <w:rsid w:val="008F3D42"/>
    <w:rsid w:val="008F518E"/>
    <w:rsid w:val="008F51F5"/>
    <w:rsid w:val="00907B4A"/>
    <w:rsid w:val="00910203"/>
    <w:rsid w:val="00911286"/>
    <w:rsid w:val="0091319C"/>
    <w:rsid w:val="00913484"/>
    <w:rsid w:val="009160BB"/>
    <w:rsid w:val="00916407"/>
    <w:rsid w:val="00916FBD"/>
    <w:rsid w:val="009213FA"/>
    <w:rsid w:val="00921F49"/>
    <w:rsid w:val="00923CD2"/>
    <w:rsid w:val="0092439E"/>
    <w:rsid w:val="009256DC"/>
    <w:rsid w:val="009277C3"/>
    <w:rsid w:val="0093029C"/>
    <w:rsid w:val="00932D45"/>
    <w:rsid w:val="009342ED"/>
    <w:rsid w:val="009356F8"/>
    <w:rsid w:val="0093652F"/>
    <w:rsid w:val="00936D71"/>
    <w:rsid w:val="00941B4A"/>
    <w:rsid w:val="00943313"/>
    <w:rsid w:val="00951176"/>
    <w:rsid w:val="00951AD2"/>
    <w:rsid w:val="00954C5F"/>
    <w:rsid w:val="009628FE"/>
    <w:rsid w:val="0096569C"/>
    <w:rsid w:val="009657C8"/>
    <w:rsid w:val="00966F84"/>
    <w:rsid w:val="00967CAD"/>
    <w:rsid w:val="009707E1"/>
    <w:rsid w:val="00973A58"/>
    <w:rsid w:val="00975C1A"/>
    <w:rsid w:val="00981CD4"/>
    <w:rsid w:val="0098423F"/>
    <w:rsid w:val="009864C1"/>
    <w:rsid w:val="00986FDC"/>
    <w:rsid w:val="0099006F"/>
    <w:rsid w:val="00990789"/>
    <w:rsid w:val="00990EAE"/>
    <w:rsid w:val="009946AB"/>
    <w:rsid w:val="00996A2E"/>
    <w:rsid w:val="00996F61"/>
    <w:rsid w:val="009A2321"/>
    <w:rsid w:val="009A2A61"/>
    <w:rsid w:val="009A5009"/>
    <w:rsid w:val="009B1093"/>
    <w:rsid w:val="009B2491"/>
    <w:rsid w:val="009B380D"/>
    <w:rsid w:val="009B64D8"/>
    <w:rsid w:val="009C1C01"/>
    <w:rsid w:val="009C2F49"/>
    <w:rsid w:val="009C3BD7"/>
    <w:rsid w:val="009C4D62"/>
    <w:rsid w:val="009D2151"/>
    <w:rsid w:val="009D584B"/>
    <w:rsid w:val="009D61BE"/>
    <w:rsid w:val="009D6EA9"/>
    <w:rsid w:val="009E1656"/>
    <w:rsid w:val="009E3BDC"/>
    <w:rsid w:val="009E46E5"/>
    <w:rsid w:val="009E7428"/>
    <w:rsid w:val="009E7CFB"/>
    <w:rsid w:val="009F30EB"/>
    <w:rsid w:val="009F45F9"/>
    <w:rsid w:val="009F516E"/>
    <w:rsid w:val="00A00E8C"/>
    <w:rsid w:val="00A00F0D"/>
    <w:rsid w:val="00A0228E"/>
    <w:rsid w:val="00A026ED"/>
    <w:rsid w:val="00A0446F"/>
    <w:rsid w:val="00A0505F"/>
    <w:rsid w:val="00A05270"/>
    <w:rsid w:val="00A064F1"/>
    <w:rsid w:val="00A0667A"/>
    <w:rsid w:val="00A079D6"/>
    <w:rsid w:val="00A10CD5"/>
    <w:rsid w:val="00A11AE4"/>
    <w:rsid w:val="00A12D86"/>
    <w:rsid w:val="00A13DC5"/>
    <w:rsid w:val="00A174D2"/>
    <w:rsid w:val="00A20EB4"/>
    <w:rsid w:val="00A22359"/>
    <w:rsid w:val="00A242D2"/>
    <w:rsid w:val="00A268FD"/>
    <w:rsid w:val="00A30BA8"/>
    <w:rsid w:val="00A36F2F"/>
    <w:rsid w:val="00A37256"/>
    <w:rsid w:val="00A37794"/>
    <w:rsid w:val="00A4421F"/>
    <w:rsid w:val="00A466BD"/>
    <w:rsid w:val="00A50074"/>
    <w:rsid w:val="00A500E6"/>
    <w:rsid w:val="00A56CF9"/>
    <w:rsid w:val="00A63708"/>
    <w:rsid w:val="00A63EB1"/>
    <w:rsid w:val="00A65AF7"/>
    <w:rsid w:val="00A666E8"/>
    <w:rsid w:val="00A731F0"/>
    <w:rsid w:val="00A76B51"/>
    <w:rsid w:val="00A81E14"/>
    <w:rsid w:val="00A84E52"/>
    <w:rsid w:val="00A854C4"/>
    <w:rsid w:val="00A87BFE"/>
    <w:rsid w:val="00A91273"/>
    <w:rsid w:val="00A92468"/>
    <w:rsid w:val="00A939EB"/>
    <w:rsid w:val="00A943F4"/>
    <w:rsid w:val="00A9642E"/>
    <w:rsid w:val="00A96CA1"/>
    <w:rsid w:val="00A96F48"/>
    <w:rsid w:val="00AA00E2"/>
    <w:rsid w:val="00AA0358"/>
    <w:rsid w:val="00AA041B"/>
    <w:rsid w:val="00AA4012"/>
    <w:rsid w:val="00AA536E"/>
    <w:rsid w:val="00AA5FBC"/>
    <w:rsid w:val="00AA6684"/>
    <w:rsid w:val="00AA756F"/>
    <w:rsid w:val="00AA76A4"/>
    <w:rsid w:val="00AB518F"/>
    <w:rsid w:val="00AB5E35"/>
    <w:rsid w:val="00AB6374"/>
    <w:rsid w:val="00AB71F2"/>
    <w:rsid w:val="00AB7B2A"/>
    <w:rsid w:val="00AC12BB"/>
    <w:rsid w:val="00AC16F4"/>
    <w:rsid w:val="00AC4680"/>
    <w:rsid w:val="00AC50EA"/>
    <w:rsid w:val="00AC7513"/>
    <w:rsid w:val="00AC76E1"/>
    <w:rsid w:val="00AC7CCA"/>
    <w:rsid w:val="00AD19C1"/>
    <w:rsid w:val="00AD2207"/>
    <w:rsid w:val="00AD2330"/>
    <w:rsid w:val="00AD40BB"/>
    <w:rsid w:val="00AD705A"/>
    <w:rsid w:val="00AE35A5"/>
    <w:rsid w:val="00AE377F"/>
    <w:rsid w:val="00AE3C94"/>
    <w:rsid w:val="00AE3D3D"/>
    <w:rsid w:val="00AE503C"/>
    <w:rsid w:val="00AE53C1"/>
    <w:rsid w:val="00AF12BD"/>
    <w:rsid w:val="00AF134B"/>
    <w:rsid w:val="00AF241C"/>
    <w:rsid w:val="00AF3931"/>
    <w:rsid w:val="00B00897"/>
    <w:rsid w:val="00B01E9D"/>
    <w:rsid w:val="00B0206C"/>
    <w:rsid w:val="00B02B88"/>
    <w:rsid w:val="00B03CFC"/>
    <w:rsid w:val="00B063F6"/>
    <w:rsid w:val="00B12C3E"/>
    <w:rsid w:val="00B14618"/>
    <w:rsid w:val="00B15EDD"/>
    <w:rsid w:val="00B169A6"/>
    <w:rsid w:val="00B17D07"/>
    <w:rsid w:val="00B20604"/>
    <w:rsid w:val="00B208B1"/>
    <w:rsid w:val="00B22580"/>
    <w:rsid w:val="00B2364F"/>
    <w:rsid w:val="00B266D0"/>
    <w:rsid w:val="00B26A6D"/>
    <w:rsid w:val="00B27C0E"/>
    <w:rsid w:val="00B31E71"/>
    <w:rsid w:val="00B33210"/>
    <w:rsid w:val="00B339FE"/>
    <w:rsid w:val="00B3533C"/>
    <w:rsid w:val="00B4051D"/>
    <w:rsid w:val="00B4193D"/>
    <w:rsid w:val="00B436CC"/>
    <w:rsid w:val="00B43A75"/>
    <w:rsid w:val="00B43FA5"/>
    <w:rsid w:val="00B464D2"/>
    <w:rsid w:val="00B50465"/>
    <w:rsid w:val="00B56FB5"/>
    <w:rsid w:val="00B578E8"/>
    <w:rsid w:val="00B621DA"/>
    <w:rsid w:val="00B70DA4"/>
    <w:rsid w:val="00B74147"/>
    <w:rsid w:val="00B74E95"/>
    <w:rsid w:val="00B760C9"/>
    <w:rsid w:val="00B76547"/>
    <w:rsid w:val="00B76997"/>
    <w:rsid w:val="00B8530E"/>
    <w:rsid w:val="00B8600D"/>
    <w:rsid w:val="00B864F3"/>
    <w:rsid w:val="00B87F2B"/>
    <w:rsid w:val="00B91AA6"/>
    <w:rsid w:val="00B91B6B"/>
    <w:rsid w:val="00B92347"/>
    <w:rsid w:val="00B92C1C"/>
    <w:rsid w:val="00B95408"/>
    <w:rsid w:val="00BA2579"/>
    <w:rsid w:val="00BA450D"/>
    <w:rsid w:val="00BA4E83"/>
    <w:rsid w:val="00BB249C"/>
    <w:rsid w:val="00BB5519"/>
    <w:rsid w:val="00BC0D78"/>
    <w:rsid w:val="00BC6761"/>
    <w:rsid w:val="00BC6ABC"/>
    <w:rsid w:val="00BC6EA5"/>
    <w:rsid w:val="00BC74C2"/>
    <w:rsid w:val="00BD341E"/>
    <w:rsid w:val="00BD4F3F"/>
    <w:rsid w:val="00BD5298"/>
    <w:rsid w:val="00BD6603"/>
    <w:rsid w:val="00BD66AE"/>
    <w:rsid w:val="00BE17A4"/>
    <w:rsid w:val="00BE1F00"/>
    <w:rsid w:val="00BE3DCC"/>
    <w:rsid w:val="00BE7179"/>
    <w:rsid w:val="00BE76DD"/>
    <w:rsid w:val="00BF03FA"/>
    <w:rsid w:val="00BF0F9B"/>
    <w:rsid w:val="00BF266C"/>
    <w:rsid w:val="00BF329F"/>
    <w:rsid w:val="00BF3321"/>
    <w:rsid w:val="00C0369A"/>
    <w:rsid w:val="00C142BF"/>
    <w:rsid w:val="00C154AE"/>
    <w:rsid w:val="00C15AC8"/>
    <w:rsid w:val="00C166DC"/>
    <w:rsid w:val="00C16BC8"/>
    <w:rsid w:val="00C17389"/>
    <w:rsid w:val="00C24FE9"/>
    <w:rsid w:val="00C272D5"/>
    <w:rsid w:val="00C30789"/>
    <w:rsid w:val="00C31F9B"/>
    <w:rsid w:val="00C34A7D"/>
    <w:rsid w:val="00C34B5B"/>
    <w:rsid w:val="00C34D07"/>
    <w:rsid w:val="00C34D1D"/>
    <w:rsid w:val="00C359D3"/>
    <w:rsid w:val="00C37488"/>
    <w:rsid w:val="00C4115C"/>
    <w:rsid w:val="00C41497"/>
    <w:rsid w:val="00C41A8A"/>
    <w:rsid w:val="00C4534D"/>
    <w:rsid w:val="00C45B83"/>
    <w:rsid w:val="00C47BA8"/>
    <w:rsid w:val="00C51775"/>
    <w:rsid w:val="00C51D33"/>
    <w:rsid w:val="00C56066"/>
    <w:rsid w:val="00C563C2"/>
    <w:rsid w:val="00C625CF"/>
    <w:rsid w:val="00C6350E"/>
    <w:rsid w:val="00C6586D"/>
    <w:rsid w:val="00C70907"/>
    <w:rsid w:val="00C70CF0"/>
    <w:rsid w:val="00C72EEE"/>
    <w:rsid w:val="00C73433"/>
    <w:rsid w:val="00C744E3"/>
    <w:rsid w:val="00C7726D"/>
    <w:rsid w:val="00C778D3"/>
    <w:rsid w:val="00C80BC7"/>
    <w:rsid w:val="00C82479"/>
    <w:rsid w:val="00C82642"/>
    <w:rsid w:val="00C8306D"/>
    <w:rsid w:val="00C833AC"/>
    <w:rsid w:val="00C83585"/>
    <w:rsid w:val="00C835DA"/>
    <w:rsid w:val="00C83D09"/>
    <w:rsid w:val="00C840FD"/>
    <w:rsid w:val="00C8434C"/>
    <w:rsid w:val="00C867C9"/>
    <w:rsid w:val="00C90217"/>
    <w:rsid w:val="00C9158E"/>
    <w:rsid w:val="00C91A98"/>
    <w:rsid w:val="00C93FD2"/>
    <w:rsid w:val="00C94A30"/>
    <w:rsid w:val="00CA0DF2"/>
    <w:rsid w:val="00CA1CA5"/>
    <w:rsid w:val="00CA396C"/>
    <w:rsid w:val="00CA3B15"/>
    <w:rsid w:val="00CB26A6"/>
    <w:rsid w:val="00CB5068"/>
    <w:rsid w:val="00CB5E0B"/>
    <w:rsid w:val="00CB5FAF"/>
    <w:rsid w:val="00CB6B12"/>
    <w:rsid w:val="00CC0E05"/>
    <w:rsid w:val="00CC14CD"/>
    <w:rsid w:val="00CC2329"/>
    <w:rsid w:val="00CC2CE0"/>
    <w:rsid w:val="00CC5419"/>
    <w:rsid w:val="00CD060E"/>
    <w:rsid w:val="00CD0BD1"/>
    <w:rsid w:val="00CD2F9F"/>
    <w:rsid w:val="00CD311A"/>
    <w:rsid w:val="00CD3E0F"/>
    <w:rsid w:val="00CD5D98"/>
    <w:rsid w:val="00CD649D"/>
    <w:rsid w:val="00CD7406"/>
    <w:rsid w:val="00CD798A"/>
    <w:rsid w:val="00CE0823"/>
    <w:rsid w:val="00CE1820"/>
    <w:rsid w:val="00CE48C0"/>
    <w:rsid w:val="00CE4D3A"/>
    <w:rsid w:val="00CE5B38"/>
    <w:rsid w:val="00CE6A73"/>
    <w:rsid w:val="00CF3F71"/>
    <w:rsid w:val="00CF63D9"/>
    <w:rsid w:val="00D00ADB"/>
    <w:rsid w:val="00D01B9A"/>
    <w:rsid w:val="00D02EF6"/>
    <w:rsid w:val="00D04B26"/>
    <w:rsid w:val="00D04D01"/>
    <w:rsid w:val="00D077AD"/>
    <w:rsid w:val="00D07BA4"/>
    <w:rsid w:val="00D10F0E"/>
    <w:rsid w:val="00D11631"/>
    <w:rsid w:val="00D12B43"/>
    <w:rsid w:val="00D13E24"/>
    <w:rsid w:val="00D1424B"/>
    <w:rsid w:val="00D14B26"/>
    <w:rsid w:val="00D20593"/>
    <w:rsid w:val="00D2148D"/>
    <w:rsid w:val="00D218EE"/>
    <w:rsid w:val="00D21A4A"/>
    <w:rsid w:val="00D22651"/>
    <w:rsid w:val="00D251D2"/>
    <w:rsid w:val="00D253E1"/>
    <w:rsid w:val="00D25F4C"/>
    <w:rsid w:val="00D27B4F"/>
    <w:rsid w:val="00D305D0"/>
    <w:rsid w:val="00D32663"/>
    <w:rsid w:val="00D34A26"/>
    <w:rsid w:val="00D36707"/>
    <w:rsid w:val="00D377E7"/>
    <w:rsid w:val="00D42226"/>
    <w:rsid w:val="00D46CBA"/>
    <w:rsid w:val="00D516A2"/>
    <w:rsid w:val="00D51750"/>
    <w:rsid w:val="00D52735"/>
    <w:rsid w:val="00D54D30"/>
    <w:rsid w:val="00D5705B"/>
    <w:rsid w:val="00D578F6"/>
    <w:rsid w:val="00D57C18"/>
    <w:rsid w:val="00D604F1"/>
    <w:rsid w:val="00D61801"/>
    <w:rsid w:val="00D627F7"/>
    <w:rsid w:val="00D6336C"/>
    <w:rsid w:val="00D636A9"/>
    <w:rsid w:val="00D64428"/>
    <w:rsid w:val="00D65E97"/>
    <w:rsid w:val="00D70522"/>
    <w:rsid w:val="00D7162B"/>
    <w:rsid w:val="00D727DC"/>
    <w:rsid w:val="00D76CD1"/>
    <w:rsid w:val="00D80AA8"/>
    <w:rsid w:val="00D81F0B"/>
    <w:rsid w:val="00D8242C"/>
    <w:rsid w:val="00D83EEF"/>
    <w:rsid w:val="00D86E5A"/>
    <w:rsid w:val="00D91EB9"/>
    <w:rsid w:val="00D93708"/>
    <w:rsid w:val="00D948CE"/>
    <w:rsid w:val="00D95209"/>
    <w:rsid w:val="00D95D4D"/>
    <w:rsid w:val="00D9711E"/>
    <w:rsid w:val="00D976E8"/>
    <w:rsid w:val="00DA1656"/>
    <w:rsid w:val="00DA24F6"/>
    <w:rsid w:val="00DA3BB0"/>
    <w:rsid w:val="00DA4EED"/>
    <w:rsid w:val="00DA58D5"/>
    <w:rsid w:val="00DA6439"/>
    <w:rsid w:val="00DB0294"/>
    <w:rsid w:val="00DB05B6"/>
    <w:rsid w:val="00DB4FDC"/>
    <w:rsid w:val="00DB50D8"/>
    <w:rsid w:val="00DB737B"/>
    <w:rsid w:val="00DC44B4"/>
    <w:rsid w:val="00DC57DA"/>
    <w:rsid w:val="00DC78A8"/>
    <w:rsid w:val="00DC7D74"/>
    <w:rsid w:val="00DD103F"/>
    <w:rsid w:val="00DD1795"/>
    <w:rsid w:val="00DD2B74"/>
    <w:rsid w:val="00DD55CD"/>
    <w:rsid w:val="00DD7DA8"/>
    <w:rsid w:val="00DE221C"/>
    <w:rsid w:val="00DE4B4C"/>
    <w:rsid w:val="00DE4D2B"/>
    <w:rsid w:val="00DE4D5D"/>
    <w:rsid w:val="00DE5897"/>
    <w:rsid w:val="00DE5DB1"/>
    <w:rsid w:val="00DE6CE9"/>
    <w:rsid w:val="00DE77BA"/>
    <w:rsid w:val="00DF00F3"/>
    <w:rsid w:val="00DF40E8"/>
    <w:rsid w:val="00DF41AE"/>
    <w:rsid w:val="00DF4593"/>
    <w:rsid w:val="00DF514A"/>
    <w:rsid w:val="00DF55EA"/>
    <w:rsid w:val="00DF5614"/>
    <w:rsid w:val="00DF690C"/>
    <w:rsid w:val="00E01203"/>
    <w:rsid w:val="00E01427"/>
    <w:rsid w:val="00E0208D"/>
    <w:rsid w:val="00E0246A"/>
    <w:rsid w:val="00E0404D"/>
    <w:rsid w:val="00E048D0"/>
    <w:rsid w:val="00E05452"/>
    <w:rsid w:val="00E05807"/>
    <w:rsid w:val="00E0629D"/>
    <w:rsid w:val="00E0781D"/>
    <w:rsid w:val="00E07841"/>
    <w:rsid w:val="00E14E50"/>
    <w:rsid w:val="00E23F1D"/>
    <w:rsid w:val="00E2409C"/>
    <w:rsid w:val="00E252FF"/>
    <w:rsid w:val="00E25CC7"/>
    <w:rsid w:val="00E265CF"/>
    <w:rsid w:val="00E318D0"/>
    <w:rsid w:val="00E3359C"/>
    <w:rsid w:val="00E33E3D"/>
    <w:rsid w:val="00E35D1E"/>
    <w:rsid w:val="00E40C2A"/>
    <w:rsid w:val="00E41375"/>
    <w:rsid w:val="00E4361D"/>
    <w:rsid w:val="00E43D3B"/>
    <w:rsid w:val="00E54B6C"/>
    <w:rsid w:val="00E55BC3"/>
    <w:rsid w:val="00E56C18"/>
    <w:rsid w:val="00E57DEA"/>
    <w:rsid w:val="00E623F7"/>
    <w:rsid w:val="00E636DA"/>
    <w:rsid w:val="00E66C68"/>
    <w:rsid w:val="00E71839"/>
    <w:rsid w:val="00E74C06"/>
    <w:rsid w:val="00E91DDB"/>
    <w:rsid w:val="00E968BC"/>
    <w:rsid w:val="00EA23EC"/>
    <w:rsid w:val="00EA5ADB"/>
    <w:rsid w:val="00EA662C"/>
    <w:rsid w:val="00EB5A0E"/>
    <w:rsid w:val="00EB6A13"/>
    <w:rsid w:val="00EB75F2"/>
    <w:rsid w:val="00EC0AD9"/>
    <w:rsid w:val="00EC214B"/>
    <w:rsid w:val="00EC286B"/>
    <w:rsid w:val="00EC2E52"/>
    <w:rsid w:val="00EC33C9"/>
    <w:rsid w:val="00EC6AB9"/>
    <w:rsid w:val="00EC7561"/>
    <w:rsid w:val="00ED132A"/>
    <w:rsid w:val="00ED2A73"/>
    <w:rsid w:val="00ED3A6A"/>
    <w:rsid w:val="00ED71A1"/>
    <w:rsid w:val="00EE03FA"/>
    <w:rsid w:val="00EE04D9"/>
    <w:rsid w:val="00EE0520"/>
    <w:rsid w:val="00EE2EBD"/>
    <w:rsid w:val="00EF09EC"/>
    <w:rsid w:val="00F03069"/>
    <w:rsid w:val="00F060B6"/>
    <w:rsid w:val="00F11615"/>
    <w:rsid w:val="00F1537C"/>
    <w:rsid w:val="00F200B8"/>
    <w:rsid w:val="00F20315"/>
    <w:rsid w:val="00F209C6"/>
    <w:rsid w:val="00F218D6"/>
    <w:rsid w:val="00F23149"/>
    <w:rsid w:val="00F233F0"/>
    <w:rsid w:val="00F319CE"/>
    <w:rsid w:val="00F34A32"/>
    <w:rsid w:val="00F351D6"/>
    <w:rsid w:val="00F36D1F"/>
    <w:rsid w:val="00F4208B"/>
    <w:rsid w:val="00F43ECE"/>
    <w:rsid w:val="00F45C0A"/>
    <w:rsid w:val="00F52D5A"/>
    <w:rsid w:val="00F53DE8"/>
    <w:rsid w:val="00F60217"/>
    <w:rsid w:val="00F611C4"/>
    <w:rsid w:val="00F64F8E"/>
    <w:rsid w:val="00F71D3D"/>
    <w:rsid w:val="00F73680"/>
    <w:rsid w:val="00F73955"/>
    <w:rsid w:val="00F750F2"/>
    <w:rsid w:val="00F77981"/>
    <w:rsid w:val="00F8371E"/>
    <w:rsid w:val="00F84020"/>
    <w:rsid w:val="00F8491D"/>
    <w:rsid w:val="00F87036"/>
    <w:rsid w:val="00F9410C"/>
    <w:rsid w:val="00F9434E"/>
    <w:rsid w:val="00F9540A"/>
    <w:rsid w:val="00F96E1A"/>
    <w:rsid w:val="00F977EB"/>
    <w:rsid w:val="00F978E1"/>
    <w:rsid w:val="00FA0FE0"/>
    <w:rsid w:val="00FA1AD2"/>
    <w:rsid w:val="00FA28B7"/>
    <w:rsid w:val="00FA35B9"/>
    <w:rsid w:val="00FA3F60"/>
    <w:rsid w:val="00FA5DF5"/>
    <w:rsid w:val="00FB110C"/>
    <w:rsid w:val="00FB3E1A"/>
    <w:rsid w:val="00FB4F42"/>
    <w:rsid w:val="00FB70E3"/>
    <w:rsid w:val="00FC3EE7"/>
    <w:rsid w:val="00FC40F7"/>
    <w:rsid w:val="00FC5662"/>
    <w:rsid w:val="00FC5B4F"/>
    <w:rsid w:val="00FC5FA1"/>
    <w:rsid w:val="00FD0F2B"/>
    <w:rsid w:val="00FD2937"/>
    <w:rsid w:val="00FD2EA3"/>
    <w:rsid w:val="00FD3589"/>
    <w:rsid w:val="00FD3E55"/>
    <w:rsid w:val="00FD4C2A"/>
    <w:rsid w:val="00FD4E86"/>
    <w:rsid w:val="00FE0CE4"/>
    <w:rsid w:val="00FE25FE"/>
    <w:rsid w:val="00FE43AC"/>
    <w:rsid w:val="00FE4AD6"/>
    <w:rsid w:val="00FE4F60"/>
    <w:rsid w:val="00FE5740"/>
    <w:rsid w:val="00FE785E"/>
    <w:rsid w:val="00FF09BE"/>
    <w:rsid w:val="00FF6681"/>
    <w:rsid w:val="00FF7050"/>
    <w:rsid w:val="00FF7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0B1B35"/>
  <w15:docId w15:val="{8571960C-296D-43B4-BB6A-7DC96648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690B34"/>
    <w:pPr>
      <w:keepNext/>
      <w:keepLines/>
      <w:tabs>
        <w:tab w:val="left" w:pos="520"/>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BA4E83"/>
    <w:pPr>
      <w:keepLines/>
      <w:tabs>
        <w:tab w:val="left" w:pos="880"/>
        <w:tab w:val="right" w:leader="dot" w:pos="8630"/>
      </w:tab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uiPriority w:val="31"/>
    <w:qFormat/>
    <w:rsid w:val="00B14618"/>
    <w:rPr>
      <w:rFonts w:ascii="Gill Sans MT" w:hAnsi="Gill Sans MT"/>
      <w:smallCaps/>
      <w:color w:val="C0504D"/>
      <w:u w:val="single"/>
    </w:rPr>
  </w:style>
  <w:style w:type="character" w:styleId="EndnoteReference">
    <w:name w:val="endnote reference"/>
    <w:rsid w:val="00023B13"/>
    <w:rPr>
      <w:vertAlign w:val="superscript"/>
    </w:rPr>
  </w:style>
  <w:style w:type="paragraph" w:styleId="TOCHeading">
    <w:name w:val="TOC Heading"/>
    <w:basedOn w:val="Heading1"/>
    <w:next w:val="Normal"/>
    <w:uiPriority w:val="39"/>
    <w:unhideWhenUsed/>
    <w:qFormat/>
    <w:rsid w:val="00023B13"/>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2E74B5"/>
      <w:kern w:val="0"/>
      <w:lang w:val="en-US"/>
    </w:rPr>
  </w:style>
  <w:style w:type="paragraph" w:styleId="TOC3">
    <w:name w:val="toc 3"/>
    <w:basedOn w:val="Normal"/>
    <w:next w:val="Normal"/>
    <w:autoRedefine/>
    <w:uiPriority w:val="39"/>
    <w:rsid w:val="00BC6761"/>
    <w:pPr>
      <w:tabs>
        <w:tab w:val="left" w:pos="1320"/>
        <w:tab w:val="right" w:leader="dot" w:pos="8630"/>
      </w:tabs>
      <w:ind w:left="520"/>
    </w:pPr>
  </w:style>
  <w:style w:type="paragraph" w:styleId="ListParagraph">
    <w:name w:val="List Paragraph"/>
    <w:basedOn w:val="Normal"/>
    <w:uiPriority w:val="34"/>
    <w:qFormat/>
    <w:rsid w:val="00196650"/>
    <w:pPr>
      <w:ind w:left="720"/>
      <w:contextualSpacing/>
    </w:pPr>
  </w:style>
  <w:style w:type="character" w:customStyle="1" w:styleId="Heading2Char">
    <w:name w:val="Heading 2 Char"/>
    <w:basedOn w:val="DefaultParagraphFont"/>
    <w:link w:val="Heading2"/>
    <w:rsid w:val="004E36A4"/>
    <w:rPr>
      <w:rFonts w:ascii="Gill Sans MT" w:eastAsia="Times New Roman" w:hAnsi="Gill Sans MT" w:cs="Arial Bold"/>
      <w:b/>
      <w:bCs/>
      <w:iCs/>
      <w:sz w:val="28"/>
      <w:szCs w:val="28"/>
      <w:lang w:eastAsia="en-US"/>
    </w:rPr>
  </w:style>
  <w:style w:type="character" w:customStyle="1" w:styleId="Heading3Char">
    <w:name w:val="Heading 3 Char"/>
    <w:basedOn w:val="DefaultParagraphFont"/>
    <w:link w:val="Heading3"/>
    <w:rsid w:val="004E36A4"/>
    <w:rPr>
      <w:rFonts w:ascii="Gill Sans MT" w:eastAsia="Times New Roman" w:hAnsi="Gill Sans MT" w:cs="Arial Bold"/>
      <w:b/>
      <w:bCs/>
      <w:sz w:val="26"/>
      <w:szCs w:val="24"/>
      <w:lang w:eastAsia="en-US"/>
    </w:rPr>
  </w:style>
  <w:style w:type="paragraph" w:styleId="BodyText">
    <w:name w:val="Body Text"/>
    <w:basedOn w:val="Normal"/>
    <w:link w:val="BodyTextChar"/>
    <w:rsid w:val="004D1E79"/>
    <w:pPr>
      <w:spacing w:after="120"/>
    </w:pPr>
  </w:style>
  <w:style w:type="character" w:customStyle="1" w:styleId="BodyTextChar">
    <w:name w:val="Body Text Char"/>
    <w:basedOn w:val="DefaultParagraphFont"/>
    <w:link w:val="BodyText"/>
    <w:rsid w:val="004D1E79"/>
    <w:rPr>
      <w:rFonts w:ascii="Gill Sans MT" w:eastAsia="Times New Roman" w:hAnsi="Gill Sans MT"/>
      <w:sz w:val="26"/>
      <w:szCs w:val="24"/>
      <w:lang w:eastAsia="en-US"/>
    </w:rPr>
  </w:style>
  <w:style w:type="paragraph" w:styleId="NormalWeb">
    <w:name w:val="Normal (Web)"/>
    <w:basedOn w:val="Normal"/>
    <w:uiPriority w:val="99"/>
    <w:rsid w:val="00CC2329"/>
    <w:rPr>
      <w:rFonts w:ascii="Times New Roman" w:hAnsi="Times New Roman"/>
      <w:sz w:val="24"/>
    </w:rPr>
  </w:style>
  <w:style w:type="paragraph" w:styleId="EndnoteText">
    <w:name w:val="endnote text"/>
    <w:basedOn w:val="Normal"/>
    <w:link w:val="EndnoteTextChar"/>
    <w:rsid w:val="00FB70E3"/>
    <w:pPr>
      <w:spacing w:after="0"/>
    </w:pPr>
    <w:rPr>
      <w:sz w:val="20"/>
      <w:szCs w:val="20"/>
    </w:rPr>
  </w:style>
  <w:style w:type="character" w:customStyle="1" w:styleId="EndnoteTextChar">
    <w:name w:val="Endnote Text Char"/>
    <w:basedOn w:val="DefaultParagraphFont"/>
    <w:link w:val="EndnoteText"/>
    <w:rsid w:val="00FB70E3"/>
    <w:rPr>
      <w:rFonts w:ascii="Gill Sans MT" w:eastAsia="Times New Roman" w:hAnsi="Gill Sans MT"/>
      <w:lang w:eastAsia="en-US"/>
    </w:rPr>
  </w:style>
  <w:style w:type="paragraph" w:styleId="BalloonText">
    <w:name w:val="Balloon Text"/>
    <w:basedOn w:val="Normal"/>
    <w:link w:val="BalloonTextChar"/>
    <w:rsid w:val="001D5739"/>
    <w:pPr>
      <w:spacing w:after="0"/>
    </w:pPr>
    <w:rPr>
      <w:rFonts w:ascii="Segoe UI" w:hAnsi="Segoe UI" w:cs="Segoe UI"/>
      <w:sz w:val="18"/>
      <w:szCs w:val="18"/>
    </w:rPr>
  </w:style>
  <w:style w:type="character" w:customStyle="1" w:styleId="BalloonTextChar">
    <w:name w:val="Balloon Text Char"/>
    <w:basedOn w:val="DefaultParagraphFont"/>
    <w:link w:val="BalloonText"/>
    <w:rsid w:val="001D5739"/>
    <w:rPr>
      <w:rFonts w:ascii="Segoe UI" w:eastAsia="Times New Roman" w:hAnsi="Segoe UI" w:cs="Segoe UI"/>
      <w:sz w:val="18"/>
      <w:szCs w:val="18"/>
      <w:lang w:eastAsia="en-US"/>
    </w:rPr>
  </w:style>
  <w:style w:type="character" w:customStyle="1" w:styleId="FooterChar">
    <w:name w:val="Footer Char"/>
    <w:basedOn w:val="DefaultParagraphFont"/>
    <w:link w:val="Footer"/>
    <w:uiPriority w:val="99"/>
    <w:rsid w:val="00151751"/>
    <w:rPr>
      <w:rFonts w:ascii="Gill Sans MT" w:eastAsia="Times New Roman" w:hAnsi="Gill Sans MT"/>
      <w:color w:val="323232"/>
      <w:lang w:eastAsia="en-US"/>
    </w:rPr>
  </w:style>
  <w:style w:type="character" w:styleId="UnresolvedMention">
    <w:name w:val="Unresolved Mention"/>
    <w:basedOn w:val="DefaultParagraphFont"/>
    <w:uiPriority w:val="99"/>
    <w:semiHidden/>
    <w:unhideWhenUsed/>
    <w:rsid w:val="003A11E9"/>
    <w:rPr>
      <w:color w:val="605E5C"/>
      <w:shd w:val="clear" w:color="auto" w:fill="E1DFDD"/>
    </w:rPr>
  </w:style>
  <w:style w:type="paragraph" w:styleId="BodyTextIndent2">
    <w:name w:val="Body Text Indent 2"/>
    <w:basedOn w:val="Normal"/>
    <w:link w:val="BodyTextIndent2Char"/>
    <w:rsid w:val="008F3D42"/>
    <w:pPr>
      <w:spacing w:after="120" w:line="480" w:lineRule="auto"/>
      <w:ind w:left="283"/>
    </w:pPr>
  </w:style>
  <w:style w:type="character" w:customStyle="1" w:styleId="BodyTextIndent2Char">
    <w:name w:val="Body Text Indent 2 Char"/>
    <w:basedOn w:val="DefaultParagraphFont"/>
    <w:link w:val="BodyTextIndent2"/>
    <w:rsid w:val="008F3D42"/>
    <w:rPr>
      <w:rFonts w:ascii="Gill Sans MT" w:eastAsia="Times New Roman" w:hAnsi="Gill Sans MT"/>
      <w:sz w:val="26"/>
      <w:szCs w:val="24"/>
      <w:lang w:eastAsia="en-US"/>
    </w:rPr>
  </w:style>
  <w:style w:type="paragraph" w:styleId="BodyText3">
    <w:name w:val="Body Text 3"/>
    <w:basedOn w:val="Normal"/>
    <w:link w:val="BodyText3Char"/>
    <w:rsid w:val="008F3D42"/>
    <w:pPr>
      <w:spacing w:after="120"/>
    </w:pPr>
    <w:rPr>
      <w:sz w:val="16"/>
      <w:szCs w:val="16"/>
    </w:rPr>
  </w:style>
  <w:style w:type="character" w:customStyle="1" w:styleId="BodyText3Char">
    <w:name w:val="Body Text 3 Char"/>
    <w:basedOn w:val="DefaultParagraphFont"/>
    <w:link w:val="BodyText3"/>
    <w:rsid w:val="008F3D42"/>
    <w:rPr>
      <w:rFonts w:ascii="Gill Sans MT" w:eastAsia="Times New Roman" w:hAnsi="Gill Sans MT"/>
      <w:sz w:val="16"/>
      <w:szCs w:val="16"/>
      <w:lang w:eastAsia="en-US"/>
    </w:rPr>
  </w:style>
  <w:style w:type="character" w:customStyle="1" w:styleId="FootnoteTextChar">
    <w:name w:val="Footnote Text Char"/>
    <w:basedOn w:val="DefaultParagraphFont"/>
    <w:link w:val="FootnoteText"/>
    <w:semiHidden/>
    <w:rsid w:val="00C6350E"/>
    <w:rPr>
      <w:rFonts w:ascii="Gill Sans MT" w:eastAsia="Times New Roman" w:hAnsi="Gill Sans MT"/>
      <w:sz w:val="22"/>
      <w:lang w:eastAsia="en-US"/>
    </w:rPr>
  </w:style>
  <w:style w:type="paragraph" w:styleId="Revision">
    <w:name w:val="Revision"/>
    <w:hidden/>
    <w:uiPriority w:val="99"/>
    <w:semiHidden/>
    <w:rsid w:val="003F6ACF"/>
    <w:rPr>
      <w:rFonts w:ascii="Gill Sans MT" w:eastAsia="Times New Roman" w:hAnsi="Gill Sans MT"/>
      <w:sz w:val="26"/>
      <w:szCs w:val="24"/>
      <w:lang w:eastAsia="en-US"/>
    </w:rPr>
  </w:style>
  <w:style w:type="character" w:styleId="CommentReference">
    <w:name w:val="annotation reference"/>
    <w:basedOn w:val="DefaultParagraphFont"/>
    <w:rsid w:val="006D6419"/>
    <w:rPr>
      <w:sz w:val="16"/>
      <w:szCs w:val="16"/>
    </w:rPr>
  </w:style>
  <w:style w:type="paragraph" w:styleId="CommentSubject">
    <w:name w:val="annotation subject"/>
    <w:basedOn w:val="CommentText"/>
    <w:next w:val="CommentText"/>
    <w:link w:val="CommentSubjectChar"/>
    <w:semiHidden/>
    <w:unhideWhenUsed/>
    <w:rsid w:val="006D6419"/>
    <w:rPr>
      <w:rFonts w:ascii="Gill Sans MT" w:hAnsi="Gill Sans MT"/>
      <w:b/>
      <w:bCs/>
      <w:szCs w:val="20"/>
      <w:lang w:val="en-IE"/>
    </w:rPr>
  </w:style>
  <w:style w:type="character" w:customStyle="1" w:styleId="CommentSubjectChar">
    <w:name w:val="Comment Subject Char"/>
    <w:basedOn w:val="CommentTextChar"/>
    <w:link w:val="CommentSubject"/>
    <w:semiHidden/>
    <w:rsid w:val="006D6419"/>
    <w:rPr>
      <w:rFonts w:ascii="Gill Sans MT" w:eastAsia="Times New Roman" w:hAnsi="Gill Sans MT"/>
      <w:b/>
      <w:bCs/>
      <w:szCs w:val="24"/>
      <w:lang w:eastAsia="en-US"/>
    </w:rPr>
  </w:style>
  <w:style w:type="character" w:customStyle="1" w:styleId="HeaderChar">
    <w:name w:val="Header Char"/>
    <w:basedOn w:val="DefaultParagraphFont"/>
    <w:link w:val="Header"/>
    <w:uiPriority w:val="99"/>
    <w:rsid w:val="00FE4F60"/>
    <w:rPr>
      <w:rFonts w:ascii="Gill Sans MT" w:eastAsia="Times New Roman" w:hAnsi="Gill Sans MT"/>
      <w:color w:val="333333"/>
      <w:sz w:val="22"/>
      <w:lang w:eastAsia="en-US"/>
    </w:rPr>
  </w:style>
  <w:style w:type="paragraph" w:styleId="PlainText">
    <w:name w:val="Plain Text"/>
    <w:basedOn w:val="Normal"/>
    <w:link w:val="PlainTextChar"/>
    <w:rsid w:val="009E46E5"/>
    <w:pPr>
      <w:spacing w:after="0"/>
    </w:pPr>
    <w:rPr>
      <w:rFonts w:ascii="Consolas" w:hAnsi="Consolas"/>
      <w:sz w:val="21"/>
      <w:szCs w:val="21"/>
    </w:rPr>
  </w:style>
  <w:style w:type="character" w:customStyle="1" w:styleId="PlainTextChar">
    <w:name w:val="Plain Text Char"/>
    <w:basedOn w:val="DefaultParagraphFont"/>
    <w:link w:val="PlainText"/>
    <w:rsid w:val="009E46E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328">
      <w:bodyDiv w:val="1"/>
      <w:marLeft w:val="0"/>
      <w:marRight w:val="0"/>
      <w:marTop w:val="0"/>
      <w:marBottom w:val="0"/>
      <w:divBdr>
        <w:top w:val="none" w:sz="0" w:space="0" w:color="auto"/>
        <w:left w:val="none" w:sz="0" w:space="0" w:color="auto"/>
        <w:bottom w:val="none" w:sz="0" w:space="0" w:color="auto"/>
        <w:right w:val="none" w:sz="0" w:space="0" w:color="auto"/>
      </w:divBdr>
    </w:div>
    <w:div w:id="96289140">
      <w:bodyDiv w:val="1"/>
      <w:marLeft w:val="0"/>
      <w:marRight w:val="0"/>
      <w:marTop w:val="0"/>
      <w:marBottom w:val="0"/>
      <w:divBdr>
        <w:top w:val="none" w:sz="0" w:space="0" w:color="auto"/>
        <w:left w:val="none" w:sz="0" w:space="0" w:color="auto"/>
        <w:bottom w:val="none" w:sz="0" w:space="0" w:color="auto"/>
        <w:right w:val="none" w:sz="0" w:space="0" w:color="auto"/>
      </w:divBdr>
    </w:div>
    <w:div w:id="146174218">
      <w:bodyDiv w:val="1"/>
      <w:marLeft w:val="0"/>
      <w:marRight w:val="0"/>
      <w:marTop w:val="0"/>
      <w:marBottom w:val="0"/>
      <w:divBdr>
        <w:top w:val="none" w:sz="0" w:space="0" w:color="auto"/>
        <w:left w:val="none" w:sz="0" w:space="0" w:color="auto"/>
        <w:bottom w:val="none" w:sz="0" w:space="0" w:color="auto"/>
        <w:right w:val="none" w:sz="0" w:space="0" w:color="auto"/>
      </w:divBdr>
    </w:div>
    <w:div w:id="172114169">
      <w:bodyDiv w:val="1"/>
      <w:marLeft w:val="0"/>
      <w:marRight w:val="0"/>
      <w:marTop w:val="0"/>
      <w:marBottom w:val="0"/>
      <w:divBdr>
        <w:top w:val="none" w:sz="0" w:space="0" w:color="auto"/>
        <w:left w:val="none" w:sz="0" w:space="0" w:color="auto"/>
        <w:bottom w:val="none" w:sz="0" w:space="0" w:color="auto"/>
        <w:right w:val="none" w:sz="0" w:space="0" w:color="auto"/>
      </w:divBdr>
      <w:divsChild>
        <w:div w:id="285433655">
          <w:marLeft w:val="0"/>
          <w:marRight w:val="0"/>
          <w:marTop w:val="0"/>
          <w:marBottom w:val="0"/>
          <w:divBdr>
            <w:top w:val="none" w:sz="0" w:space="0" w:color="auto"/>
            <w:left w:val="none" w:sz="0" w:space="0" w:color="auto"/>
            <w:bottom w:val="none" w:sz="0" w:space="0" w:color="auto"/>
            <w:right w:val="none" w:sz="0" w:space="0" w:color="auto"/>
          </w:divBdr>
        </w:div>
        <w:div w:id="1461991908">
          <w:marLeft w:val="120"/>
          <w:marRight w:val="0"/>
          <w:marTop w:val="0"/>
          <w:marBottom w:val="0"/>
          <w:divBdr>
            <w:top w:val="none" w:sz="0" w:space="0" w:color="auto"/>
            <w:left w:val="none" w:sz="0" w:space="0" w:color="auto"/>
            <w:bottom w:val="none" w:sz="0" w:space="0" w:color="auto"/>
            <w:right w:val="none" w:sz="0" w:space="0" w:color="auto"/>
          </w:divBdr>
          <w:divsChild>
            <w:div w:id="1734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418">
      <w:bodyDiv w:val="1"/>
      <w:marLeft w:val="0"/>
      <w:marRight w:val="0"/>
      <w:marTop w:val="0"/>
      <w:marBottom w:val="0"/>
      <w:divBdr>
        <w:top w:val="none" w:sz="0" w:space="0" w:color="auto"/>
        <w:left w:val="none" w:sz="0" w:space="0" w:color="auto"/>
        <w:bottom w:val="none" w:sz="0" w:space="0" w:color="auto"/>
        <w:right w:val="none" w:sz="0" w:space="0" w:color="auto"/>
      </w:divBdr>
    </w:div>
    <w:div w:id="179896413">
      <w:bodyDiv w:val="1"/>
      <w:marLeft w:val="0"/>
      <w:marRight w:val="0"/>
      <w:marTop w:val="0"/>
      <w:marBottom w:val="0"/>
      <w:divBdr>
        <w:top w:val="none" w:sz="0" w:space="0" w:color="auto"/>
        <w:left w:val="none" w:sz="0" w:space="0" w:color="auto"/>
        <w:bottom w:val="none" w:sz="0" w:space="0" w:color="auto"/>
        <w:right w:val="none" w:sz="0" w:space="0" w:color="auto"/>
      </w:divBdr>
    </w:div>
    <w:div w:id="202522238">
      <w:bodyDiv w:val="1"/>
      <w:marLeft w:val="0"/>
      <w:marRight w:val="0"/>
      <w:marTop w:val="0"/>
      <w:marBottom w:val="0"/>
      <w:divBdr>
        <w:top w:val="none" w:sz="0" w:space="0" w:color="auto"/>
        <w:left w:val="none" w:sz="0" w:space="0" w:color="auto"/>
        <w:bottom w:val="none" w:sz="0" w:space="0" w:color="auto"/>
        <w:right w:val="none" w:sz="0" w:space="0" w:color="auto"/>
      </w:divBdr>
    </w:div>
    <w:div w:id="300966614">
      <w:bodyDiv w:val="1"/>
      <w:marLeft w:val="0"/>
      <w:marRight w:val="0"/>
      <w:marTop w:val="0"/>
      <w:marBottom w:val="0"/>
      <w:divBdr>
        <w:top w:val="none" w:sz="0" w:space="0" w:color="auto"/>
        <w:left w:val="none" w:sz="0" w:space="0" w:color="auto"/>
        <w:bottom w:val="none" w:sz="0" w:space="0" w:color="auto"/>
        <w:right w:val="none" w:sz="0" w:space="0" w:color="auto"/>
      </w:divBdr>
    </w:div>
    <w:div w:id="327102830">
      <w:bodyDiv w:val="1"/>
      <w:marLeft w:val="0"/>
      <w:marRight w:val="0"/>
      <w:marTop w:val="0"/>
      <w:marBottom w:val="0"/>
      <w:divBdr>
        <w:top w:val="none" w:sz="0" w:space="0" w:color="auto"/>
        <w:left w:val="none" w:sz="0" w:space="0" w:color="auto"/>
        <w:bottom w:val="none" w:sz="0" w:space="0" w:color="auto"/>
        <w:right w:val="none" w:sz="0" w:space="0" w:color="auto"/>
      </w:divBdr>
      <w:divsChild>
        <w:div w:id="1905143992">
          <w:marLeft w:val="0"/>
          <w:marRight w:val="0"/>
          <w:marTop w:val="0"/>
          <w:marBottom w:val="75"/>
          <w:divBdr>
            <w:top w:val="none" w:sz="0" w:space="0" w:color="auto"/>
            <w:left w:val="none" w:sz="0" w:space="0" w:color="auto"/>
            <w:bottom w:val="none" w:sz="0" w:space="0" w:color="auto"/>
            <w:right w:val="none" w:sz="0" w:space="0" w:color="auto"/>
          </w:divBdr>
          <w:divsChild>
            <w:div w:id="782648014">
              <w:marLeft w:val="0"/>
              <w:marRight w:val="0"/>
              <w:marTop w:val="0"/>
              <w:marBottom w:val="0"/>
              <w:divBdr>
                <w:top w:val="none" w:sz="0" w:space="0" w:color="auto"/>
                <w:left w:val="none" w:sz="0" w:space="0" w:color="auto"/>
                <w:bottom w:val="none" w:sz="0" w:space="0" w:color="auto"/>
                <w:right w:val="none" w:sz="0" w:space="0" w:color="auto"/>
              </w:divBdr>
              <w:divsChild>
                <w:div w:id="15867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516">
          <w:marLeft w:val="0"/>
          <w:marRight w:val="0"/>
          <w:marTop w:val="0"/>
          <w:marBottom w:val="0"/>
          <w:divBdr>
            <w:top w:val="none" w:sz="0" w:space="0" w:color="auto"/>
            <w:left w:val="none" w:sz="0" w:space="0" w:color="auto"/>
            <w:bottom w:val="none" w:sz="0" w:space="0" w:color="auto"/>
            <w:right w:val="none" w:sz="0" w:space="0" w:color="auto"/>
          </w:divBdr>
        </w:div>
      </w:divsChild>
    </w:div>
    <w:div w:id="417599697">
      <w:bodyDiv w:val="1"/>
      <w:marLeft w:val="0"/>
      <w:marRight w:val="0"/>
      <w:marTop w:val="0"/>
      <w:marBottom w:val="0"/>
      <w:divBdr>
        <w:top w:val="none" w:sz="0" w:space="0" w:color="auto"/>
        <w:left w:val="none" w:sz="0" w:space="0" w:color="auto"/>
        <w:bottom w:val="none" w:sz="0" w:space="0" w:color="auto"/>
        <w:right w:val="none" w:sz="0" w:space="0" w:color="auto"/>
      </w:divBdr>
    </w:div>
    <w:div w:id="488254806">
      <w:bodyDiv w:val="1"/>
      <w:marLeft w:val="0"/>
      <w:marRight w:val="0"/>
      <w:marTop w:val="0"/>
      <w:marBottom w:val="0"/>
      <w:divBdr>
        <w:top w:val="none" w:sz="0" w:space="0" w:color="auto"/>
        <w:left w:val="none" w:sz="0" w:space="0" w:color="auto"/>
        <w:bottom w:val="none" w:sz="0" w:space="0" w:color="auto"/>
        <w:right w:val="none" w:sz="0" w:space="0" w:color="auto"/>
      </w:divBdr>
    </w:div>
    <w:div w:id="539630033">
      <w:bodyDiv w:val="1"/>
      <w:marLeft w:val="0"/>
      <w:marRight w:val="0"/>
      <w:marTop w:val="0"/>
      <w:marBottom w:val="0"/>
      <w:divBdr>
        <w:top w:val="none" w:sz="0" w:space="0" w:color="auto"/>
        <w:left w:val="none" w:sz="0" w:space="0" w:color="auto"/>
        <w:bottom w:val="none" w:sz="0" w:space="0" w:color="auto"/>
        <w:right w:val="none" w:sz="0" w:space="0" w:color="auto"/>
      </w:divBdr>
    </w:div>
    <w:div w:id="563414919">
      <w:bodyDiv w:val="1"/>
      <w:marLeft w:val="0"/>
      <w:marRight w:val="0"/>
      <w:marTop w:val="0"/>
      <w:marBottom w:val="0"/>
      <w:divBdr>
        <w:top w:val="none" w:sz="0" w:space="0" w:color="auto"/>
        <w:left w:val="none" w:sz="0" w:space="0" w:color="auto"/>
        <w:bottom w:val="none" w:sz="0" w:space="0" w:color="auto"/>
        <w:right w:val="none" w:sz="0" w:space="0" w:color="auto"/>
      </w:divBdr>
    </w:div>
    <w:div w:id="572475331">
      <w:bodyDiv w:val="1"/>
      <w:marLeft w:val="0"/>
      <w:marRight w:val="0"/>
      <w:marTop w:val="0"/>
      <w:marBottom w:val="0"/>
      <w:divBdr>
        <w:top w:val="none" w:sz="0" w:space="0" w:color="auto"/>
        <w:left w:val="none" w:sz="0" w:space="0" w:color="auto"/>
        <w:bottom w:val="none" w:sz="0" w:space="0" w:color="auto"/>
        <w:right w:val="none" w:sz="0" w:space="0" w:color="auto"/>
      </w:divBdr>
    </w:div>
    <w:div w:id="599533598">
      <w:bodyDiv w:val="1"/>
      <w:marLeft w:val="0"/>
      <w:marRight w:val="0"/>
      <w:marTop w:val="0"/>
      <w:marBottom w:val="0"/>
      <w:divBdr>
        <w:top w:val="none" w:sz="0" w:space="0" w:color="auto"/>
        <w:left w:val="none" w:sz="0" w:space="0" w:color="auto"/>
        <w:bottom w:val="none" w:sz="0" w:space="0" w:color="auto"/>
        <w:right w:val="none" w:sz="0" w:space="0" w:color="auto"/>
      </w:divBdr>
    </w:div>
    <w:div w:id="618608688">
      <w:bodyDiv w:val="1"/>
      <w:marLeft w:val="0"/>
      <w:marRight w:val="0"/>
      <w:marTop w:val="0"/>
      <w:marBottom w:val="0"/>
      <w:divBdr>
        <w:top w:val="none" w:sz="0" w:space="0" w:color="auto"/>
        <w:left w:val="none" w:sz="0" w:space="0" w:color="auto"/>
        <w:bottom w:val="none" w:sz="0" w:space="0" w:color="auto"/>
        <w:right w:val="none" w:sz="0" w:space="0" w:color="auto"/>
      </w:divBdr>
    </w:div>
    <w:div w:id="632372670">
      <w:bodyDiv w:val="1"/>
      <w:marLeft w:val="0"/>
      <w:marRight w:val="0"/>
      <w:marTop w:val="0"/>
      <w:marBottom w:val="0"/>
      <w:divBdr>
        <w:top w:val="none" w:sz="0" w:space="0" w:color="auto"/>
        <w:left w:val="none" w:sz="0" w:space="0" w:color="auto"/>
        <w:bottom w:val="none" w:sz="0" w:space="0" w:color="auto"/>
        <w:right w:val="none" w:sz="0" w:space="0" w:color="auto"/>
      </w:divBdr>
      <w:divsChild>
        <w:div w:id="378633936">
          <w:marLeft w:val="0"/>
          <w:marRight w:val="0"/>
          <w:marTop w:val="0"/>
          <w:marBottom w:val="0"/>
          <w:divBdr>
            <w:top w:val="none" w:sz="0" w:space="0" w:color="auto"/>
            <w:left w:val="none" w:sz="0" w:space="0" w:color="auto"/>
            <w:bottom w:val="none" w:sz="0" w:space="0" w:color="auto"/>
            <w:right w:val="none" w:sz="0" w:space="0" w:color="auto"/>
          </w:divBdr>
          <w:divsChild>
            <w:div w:id="1079331092">
              <w:marLeft w:val="0"/>
              <w:marRight w:val="0"/>
              <w:marTop w:val="0"/>
              <w:marBottom w:val="0"/>
              <w:divBdr>
                <w:top w:val="none" w:sz="0" w:space="0" w:color="auto"/>
                <w:left w:val="none" w:sz="0" w:space="0" w:color="auto"/>
                <w:bottom w:val="none" w:sz="0" w:space="0" w:color="auto"/>
                <w:right w:val="none" w:sz="0" w:space="0" w:color="auto"/>
              </w:divBdr>
              <w:divsChild>
                <w:div w:id="206111205">
                  <w:marLeft w:val="0"/>
                  <w:marRight w:val="0"/>
                  <w:marTop w:val="0"/>
                  <w:marBottom w:val="0"/>
                  <w:divBdr>
                    <w:top w:val="none" w:sz="0" w:space="0" w:color="auto"/>
                    <w:left w:val="none" w:sz="0" w:space="0" w:color="auto"/>
                    <w:bottom w:val="none" w:sz="0" w:space="0" w:color="auto"/>
                    <w:right w:val="none" w:sz="0" w:space="0" w:color="auto"/>
                  </w:divBdr>
                  <w:divsChild>
                    <w:div w:id="1269585853">
                      <w:marLeft w:val="300"/>
                      <w:marRight w:val="0"/>
                      <w:marTop w:val="0"/>
                      <w:marBottom w:val="0"/>
                      <w:divBdr>
                        <w:top w:val="none" w:sz="0" w:space="0" w:color="auto"/>
                        <w:left w:val="none" w:sz="0" w:space="0" w:color="auto"/>
                        <w:bottom w:val="none" w:sz="0" w:space="0" w:color="auto"/>
                        <w:right w:val="none" w:sz="0" w:space="0" w:color="auto"/>
                      </w:divBdr>
                      <w:divsChild>
                        <w:div w:id="1686207559">
                          <w:marLeft w:val="-300"/>
                          <w:marRight w:val="0"/>
                          <w:marTop w:val="0"/>
                          <w:marBottom w:val="0"/>
                          <w:divBdr>
                            <w:top w:val="none" w:sz="0" w:space="0" w:color="auto"/>
                            <w:left w:val="none" w:sz="0" w:space="0" w:color="auto"/>
                            <w:bottom w:val="none" w:sz="0" w:space="0" w:color="auto"/>
                            <w:right w:val="none" w:sz="0" w:space="0" w:color="auto"/>
                          </w:divBdr>
                          <w:divsChild>
                            <w:div w:id="56393176">
                              <w:marLeft w:val="0"/>
                              <w:marRight w:val="0"/>
                              <w:marTop w:val="0"/>
                              <w:marBottom w:val="0"/>
                              <w:divBdr>
                                <w:top w:val="none" w:sz="0" w:space="0" w:color="auto"/>
                                <w:left w:val="none" w:sz="0" w:space="0" w:color="auto"/>
                                <w:bottom w:val="none" w:sz="0" w:space="0" w:color="auto"/>
                                <w:right w:val="none" w:sz="0" w:space="0" w:color="auto"/>
                              </w:divBdr>
                              <w:divsChild>
                                <w:div w:id="1595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8855">
      <w:bodyDiv w:val="1"/>
      <w:marLeft w:val="0"/>
      <w:marRight w:val="0"/>
      <w:marTop w:val="0"/>
      <w:marBottom w:val="0"/>
      <w:divBdr>
        <w:top w:val="none" w:sz="0" w:space="0" w:color="auto"/>
        <w:left w:val="none" w:sz="0" w:space="0" w:color="auto"/>
        <w:bottom w:val="none" w:sz="0" w:space="0" w:color="auto"/>
        <w:right w:val="none" w:sz="0" w:space="0" w:color="auto"/>
      </w:divBdr>
    </w:div>
    <w:div w:id="740174858">
      <w:bodyDiv w:val="1"/>
      <w:marLeft w:val="0"/>
      <w:marRight w:val="0"/>
      <w:marTop w:val="0"/>
      <w:marBottom w:val="0"/>
      <w:divBdr>
        <w:top w:val="none" w:sz="0" w:space="0" w:color="auto"/>
        <w:left w:val="none" w:sz="0" w:space="0" w:color="auto"/>
        <w:bottom w:val="none" w:sz="0" w:space="0" w:color="auto"/>
        <w:right w:val="none" w:sz="0" w:space="0" w:color="auto"/>
      </w:divBdr>
    </w:div>
    <w:div w:id="772627189">
      <w:bodyDiv w:val="1"/>
      <w:marLeft w:val="0"/>
      <w:marRight w:val="0"/>
      <w:marTop w:val="0"/>
      <w:marBottom w:val="0"/>
      <w:divBdr>
        <w:top w:val="none" w:sz="0" w:space="0" w:color="auto"/>
        <w:left w:val="none" w:sz="0" w:space="0" w:color="auto"/>
        <w:bottom w:val="none" w:sz="0" w:space="0" w:color="auto"/>
        <w:right w:val="none" w:sz="0" w:space="0" w:color="auto"/>
      </w:divBdr>
    </w:div>
    <w:div w:id="782766240">
      <w:bodyDiv w:val="1"/>
      <w:marLeft w:val="0"/>
      <w:marRight w:val="0"/>
      <w:marTop w:val="0"/>
      <w:marBottom w:val="0"/>
      <w:divBdr>
        <w:top w:val="none" w:sz="0" w:space="0" w:color="auto"/>
        <w:left w:val="none" w:sz="0" w:space="0" w:color="auto"/>
        <w:bottom w:val="none" w:sz="0" w:space="0" w:color="auto"/>
        <w:right w:val="none" w:sz="0" w:space="0" w:color="auto"/>
      </w:divBdr>
    </w:div>
    <w:div w:id="807013671">
      <w:bodyDiv w:val="1"/>
      <w:marLeft w:val="0"/>
      <w:marRight w:val="0"/>
      <w:marTop w:val="0"/>
      <w:marBottom w:val="0"/>
      <w:divBdr>
        <w:top w:val="none" w:sz="0" w:space="0" w:color="auto"/>
        <w:left w:val="none" w:sz="0" w:space="0" w:color="auto"/>
        <w:bottom w:val="none" w:sz="0" w:space="0" w:color="auto"/>
        <w:right w:val="none" w:sz="0" w:space="0" w:color="auto"/>
      </w:divBdr>
    </w:div>
    <w:div w:id="822937809">
      <w:bodyDiv w:val="1"/>
      <w:marLeft w:val="0"/>
      <w:marRight w:val="0"/>
      <w:marTop w:val="0"/>
      <w:marBottom w:val="0"/>
      <w:divBdr>
        <w:top w:val="none" w:sz="0" w:space="0" w:color="auto"/>
        <w:left w:val="none" w:sz="0" w:space="0" w:color="auto"/>
        <w:bottom w:val="none" w:sz="0" w:space="0" w:color="auto"/>
        <w:right w:val="none" w:sz="0" w:space="0" w:color="auto"/>
      </w:divBdr>
    </w:div>
    <w:div w:id="829097343">
      <w:bodyDiv w:val="1"/>
      <w:marLeft w:val="0"/>
      <w:marRight w:val="0"/>
      <w:marTop w:val="0"/>
      <w:marBottom w:val="0"/>
      <w:divBdr>
        <w:top w:val="none" w:sz="0" w:space="0" w:color="auto"/>
        <w:left w:val="none" w:sz="0" w:space="0" w:color="auto"/>
        <w:bottom w:val="none" w:sz="0" w:space="0" w:color="auto"/>
        <w:right w:val="none" w:sz="0" w:space="0" w:color="auto"/>
      </w:divBdr>
    </w:div>
    <w:div w:id="884949917">
      <w:bodyDiv w:val="1"/>
      <w:marLeft w:val="0"/>
      <w:marRight w:val="0"/>
      <w:marTop w:val="0"/>
      <w:marBottom w:val="0"/>
      <w:divBdr>
        <w:top w:val="none" w:sz="0" w:space="0" w:color="auto"/>
        <w:left w:val="none" w:sz="0" w:space="0" w:color="auto"/>
        <w:bottom w:val="none" w:sz="0" w:space="0" w:color="auto"/>
        <w:right w:val="none" w:sz="0" w:space="0" w:color="auto"/>
      </w:divBdr>
    </w:div>
    <w:div w:id="912009318">
      <w:bodyDiv w:val="1"/>
      <w:marLeft w:val="0"/>
      <w:marRight w:val="0"/>
      <w:marTop w:val="0"/>
      <w:marBottom w:val="0"/>
      <w:divBdr>
        <w:top w:val="none" w:sz="0" w:space="0" w:color="auto"/>
        <w:left w:val="none" w:sz="0" w:space="0" w:color="auto"/>
        <w:bottom w:val="none" w:sz="0" w:space="0" w:color="auto"/>
        <w:right w:val="none" w:sz="0" w:space="0" w:color="auto"/>
      </w:divBdr>
      <w:divsChild>
        <w:div w:id="2024932764">
          <w:marLeft w:val="0"/>
          <w:marRight w:val="0"/>
          <w:marTop w:val="0"/>
          <w:marBottom w:val="0"/>
          <w:divBdr>
            <w:top w:val="none" w:sz="0" w:space="0" w:color="auto"/>
            <w:left w:val="none" w:sz="0" w:space="0" w:color="auto"/>
            <w:bottom w:val="none" w:sz="0" w:space="0" w:color="auto"/>
            <w:right w:val="none" w:sz="0" w:space="0" w:color="auto"/>
          </w:divBdr>
        </w:div>
      </w:divsChild>
    </w:div>
    <w:div w:id="980617346">
      <w:bodyDiv w:val="1"/>
      <w:marLeft w:val="0"/>
      <w:marRight w:val="0"/>
      <w:marTop w:val="0"/>
      <w:marBottom w:val="0"/>
      <w:divBdr>
        <w:top w:val="none" w:sz="0" w:space="0" w:color="auto"/>
        <w:left w:val="none" w:sz="0" w:space="0" w:color="auto"/>
        <w:bottom w:val="none" w:sz="0" w:space="0" w:color="auto"/>
        <w:right w:val="none" w:sz="0" w:space="0" w:color="auto"/>
      </w:divBdr>
    </w:div>
    <w:div w:id="984897293">
      <w:bodyDiv w:val="1"/>
      <w:marLeft w:val="0"/>
      <w:marRight w:val="0"/>
      <w:marTop w:val="0"/>
      <w:marBottom w:val="0"/>
      <w:divBdr>
        <w:top w:val="none" w:sz="0" w:space="0" w:color="auto"/>
        <w:left w:val="none" w:sz="0" w:space="0" w:color="auto"/>
        <w:bottom w:val="none" w:sz="0" w:space="0" w:color="auto"/>
        <w:right w:val="none" w:sz="0" w:space="0" w:color="auto"/>
      </w:divBdr>
    </w:div>
    <w:div w:id="1027565546">
      <w:bodyDiv w:val="1"/>
      <w:marLeft w:val="0"/>
      <w:marRight w:val="0"/>
      <w:marTop w:val="0"/>
      <w:marBottom w:val="0"/>
      <w:divBdr>
        <w:top w:val="none" w:sz="0" w:space="0" w:color="auto"/>
        <w:left w:val="none" w:sz="0" w:space="0" w:color="auto"/>
        <w:bottom w:val="none" w:sz="0" w:space="0" w:color="auto"/>
        <w:right w:val="none" w:sz="0" w:space="0" w:color="auto"/>
      </w:divBdr>
    </w:div>
    <w:div w:id="1121807385">
      <w:bodyDiv w:val="1"/>
      <w:marLeft w:val="0"/>
      <w:marRight w:val="0"/>
      <w:marTop w:val="0"/>
      <w:marBottom w:val="0"/>
      <w:divBdr>
        <w:top w:val="none" w:sz="0" w:space="0" w:color="auto"/>
        <w:left w:val="none" w:sz="0" w:space="0" w:color="auto"/>
        <w:bottom w:val="none" w:sz="0" w:space="0" w:color="auto"/>
        <w:right w:val="none" w:sz="0" w:space="0" w:color="auto"/>
      </w:divBdr>
    </w:div>
    <w:div w:id="1125583000">
      <w:bodyDiv w:val="1"/>
      <w:marLeft w:val="0"/>
      <w:marRight w:val="0"/>
      <w:marTop w:val="0"/>
      <w:marBottom w:val="0"/>
      <w:divBdr>
        <w:top w:val="none" w:sz="0" w:space="0" w:color="auto"/>
        <w:left w:val="none" w:sz="0" w:space="0" w:color="auto"/>
        <w:bottom w:val="none" w:sz="0" w:space="0" w:color="auto"/>
        <w:right w:val="none" w:sz="0" w:space="0" w:color="auto"/>
      </w:divBdr>
    </w:div>
    <w:div w:id="1129468180">
      <w:bodyDiv w:val="1"/>
      <w:marLeft w:val="0"/>
      <w:marRight w:val="0"/>
      <w:marTop w:val="0"/>
      <w:marBottom w:val="0"/>
      <w:divBdr>
        <w:top w:val="none" w:sz="0" w:space="0" w:color="auto"/>
        <w:left w:val="none" w:sz="0" w:space="0" w:color="auto"/>
        <w:bottom w:val="none" w:sz="0" w:space="0" w:color="auto"/>
        <w:right w:val="none" w:sz="0" w:space="0" w:color="auto"/>
      </w:divBdr>
    </w:div>
    <w:div w:id="1138566644">
      <w:bodyDiv w:val="1"/>
      <w:marLeft w:val="0"/>
      <w:marRight w:val="0"/>
      <w:marTop w:val="0"/>
      <w:marBottom w:val="0"/>
      <w:divBdr>
        <w:top w:val="none" w:sz="0" w:space="0" w:color="auto"/>
        <w:left w:val="none" w:sz="0" w:space="0" w:color="auto"/>
        <w:bottom w:val="none" w:sz="0" w:space="0" w:color="auto"/>
        <w:right w:val="none" w:sz="0" w:space="0" w:color="auto"/>
      </w:divBdr>
    </w:div>
    <w:div w:id="1165898681">
      <w:bodyDiv w:val="1"/>
      <w:marLeft w:val="0"/>
      <w:marRight w:val="0"/>
      <w:marTop w:val="0"/>
      <w:marBottom w:val="0"/>
      <w:divBdr>
        <w:top w:val="none" w:sz="0" w:space="0" w:color="auto"/>
        <w:left w:val="none" w:sz="0" w:space="0" w:color="auto"/>
        <w:bottom w:val="none" w:sz="0" w:space="0" w:color="auto"/>
        <w:right w:val="none" w:sz="0" w:space="0" w:color="auto"/>
      </w:divBdr>
      <w:divsChild>
        <w:div w:id="901791573">
          <w:marLeft w:val="0"/>
          <w:marRight w:val="0"/>
          <w:marTop w:val="0"/>
          <w:marBottom w:val="0"/>
          <w:divBdr>
            <w:top w:val="none" w:sz="0" w:space="0" w:color="auto"/>
            <w:left w:val="none" w:sz="0" w:space="0" w:color="auto"/>
            <w:bottom w:val="none" w:sz="0" w:space="0" w:color="auto"/>
            <w:right w:val="none" w:sz="0" w:space="0" w:color="auto"/>
          </w:divBdr>
          <w:divsChild>
            <w:div w:id="1062019563">
              <w:marLeft w:val="0"/>
              <w:marRight w:val="0"/>
              <w:marTop w:val="0"/>
              <w:marBottom w:val="0"/>
              <w:divBdr>
                <w:top w:val="none" w:sz="0" w:space="0" w:color="auto"/>
                <w:left w:val="none" w:sz="0" w:space="0" w:color="auto"/>
                <w:bottom w:val="none" w:sz="0" w:space="0" w:color="auto"/>
                <w:right w:val="none" w:sz="0" w:space="0" w:color="auto"/>
              </w:divBdr>
              <w:divsChild>
                <w:div w:id="2138181738">
                  <w:marLeft w:val="0"/>
                  <w:marRight w:val="0"/>
                  <w:marTop w:val="0"/>
                  <w:marBottom w:val="0"/>
                  <w:divBdr>
                    <w:top w:val="none" w:sz="0" w:space="0" w:color="auto"/>
                    <w:left w:val="none" w:sz="0" w:space="0" w:color="auto"/>
                    <w:bottom w:val="none" w:sz="0" w:space="0" w:color="auto"/>
                    <w:right w:val="none" w:sz="0" w:space="0" w:color="auto"/>
                  </w:divBdr>
                  <w:divsChild>
                    <w:div w:id="510224541">
                      <w:marLeft w:val="0"/>
                      <w:marRight w:val="0"/>
                      <w:marTop w:val="0"/>
                      <w:marBottom w:val="0"/>
                      <w:divBdr>
                        <w:top w:val="none" w:sz="0" w:space="0" w:color="auto"/>
                        <w:left w:val="none" w:sz="0" w:space="0" w:color="auto"/>
                        <w:bottom w:val="none" w:sz="0" w:space="0" w:color="auto"/>
                        <w:right w:val="none" w:sz="0" w:space="0" w:color="auto"/>
                      </w:divBdr>
                      <w:divsChild>
                        <w:div w:id="1715423067">
                          <w:marLeft w:val="0"/>
                          <w:marRight w:val="0"/>
                          <w:marTop w:val="0"/>
                          <w:marBottom w:val="0"/>
                          <w:divBdr>
                            <w:top w:val="none" w:sz="0" w:space="0" w:color="auto"/>
                            <w:left w:val="none" w:sz="0" w:space="0" w:color="auto"/>
                            <w:bottom w:val="none" w:sz="0" w:space="0" w:color="auto"/>
                            <w:right w:val="none" w:sz="0" w:space="0" w:color="auto"/>
                          </w:divBdr>
                          <w:divsChild>
                            <w:div w:id="18919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771689">
          <w:marLeft w:val="0"/>
          <w:marRight w:val="0"/>
          <w:marTop w:val="0"/>
          <w:marBottom w:val="0"/>
          <w:divBdr>
            <w:top w:val="none" w:sz="0" w:space="0" w:color="auto"/>
            <w:left w:val="none" w:sz="0" w:space="0" w:color="auto"/>
            <w:bottom w:val="none" w:sz="0" w:space="0" w:color="auto"/>
            <w:right w:val="none" w:sz="0" w:space="0" w:color="auto"/>
          </w:divBdr>
          <w:divsChild>
            <w:div w:id="1954022233">
              <w:marLeft w:val="0"/>
              <w:marRight w:val="0"/>
              <w:marTop w:val="0"/>
              <w:marBottom w:val="0"/>
              <w:divBdr>
                <w:top w:val="none" w:sz="0" w:space="0" w:color="auto"/>
                <w:left w:val="none" w:sz="0" w:space="0" w:color="auto"/>
                <w:bottom w:val="none" w:sz="0" w:space="0" w:color="auto"/>
                <w:right w:val="none" w:sz="0" w:space="0" w:color="auto"/>
              </w:divBdr>
              <w:divsChild>
                <w:div w:id="203253363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206019869">
      <w:bodyDiv w:val="1"/>
      <w:marLeft w:val="0"/>
      <w:marRight w:val="0"/>
      <w:marTop w:val="0"/>
      <w:marBottom w:val="0"/>
      <w:divBdr>
        <w:top w:val="none" w:sz="0" w:space="0" w:color="auto"/>
        <w:left w:val="none" w:sz="0" w:space="0" w:color="auto"/>
        <w:bottom w:val="none" w:sz="0" w:space="0" w:color="auto"/>
        <w:right w:val="none" w:sz="0" w:space="0" w:color="auto"/>
      </w:divBdr>
    </w:div>
    <w:div w:id="1210655461">
      <w:bodyDiv w:val="1"/>
      <w:marLeft w:val="0"/>
      <w:marRight w:val="0"/>
      <w:marTop w:val="0"/>
      <w:marBottom w:val="0"/>
      <w:divBdr>
        <w:top w:val="none" w:sz="0" w:space="0" w:color="auto"/>
        <w:left w:val="none" w:sz="0" w:space="0" w:color="auto"/>
        <w:bottom w:val="none" w:sz="0" w:space="0" w:color="auto"/>
        <w:right w:val="none" w:sz="0" w:space="0" w:color="auto"/>
      </w:divBdr>
      <w:divsChild>
        <w:div w:id="147197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34684">
      <w:bodyDiv w:val="1"/>
      <w:marLeft w:val="0"/>
      <w:marRight w:val="0"/>
      <w:marTop w:val="0"/>
      <w:marBottom w:val="0"/>
      <w:divBdr>
        <w:top w:val="none" w:sz="0" w:space="0" w:color="auto"/>
        <w:left w:val="none" w:sz="0" w:space="0" w:color="auto"/>
        <w:bottom w:val="none" w:sz="0" w:space="0" w:color="auto"/>
        <w:right w:val="none" w:sz="0" w:space="0" w:color="auto"/>
      </w:divBdr>
    </w:div>
    <w:div w:id="1232544632">
      <w:bodyDiv w:val="1"/>
      <w:marLeft w:val="0"/>
      <w:marRight w:val="0"/>
      <w:marTop w:val="0"/>
      <w:marBottom w:val="0"/>
      <w:divBdr>
        <w:top w:val="none" w:sz="0" w:space="0" w:color="auto"/>
        <w:left w:val="none" w:sz="0" w:space="0" w:color="auto"/>
        <w:bottom w:val="none" w:sz="0" w:space="0" w:color="auto"/>
        <w:right w:val="none" w:sz="0" w:space="0" w:color="auto"/>
      </w:divBdr>
    </w:div>
    <w:div w:id="1248226134">
      <w:bodyDiv w:val="1"/>
      <w:marLeft w:val="0"/>
      <w:marRight w:val="0"/>
      <w:marTop w:val="0"/>
      <w:marBottom w:val="0"/>
      <w:divBdr>
        <w:top w:val="none" w:sz="0" w:space="0" w:color="auto"/>
        <w:left w:val="none" w:sz="0" w:space="0" w:color="auto"/>
        <w:bottom w:val="none" w:sz="0" w:space="0" w:color="auto"/>
        <w:right w:val="none" w:sz="0" w:space="0" w:color="auto"/>
      </w:divBdr>
    </w:div>
    <w:div w:id="1282150571">
      <w:bodyDiv w:val="1"/>
      <w:marLeft w:val="0"/>
      <w:marRight w:val="0"/>
      <w:marTop w:val="0"/>
      <w:marBottom w:val="0"/>
      <w:divBdr>
        <w:top w:val="none" w:sz="0" w:space="0" w:color="auto"/>
        <w:left w:val="none" w:sz="0" w:space="0" w:color="auto"/>
        <w:bottom w:val="none" w:sz="0" w:space="0" w:color="auto"/>
        <w:right w:val="none" w:sz="0" w:space="0" w:color="auto"/>
      </w:divBdr>
    </w:div>
    <w:div w:id="1363170026">
      <w:bodyDiv w:val="1"/>
      <w:marLeft w:val="0"/>
      <w:marRight w:val="0"/>
      <w:marTop w:val="0"/>
      <w:marBottom w:val="0"/>
      <w:divBdr>
        <w:top w:val="none" w:sz="0" w:space="0" w:color="auto"/>
        <w:left w:val="none" w:sz="0" w:space="0" w:color="auto"/>
        <w:bottom w:val="none" w:sz="0" w:space="0" w:color="auto"/>
        <w:right w:val="none" w:sz="0" w:space="0" w:color="auto"/>
      </w:divBdr>
    </w:div>
    <w:div w:id="1373651391">
      <w:bodyDiv w:val="1"/>
      <w:marLeft w:val="0"/>
      <w:marRight w:val="0"/>
      <w:marTop w:val="0"/>
      <w:marBottom w:val="0"/>
      <w:divBdr>
        <w:top w:val="none" w:sz="0" w:space="0" w:color="auto"/>
        <w:left w:val="none" w:sz="0" w:space="0" w:color="auto"/>
        <w:bottom w:val="none" w:sz="0" w:space="0" w:color="auto"/>
        <w:right w:val="none" w:sz="0" w:space="0" w:color="auto"/>
      </w:divBdr>
    </w:div>
    <w:div w:id="1412198206">
      <w:bodyDiv w:val="1"/>
      <w:marLeft w:val="0"/>
      <w:marRight w:val="0"/>
      <w:marTop w:val="0"/>
      <w:marBottom w:val="0"/>
      <w:divBdr>
        <w:top w:val="none" w:sz="0" w:space="0" w:color="auto"/>
        <w:left w:val="none" w:sz="0" w:space="0" w:color="auto"/>
        <w:bottom w:val="none" w:sz="0" w:space="0" w:color="auto"/>
        <w:right w:val="none" w:sz="0" w:space="0" w:color="auto"/>
      </w:divBdr>
    </w:div>
    <w:div w:id="1503622513">
      <w:bodyDiv w:val="1"/>
      <w:marLeft w:val="0"/>
      <w:marRight w:val="0"/>
      <w:marTop w:val="0"/>
      <w:marBottom w:val="0"/>
      <w:divBdr>
        <w:top w:val="none" w:sz="0" w:space="0" w:color="auto"/>
        <w:left w:val="none" w:sz="0" w:space="0" w:color="auto"/>
        <w:bottom w:val="none" w:sz="0" w:space="0" w:color="auto"/>
        <w:right w:val="none" w:sz="0" w:space="0" w:color="auto"/>
      </w:divBdr>
    </w:div>
    <w:div w:id="1517577172">
      <w:bodyDiv w:val="1"/>
      <w:marLeft w:val="0"/>
      <w:marRight w:val="0"/>
      <w:marTop w:val="0"/>
      <w:marBottom w:val="0"/>
      <w:divBdr>
        <w:top w:val="none" w:sz="0" w:space="0" w:color="auto"/>
        <w:left w:val="none" w:sz="0" w:space="0" w:color="auto"/>
        <w:bottom w:val="none" w:sz="0" w:space="0" w:color="auto"/>
        <w:right w:val="none" w:sz="0" w:space="0" w:color="auto"/>
      </w:divBdr>
      <w:divsChild>
        <w:div w:id="1659648723">
          <w:marLeft w:val="-225"/>
          <w:marRight w:val="-225"/>
          <w:marTop w:val="0"/>
          <w:marBottom w:val="0"/>
          <w:divBdr>
            <w:top w:val="none" w:sz="0" w:space="0" w:color="auto"/>
            <w:left w:val="none" w:sz="0" w:space="0" w:color="auto"/>
            <w:bottom w:val="none" w:sz="0" w:space="0" w:color="auto"/>
            <w:right w:val="none" w:sz="0" w:space="0" w:color="auto"/>
          </w:divBdr>
          <w:divsChild>
            <w:div w:id="790704914">
              <w:marLeft w:val="0"/>
              <w:marRight w:val="0"/>
              <w:marTop w:val="0"/>
              <w:marBottom w:val="0"/>
              <w:divBdr>
                <w:top w:val="none" w:sz="0" w:space="0" w:color="auto"/>
                <w:left w:val="none" w:sz="0" w:space="0" w:color="auto"/>
                <w:bottom w:val="none" w:sz="0" w:space="0" w:color="auto"/>
                <w:right w:val="none" w:sz="0" w:space="0" w:color="auto"/>
              </w:divBdr>
              <w:divsChild>
                <w:div w:id="151528532">
                  <w:marLeft w:val="0"/>
                  <w:marRight w:val="0"/>
                  <w:marTop w:val="0"/>
                  <w:marBottom w:val="0"/>
                  <w:divBdr>
                    <w:top w:val="none" w:sz="0" w:space="0" w:color="auto"/>
                    <w:left w:val="none" w:sz="0" w:space="0" w:color="auto"/>
                    <w:bottom w:val="none" w:sz="0" w:space="0" w:color="auto"/>
                    <w:right w:val="none" w:sz="0" w:space="0" w:color="auto"/>
                  </w:divBdr>
                  <w:divsChild>
                    <w:div w:id="309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768">
      <w:bodyDiv w:val="1"/>
      <w:marLeft w:val="0"/>
      <w:marRight w:val="0"/>
      <w:marTop w:val="0"/>
      <w:marBottom w:val="0"/>
      <w:divBdr>
        <w:top w:val="none" w:sz="0" w:space="0" w:color="auto"/>
        <w:left w:val="none" w:sz="0" w:space="0" w:color="auto"/>
        <w:bottom w:val="none" w:sz="0" w:space="0" w:color="auto"/>
        <w:right w:val="none" w:sz="0" w:space="0" w:color="auto"/>
      </w:divBdr>
    </w:div>
    <w:div w:id="1567952660">
      <w:bodyDiv w:val="1"/>
      <w:marLeft w:val="0"/>
      <w:marRight w:val="0"/>
      <w:marTop w:val="0"/>
      <w:marBottom w:val="0"/>
      <w:divBdr>
        <w:top w:val="none" w:sz="0" w:space="0" w:color="auto"/>
        <w:left w:val="none" w:sz="0" w:space="0" w:color="auto"/>
        <w:bottom w:val="none" w:sz="0" w:space="0" w:color="auto"/>
        <w:right w:val="none" w:sz="0" w:space="0" w:color="auto"/>
      </w:divBdr>
    </w:div>
    <w:div w:id="1624145608">
      <w:bodyDiv w:val="1"/>
      <w:marLeft w:val="0"/>
      <w:marRight w:val="0"/>
      <w:marTop w:val="0"/>
      <w:marBottom w:val="0"/>
      <w:divBdr>
        <w:top w:val="none" w:sz="0" w:space="0" w:color="auto"/>
        <w:left w:val="none" w:sz="0" w:space="0" w:color="auto"/>
        <w:bottom w:val="none" w:sz="0" w:space="0" w:color="auto"/>
        <w:right w:val="none" w:sz="0" w:space="0" w:color="auto"/>
      </w:divBdr>
      <w:divsChild>
        <w:div w:id="948010365">
          <w:marLeft w:val="0"/>
          <w:marRight w:val="0"/>
          <w:marTop w:val="0"/>
          <w:marBottom w:val="0"/>
          <w:divBdr>
            <w:top w:val="none" w:sz="0" w:space="0" w:color="auto"/>
            <w:left w:val="none" w:sz="0" w:space="0" w:color="auto"/>
            <w:bottom w:val="none" w:sz="0" w:space="0" w:color="auto"/>
            <w:right w:val="none" w:sz="0" w:space="0" w:color="auto"/>
          </w:divBdr>
          <w:divsChild>
            <w:div w:id="186455573">
              <w:marLeft w:val="0"/>
              <w:marRight w:val="0"/>
              <w:marTop w:val="0"/>
              <w:marBottom w:val="0"/>
              <w:divBdr>
                <w:top w:val="none" w:sz="0" w:space="0" w:color="auto"/>
                <w:left w:val="none" w:sz="0" w:space="0" w:color="auto"/>
                <w:bottom w:val="none" w:sz="0" w:space="0" w:color="auto"/>
                <w:right w:val="none" w:sz="0" w:space="0" w:color="auto"/>
              </w:divBdr>
            </w:div>
            <w:div w:id="499082421">
              <w:marLeft w:val="0"/>
              <w:marRight w:val="0"/>
              <w:marTop w:val="0"/>
              <w:marBottom w:val="0"/>
              <w:divBdr>
                <w:top w:val="none" w:sz="0" w:space="0" w:color="auto"/>
                <w:left w:val="none" w:sz="0" w:space="0" w:color="auto"/>
                <w:bottom w:val="none" w:sz="0" w:space="0" w:color="auto"/>
                <w:right w:val="none" w:sz="0" w:space="0" w:color="auto"/>
              </w:divBdr>
            </w:div>
            <w:div w:id="680203618">
              <w:marLeft w:val="0"/>
              <w:marRight w:val="0"/>
              <w:marTop w:val="0"/>
              <w:marBottom w:val="0"/>
              <w:divBdr>
                <w:top w:val="none" w:sz="0" w:space="0" w:color="auto"/>
                <w:left w:val="none" w:sz="0" w:space="0" w:color="auto"/>
                <w:bottom w:val="none" w:sz="0" w:space="0" w:color="auto"/>
                <w:right w:val="none" w:sz="0" w:space="0" w:color="auto"/>
              </w:divBdr>
            </w:div>
            <w:div w:id="724984993">
              <w:marLeft w:val="0"/>
              <w:marRight w:val="0"/>
              <w:marTop w:val="0"/>
              <w:marBottom w:val="0"/>
              <w:divBdr>
                <w:top w:val="none" w:sz="0" w:space="0" w:color="auto"/>
                <w:left w:val="none" w:sz="0" w:space="0" w:color="auto"/>
                <w:bottom w:val="none" w:sz="0" w:space="0" w:color="auto"/>
                <w:right w:val="none" w:sz="0" w:space="0" w:color="auto"/>
              </w:divBdr>
            </w:div>
            <w:div w:id="14440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399">
      <w:bodyDiv w:val="1"/>
      <w:marLeft w:val="0"/>
      <w:marRight w:val="0"/>
      <w:marTop w:val="0"/>
      <w:marBottom w:val="0"/>
      <w:divBdr>
        <w:top w:val="none" w:sz="0" w:space="0" w:color="auto"/>
        <w:left w:val="none" w:sz="0" w:space="0" w:color="auto"/>
        <w:bottom w:val="none" w:sz="0" w:space="0" w:color="auto"/>
        <w:right w:val="none" w:sz="0" w:space="0" w:color="auto"/>
      </w:divBdr>
      <w:divsChild>
        <w:div w:id="254750879">
          <w:marLeft w:val="0"/>
          <w:marRight w:val="0"/>
          <w:marTop w:val="0"/>
          <w:marBottom w:val="375"/>
          <w:divBdr>
            <w:top w:val="none" w:sz="0" w:space="0" w:color="auto"/>
            <w:left w:val="none" w:sz="0" w:space="0" w:color="auto"/>
            <w:bottom w:val="none" w:sz="0" w:space="0" w:color="auto"/>
            <w:right w:val="none" w:sz="0" w:space="0" w:color="auto"/>
          </w:divBdr>
        </w:div>
        <w:div w:id="348020850">
          <w:marLeft w:val="0"/>
          <w:marRight w:val="0"/>
          <w:marTop w:val="0"/>
          <w:marBottom w:val="375"/>
          <w:divBdr>
            <w:top w:val="none" w:sz="0" w:space="0" w:color="auto"/>
            <w:left w:val="none" w:sz="0" w:space="0" w:color="auto"/>
            <w:bottom w:val="none" w:sz="0" w:space="0" w:color="auto"/>
            <w:right w:val="none" w:sz="0" w:space="0" w:color="auto"/>
          </w:divBdr>
        </w:div>
      </w:divsChild>
    </w:div>
    <w:div w:id="1670448852">
      <w:bodyDiv w:val="1"/>
      <w:marLeft w:val="0"/>
      <w:marRight w:val="0"/>
      <w:marTop w:val="0"/>
      <w:marBottom w:val="0"/>
      <w:divBdr>
        <w:top w:val="none" w:sz="0" w:space="0" w:color="auto"/>
        <w:left w:val="none" w:sz="0" w:space="0" w:color="auto"/>
        <w:bottom w:val="none" w:sz="0" w:space="0" w:color="auto"/>
        <w:right w:val="none" w:sz="0" w:space="0" w:color="auto"/>
      </w:divBdr>
    </w:div>
    <w:div w:id="1677734639">
      <w:bodyDiv w:val="1"/>
      <w:marLeft w:val="0"/>
      <w:marRight w:val="0"/>
      <w:marTop w:val="0"/>
      <w:marBottom w:val="0"/>
      <w:divBdr>
        <w:top w:val="none" w:sz="0" w:space="0" w:color="auto"/>
        <w:left w:val="none" w:sz="0" w:space="0" w:color="auto"/>
        <w:bottom w:val="none" w:sz="0" w:space="0" w:color="auto"/>
        <w:right w:val="none" w:sz="0" w:space="0" w:color="auto"/>
      </w:divBdr>
    </w:div>
    <w:div w:id="1704400375">
      <w:bodyDiv w:val="1"/>
      <w:marLeft w:val="0"/>
      <w:marRight w:val="0"/>
      <w:marTop w:val="0"/>
      <w:marBottom w:val="0"/>
      <w:divBdr>
        <w:top w:val="none" w:sz="0" w:space="0" w:color="auto"/>
        <w:left w:val="none" w:sz="0" w:space="0" w:color="auto"/>
        <w:bottom w:val="none" w:sz="0" w:space="0" w:color="auto"/>
        <w:right w:val="none" w:sz="0" w:space="0" w:color="auto"/>
      </w:divBdr>
    </w:div>
    <w:div w:id="1755080644">
      <w:bodyDiv w:val="1"/>
      <w:marLeft w:val="0"/>
      <w:marRight w:val="0"/>
      <w:marTop w:val="0"/>
      <w:marBottom w:val="0"/>
      <w:divBdr>
        <w:top w:val="none" w:sz="0" w:space="0" w:color="auto"/>
        <w:left w:val="none" w:sz="0" w:space="0" w:color="auto"/>
        <w:bottom w:val="none" w:sz="0" w:space="0" w:color="auto"/>
        <w:right w:val="none" w:sz="0" w:space="0" w:color="auto"/>
      </w:divBdr>
    </w:div>
    <w:div w:id="1760642261">
      <w:bodyDiv w:val="1"/>
      <w:marLeft w:val="0"/>
      <w:marRight w:val="0"/>
      <w:marTop w:val="0"/>
      <w:marBottom w:val="0"/>
      <w:divBdr>
        <w:top w:val="none" w:sz="0" w:space="0" w:color="auto"/>
        <w:left w:val="none" w:sz="0" w:space="0" w:color="auto"/>
        <w:bottom w:val="none" w:sz="0" w:space="0" w:color="auto"/>
        <w:right w:val="none" w:sz="0" w:space="0" w:color="auto"/>
      </w:divBdr>
      <w:divsChild>
        <w:div w:id="304432608">
          <w:marLeft w:val="0"/>
          <w:marRight w:val="0"/>
          <w:marTop w:val="0"/>
          <w:marBottom w:val="0"/>
          <w:divBdr>
            <w:top w:val="none" w:sz="0" w:space="0" w:color="auto"/>
            <w:left w:val="none" w:sz="0" w:space="0" w:color="auto"/>
            <w:bottom w:val="none" w:sz="0" w:space="0" w:color="auto"/>
            <w:right w:val="none" w:sz="0" w:space="0" w:color="auto"/>
          </w:divBdr>
          <w:divsChild>
            <w:div w:id="255864165">
              <w:marLeft w:val="0"/>
              <w:marRight w:val="0"/>
              <w:marTop w:val="0"/>
              <w:marBottom w:val="0"/>
              <w:divBdr>
                <w:top w:val="none" w:sz="0" w:space="0" w:color="auto"/>
                <w:left w:val="none" w:sz="0" w:space="0" w:color="auto"/>
                <w:bottom w:val="none" w:sz="0" w:space="0" w:color="auto"/>
                <w:right w:val="none" w:sz="0" w:space="0" w:color="auto"/>
              </w:divBdr>
              <w:divsChild>
                <w:div w:id="672493556">
                  <w:marLeft w:val="0"/>
                  <w:marRight w:val="0"/>
                  <w:marTop w:val="0"/>
                  <w:marBottom w:val="0"/>
                  <w:divBdr>
                    <w:top w:val="none" w:sz="0" w:space="0" w:color="auto"/>
                    <w:left w:val="none" w:sz="0" w:space="0" w:color="auto"/>
                    <w:bottom w:val="none" w:sz="0" w:space="0" w:color="auto"/>
                    <w:right w:val="none" w:sz="0" w:space="0" w:color="auto"/>
                  </w:divBdr>
                  <w:divsChild>
                    <w:div w:id="887297160">
                      <w:marLeft w:val="0"/>
                      <w:marRight w:val="0"/>
                      <w:marTop w:val="0"/>
                      <w:marBottom w:val="0"/>
                      <w:divBdr>
                        <w:top w:val="none" w:sz="0" w:space="0" w:color="auto"/>
                        <w:left w:val="none" w:sz="0" w:space="0" w:color="auto"/>
                        <w:bottom w:val="none" w:sz="0" w:space="0" w:color="auto"/>
                        <w:right w:val="none" w:sz="0" w:space="0" w:color="auto"/>
                      </w:divBdr>
                      <w:divsChild>
                        <w:div w:id="466970099">
                          <w:marLeft w:val="0"/>
                          <w:marRight w:val="0"/>
                          <w:marTop w:val="0"/>
                          <w:marBottom w:val="0"/>
                          <w:divBdr>
                            <w:top w:val="none" w:sz="0" w:space="0" w:color="auto"/>
                            <w:left w:val="none" w:sz="0" w:space="0" w:color="auto"/>
                            <w:bottom w:val="none" w:sz="0" w:space="0" w:color="auto"/>
                            <w:right w:val="none" w:sz="0" w:space="0" w:color="auto"/>
                          </w:divBdr>
                          <w:divsChild>
                            <w:div w:id="881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2524">
              <w:marLeft w:val="0"/>
              <w:marRight w:val="0"/>
              <w:marTop w:val="0"/>
              <w:marBottom w:val="0"/>
              <w:divBdr>
                <w:top w:val="none" w:sz="0" w:space="0" w:color="auto"/>
                <w:left w:val="none" w:sz="0" w:space="0" w:color="auto"/>
                <w:bottom w:val="none" w:sz="0" w:space="0" w:color="auto"/>
                <w:right w:val="none" w:sz="0" w:space="0" w:color="auto"/>
              </w:divBdr>
              <w:divsChild>
                <w:div w:id="1397976556">
                  <w:marLeft w:val="0"/>
                  <w:marRight w:val="0"/>
                  <w:marTop w:val="0"/>
                  <w:marBottom w:val="0"/>
                  <w:divBdr>
                    <w:top w:val="none" w:sz="0" w:space="0" w:color="auto"/>
                    <w:left w:val="none" w:sz="0" w:space="0" w:color="auto"/>
                    <w:bottom w:val="none" w:sz="0" w:space="0" w:color="auto"/>
                    <w:right w:val="none" w:sz="0" w:space="0" w:color="auto"/>
                  </w:divBdr>
                </w:div>
                <w:div w:id="1663659738">
                  <w:marLeft w:val="0"/>
                  <w:marRight w:val="0"/>
                  <w:marTop w:val="0"/>
                  <w:marBottom w:val="0"/>
                  <w:divBdr>
                    <w:top w:val="none" w:sz="0" w:space="0" w:color="auto"/>
                    <w:left w:val="none" w:sz="0" w:space="0" w:color="auto"/>
                    <w:bottom w:val="none" w:sz="0" w:space="0" w:color="auto"/>
                    <w:right w:val="none" w:sz="0" w:space="0" w:color="auto"/>
                  </w:divBdr>
                  <w:divsChild>
                    <w:div w:id="493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2930">
          <w:marLeft w:val="0"/>
          <w:marRight w:val="0"/>
          <w:marTop w:val="0"/>
          <w:marBottom w:val="0"/>
          <w:divBdr>
            <w:top w:val="none" w:sz="0" w:space="0" w:color="auto"/>
            <w:left w:val="none" w:sz="0" w:space="0" w:color="auto"/>
            <w:bottom w:val="none" w:sz="0" w:space="0" w:color="auto"/>
            <w:right w:val="none" w:sz="0" w:space="0" w:color="auto"/>
          </w:divBdr>
        </w:div>
      </w:divsChild>
    </w:div>
    <w:div w:id="1781878916">
      <w:bodyDiv w:val="1"/>
      <w:marLeft w:val="0"/>
      <w:marRight w:val="0"/>
      <w:marTop w:val="0"/>
      <w:marBottom w:val="0"/>
      <w:divBdr>
        <w:top w:val="none" w:sz="0" w:space="0" w:color="auto"/>
        <w:left w:val="none" w:sz="0" w:space="0" w:color="auto"/>
        <w:bottom w:val="none" w:sz="0" w:space="0" w:color="auto"/>
        <w:right w:val="none" w:sz="0" w:space="0" w:color="auto"/>
      </w:divBdr>
    </w:div>
    <w:div w:id="1801344361">
      <w:bodyDiv w:val="1"/>
      <w:marLeft w:val="0"/>
      <w:marRight w:val="0"/>
      <w:marTop w:val="0"/>
      <w:marBottom w:val="0"/>
      <w:divBdr>
        <w:top w:val="none" w:sz="0" w:space="0" w:color="auto"/>
        <w:left w:val="none" w:sz="0" w:space="0" w:color="auto"/>
        <w:bottom w:val="none" w:sz="0" w:space="0" w:color="auto"/>
        <w:right w:val="none" w:sz="0" w:space="0" w:color="auto"/>
      </w:divBdr>
    </w:div>
    <w:div w:id="1825926575">
      <w:bodyDiv w:val="1"/>
      <w:marLeft w:val="0"/>
      <w:marRight w:val="0"/>
      <w:marTop w:val="0"/>
      <w:marBottom w:val="0"/>
      <w:divBdr>
        <w:top w:val="none" w:sz="0" w:space="0" w:color="auto"/>
        <w:left w:val="none" w:sz="0" w:space="0" w:color="auto"/>
        <w:bottom w:val="none" w:sz="0" w:space="0" w:color="auto"/>
        <w:right w:val="none" w:sz="0" w:space="0" w:color="auto"/>
      </w:divBdr>
      <w:divsChild>
        <w:div w:id="1523665931">
          <w:marLeft w:val="0"/>
          <w:marRight w:val="0"/>
          <w:marTop w:val="0"/>
          <w:marBottom w:val="0"/>
          <w:divBdr>
            <w:top w:val="none" w:sz="0" w:space="0" w:color="auto"/>
            <w:left w:val="none" w:sz="0" w:space="0" w:color="auto"/>
            <w:bottom w:val="none" w:sz="0" w:space="0" w:color="auto"/>
            <w:right w:val="none" w:sz="0" w:space="0" w:color="auto"/>
          </w:divBdr>
        </w:div>
        <w:div w:id="1523975751">
          <w:marLeft w:val="0"/>
          <w:marRight w:val="0"/>
          <w:marTop w:val="0"/>
          <w:marBottom w:val="0"/>
          <w:divBdr>
            <w:top w:val="none" w:sz="0" w:space="0" w:color="auto"/>
            <w:left w:val="none" w:sz="0" w:space="0" w:color="auto"/>
            <w:bottom w:val="none" w:sz="0" w:space="0" w:color="auto"/>
            <w:right w:val="none" w:sz="0" w:space="0" w:color="auto"/>
          </w:divBdr>
        </w:div>
      </w:divsChild>
    </w:div>
    <w:div w:id="1827630483">
      <w:bodyDiv w:val="1"/>
      <w:marLeft w:val="0"/>
      <w:marRight w:val="0"/>
      <w:marTop w:val="0"/>
      <w:marBottom w:val="0"/>
      <w:divBdr>
        <w:top w:val="none" w:sz="0" w:space="0" w:color="auto"/>
        <w:left w:val="none" w:sz="0" w:space="0" w:color="auto"/>
        <w:bottom w:val="none" w:sz="0" w:space="0" w:color="auto"/>
        <w:right w:val="none" w:sz="0" w:space="0" w:color="auto"/>
      </w:divBdr>
    </w:div>
    <w:div w:id="1886986784">
      <w:bodyDiv w:val="1"/>
      <w:marLeft w:val="0"/>
      <w:marRight w:val="0"/>
      <w:marTop w:val="0"/>
      <w:marBottom w:val="0"/>
      <w:divBdr>
        <w:top w:val="none" w:sz="0" w:space="0" w:color="auto"/>
        <w:left w:val="none" w:sz="0" w:space="0" w:color="auto"/>
        <w:bottom w:val="none" w:sz="0" w:space="0" w:color="auto"/>
        <w:right w:val="none" w:sz="0" w:space="0" w:color="auto"/>
      </w:divBdr>
    </w:div>
    <w:div w:id="1901397967">
      <w:bodyDiv w:val="1"/>
      <w:marLeft w:val="0"/>
      <w:marRight w:val="0"/>
      <w:marTop w:val="0"/>
      <w:marBottom w:val="0"/>
      <w:divBdr>
        <w:top w:val="none" w:sz="0" w:space="0" w:color="auto"/>
        <w:left w:val="none" w:sz="0" w:space="0" w:color="auto"/>
        <w:bottom w:val="none" w:sz="0" w:space="0" w:color="auto"/>
        <w:right w:val="none" w:sz="0" w:space="0" w:color="auto"/>
      </w:divBdr>
    </w:div>
    <w:div w:id="1950579021">
      <w:bodyDiv w:val="1"/>
      <w:marLeft w:val="0"/>
      <w:marRight w:val="0"/>
      <w:marTop w:val="0"/>
      <w:marBottom w:val="0"/>
      <w:divBdr>
        <w:top w:val="none" w:sz="0" w:space="0" w:color="auto"/>
        <w:left w:val="none" w:sz="0" w:space="0" w:color="auto"/>
        <w:bottom w:val="none" w:sz="0" w:space="0" w:color="auto"/>
        <w:right w:val="none" w:sz="0" w:space="0" w:color="auto"/>
      </w:divBdr>
    </w:div>
    <w:div w:id="2001762042">
      <w:bodyDiv w:val="1"/>
      <w:marLeft w:val="0"/>
      <w:marRight w:val="0"/>
      <w:marTop w:val="0"/>
      <w:marBottom w:val="0"/>
      <w:divBdr>
        <w:top w:val="none" w:sz="0" w:space="0" w:color="auto"/>
        <w:left w:val="none" w:sz="0" w:space="0" w:color="auto"/>
        <w:bottom w:val="none" w:sz="0" w:space="0" w:color="auto"/>
        <w:right w:val="none" w:sz="0" w:space="0" w:color="auto"/>
      </w:divBdr>
    </w:div>
    <w:div w:id="2008357893">
      <w:bodyDiv w:val="1"/>
      <w:marLeft w:val="0"/>
      <w:marRight w:val="0"/>
      <w:marTop w:val="0"/>
      <w:marBottom w:val="0"/>
      <w:divBdr>
        <w:top w:val="none" w:sz="0" w:space="0" w:color="auto"/>
        <w:left w:val="none" w:sz="0" w:space="0" w:color="auto"/>
        <w:bottom w:val="none" w:sz="0" w:space="0" w:color="auto"/>
        <w:right w:val="none" w:sz="0" w:space="0" w:color="auto"/>
      </w:divBdr>
    </w:div>
    <w:div w:id="2020615956">
      <w:bodyDiv w:val="1"/>
      <w:marLeft w:val="0"/>
      <w:marRight w:val="0"/>
      <w:marTop w:val="0"/>
      <w:marBottom w:val="0"/>
      <w:divBdr>
        <w:top w:val="none" w:sz="0" w:space="0" w:color="auto"/>
        <w:left w:val="none" w:sz="0" w:space="0" w:color="auto"/>
        <w:bottom w:val="none" w:sz="0" w:space="0" w:color="auto"/>
        <w:right w:val="none" w:sz="0" w:space="0" w:color="auto"/>
      </w:divBdr>
      <w:divsChild>
        <w:div w:id="180435609">
          <w:marLeft w:val="0"/>
          <w:marRight w:val="0"/>
          <w:marTop w:val="0"/>
          <w:marBottom w:val="0"/>
          <w:divBdr>
            <w:top w:val="none" w:sz="0" w:space="0" w:color="auto"/>
            <w:left w:val="none" w:sz="0" w:space="0" w:color="auto"/>
            <w:bottom w:val="none" w:sz="0" w:space="0" w:color="auto"/>
            <w:right w:val="none" w:sz="0" w:space="0" w:color="auto"/>
          </w:divBdr>
          <w:divsChild>
            <w:div w:id="1351488453">
              <w:marLeft w:val="0"/>
              <w:marRight w:val="0"/>
              <w:marTop w:val="0"/>
              <w:marBottom w:val="0"/>
              <w:divBdr>
                <w:top w:val="none" w:sz="0" w:space="0" w:color="auto"/>
                <w:left w:val="none" w:sz="0" w:space="0" w:color="auto"/>
                <w:bottom w:val="none" w:sz="0" w:space="0" w:color="auto"/>
                <w:right w:val="none" w:sz="0" w:space="0" w:color="auto"/>
              </w:divBdr>
              <w:divsChild>
                <w:div w:id="15754344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56107267">
          <w:marLeft w:val="0"/>
          <w:marRight w:val="0"/>
          <w:marTop w:val="0"/>
          <w:marBottom w:val="0"/>
          <w:divBdr>
            <w:top w:val="none" w:sz="0" w:space="0" w:color="auto"/>
            <w:left w:val="none" w:sz="0" w:space="0" w:color="auto"/>
            <w:bottom w:val="none" w:sz="0" w:space="0" w:color="auto"/>
            <w:right w:val="none" w:sz="0" w:space="0" w:color="auto"/>
          </w:divBdr>
          <w:divsChild>
            <w:div w:id="538128065">
              <w:marLeft w:val="0"/>
              <w:marRight w:val="0"/>
              <w:marTop w:val="0"/>
              <w:marBottom w:val="0"/>
              <w:divBdr>
                <w:top w:val="none" w:sz="0" w:space="0" w:color="auto"/>
                <w:left w:val="none" w:sz="0" w:space="0" w:color="auto"/>
                <w:bottom w:val="none" w:sz="0" w:space="0" w:color="auto"/>
                <w:right w:val="none" w:sz="0" w:space="0" w:color="auto"/>
              </w:divBdr>
              <w:divsChild>
                <w:div w:id="1418550716">
                  <w:marLeft w:val="0"/>
                  <w:marRight w:val="0"/>
                  <w:marTop w:val="0"/>
                  <w:marBottom w:val="0"/>
                  <w:divBdr>
                    <w:top w:val="none" w:sz="0" w:space="0" w:color="auto"/>
                    <w:left w:val="none" w:sz="0" w:space="0" w:color="auto"/>
                    <w:bottom w:val="none" w:sz="0" w:space="0" w:color="auto"/>
                    <w:right w:val="none" w:sz="0" w:space="0" w:color="auto"/>
                  </w:divBdr>
                  <w:divsChild>
                    <w:div w:id="696539118">
                      <w:marLeft w:val="0"/>
                      <w:marRight w:val="0"/>
                      <w:marTop w:val="0"/>
                      <w:marBottom w:val="0"/>
                      <w:divBdr>
                        <w:top w:val="none" w:sz="0" w:space="0" w:color="auto"/>
                        <w:left w:val="none" w:sz="0" w:space="0" w:color="auto"/>
                        <w:bottom w:val="none" w:sz="0" w:space="0" w:color="auto"/>
                        <w:right w:val="none" w:sz="0" w:space="0" w:color="auto"/>
                      </w:divBdr>
                      <w:divsChild>
                        <w:div w:id="1392077676">
                          <w:marLeft w:val="0"/>
                          <w:marRight w:val="0"/>
                          <w:marTop w:val="0"/>
                          <w:marBottom w:val="0"/>
                          <w:divBdr>
                            <w:top w:val="none" w:sz="0" w:space="0" w:color="auto"/>
                            <w:left w:val="none" w:sz="0" w:space="0" w:color="auto"/>
                            <w:bottom w:val="none" w:sz="0" w:space="0" w:color="auto"/>
                            <w:right w:val="none" w:sz="0" w:space="0" w:color="auto"/>
                          </w:divBdr>
                          <w:divsChild>
                            <w:div w:id="3530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473631">
      <w:bodyDiv w:val="1"/>
      <w:marLeft w:val="0"/>
      <w:marRight w:val="0"/>
      <w:marTop w:val="0"/>
      <w:marBottom w:val="0"/>
      <w:divBdr>
        <w:top w:val="none" w:sz="0" w:space="0" w:color="auto"/>
        <w:left w:val="none" w:sz="0" w:space="0" w:color="auto"/>
        <w:bottom w:val="none" w:sz="0" w:space="0" w:color="auto"/>
        <w:right w:val="none" w:sz="0" w:space="0" w:color="auto"/>
      </w:divBdr>
    </w:div>
    <w:div w:id="211512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in.ulster.ac.uk/issues/victims/docs/connolly03.pdf" TargetMode="External"/><Relationship Id="rId18" Type="http://schemas.openxmlformats.org/officeDocument/2006/relationships/hyperlink" Target="https://assets.publishing.service.gov.uk/government/uploads/system/uploads/attachment_data/file/139565/dh_4122427.pdf" TargetMode="External"/><Relationship Id="rId26" Type="http://schemas.openxmlformats.org/officeDocument/2006/relationships/hyperlink" Target="https://www.mmu.ac.uk/media/mmuacuk/content/documents/rke/Advisory-Distress-Protocol.pdf" TargetMode="External"/><Relationship Id="rId39" Type="http://schemas.openxmlformats.org/officeDocument/2006/relationships/hyperlink" Target="https://www.nice.org.uk/Media/Default/About/what-we-do/science-policy-and-research/research-governance-policy.pdf" TargetMode="External"/><Relationship Id="rId21" Type="http://schemas.openxmlformats.org/officeDocument/2006/relationships/hyperlink" Target="https://svri.org/sites/default/files/attachments/2016-01-13/pdf_0.pdf" TargetMode="External"/><Relationship Id="rId34" Type="http://schemas.openxmlformats.org/officeDocument/2006/relationships/hyperlink" Target="https://doi.org/10.1186/s40900-022-00403-4" TargetMode="External"/><Relationship Id="rId42" Type="http://schemas.openxmlformats.org/officeDocument/2006/relationships/hyperlink" Target="https://www.cumbria.ac.uk/media/Lone-Worker-Procedures-for-Researchers.pdf" TargetMode="External"/><Relationship Id="rId47" Type="http://schemas.openxmlformats.org/officeDocument/2006/relationships/hyperlink" Target="https://blogs.bmj.com/medical-ethics/2018/04/27/protection-by-exclusion-capacity-as-a-gatekeeper-to-research/" TargetMode="External"/><Relationship Id="rId50" Type="http://schemas.openxmlformats.org/officeDocument/2006/relationships/hyperlink" Target="https://www.universitiesuk.ac.uk/sites/default/files/field/downloads/2021-08/Updated%20FINAL-the-concordat-to-support-research-integrity.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ac.uk/files/atoms/files/bps_guidelines_for_conducting_research_with_people_not_having_capacity_to_consent.pdf" TargetMode="External"/><Relationship Id="rId17" Type="http://schemas.openxmlformats.org/officeDocument/2006/relationships/hyperlink" Target="https://www.irishstatutebook.ie/eli/2018/si/314/made/en/pdf" TargetMode="External"/><Relationship Id="rId25" Type="http://schemas.openxmlformats.org/officeDocument/2006/relationships/hyperlink" Target="https://assets.publishing.service.gov.uk/government/uploads/system/uploads/attachment_data/file/497221/ethics_participants_tcm6-5783.pdf" TargetMode="External"/><Relationship Id="rId33" Type="http://schemas.openxmlformats.org/officeDocument/2006/relationships/hyperlink" Target="https://www.um.edu.mt/media/um/docs/research/urec/DisabilityGuidelines.pdf" TargetMode="External"/><Relationship Id="rId38" Type="http://schemas.openxmlformats.org/officeDocument/2006/relationships/hyperlink" Target="https://neac.health.govt.nz/publications-and-resources/neac-publications/national-ethical-standards-for-health-and-disability-research-and-quality-improvement/" TargetMode="External"/><Relationship Id="rId46" Type="http://schemas.openxmlformats.org/officeDocument/2006/relationships/hyperlink" Target="https://doi.org/10.1016/S1479-3547(01)80018-X" TargetMode="External"/><Relationship Id="rId2" Type="http://schemas.openxmlformats.org/officeDocument/2006/relationships/numbering" Target="numbering.xml"/><Relationship Id="rId16" Type="http://schemas.openxmlformats.org/officeDocument/2006/relationships/hyperlink" Target="https://www.irishstatutebook.ie/eli/2018/act/7/enacted/en/html" TargetMode="External"/><Relationship Id="rId20" Type="http://schemas.openxmlformats.org/officeDocument/2006/relationships/hyperlink" Target="https://hdl.handle.net/10344/5187" TargetMode="External"/><Relationship Id="rId29" Type="http://schemas.openxmlformats.org/officeDocument/2006/relationships/hyperlink" Target="https://hseresearch.ie/wp-content/uploads/2022/02/Standard-Code-of-Governance-and-Management-Required-for-HSE-RRECs_-V0.9-PF.pdf" TargetMode="External"/><Relationship Id="rId41" Type="http://schemas.openxmlformats.org/officeDocument/2006/relationships/hyperlink" Target="https://ec.europa.eu/info/funding-tenders/opportunities/docs/2021-2027/horizon/guidance/ethics-in-social-science-and-humanities_he_en.pdf" TargetMode="External"/><Relationship Id="rId54" Type="http://schemas.openxmlformats.org/officeDocument/2006/relationships/hyperlink" Target="https://discovery.ucl.ac.uk/id/eprint/10116975/1/Williams_Article-symposium-response-Gatekeepers%20and%20support%20for%20research%20involving%20people%20with%20learning%20disabil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statutebook.ie/eli/2022/act/46/enacted/en/html" TargetMode="External"/><Relationship Id="rId24" Type="http://schemas.openxmlformats.org/officeDocument/2006/relationships/hyperlink" Target="https://creatingourfuture.ie/wp-content/uploads/2022/07/Creating-Our-Future-EXPERT-Report.pdf" TargetMode="External"/><Relationship Id="rId32" Type="http://schemas.openxmlformats.org/officeDocument/2006/relationships/hyperlink" Target="https://www.futurelearn.com/info/courses/global-disability-research-and-evidence/0/steps/99287" TargetMode="External"/><Relationship Id="rId37" Type="http://schemas.openxmlformats.org/officeDocument/2006/relationships/hyperlink" Target="https://nda.ie/publications/participation-matters-guidelines-on-implementing-the-obligation-to-meaningfully-engage-with-disabled-people-in-public-decision-making" TargetMode="External"/><Relationship Id="rId40" Type="http://schemas.openxmlformats.org/officeDocument/2006/relationships/hyperlink" Target="https://data.oireachtas.ie/ie/oireachtas/libraryResearch/2017/2017-05-16_assisted-decision-making-capacity-act-2015-how-will-it-work_en.pdf" TargetMode="External"/><Relationship Id="rId45" Type="http://schemas.openxmlformats.org/officeDocument/2006/relationships/hyperlink" Target="https://doi.org/10.1080/00909880500149445" TargetMode="External"/><Relationship Id="rId53" Type="http://schemas.openxmlformats.org/officeDocument/2006/relationships/hyperlink" Target="https://discovery.ucl.ac.uk/id/eprint/10114438/1/Williams_Barnett_UPDATED%20Figures%20PAPER.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104973202129120313" TargetMode="External"/><Relationship Id="rId23" Type="http://schemas.openxmlformats.org/officeDocument/2006/relationships/hyperlink" Target="https://doi.org/10.1007/978-3-030-16759-2_30" TargetMode="External"/><Relationship Id="rId28" Type="http://schemas.openxmlformats.org/officeDocument/2006/relationships/hyperlink" Target="https://hseresearch.ie/wp-content/uploads/2021/09/HSE-Framework-for-the-Governance-Web-Optimised.pdf" TargetMode="External"/><Relationship Id="rId36" Type="http://schemas.openxmlformats.org/officeDocument/2006/relationships/hyperlink" Target="https://nda.ie/publications/conducting-collaborative-research-with-people-with-disabilities-a-literature-review" TargetMode="External"/><Relationship Id="rId49" Type="http://schemas.openxmlformats.org/officeDocument/2006/relationships/hyperlink" Target="https://www.ukri.org/wp-content/uploads/2021/08/MRC-0208212-GDPR-lawful-basis-research-consent-and-confidentiality.pdf" TargetMode="External"/><Relationship Id="rId57" Type="http://schemas.openxmlformats.org/officeDocument/2006/relationships/fontTable" Target="fontTable.xml"/><Relationship Id="rId10" Type="http://schemas.openxmlformats.org/officeDocument/2006/relationships/hyperlink" Target="https://www.irishstatutebook.ie/eli/2015/act/64/enacted/en/html" TargetMode="External"/><Relationship Id="rId19" Type="http://schemas.openxmlformats.org/officeDocument/2006/relationships/hyperlink" Target="file:///C:\Users\tammingr\Downloads\137563_649af228-7c82-4b53-9184-8e9cb84b6071.pdf" TargetMode="External"/><Relationship Id="rId31" Type="http://schemas.openxmlformats.org/officeDocument/2006/relationships/hyperlink" Target="http://www.invo.org.uk/All_Publications.asp" TargetMode="External"/><Relationship Id="rId44" Type="http://schemas.openxmlformats.org/officeDocument/2006/relationships/hyperlink" Target="https://oai.web2.ncku.edu.tw/var/file/72/1072/img/454/ensuring-integrity-in-irish-research.pdf.pdf" TargetMode="External"/><Relationship Id="rId52" Type="http://schemas.openxmlformats.org/officeDocument/2006/relationships/hyperlink" Target="https://www.socresonline.org.uk/12/2/wiles.html" TargetMode="External"/><Relationship Id="rId4" Type="http://schemas.openxmlformats.org/officeDocument/2006/relationships/settings" Target="settings.xml"/><Relationship Id="rId9" Type="http://schemas.openxmlformats.org/officeDocument/2006/relationships/hyperlink" Target="https://allea.org/wp-content/uploads/2023/06/European-Code-of-Conduct-Revised-Edition-2023.pdf" TargetMode="External"/><Relationship Id="rId14" Type="http://schemas.openxmlformats.org/officeDocument/2006/relationships/hyperlink" Target="mailto:nhmrc.publications@nhmrc.gov.au" TargetMode="External"/><Relationship Id="rId22" Type="http://schemas.openxmlformats.org/officeDocument/2006/relationships/hyperlink" Target="https://ec.europa.eu/research/participants/data/ref/fp7/89888/ethics-for-researchers_en.pdf" TargetMode="External"/><Relationship Id="rId27" Type="http://schemas.openxmlformats.org/officeDocument/2006/relationships/hyperlink" Target="https://hseresearch.ie/wp-content/uploads/2019/12/10-Year-Action-Plan.pdf" TargetMode="External"/><Relationship Id="rId30" Type="http://schemas.openxmlformats.org/officeDocument/2006/relationships/hyperlink" Target="http://www.invo.org.uk/pdfs/INVOLVE_NRESfinalStatement310309.pdf" TargetMode="External"/><Relationship Id="rId35" Type="http://schemas.openxmlformats.org/officeDocument/2006/relationships/hyperlink" Target="https://nda.ie/publications/nda-advice-paper-on-disability-language-and-terminology" TargetMode="External"/><Relationship Id="rId43" Type="http://schemas.openxmlformats.org/officeDocument/2006/relationships/hyperlink" Target="https://www.niehs.nih.gov/research/resources/bioethics/whatis/index.cfm" TargetMode="External"/><Relationship Id="rId48" Type="http://schemas.openxmlformats.org/officeDocument/2006/relationships/hyperlink" Target="https://www.ukri.org/councils/esrc/guidance-for-applicants/research-ethics-guidance/useful-resources/key-terms-glossary/"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hhs.gov/ohrp/international/ethical-codes-and-research-standards/index.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assets.hse.ie/media/documents/Lone_Working_policy.pdf" TargetMode="External"/><Relationship Id="rId13" Type="http://schemas.openxmlformats.org/officeDocument/2006/relationships/hyperlink" Target="https://www.dataprotection.ie/sites/default/files/uploads/2019-07/190710%20Data%20Protection%20Basics.pdf" TargetMode="External"/><Relationship Id="rId3" Type="http://schemas.openxmlformats.org/officeDocument/2006/relationships/hyperlink" Target="https://www.un.org/development/desa/disabilities/convention-on-the-rights-of-persons-with-disabilities/article-31-statistics-and-data-collection.html" TargetMode="External"/><Relationship Id="rId7" Type="http://schemas.openxmlformats.org/officeDocument/2006/relationships/hyperlink" Target="https://www.hsa.ie/eng/topics/hazards/lone_workers/" TargetMode="External"/><Relationship Id="rId12" Type="http://schemas.openxmlformats.org/officeDocument/2006/relationships/hyperlink" Target="https://decisionsupportservice.ie" TargetMode="External"/><Relationship Id="rId2" Type="http://schemas.openxmlformats.org/officeDocument/2006/relationships/hyperlink" Target="https://www.un.org/development/desa/disabilities/convention-on-the-rights-of-persons-with-disabilities/article-4-general-obligations.html" TargetMode="External"/><Relationship Id="rId16" Type="http://schemas.openxmlformats.org/officeDocument/2006/relationships/hyperlink" Target="https://childethics.com/philosophy/" TargetMode="External"/><Relationship Id="rId1" Type="http://schemas.openxmlformats.org/officeDocument/2006/relationships/hyperlink" Target="https://nda.ie/publications/a-review-of-disabled-persons-organisations-and-their-participation-in-implementing-and-monitoring-uncrpd" TargetMode="External"/><Relationship Id="rId6" Type="http://schemas.openxmlformats.org/officeDocument/2006/relationships/hyperlink" Target="https://cdrnys.org/blog/uncategorized/ableism/" TargetMode="External"/><Relationship Id="rId11" Type="http://schemas.openxmlformats.org/officeDocument/2006/relationships/hyperlink" Target="https://www.decisionsupportservice.ie/services/decision-supporters" TargetMode="External"/><Relationship Id="rId5" Type="http://schemas.openxmlformats.org/officeDocument/2006/relationships/hyperlink" Target="https://www.nrecoffice.ie/about/national-office/" TargetMode="External"/><Relationship Id="rId15" Type="http://schemas.openxmlformats.org/officeDocument/2006/relationships/hyperlink" Target="https://www.iua.ie/wp-content/uploads/2021/04/National-Policy-Statement-on-Ensuring-Research-Integrity-in-Ireland.pdf" TargetMode="External"/><Relationship Id="rId10" Type="http://schemas.openxmlformats.org/officeDocument/2006/relationships/hyperlink" Target="https://www.decisionsupportservice.ie/services/decision-support-arrangements" TargetMode="External"/><Relationship Id="rId4" Type="http://schemas.openxmlformats.org/officeDocument/2006/relationships/hyperlink" Target="https://creatingourfuture.ie/wp-content/uploads/2022/07/Creating-Our-Future-EXPERT-Report.pdf" TargetMode="External"/><Relationship Id="rId9" Type="http://schemas.openxmlformats.org/officeDocument/2006/relationships/hyperlink" Target="https://hrcdc.ie/" TargetMode="External"/><Relationship Id="rId14" Type="http://schemas.openxmlformats.org/officeDocument/2006/relationships/hyperlink" Target="https://www.iua.ie/wp-content/uploads/2021/04/National-Policy-Statement-on-Ensuring-Research-Integrity-in-Irel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1954-410A-4A8B-99C4-DEED5C3B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81</Pages>
  <Words>18277</Words>
  <Characters>104182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 Hannon</dc:creator>
  <cp:keywords/>
  <dc:description/>
  <cp:lastModifiedBy>Heather O'Leary (NDA)</cp:lastModifiedBy>
  <cp:revision>3</cp:revision>
  <cp:lastPrinted>2023-08-03T08:39:00Z</cp:lastPrinted>
  <dcterms:created xsi:type="dcterms:W3CDTF">2024-02-28T10:57:00Z</dcterms:created>
  <dcterms:modified xsi:type="dcterms:W3CDTF">2024-02-28T10:58:00Z</dcterms:modified>
</cp:coreProperties>
</file>