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9A3F8" w14:textId="1371F4F4" w:rsidR="004B0D63" w:rsidRPr="0096260D" w:rsidRDefault="00A96C54" w:rsidP="009C3BD7">
      <w:pPr>
        <w:pStyle w:val="Title"/>
        <w:rPr>
          <w:rFonts w:ascii="Rockwell" w:hAnsi="Rockwell"/>
          <w:color w:val="CC3399"/>
          <w:sz w:val="72"/>
          <w:szCs w:val="72"/>
        </w:rPr>
      </w:pPr>
      <w:bookmarkStart w:id="0" w:name="_Toc141260642"/>
      <w:bookmarkStart w:id="1" w:name="_Toc78967395"/>
      <w:bookmarkStart w:id="2" w:name="_Toc80626260"/>
      <w:r>
        <w:rPr>
          <w:rFonts w:ascii="Rockwell" w:hAnsi="Rockwell"/>
          <w:color w:val="CC3399"/>
          <w:sz w:val="72"/>
          <w:szCs w:val="72"/>
        </w:rPr>
        <w:t>National Disability Authority</w:t>
      </w:r>
      <w:r w:rsidR="00C53419" w:rsidRPr="0096260D">
        <w:rPr>
          <w:rFonts w:ascii="Rockwell" w:hAnsi="Rockwell"/>
          <w:color w:val="CC3399"/>
          <w:sz w:val="72"/>
          <w:szCs w:val="72"/>
        </w:rPr>
        <w:t xml:space="preserve"> – Part 3 </w:t>
      </w:r>
      <w:r w:rsidR="00B225A4" w:rsidRPr="0096260D">
        <w:rPr>
          <w:rFonts w:ascii="Rockwell" w:hAnsi="Rockwell"/>
          <w:color w:val="CC3399"/>
          <w:sz w:val="72"/>
          <w:szCs w:val="72"/>
        </w:rPr>
        <w:t>Code of Practice on Accessibility of Public Services and Information provided by Public Bodies</w:t>
      </w:r>
      <w:bookmarkEnd w:id="0"/>
    </w:p>
    <w:p w14:paraId="69D3089A" w14:textId="1714C21E" w:rsidR="0083753F" w:rsidRPr="0096260D" w:rsidRDefault="00C53419" w:rsidP="009C3BD7">
      <w:pPr>
        <w:pStyle w:val="Title"/>
        <w:rPr>
          <w:rFonts w:ascii="Rockwell" w:hAnsi="Rockwell"/>
          <w:color w:val="CC3399"/>
          <w:sz w:val="72"/>
          <w:szCs w:val="72"/>
        </w:rPr>
      </w:pPr>
      <w:bookmarkStart w:id="3" w:name="_Toc141092073"/>
      <w:bookmarkStart w:id="4" w:name="_Toc141260643"/>
      <w:r w:rsidRPr="0096260D">
        <w:rPr>
          <w:rFonts w:ascii="Rockwell" w:hAnsi="Rockwell"/>
          <w:color w:val="CC3399"/>
          <w:sz w:val="72"/>
          <w:szCs w:val="72"/>
        </w:rPr>
        <w:t xml:space="preserve">Monitoring Report </w:t>
      </w:r>
      <w:r w:rsidR="006513F7" w:rsidRPr="0096260D">
        <w:rPr>
          <w:rFonts w:ascii="Rockwell" w:hAnsi="Rockwell"/>
          <w:color w:val="CC3399"/>
          <w:sz w:val="72"/>
          <w:szCs w:val="72"/>
        </w:rPr>
        <w:t>2022</w:t>
      </w:r>
      <w:bookmarkEnd w:id="1"/>
      <w:bookmarkEnd w:id="2"/>
      <w:bookmarkEnd w:id="3"/>
      <w:bookmarkEnd w:id="4"/>
    </w:p>
    <w:p w14:paraId="7F899A99" w14:textId="77777777" w:rsidR="0096260D" w:rsidRDefault="0096260D" w:rsidP="0083753F">
      <w:pPr>
        <w:pStyle w:val="Title"/>
        <w:rPr>
          <w:rFonts w:ascii="Rockwell" w:hAnsi="Rockwell"/>
          <w:color w:val="CC3399"/>
          <w:sz w:val="72"/>
          <w:szCs w:val="72"/>
        </w:rPr>
      </w:pPr>
      <w:bookmarkStart w:id="5" w:name="_Toc141092074"/>
      <w:bookmarkStart w:id="6" w:name="_Toc141260644"/>
      <w:bookmarkStart w:id="7" w:name="_Toc138067157"/>
      <w:r>
        <w:rPr>
          <w:rFonts w:ascii="Rockwell" w:hAnsi="Rockwell"/>
          <w:color w:val="CC3399"/>
          <w:sz w:val="72"/>
          <w:szCs w:val="72"/>
        </w:rPr>
        <w:t>Executive Summary</w:t>
      </w:r>
      <w:bookmarkEnd w:id="5"/>
      <w:bookmarkEnd w:id="6"/>
    </w:p>
    <w:p w14:paraId="5DC08FB7" w14:textId="7F4B1C4C" w:rsidR="0083753F" w:rsidRPr="0096260D" w:rsidRDefault="00A618F8" w:rsidP="0083753F">
      <w:pPr>
        <w:pStyle w:val="Title"/>
        <w:rPr>
          <w:rFonts w:ascii="Rockwell" w:hAnsi="Rockwell"/>
          <w:color w:val="CC3399"/>
          <w:sz w:val="72"/>
          <w:szCs w:val="72"/>
        </w:rPr>
      </w:pPr>
      <w:bookmarkStart w:id="8" w:name="_Toc141092075"/>
      <w:bookmarkStart w:id="9" w:name="_Toc141260645"/>
      <w:r w:rsidRPr="0096260D">
        <w:rPr>
          <w:rFonts w:ascii="Rockwell" w:hAnsi="Rockwell"/>
          <w:color w:val="CC3399"/>
          <w:sz w:val="72"/>
          <w:szCs w:val="72"/>
        </w:rPr>
        <w:t xml:space="preserve">June </w:t>
      </w:r>
      <w:r w:rsidR="000C150E" w:rsidRPr="0096260D">
        <w:rPr>
          <w:rFonts w:ascii="Rockwell" w:hAnsi="Rockwell"/>
          <w:color w:val="CC3399"/>
          <w:sz w:val="72"/>
          <w:szCs w:val="72"/>
        </w:rPr>
        <w:t>2023</w:t>
      </w:r>
      <w:bookmarkEnd w:id="7"/>
      <w:bookmarkEnd w:id="8"/>
      <w:bookmarkEnd w:id="9"/>
    </w:p>
    <w:p w14:paraId="4B2CF74A" w14:textId="44991D33" w:rsidR="00453680" w:rsidRPr="00191726" w:rsidRDefault="0083753F">
      <w:pPr>
        <w:spacing w:after="0"/>
        <w:rPr>
          <w:rFonts w:ascii="Rockwell" w:hAnsi="Rockwell" w:cs="Arial"/>
          <w:b/>
          <w:bCs/>
          <w:color w:val="CC3399"/>
          <w:kern w:val="28"/>
          <w:sz w:val="120"/>
          <w:szCs w:val="120"/>
        </w:rPr>
      </w:pPr>
      <w:r w:rsidRPr="00D633FE">
        <w:rPr>
          <w:rFonts w:ascii="Rockwell" w:hAnsi="Rockwell"/>
          <w:noProof/>
          <w:color w:val="CC3399"/>
          <w:sz w:val="120"/>
          <w:szCs w:val="120"/>
          <w:lang w:eastAsia="en-IE"/>
        </w:rPr>
        <w:drawing>
          <wp:inline distT="0" distB="0" distL="0" distR="0" wp14:anchorId="4101F3F6" wp14:editId="6307FA06">
            <wp:extent cx="2650256" cy="1888176"/>
            <wp:effectExtent l="0" t="0" r="0" b="0"/>
            <wp:docPr id="1" name="Picture 1" descr="NDA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8066" cy="1943611"/>
                    </a:xfrm>
                    <a:prstGeom prst="rect">
                      <a:avLst/>
                    </a:prstGeom>
                    <a:noFill/>
                    <a:ln>
                      <a:noFill/>
                    </a:ln>
                  </pic:spPr>
                </pic:pic>
              </a:graphicData>
            </a:graphic>
          </wp:inline>
        </w:drawing>
      </w:r>
      <w:r w:rsidR="00453680" w:rsidRPr="00D633FE">
        <w:rPr>
          <w:rFonts w:ascii="Rockwell" w:hAnsi="Rockwell"/>
          <w:color w:val="CC3399"/>
          <w:sz w:val="120"/>
          <w:szCs w:val="120"/>
        </w:rPr>
        <w:br w:type="page"/>
      </w:r>
    </w:p>
    <w:bookmarkStart w:id="10" w:name="_Toc141260646" w:displacedByCustomXml="next"/>
    <w:sdt>
      <w:sdtPr>
        <w:rPr>
          <w:rFonts w:cs="Times New Roman"/>
          <w:b w:val="0"/>
          <w:bCs w:val="0"/>
          <w:kern w:val="0"/>
          <w:sz w:val="26"/>
          <w:szCs w:val="24"/>
        </w:rPr>
        <w:id w:val="-225297309"/>
        <w:docPartObj>
          <w:docPartGallery w:val="Table of Contents"/>
          <w:docPartUnique/>
        </w:docPartObj>
      </w:sdtPr>
      <w:sdtEndPr>
        <w:rPr>
          <w:noProof/>
        </w:rPr>
      </w:sdtEndPr>
      <w:sdtContent>
        <w:p w14:paraId="1717ABF3" w14:textId="730F5EA1" w:rsidR="000C03FA" w:rsidRPr="00C27D9B" w:rsidRDefault="000C03FA" w:rsidP="00755822">
          <w:pPr>
            <w:pStyle w:val="Heading1"/>
            <w:tabs>
              <w:tab w:val="left" w:pos="7620"/>
            </w:tabs>
          </w:pPr>
          <w:r w:rsidRPr="00D633FE">
            <w:t>Table of Contents</w:t>
          </w:r>
          <w:bookmarkEnd w:id="10"/>
          <w:r w:rsidR="00755822">
            <w:tab/>
          </w:r>
        </w:p>
        <w:p w14:paraId="1A137F01" w14:textId="18E1772A" w:rsidR="00C57002" w:rsidRPr="00C57002" w:rsidRDefault="000C03FA">
          <w:pPr>
            <w:pStyle w:val="TOC1"/>
            <w:tabs>
              <w:tab w:val="right" w:leader="dot" w:pos="8630"/>
            </w:tabs>
            <w:rPr>
              <w:rFonts w:eastAsiaTheme="minorEastAsia" w:cstheme="minorBidi"/>
              <w:b w:val="0"/>
              <w:noProof/>
              <w:sz w:val="22"/>
              <w:szCs w:val="22"/>
              <w:lang w:eastAsia="en-IE"/>
            </w:rPr>
          </w:pPr>
          <w:r w:rsidRPr="00D633FE">
            <w:rPr>
              <w:sz w:val="24"/>
            </w:rPr>
            <w:fldChar w:fldCharType="begin"/>
          </w:r>
          <w:r w:rsidRPr="00D633FE">
            <w:rPr>
              <w:sz w:val="24"/>
            </w:rPr>
            <w:instrText xml:space="preserve"> TOC \o "1-3" \h \z \u </w:instrText>
          </w:r>
          <w:r w:rsidRPr="00D633FE">
            <w:rPr>
              <w:sz w:val="24"/>
            </w:rPr>
            <w:fldChar w:fldCharType="separate"/>
          </w:r>
          <w:hyperlink w:anchor="_Toc141260642" w:history="1">
            <w:r w:rsidR="00C57002" w:rsidRPr="00C57002">
              <w:rPr>
                <w:rStyle w:val="Hyperlink"/>
                <w:noProof/>
              </w:rPr>
              <w:t>NDA Disability Act – Part 3 Code of Practice on Accessibility of Public Services and Information provided by Public Bodies</w:t>
            </w:r>
            <w:r w:rsidR="00C57002" w:rsidRPr="00C57002">
              <w:rPr>
                <w:noProof/>
                <w:webHidden/>
              </w:rPr>
              <w:tab/>
            </w:r>
            <w:r w:rsidR="00C57002" w:rsidRPr="00C57002">
              <w:rPr>
                <w:noProof/>
                <w:webHidden/>
              </w:rPr>
              <w:fldChar w:fldCharType="begin"/>
            </w:r>
            <w:r w:rsidR="00C57002" w:rsidRPr="00C57002">
              <w:rPr>
                <w:noProof/>
                <w:webHidden/>
              </w:rPr>
              <w:instrText xml:space="preserve"> PAGEREF _Toc141260642 \h </w:instrText>
            </w:r>
            <w:r w:rsidR="00C57002" w:rsidRPr="00C57002">
              <w:rPr>
                <w:noProof/>
                <w:webHidden/>
              </w:rPr>
            </w:r>
            <w:r w:rsidR="00C57002" w:rsidRPr="00C57002">
              <w:rPr>
                <w:noProof/>
                <w:webHidden/>
              </w:rPr>
              <w:fldChar w:fldCharType="separate"/>
            </w:r>
            <w:r w:rsidR="00C57002" w:rsidRPr="00C57002">
              <w:rPr>
                <w:noProof/>
                <w:webHidden/>
              </w:rPr>
              <w:t>1</w:t>
            </w:r>
            <w:r w:rsidR="00C57002" w:rsidRPr="00C57002">
              <w:rPr>
                <w:noProof/>
                <w:webHidden/>
              </w:rPr>
              <w:fldChar w:fldCharType="end"/>
            </w:r>
          </w:hyperlink>
        </w:p>
        <w:p w14:paraId="4648FEAD" w14:textId="1DA92476" w:rsidR="00C57002" w:rsidRPr="00C57002" w:rsidRDefault="0033034F">
          <w:pPr>
            <w:pStyle w:val="TOC1"/>
            <w:tabs>
              <w:tab w:val="right" w:leader="dot" w:pos="8630"/>
            </w:tabs>
            <w:rPr>
              <w:rFonts w:eastAsiaTheme="minorEastAsia" w:cstheme="minorBidi"/>
              <w:b w:val="0"/>
              <w:noProof/>
              <w:sz w:val="22"/>
              <w:szCs w:val="22"/>
              <w:lang w:eastAsia="en-IE"/>
            </w:rPr>
          </w:pPr>
          <w:hyperlink w:anchor="_Toc141260646" w:history="1">
            <w:r w:rsidR="00C57002" w:rsidRPr="00C57002">
              <w:rPr>
                <w:rStyle w:val="Hyperlink"/>
                <w:noProof/>
              </w:rPr>
              <w:t>Table of Contents</w:t>
            </w:r>
            <w:r w:rsidR="00C57002" w:rsidRPr="00C57002">
              <w:rPr>
                <w:noProof/>
                <w:webHidden/>
              </w:rPr>
              <w:tab/>
            </w:r>
            <w:r w:rsidR="00C57002" w:rsidRPr="00C57002">
              <w:rPr>
                <w:noProof/>
                <w:webHidden/>
              </w:rPr>
              <w:fldChar w:fldCharType="begin"/>
            </w:r>
            <w:r w:rsidR="00C57002" w:rsidRPr="00C57002">
              <w:rPr>
                <w:noProof/>
                <w:webHidden/>
              </w:rPr>
              <w:instrText xml:space="preserve"> PAGEREF _Toc141260646 \h </w:instrText>
            </w:r>
            <w:r w:rsidR="00C57002" w:rsidRPr="00C57002">
              <w:rPr>
                <w:noProof/>
                <w:webHidden/>
              </w:rPr>
            </w:r>
            <w:r w:rsidR="00C57002" w:rsidRPr="00C57002">
              <w:rPr>
                <w:noProof/>
                <w:webHidden/>
              </w:rPr>
              <w:fldChar w:fldCharType="separate"/>
            </w:r>
            <w:r w:rsidR="00C57002" w:rsidRPr="00C57002">
              <w:rPr>
                <w:noProof/>
                <w:webHidden/>
              </w:rPr>
              <w:t>2</w:t>
            </w:r>
            <w:r w:rsidR="00C57002" w:rsidRPr="00C57002">
              <w:rPr>
                <w:noProof/>
                <w:webHidden/>
              </w:rPr>
              <w:fldChar w:fldCharType="end"/>
            </w:r>
          </w:hyperlink>
        </w:p>
        <w:p w14:paraId="795F141A" w14:textId="0D5323F8" w:rsidR="00C57002" w:rsidRPr="00C57002" w:rsidRDefault="0033034F">
          <w:pPr>
            <w:pStyle w:val="TOC1"/>
            <w:tabs>
              <w:tab w:val="right" w:leader="dot" w:pos="8630"/>
            </w:tabs>
            <w:rPr>
              <w:rFonts w:eastAsiaTheme="minorEastAsia" w:cstheme="minorBidi"/>
              <w:b w:val="0"/>
              <w:noProof/>
              <w:sz w:val="22"/>
              <w:szCs w:val="22"/>
              <w:lang w:eastAsia="en-IE"/>
            </w:rPr>
          </w:pPr>
          <w:hyperlink w:anchor="_Toc141260647" w:history="1">
            <w:r w:rsidR="00C57002" w:rsidRPr="00C57002">
              <w:rPr>
                <w:rStyle w:val="Hyperlink"/>
                <w:noProof/>
              </w:rPr>
              <w:t>NDA Disability Act – Part 3 Monitoring Report 2022</w:t>
            </w:r>
            <w:r w:rsidR="00C57002" w:rsidRPr="00C57002">
              <w:rPr>
                <w:noProof/>
                <w:webHidden/>
              </w:rPr>
              <w:tab/>
            </w:r>
            <w:r w:rsidR="00C57002" w:rsidRPr="00C57002">
              <w:rPr>
                <w:noProof/>
                <w:webHidden/>
              </w:rPr>
              <w:fldChar w:fldCharType="begin"/>
            </w:r>
            <w:r w:rsidR="00C57002" w:rsidRPr="00C57002">
              <w:rPr>
                <w:noProof/>
                <w:webHidden/>
              </w:rPr>
              <w:instrText xml:space="preserve"> PAGEREF _Toc141260647 \h </w:instrText>
            </w:r>
            <w:r w:rsidR="00C57002" w:rsidRPr="00C57002">
              <w:rPr>
                <w:noProof/>
                <w:webHidden/>
              </w:rPr>
            </w:r>
            <w:r w:rsidR="00C57002" w:rsidRPr="00C57002">
              <w:rPr>
                <w:noProof/>
                <w:webHidden/>
              </w:rPr>
              <w:fldChar w:fldCharType="separate"/>
            </w:r>
            <w:r w:rsidR="00C57002" w:rsidRPr="00C57002">
              <w:rPr>
                <w:noProof/>
                <w:webHidden/>
              </w:rPr>
              <w:t>3</w:t>
            </w:r>
            <w:r w:rsidR="00C57002" w:rsidRPr="00C57002">
              <w:rPr>
                <w:noProof/>
                <w:webHidden/>
              </w:rPr>
              <w:fldChar w:fldCharType="end"/>
            </w:r>
          </w:hyperlink>
        </w:p>
        <w:p w14:paraId="4F9320CE" w14:textId="11F3E57D" w:rsidR="00C57002" w:rsidRPr="00C57002" w:rsidRDefault="0033034F">
          <w:pPr>
            <w:pStyle w:val="TOC1"/>
            <w:tabs>
              <w:tab w:val="right" w:leader="dot" w:pos="8630"/>
            </w:tabs>
            <w:rPr>
              <w:rFonts w:eastAsiaTheme="minorEastAsia" w:cstheme="minorBidi"/>
              <w:b w:val="0"/>
              <w:noProof/>
              <w:sz w:val="22"/>
              <w:szCs w:val="22"/>
              <w:lang w:eastAsia="en-IE"/>
            </w:rPr>
          </w:pPr>
          <w:hyperlink w:anchor="_Toc141260648" w:history="1">
            <w:r w:rsidR="00C57002" w:rsidRPr="00C57002">
              <w:rPr>
                <w:rStyle w:val="Hyperlink"/>
                <w:noProof/>
              </w:rPr>
              <w:t>Introduction</w:t>
            </w:r>
            <w:r w:rsidR="00C57002" w:rsidRPr="00C57002">
              <w:rPr>
                <w:noProof/>
                <w:webHidden/>
              </w:rPr>
              <w:tab/>
            </w:r>
            <w:r w:rsidR="00C57002" w:rsidRPr="00C57002">
              <w:rPr>
                <w:noProof/>
                <w:webHidden/>
              </w:rPr>
              <w:fldChar w:fldCharType="begin"/>
            </w:r>
            <w:r w:rsidR="00C57002" w:rsidRPr="00C57002">
              <w:rPr>
                <w:noProof/>
                <w:webHidden/>
              </w:rPr>
              <w:instrText xml:space="preserve"> PAGEREF _Toc141260648 \h </w:instrText>
            </w:r>
            <w:r w:rsidR="00C57002" w:rsidRPr="00C57002">
              <w:rPr>
                <w:noProof/>
                <w:webHidden/>
              </w:rPr>
            </w:r>
            <w:r w:rsidR="00C57002" w:rsidRPr="00C57002">
              <w:rPr>
                <w:noProof/>
                <w:webHidden/>
              </w:rPr>
              <w:fldChar w:fldCharType="separate"/>
            </w:r>
            <w:r w:rsidR="00C57002" w:rsidRPr="00C57002">
              <w:rPr>
                <w:noProof/>
                <w:webHidden/>
              </w:rPr>
              <w:t>3</w:t>
            </w:r>
            <w:r w:rsidR="00C57002" w:rsidRPr="00C57002">
              <w:rPr>
                <w:noProof/>
                <w:webHidden/>
              </w:rPr>
              <w:fldChar w:fldCharType="end"/>
            </w:r>
          </w:hyperlink>
        </w:p>
        <w:p w14:paraId="5A5E6650" w14:textId="6F24A629" w:rsidR="00C57002" w:rsidRPr="00C57002" w:rsidRDefault="0033034F">
          <w:pPr>
            <w:pStyle w:val="TOC2"/>
            <w:tabs>
              <w:tab w:val="right" w:leader="dot" w:pos="8630"/>
            </w:tabs>
            <w:rPr>
              <w:rFonts w:eastAsiaTheme="minorEastAsia" w:cstheme="minorBidi"/>
              <w:noProof/>
              <w:sz w:val="22"/>
              <w:szCs w:val="22"/>
              <w:lang w:eastAsia="en-IE"/>
            </w:rPr>
          </w:pPr>
          <w:hyperlink w:anchor="_Toc141260649" w:history="1">
            <w:r w:rsidR="00C57002" w:rsidRPr="00C57002">
              <w:rPr>
                <w:rStyle w:val="Hyperlink"/>
                <w:noProof/>
              </w:rPr>
              <w:t>Who we are</w:t>
            </w:r>
            <w:r w:rsidR="00C57002" w:rsidRPr="00C57002">
              <w:rPr>
                <w:noProof/>
                <w:webHidden/>
              </w:rPr>
              <w:tab/>
            </w:r>
            <w:r w:rsidR="00C57002" w:rsidRPr="00C57002">
              <w:rPr>
                <w:noProof/>
                <w:webHidden/>
              </w:rPr>
              <w:fldChar w:fldCharType="begin"/>
            </w:r>
            <w:r w:rsidR="00C57002" w:rsidRPr="00C57002">
              <w:rPr>
                <w:noProof/>
                <w:webHidden/>
              </w:rPr>
              <w:instrText xml:space="preserve"> PAGEREF _Toc141260649 \h </w:instrText>
            </w:r>
            <w:r w:rsidR="00C57002" w:rsidRPr="00C57002">
              <w:rPr>
                <w:noProof/>
                <w:webHidden/>
              </w:rPr>
            </w:r>
            <w:r w:rsidR="00C57002" w:rsidRPr="00C57002">
              <w:rPr>
                <w:noProof/>
                <w:webHidden/>
              </w:rPr>
              <w:fldChar w:fldCharType="separate"/>
            </w:r>
            <w:r w:rsidR="00C57002" w:rsidRPr="00C57002">
              <w:rPr>
                <w:noProof/>
                <w:webHidden/>
              </w:rPr>
              <w:t>3</w:t>
            </w:r>
            <w:r w:rsidR="00C57002" w:rsidRPr="00C57002">
              <w:rPr>
                <w:noProof/>
                <w:webHidden/>
              </w:rPr>
              <w:fldChar w:fldCharType="end"/>
            </w:r>
          </w:hyperlink>
        </w:p>
        <w:p w14:paraId="7287DEFB" w14:textId="431D0535" w:rsidR="00C57002" w:rsidRPr="00C57002" w:rsidRDefault="0033034F">
          <w:pPr>
            <w:pStyle w:val="TOC2"/>
            <w:tabs>
              <w:tab w:val="right" w:leader="dot" w:pos="8630"/>
            </w:tabs>
            <w:rPr>
              <w:rFonts w:eastAsiaTheme="minorEastAsia" w:cstheme="minorBidi"/>
              <w:noProof/>
              <w:sz w:val="22"/>
              <w:szCs w:val="22"/>
              <w:lang w:eastAsia="en-IE"/>
            </w:rPr>
          </w:pPr>
          <w:hyperlink w:anchor="_Toc141260650" w:history="1">
            <w:r w:rsidR="00C57002" w:rsidRPr="00C57002">
              <w:rPr>
                <w:rStyle w:val="Hyperlink"/>
                <w:noProof/>
              </w:rPr>
              <w:t>The NDA’s monitoring responsibilities</w:t>
            </w:r>
            <w:r w:rsidR="00C57002" w:rsidRPr="00C57002">
              <w:rPr>
                <w:noProof/>
                <w:webHidden/>
              </w:rPr>
              <w:tab/>
            </w:r>
            <w:r w:rsidR="00C57002" w:rsidRPr="00C57002">
              <w:rPr>
                <w:noProof/>
                <w:webHidden/>
              </w:rPr>
              <w:fldChar w:fldCharType="begin"/>
            </w:r>
            <w:r w:rsidR="00C57002" w:rsidRPr="00C57002">
              <w:rPr>
                <w:noProof/>
                <w:webHidden/>
              </w:rPr>
              <w:instrText xml:space="preserve"> PAGEREF _Toc141260650 \h </w:instrText>
            </w:r>
            <w:r w:rsidR="00C57002" w:rsidRPr="00C57002">
              <w:rPr>
                <w:noProof/>
                <w:webHidden/>
              </w:rPr>
            </w:r>
            <w:r w:rsidR="00C57002" w:rsidRPr="00C57002">
              <w:rPr>
                <w:noProof/>
                <w:webHidden/>
              </w:rPr>
              <w:fldChar w:fldCharType="separate"/>
            </w:r>
            <w:r w:rsidR="00C57002" w:rsidRPr="00C57002">
              <w:rPr>
                <w:noProof/>
                <w:webHidden/>
              </w:rPr>
              <w:t>3</w:t>
            </w:r>
            <w:r w:rsidR="00C57002" w:rsidRPr="00C57002">
              <w:rPr>
                <w:noProof/>
                <w:webHidden/>
              </w:rPr>
              <w:fldChar w:fldCharType="end"/>
            </w:r>
          </w:hyperlink>
        </w:p>
        <w:p w14:paraId="61822DCE" w14:textId="7D5A2D74" w:rsidR="00C57002" w:rsidRPr="00C57002" w:rsidRDefault="0033034F">
          <w:pPr>
            <w:pStyle w:val="TOC2"/>
            <w:tabs>
              <w:tab w:val="right" w:leader="dot" w:pos="8630"/>
            </w:tabs>
            <w:rPr>
              <w:rFonts w:eastAsiaTheme="minorEastAsia" w:cstheme="minorBidi"/>
              <w:noProof/>
              <w:sz w:val="22"/>
              <w:szCs w:val="22"/>
              <w:lang w:eastAsia="en-IE"/>
            </w:rPr>
          </w:pPr>
          <w:hyperlink w:anchor="_Toc141260651" w:history="1">
            <w:r w:rsidR="00C57002" w:rsidRPr="00C57002">
              <w:rPr>
                <w:rStyle w:val="Hyperlink"/>
                <w:noProof/>
              </w:rPr>
              <w:t>The purpose of this monitoring activity</w:t>
            </w:r>
            <w:r w:rsidR="00C57002" w:rsidRPr="00C57002">
              <w:rPr>
                <w:noProof/>
                <w:webHidden/>
              </w:rPr>
              <w:tab/>
            </w:r>
            <w:r w:rsidR="00C57002" w:rsidRPr="00C57002">
              <w:rPr>
                <w:noProof/>
                <w:webHidden/>
              </w:rPr>
              <w:fldChar w:fldCharType="begin"/>
            </w:r>
            <w:r w:rsidR="00C57002" w:rsidRPr="00C57002">
              <w:rPr>
                <w:noProof/>
                <w:webHidden/>
              </w:rPr>
              <w:instrText xml:space="preserve"> PAGEREF _Toc141260651 \h </w:instrText>
            </w:r>
            <w:r w:rsidR="00C57002" w:rsidRPr="00C57002">
              <w:rPr>
                <w:noProof/>
                <w:webHidden/>
              </w:rPr>
            </w:r>
            <w:r w:rsidR="00C57002" w:rsidRPr="00C57002">
              <w:rPr>
                <w:noProof/>
                <w:webHidden/>
              </w:rPr>
              <w:fldChar w:fldCharType="separate"/>
            </w:r>
            <w:r w:rsidR="00C57002" w:rsidRPr="00C57002">
              <w:rPr>
                <w:noProof/>
                <w:webHidden/>
              </w:rPr>
              <w:t>3</w:t>
            </w:r>
            <w:r w:rsidR="00C57002" w:rsidRPr="00C57002">
              <w:rPr>
                <w:noProof/>
                <w:webHidden/>
              </w:rPr>
              <w:fldChar w:fldCharType="end"/>
            </w:r>
          </w:hyperlink>
        </w:p>
        <w:p w14:paraId="5A2423F5" w14:textId="248EFB0D" w:rsidR="00C57002" w:rsidRPr="00C57002" w:rsidRDefault="0033034F">
          <w:pPr>
            <w:pStyle w:val="TOC3"/>
            <w:rPr>
              <w:rFonts w:eastAsiaTheme="minorEastAsia" w:cstheme="minorBidi"/>
              <w:noProof/>
              <w:sz w:val="22"/>
              <w:szCs w:val="22"/>
              <w:lang w:eastAsia="en-IE"/>
            </w:rPr>
          </w:pPr>
          <w:hyperlink w:anchor="_Toc141260652" w:history="1">
            <w:r w:rsidR="00C57002" w:rsidRPr="00C57002">
              <w:rPr>
                <w:rStyle w:val="Hyperlink"/>
                <w:noProof/>
              </w:rPr>
              <w:t>Section 26 (2) Access Officer</w:t>
            </w:r>
            <w:r w:rsidR="00C57002" w:rsidRPr="00C57002">
              <w:rPr>
                <w:noProof/>
                <w:webHidden/>
              </w:rPr>
              <w:tab/>
            </w:r>
            <w:r w:rsidR="00C57002" w:rsidRPr="00C57002">
              <w:rPr>
                <w:noProof/>
                <w:webHidden/>
              </w:rPr>
              <w:fldChar w:fldCharType="begin"/>
            </w:r>
            <w:r w:rsidR="00C57002" w:rsidRPr="00C57002">
              <w:rPr>
                <w:noProof/>
                <w:webHidden/>
              </w:rPr>
              <w:instrText xml:space="preserve"> PAGEREF _Toc141260652 \h </w:instrText>
            </w:r>
            <w:r w:rsidR="00C57002" w:rsidRPr="00C57002">
              <w:rPr>
                <w:noProof/>
                <w:webHidden/>
              </w:rPr>
            </w:r>
            <w:r w:rsidR="00C57002" w:rsidRPr="00C57002">
              <w:rPr>
                <w:noProof/>
                <w:webHidden/>
              </w:rPr>
              <w:fldChar w:fldCharType="separate"/>
            </w:r>
            <w:r w:rsidR="00C57002" w:rsidRPr="00C57002">
              <w:rPr>
                <w:noProof/>
                <w:webHidden/>
              </w:rPr>
              <w:t>3</w:t>
            </w:r>
            <w:r w:rsidR="00C57002" w:rsidRPr="00C57002">
              <w:rPr>
                <w:noProof/>
                <w:webHidden/>
              </w:rPr>
              <w:fldChar w:fldCharType="end"/>
            </w:r>
          </w:hyperlink>
        </w:p>
        <w:p w14:paraId="37844BF7" w14:textId="5033C7A5" w:rsidR="00C57002" w:rsidRPr="00C57002" w:rsidRDefault="0033034F">
          <w:pPr>
            <w:pStyle w:val="TOC2"/>
            <w:tabs>
              <w:tab w:val="right" w:leader="dot" w:pos="8630"/>
            </w:tabs>
            <w:rPr>
              <w:rFonts w:eastAsiaTheme="minorEastAsia" w:cstheme="minorBidi"/>
              <w:noProof/>
              <w:sz w:val="22"/>
              <w:szCs w:val="22"/>
              <w:lang w:eastAsia="en-IE"/>
            </w:rPr>
          </w:pPr>
          <w:hyperlink w:anchor="_Toc141260653" w:history="1">
            <w:r w:rsidR="00C57002" w:rsidRPr="00C57002">
              <w:rPr>
                <w:rStyle w:val="Hyperlink"/>
                <w:noProof/>
              </w:rPr>
              <w:t>Methods</w:t>
            </w:r>
            <w:r w:rsidR="00C57002" w:rsidRPr="00C57002">
              <w:rPr>
                <w:noProof/>
                <w:webHidden/>
              </w:rPr>
              <w:tab/>
            </w:r>
            <w:r w:rsidR="00C57002" w:rsidRPr="00C57002">
              <w:rPr>
                <w:noProof/>
                <w:webHidden/>
              </w:rPr>
              <w:fldChar w:fldCharType="begin"/>
            </w:r>
            <w:r w:rsidR="00C57002" w:rsidRPr="00C57002">
              <w:rPr>
                <w:noProof/>
                <w:webHidden/>
              </w:rPr>
              <w:instrText xml:space="preserve"> PAGEREF _Toc141260653 \h </w:instrText>
            </w:r>
            <w:r w:rsidR="00C57002" w:rsidRPr="00C57002">
              <w:rPr>
                <w:noProof/>
                <w:webHidden/>
              </w:rPr>
            </w:r>
            <w:r w:rsidR="00C57002" w:rsidRPr="00C57002">
              <w:rPr>
                <w:noProof/>
                <w:webHidden/>
              </w:rPr>
              <w:fldChar w:fldCharType="separate"/>
            </w:r>
            <w:r w:rsidR="00C57002" w:rsidRPr="00C57002">
              <w:rPr>
                <w:noProof/>
                <w:webHidden/>
              </w:rPr>
              <w:t>4</w:t>
            </w:r>
            <w:r w:rsidR="00C57002" w:rsidRPr="00C57002">
              <w:rPr>
                <w:noProof/>
                <w:webHidden/>
              </w:rPr>
              <w:fldChar w:fldCharType="end"/>
            </w:r>
          </w:hyperlink>
        </w:p>
        <w:p w14:paraId="69631407" w14:textId="2A36F574" w:rsidR="00C57002" w:rsidRPr="00C57002" w:rsidRDefault="0033034F">
          <w:pPr>
            <w:pStyle w:val="TOC1"/>
            <w:tabs>
              <w:tab w:val="right" w:leader="dot" w:pos="8630"/>
            </w:tabs>
            <w:rPr>
              <w:rFonts w:eastAsiaTheme="minorEastAsia" w:cstheme="minorBidi"/>
              <w:b w:val="0"/>
              <w:noProof/>
              <w:sz w:val="22"/>
              <w:szCs w:val="22"/>
              <w:lang w:eastAsia="en-IE"/>
            </w:rPr>
          </w:pPr>
          <w:hyperlink w:anchor="_Toc141260654" w:history="1">
            <w:r w:rsidR="00C57002" w:rsidRPr="00C57002">
              <w:rPr>
                <w:rStyle w:val="Hyperlink"/>
                <w:noProof/>
              </w:rPr>
              <w:t>Monitoring Findings - Initial Findings and Final Findings</w:t>
            </w:r>
            <w:r w:rsidR="00C57002" w:rsidRPr="00C57002">
              <w:rPr>
                <w:noProof/>
                <w:webHidden/>
              </w:rPr>
              <w:tab/>
            </w:r>
            <w:r w:rsidR="00C57002" w:rsidRPr="00C57002">
              <w:rPr>
                <w:noProof/>
                <w:webHidden/>
              </w:rPr>
              <w:fldChar w:fldCharType="begin"/>
            </w:r>
            <w:r w:rsidR="00C57002" w:rsidRPr="00C57002">
              <w:rPr>
                <w:noProof/>
                <w:webHidden/>
              </w:rPr>
              <w:instrText xml:space="preserve"> PAGEREF _Toc141260654 \h </w:instrText>
            </w:r>
            <w:r w:rsidR="00C57002" w:rsidRPr="00C57002">
              <w:rPr>
                <w:noProof/>
                <w:webHidden/>
              </w:rPr>
            </w:r>
            <w:r w:rsidR="00C57002" w:rsidRPr="00C57002">
              <w:rPr>
                <w:noProof/>
                <w:webHidden/>
              </w:rPr>
              <w:fldChar w:fldCharType="separate"/>
            </w:r>
            <w:r w:rsidR="00C57002" w:rsidRPr="00C57002">
              <w:rPr>
                <w:noProof/>
                <w:webHidden/>
              </w:rPr>
              <w:t>5</w:t>
            </w:r>
            <w:r w:rsidR="00C57002" w:rsidRPr="00C57002">
              <w:rPr>
                <w:noProof/>
                <w:webHidden/>
              </w:rPr>
              <w:fldChar w:fldCharType="end"/>
            </w:r>
          </w:hyperlink>
        </w:p>
        <w:p w14:paraId="19042D75" w14:textId="70022095" w:rsidR="00C57002" w:rsidRPr="00C57002" w:rsidRDefault="0033034F">
          <w:pPr>
            <w:pStyle w:val="TOC1"/>
            <w:tabs>
              <w:tab w:val="right" w:leader="dot" w:pos="8630"/>
            </w:tabs>
            <w:rPr>
              <w:rFonts w:eastAsiaTheme="minorEastAsia" w:cstheme="minorBidi"/>
              <w:b w:val="0"/>
              <w:noProof/>
              <w:sz w:val="22"/>
              <w:szCs w:val="22"/>
              <w:lang w:eastAsia="en-IE"/>
            </w:rPr>
          </w:pPr>
          <w:hyperlink w:anchor="_Toc141260655" w:history="1">
            <w:r w:rsidR="00C57002" w:rsidRPr="00C57002">
              <w:rPr>
                <w:rStyle w:val="Hyperlink"/>
                <w:noProof/>
              </w:rPr>
              <w:t>Impact of Monitoring</w:t>
            </w:r>
            <w:r w:rsidR="00C57002" w:rsidRPr="00C57002">
              <w:rPr>
                <w:noProof/>
                <w:webHidden/>
              </w:rPr>
              <w:tab/>
            </w:r>
            <w:r w:rsidR="00C57002" w:rsidRPr="00C57002">
              <w:rPr>
                <w:noProof/>
                <w:webHidden/>
              </w:rPr>
              <w:fldChar w:fldCharType="begin"/>
            </w:r>
            <w:r w:rsidR="00C57002" w:rsidRPr="00C57002">
              <w:rPr>
                <w:noProof/>
                <w:webHidden/>
              </w:rPr>
              <w:instrText xml:space="preserve"> PAGEREF _Toc141260655 \h </w:instrText>
            </w:r>
            <w:r w:rsidR="00C57002" w:rsidRPr="00C57002">
              <w:rPr>
                <w:noProof/>
                <w:webHidden/>
              </w:rPr>
            </w:r>
            <w:r w:rsidR="00C57002" w:rsidRPr="00C57002">
              <w:rPr>
                <w:noProof/>
                <w:webHidden/>
              </w:rPr>
              <w:fldChar w:fldCharType="separate"/>
            </w:r>
            <w:r w:rsidR="00C57002" w:rsidRPr="00C57002">
              <w:rPr>
                <w:noProof/>
                <w:webHidden/>
              </w:rPr>
              <w:t>8</w:t>
            </w:r>
            <w:r w:rsidR="00C57002" w:rsidRPr="00C57002">
              <w:rPr>
                <w:noProof/>
                <w:webHidden/>
              </w:rPr>
              <w:fldChar w:fldCharType="end"/>
            </w:r>
          </w:hyperlink>
        </w:p>
        <w:p w14:paraId="50509DF8" w14:textId="4CFCEC6A" w:rsidR="00C57002" w:rsidRPr="00C57002" w:rsidRDefault="0033034F">
          <w:pPr>
            <w:pStyle w:val="TOC1"/>
            <w:tabs>
              <w:tab w:val="right" w:leader="dot" w:pos="8630"/>
            </w:tabs>
            <w:rPr>
              <w:rFonts w:eastAsiaTheme="minorEastAsia" w:cstheme="minorBidi"/>
              <w:b w:val="0"/>
              <w:noProof/>
              <w:sz w:val="22"/>
              <w:szCs w:val="22"/>
              <w:lang w:eastAsia="en-IE"/>
            </w:rPr>
          </w:pPr>
          <w:hyperlink w:anchor="_Toc141260656" w:history="1">
            <w:r w:rsidR="00C57002" w:rsidRPr="00C57002">
              <w:rPr>
                <w:rStyle w:val="Hyperlink"/>
                <w:rFonts w:eastAsia="SimSun"/>
                <w:noProof/>
                <w:lang w:eastAsia="en-IE"/>
              </w:rPr>
              <w:t>Conclusion and Recommendations</w:t>
            </w:r>
            <w:r w:rsidR="00C57002" w:rsidRPr="00C57002">
              <w:rPr>
                <w:noProof/>
                <w:webHidden/>
              </w:rPr>
              <w:tab/>
            </w:r>
            <w:r w:rsidR="00C57002" w:rsidRPr="00C57002">
              <w:rPr>
                <w:noProof/>
                <w:webHidden/>
              </w:rPr>
              <w:fldChar w:fldCharType="begin"/>
            </w:r>
            <w:r w:rsidR="00C57002" w:rsidRPr="00C57002">
              <w:rPr>
                <w:noProof/>
                <w:webHidden/>
              </w:rPr>
              <w:instrText xml:space="preserve"> PAGEREF _Toc141260656 \h </w:instrText>
            </w:r>
            <w:r w:rsidR="00C57002" w:rsidRPr="00C57002">
              <w:rPr>
                <w:noProof/>
                <w:webHidden/>
              </w:rPr>
            </w:r>
            <w:r w:rsidR="00C57002" w:rsidRPr="00C57002">
              <w:rPr>
                <w:noProof/>
                <w:webHidden/>
              </w:rPr>
              <w:fldChar w:fldCharType="separate"/>
            </w:r>
            <w:r w:rsidR="00C57002" w:rsidRPr="00C57002">
              <w:rPr>
                <w:noProof/>
                <w:webHidden/>
              </w:rPr>
              <w:t>10</w:t>
            </w:r>
            <w:r w:rsidR="00C57002" w:rsidRPr="00C57002">
              <w:rPr>
                <w:noProof/>
                <w:webHidden/>
              </w:rPr>
              <w:fldChar w:fldCharType="end"/>
            </w:r>
          </w:hyperlink>
        </w:p>
        <w:p w14:paraId="5646F51D" w14:textId="3FC92356" w:rsidR="000C03FA" w:rsidRPr="00D633FE" w:rsidRDefault="000C03FA">
          <w:r w:rsidRPr="00D633FE">
            <w:rPr>
              <w:b/>
              <w:bCs/>
              <w:noProof/>
              <w:sz w:val="24"/>
            </w:rPr>
            <w:fldChar w:fldCharType="end"/>
          </w:r>
        </w:p>
      </w:sdtContent>
    </w:sdt>
    <w:p w14:paraId="3BBB7055" w14:textId="7855EB92" w:rsidR="00A813F7" w:rsidRDefault="00A813F7">
      <w:pPr>
        <w:spacing w:after="0"/>
        <w:rPr>
          <w:rFonts w:cs="Arial"/>
          <w:b/>
          <w:bCs/>
          <w:kern w:val="28"/>
          <w:sz w:val="36"/>
          <w:szCs w:val="32"/>
        </w:rPr>
      </w:pPr>
      <w:bookmarkStart w:id="11" w:name="_Toc141260647"/>
      <w:bookmarkStart w:id="12" w:name="_Toc78967397"/>
      <w:r>
        <w:br w:type="page"/>
      </w:r>
    </w:p>
    <w:p w14:paraId="12BF439B" w14:textId="49AE3887" w:rsidR="00DB2A93" w:rsidRPr="00D633FE" w:rsidRDefault="00DB2A93" w:rsidP="00DB2A93">
      <w:pPr>
        <w:pStyle w:val="Title"/>
      </w:pPr>
      <w:r w:rsidRPr="00D633FE">
        <w:lastRenderedPageBreak/>
        <w:t>NDA Disability Act – Part 3 Monitoring Report 202</w:t>
      </w:r>
      <w:r w:rsidR="00575E0F" w:rsidRPr="00D633FE">
        <w:t>2</w:t>
      </w:r>
      <w:bookmarkEnd w:id="11"/>
    </w:p>
    <w:p w14:paraId="4E913D71" w14:textId="77777777" w:rsidR="009C3BD7" w:rsidRPr="00D633FE" w:rsidRDefault="00453680" w:rsidP="009C3BD7">
      <w:pPr>
        <w:pStyle w:val="Heading1"/>
      </w:pPr>
      <w:bookmarkStart w:id="13" w:name="_Toc141260648"/>
      <w:bookmarkEnd w:id="12"/>
      <w:r w:rsidRPr="00D633FE">
        <w:t>I</w:t>
      </w:r>
      <w:r w:rsidR="00C53419" w:rsidRPr="00D633FE">
        <w:t>ntroduction</w:t>
      </w:r>
      <w:bookmarkEnd w:id="13"/>
      <w:r w:rsidR="00C53419" w:rsidRPr="00D633FE">
        <w:t xml:space="preserve"> </w:t>
      </w:r>
    </w:p>
    <w:p w14:paraId="34EEF15E" w14:textId="77777777" w:rsidR="00841C6D" w:rsidRPr="00A618F8" w:rsidRDefault="00841C6D" w:rsidP="00412B25">
      <w:pPr>
        <w:pStyle w:val="Heading2"/>
      </w:pPr>
      <w:bookmarkStart w:id="14" w:name="_Toc141260649"/>
      <w:r w:rsidRPr="00A618F8">
        <w:t>Who we are</w:t>
      </w:r>
      <w:bookmarkEnd w:id="14"/>
    </w:p>
    <w:p w14:paraId="4DAE6A68" w14:textId="17249B17" w:rsidR="00841C6D" w:rsidRPr="00A618F8" w:rsidRDefault="00841C6D" w:rsidP="005229DB">
      <w:pPr>
        <w:rPr>
          <w:szCs w:val="26"/>
        </w:rPr>
      </w:pPr>
      <w:r w:rsidRPr="00A618F8">
        <w:rPr>
          <w:szCs w:val="26"/>
        </w:rPr>
        <w:t xml:space="preserve">The National </w:t>
      </w:r>
      <w:r w:rsidR="004E2337" w:rsidRPr="00A618F8">
        <w:rPr>
          <w:szCs w:val="26"/>
        </w:rPr>
        <w:t>Disability</w:t>
      </w:r>
      <w:r w:rsidRPr="00A618F8">
        <w:rPr>
          <w:szCs w:val="26"/>
        </w:rPr>
        <w:t xml:space="preserve"> Authority </w:t>
      </w:r>
      <w:r w:rsidR="00A64B84" w:rsidRPr="00A618F8">
        <w:rPr>
          <w:szCs w:val="26"/>
        </w:rPr>
        <w:t xml:space="preserve">(NDA) </w:t>
      </w:r>
      <w:r w:rsidRPr="00A618F8">
        <w:rPr>
          <w:szCs w:val="26"/>
        </w:rPr>
        <w:t xml:space="preserve">is the independent statutory body that provides information and advice to the Government on policy and practice relevant to the lives of persons with disabilities. </w:t>
      </w:r>
      <w:r w:rsidR="008C65C2" w:rsidRPr="00656765">
        <w:rPr>
          <w:szCs w:val="26"/>
        </w:rPr>
        <w:t xml:space="preserve">We work through our Centre for Excellence in Universal Design (CEUD) to promote the universal design of the built </w:t>
      </w:r>
      <w:r w:rsidR="00AA4B85">
        <w:rPr>
          <w:szCs w:val="26"/>
        </w:rPr>
        <w:t xml:space="preserve">and digital </w:t>
      </w:r>
      <w:r w:rsidR="008C65C2" w:rsidRPr="00656765">
        <w:rPr>
          <w:szCs w:val="26"/>
        </w:rPr>
        <w:t>environment</w:t>
      </w:r>
      <w:r w:rsidR="00AA4B85">
        <w:rPr>
          <w:szCs w:val="26"/>
        </w:rPr>
        <w:t>s</w:t>
      </w:r>
      <w:r w:rsidR="008C65C2" w:rsidRPr="00656765">
        <w:rPr>
          <w:szCs w:val="26"/>
        </w:rPr>
        <w:t xml:space="preserve">, </w:t>
      </w:r>
      <w:r w:rsidR="00AA4B85">
        <w:rPr>
          <w:szCs w:val="26"/>
        </w:rPr>
        <w:t>as well as</w:t>
      </w:r>
      <w:r w:rsidR="008C65C2" w:rsidRPr="00656765">
        <w:rPr>
          <w:szCs w:val="26"/>
        </w:rPr>
        <w:t xml:space="preserve"> services and </w:t>
      </w:r>
      <w:r w:rsidR="00AA4B85">
        <w:rPr>
          <w:szCs w:val="26"/>
        </w:rPr>
        <w:t>systems</w:t>
      </w:r>
      <w:r w:rsidR="008C65C2" w:rsidRPr="00656765">
        <w:rPr>
          <w:szCs w:val="26"/>
        </w:rPr>
        <w:t xml:space="preserve"> so that they can be easily accessed, </w:t>
      </w:r>
      <w:r w:rsidR="00041831" w:rsidRPr="00656765">
        <w:rPr>
          <w:szCs w:val="26"/>
        </w:rPr>
        <w:t>understood,</w:t>
      </w:r>
      <w:r w:rsidR="008C65C2" w:rsidRPr="00656765">
        <w:rPr>
          <w:szCs w:val="26"/>
        </w:rPr>
        <w:t xml:space="preserve"> and used by everyone, including persons with disabilities.</w:t>
      </w:r>
    </w:p>
    <w:p w14:paraId="0B12CB7A" w14:textId="17099A79" w:rsidR="00150AB4" w:rsidRPr="00D633FE" w:rsidRDefault="00150AB4" w:rsidP="00412B25">
      <w:pPr>
        <w:pStyle w:val="Heading2"/>
      </w:pPr>
      <w:bookmarkStart w:id="15" w:name="_Toc141260650"/>
      <w:r w:rsidRPr="00D633FE">
        <w:t>The NDA</w:t>
      </w:r>
      <w:r w:rsidR="00777243" w:rsidRPr="00D633FE">
        <w:t>’</w:t>
      </w:r>
      <w:r w:rsidRPr="00D633FE">
        <w:t>s monitoring responsibilities</w:t>
      </w:r>
      <w:bookmarkEnd w:id="15"/>
    </w:p>
    <w:p w14:paraId="6BD17763" w14:textId="49DD032E" w:rsidR="0096260D" w:rsidRDefault="005229DB" w:rsidP="00AB7F0A">
      <w:pPr>
        <w:spacing w:after="120"/>
        <w:rPr>
          <w:szCs w:val="26"/>
        </w:rPr>
      </w:pPr>
      <w:r w:rsidRPr="00D633FE">
        <w:rPr>
          <w:szCs w:val="26"/>
        </w:rPr>
        <w:t xml:space="preserve">Under Part II, section 8(2) (d) of the National Disability Authority Act, 1999, (NDA Act, 1999), the </w:t>
      </w:r>
      <w:r w:rsidR="00A64B84" w:rsidRPr="00D633FE">
        <w:rPr>
          <w:szCs w:val="26"/>
        </w:rPr>
        <w:t>NDA</w:t>
      </w:r>
      <w:r w:rsidRPr="00D633FE">
        <w:rPr>
          <w:szCs w:val="26"/>
        </w:rPr>
        <w:t xml:space="preserve"> has a role to monitor the implementation of Codes of Practice approved by the Minister and to report the findings.</w:t>
      </w:r>
      <w:r w:rsidR="00370344">
        <w:rPr>
          <w:szCs w:val="26"/>
        </w:rPr>
        <w:t xml:space="preserve"> This includes t</w:t>
      </w:r>
      <w:r w:rsidR="00370344" w:rsidRPr="00A618F8">
        <w:rPr>
          <w:szCs w:val="26"/>
        </w:rPr>
        <w:t>he Code of Practice on Accessibility of Public Services and Information (“the Code”)</w:t>
      </w:r>
      <w:r w:rsidR="00FA7592">
        <w:rPr>
          <w:szCs w:val="26"/>
        </w:rPr>
        <w:t xml:space="preserve"> which guides</w:t>
      </w:r>
      <w:r w:rsidR="00FA7592" w:rsidRPr="00A618F8">
        <w:rPr>
          <w:szCs w:val="26"/>
        </w:rPr>
        <w:t xml:space="preserve"> public bodies to meet requirements under Section 26, 27 and 28 of the Disability </w:t>
      </w:r>
      <w:r w:rsidR="0043570B" w:rsidRPr="00A618F8">
        <w:rPr>
          <w:szCs w:val="26"/>
        </w:rPr>
        <w:t>Act.</w:t>
      </w:r>
      <w:r w:rsidRPr="00D633FE">
        <w:rPr>
          <w:szCs w:val="26"/>
        </w:rPr>
        <w:t xml:space="preserve"> </w:t>
      </w:r>
      <w:r w:rsidR="00AB7F0A">
        <w:rPr>
          <w:szCs w:val="26"/>
        </w:rPr>
        <w:t xml:space="preserve">Further information on </w:t>
      </w:r>
      <w:r w:rsidR="009C5853">
        <w:rPr>
          <w:szCs w:val="26"/>
        </w:rPr>
        <w:t xml:space="preserve">statutory obligations of public bodies and </w:t>
      </w:r>
      <w:r w:rsidR="00AB7F0A">
        <w:rPr>
          <w:szCs w:val="26"/>
        </w:rPr>
        <w:t xml:space="preserve">the NDA’s monitoring responsibilities and functions are contained in the full report. </w:t>
      </w:r>
    </w:p>
    <w:p w14:paraId="69F6D318" w14:textId="3E2B7EF4" w:rsidR="00150AB4" w:rsidRPr="00D633FE" w:rsidRDefault="00150AB4" w:rsidP="00150AB4">
      <w:pPr>
        <w:pStyle w:val="Heading2"/>
      </w:pPr>
      <w:bookmarkStart w:id="16" w:name="_Toc141260651"/>
      <w:r w:rsidRPr="00D633FE">
        <w:t xml:space="preserve">The purpose of this monitoring </w:t>
      </w:r>
      <w:r w:rsidR="00AB7F0A">
        <w:t>activity</w:t>
      </w:r>
      <w:bookmarkEnd w:id="16"/>
    </w:p>
    <w:p w14:paraId="3D0D408F" w14:textId="7DF6D924" w:rsidR="00A51545" w:rsidRPr="00D633FE" w:rsidRDefault="008500B6" w:rsidP="009A2E80">
      <w:pPr>
        <w:spacing w:after="120"/>
      </w:pPr>
      <w:r w:rsidRPr="00C27D9B">
        <w:t xml:space="preserve">For the purposes of this </w:t>
      </w:r>
      <w:r w:rsidR="00AB7F0A">
        <w:t>monitoring activity</w:t>
      </w:r>
      <w:r w:rsidRPr="00C27D9B">
        <w:t>, the</w:t>
      </w:r>
      <w:r w:rsidR="00EA6100" w:rsidRPr="00C27D9B">
        <w:t xml:space="preserve"> </w:t>
      </w:r>
      <w:r w:rsidR="00A54CC6" w:rsidRPr="00583AEA">
        <w:t xml:space="preserve">NDA </w:t>
      </w:r>
      <w:r w:rsidR="009938B1" w:rsidRPr="00583AEA">
        <w:t>carried out a desk-based evaluation of</w:t>
      </w:r>
      <w:r w:rsidR="00EA6100" w:rsidRPr="00583AEA">
        <w:t xml:space="preserve"> conformance </w:t>
      </w:r>
      <w:r w:rsidR="00EA6100" w:rsidRPr="00D633FE">
        <w:t xml:space="preserve">of all public bodies against </w:t>
      </w:r>
      <w:r w:rsidR="00717572" w:rsidRPr="00D633FE">
        <w:t>specific statutory requirements</w:t>
      </w:r>
      <w:r w:rsidR="0096260D">
        <w:t xml:space="preserve"> using their websites</w:t>
      </w:r>
      <w:r w:rsidR="00A51545" w:rsidRPr="00D633FE">
        <w:t xml:space="preserve"> regarding</w:t>
      </w:r>
      <w:r w:rsidR="00952720" w:rsidRPr="00D633FE">
        <w:t>:</w:t>
      </w:r>
    </w:p>
    <w:p w14:paraId="45C94FFD" w14:textId="77777777" w:rsidR="00952720" w:rsidRPr="00D633FE" w:rsidRDefault="00952720" w:rsidP="00412B25">
      <w:pPr>
        <w:pStyle w:val="Heading3"/>
      </w:pPr>
      <w:bookmarkStart w:id="17" w:name="_Toc141260652"/>
      <w:r w:rsidRPr="00D633FE">
        <w:t>Section 26 (2) Access Officer</w:t>
      </w:r>
      <w:bookmarkEnd w:id="17"/>
    </w:p>
    <w:p w14:paraId="570E70E7" w14:textId="77777777" w:rsidR="008F4917" w:rsidRPr="00D633FE" w:rsidRDefault="00DB7104" w:rsidP="009A2E80">
      <w:pPr>
        <w:spacing w:after="120"/>
      </w:pPr>
      <w:r w:rsidRPr="00D633FE">
        <w:t>As set</w:t>
      </w:r>
      <w:r w:rsidR="00AC7B9D" w:rsidRPr="00D633FE">
        <w:t xml:space="preserve"> out </w:t>
      </w:r>
      <w:r w:rsidR="008F4917" w:rsidRPr="00D633FE">
        <w:t>under</w:t>
      </w:r>
      <w:r w:rsidR="00AC7B9D" w:rsidRPr="00D633FE">
        <w:t xml:space="preserve"> </w:t>
      </w:r>
      <w:r w:rsidR="008F4917" w:rsidRPr="00D633FE">
        <w:t>S</w:t>
      </w:r>
      <w:r w:rsidR="00721DDA" w:rsidRPr="00D633FE">
        <w:t>ection 2</w:t>
      </w:r>
      <w:r w:rsidR="00EA6100" w:rsidRPr="00D633FE">
        <w:t>6</w:t>
      </w:r>
      <w:r w:rsidR="00721DDA" w:rsidRPr="00D633FE">
        <w:t xml:space="preserve"> of the Disability Act 2005</w:t>
      </w:r>
      <w:r w:rsidR="00AC7B9D" w:rsidRPr="00D633FE">
        <w:t xml:space="preserve">, </w:t>
      </w:r>
      <w:r w:rsidR="008F4917" w:rsidRPr="00D633FE">
        <w:t xml:space="preserve">public </w:t>
      </w:r>
      <w:r w:rsidR="00351252" w:rsidRPr="00D633FE">
        <w:t xml:space="preserve">bodies </w:t>
      </w:r>
      <w:r w:rsidR="008F4917" w:rsidRPr="00D633FE">
        <w:t>have a statutory requirement to</w:t>
      </w:r>
      <w:r w:rsidR="00721DDA" w:rsidRPr="00D633FE">
        <w:t xml:space="preserve"> appoint an Access Officer in the organisation</w:t>
      </w:r>
      <w:r w:rsidRPr="00D633FE">
        <w:t xml:space="preserve">. </w:t>
      </w:r>
    </w:p>
    <w:p w14:paraId="600E3F82" w14:textId="7CBE3B09" w:rsidR="008F4917" w:rsidRPr="00D633FE" w:rsidRDefault="008F4917" w:rsidP="00412B25">
      <w:pPr>
        <w:pStyle w:val="BlockQuote"/>
      </w:pPr>
      <w:r w:rsidRPr="00D633FE">
        <w:t>Each head of a public body shall authorise at least one of his or her officers (referred to in this Act as “access officers”) to provide or arrange for and co-ordinate the provision of assistance and guidance to persons with disabilities in accessing its services</w:t>
      </w:r>
      <w:r w:rsidR="00990197" w:rsidRPr="00D633FE">
        <w:rPr>
          <w:rStyle w:val="FootnoteReference"/>
        </w:rPr>
        <w:footnoteReference w:id="1"/>
      </w:r>
    </w:p>
    <w:p w14:paraId="35FE7B3B" w14:textId="77777777" w:rsidR="00377E52" w:rsidRPr="00D633FE" w:rsidRDefault="00B86C05" w:rsidP="009938B1">
      <w:pPr>
        <w:pStyle w:val="Heading2"/>
      </w:pPr>
      <w:bookmarkStart w:id="18" w:name="_Toc141260653"/>
      <w:r w:rsidRPr="00D633FE">
        <w:lastRenderedPageBreak/>
        <w:t>Methods</w:t>
      </w:r>
      <w:bookmarkEnd w:id="18"/>
    </w:p>
    <w:p w14:paraId="170D1924" w14:textId="369EB420" w:rsidR="00BD6A52" w:rsidRDefault="00B10EFE" w:rsidP="00351252">
      <w:pPr>
        <w:rPr>
          <w:szCs w:val="26"/>
        </w:rPr>
      </w:pPr>
      <w:r>
        <w:rPr>
          <w:szCs w:val="26"/>
        </w:rPr>
        <w:t>The</w:t>
      </w:r>
      <w:r w:rsidR="00D633FE" w:rsidRPr="00A618F8">
        <w:rPr>
          <w:szCs w:val="26"/>
        </w:rPr>
        <w:t xml:space="preserve"> NDA undertook a </w:t>
      </w:r>
      <w:r w:rsidR="0096260D" w:rsidRPr="00A618F8">
        <w:rPr>
          <w:szCs w:val="26"/>
        </w:rPr>
        <w:t>desk-based</w:t>
      </w:r>
      <w:r w:rsidR="00D633FE" w:rsidRPr="00A618F8">
        <w:rPr>
          <w:szCs w:val="26"/>
        </w:rPr>
        <w:t xml:space="preserve"> monitoring activity which consisted of analysing the websites of </w:t>
      </w:r>
      <w:r w:rsidR="00D633FE">
        <w:rPr>
          <w:szCs w:val="26"/>
        </w:rPr>
        <w:t xml:space="preserve">public bodies considered to be included in the definition of public bodies under Part 3 of the Disability Act 2005. </w:t>
      </w:r>
    </w:p>
    <w:p w14:paraId="25BD7012" w14:textId="57A23732" w:rsidR="003D7199" w:rsidRDefault="009F12DE" w:rsidP="00041831">
      <w:r w:rsidRPr="003D7199">
        <w:rPr>
          <w:szCs w:val="26"/>
        </w:rPr>
        <w:t xml:space="preserve">In 2021 </w:t>
      </w:r>
      <w:r w:rsidR="00AB7F0A" w:rsidRPr="003D7199">
        <w:rPr>
          <w:szCs w:val="26"/>
        </w:rPr>
        <w:t>t</w:t>
      </w:r>
      <w:r w:rsidR="009938B1" w:rsidRPr="00C27D9B">
        <w:t>he</w:t>
      </w:r>
      <w:r w:rsidR="008F60BB" w:rsidRPr="00C27D9B">
        <w:t xml:space="preserve"> websites of each public body were monitored </w:t>
      </w:r>
      <w:r w:rsidR="00994F6B" w:rsidRPr="00583AEA">
        <w:t xml:space="preserve">against </w:t>
      </w:r>
      <w:r w:rsidR="00770363">
        <w:t xml:space="preserve">an indicator composed of </w:t>
      </w:r>
      <w:r w:rsidR="00AA4B85">
        <w:t xml:space="preserve">three </w:t>
      </w:r>
      <w:r w:rsidR="00770363">
        <w:t xml:space="preserve">criteria </w:t>
      </w:r>
      <w:r w:rsidR="008F60BB" w:rsidRPr="00D633FE">
        <w:t xml:space="preserve">to evaluate if the </w:t>
      </w:r>
      <w:r w:rsidR="00994F6B" w:rsidRPr="00D633FE">
        <w:t>required</w:t>
      </w:r>
      <w:r w:rsidR="008F60BB" w:rsidRPr="00D633FE">
        <w:t xml:space="preserve"> information was promoted with regards to the Access Officer</w:t>
      </w:r>
      <w:r w:rsidR="00770363">
        <w:t>. The three criteria assessed were</w:t>
      </w:r>
      <w:r w:rsidR="003D7199">
        <w:t>:</w:t>
      </w:r>
    </w:p>
    <w:p w14:paraId="3CAD3222" w14:textId="77777777" w:rsidR="003D7199" w:rsidRDefault="008F60BB" w:rsidP="003D7199">
      <w:pPr>
        <w:pStyle w:val="ListParagraph"/>
        <w:numPr>
          <w:ilvl w:val="0"/>
          <w:numId w:val="79"/>
        </w:numPr>
      </w:pPr>
      <w:r w:rsidRPr="00D633FE">
        <w:t xml:space="preserve">The </w:t>
      </w:r>
      <w:r w:rsidR="009B333B" w:rsidRPr="00D633FE">
        <w:t xml:space="preserve">promotion of the </w:t>
      </w:r>
      <w:r w:rsidR="00A332E9" w:rsidRPr="00D633FE">
        <w:t>appointment</w:t>
      </w:r>
      <w:r w:rsidRPr="00D633FE">
        <w:t xml:space="preserve"> of an Access Officer </w:t>
      </w:r>
      <w:r w:rsidR="005B390D">
        <w:t>on the website</w:t>
      </w:r>
    </w:p>
    <w:p w14:paraId="7705DBE4" w14:textId="77777777" w:rsidR="003D7199" w:rsidRDefault="008F60BB" w:rsidP="003D7199">
      <w:pPr>
        <w:pStyle w:val="ListParagraph"/>
        <w:numPr>
          <w:ilvl w:val="0"/>
          <w:numId w:val="79"/>
        </w:numPr>
      </w:pPr>
      <w:r w:rsidRPr="00D633FE">
        <w:t>Information o</w:t>
      </w:r>
      <w:r w:rsidR="004D5312" w:rsidRPr="00D633FE">
        <w:t>n</w:t>
      </w:r>
      <w:r w:rsidRPr="00D633FE">
        <w:t xml:space="preserve"> how to contact the Access Officer</w:t>
      </w:r>
    </w:p>
    <w:p w14:paraId="5AA021EA" w14:textId="5CE27741" w:rsidR="008F60BB" w:rsidRPr="00D633FE" w:rsidRDefault="008F60BB" w:rsidP="003D7199">
      <w:pPr>
        <w:pStyle w:val="ListParagraph"/>
        <w:numPr>
          <w:ilvl w:val="0"/>
          <w:numId w:val="79"/>
        </w:numPr>
      </w:pPr>
      <w:r w:rsidRPr="00D633FE">
        <w:t xml:space="preserve">A variety of communication channels for contacting them. </w:t>
      </w:r>
    </w:p>
    <w:p w14:paraId="1309111D" w14:textId="5F734860" w:rsidR="00DF626A" w:rsidRDefault="008F60BB" w:rsidP="008F60BB">
      <w:pPr>
        <w:rPr>
          <w:szCs w:val="26"/>
        </w:rPr>
      </w:pPr>
      <w:r w:rsidRPr="00A618F8">
        <w:rPr>
          <w:szCs w:val="26"/>
        </w:rPr>
        <w:t xml:space="preserve">The NDA monitoring team evaluated the information provided on the websites </w:t>
      </w:r>
      <w:r w:rsidR="00453680" w:rsidRPr="00A618F8">
        <w:rPr>
          <w:szCs w:val="26"/>
        </w:rPr>
        <w:t>of 292</w:t>
      </w:r>
      <w:r w:rsidR="00AE657D" w:rsidRPr="00A618F8">
        <w:rPr>
          <w:szCs w:val="26"/>
        </w:rPr>
        <w:t xml:space="preserve"> </w:t>
      </w:r>
      <w:r w:rsidRPr="00A618F8">
        <w:rPr>
          <w:szCs w:val="26"/>
        </w:rPr>
        <w:t>public bodies</w:t>
      </w:r>
      <w:r w:rsidR="00583AEA">
        <w:rPr>
          <w:szCs w:val="26"/>
        </w:rPr>
        <w:t xml:space="preserve"> (later adjusted to 28</w:t>
      </w:r>
      <w:r w:rsidR="00CA51F5">
        <w:rPr>
          <w:szCs w:val="26"/>
        </w:rPr>
        <w:t>1</w:t>
      </w:r>
      <w:r w:rsidR="00583AEA">
        <w:rPr>
          <w:szCs w:val="26"/>
        </w:rPr>
        <w:t>)</w:t>
      </w:r>
      <w:r w:rsidRPr="00A618F8">
        <w:rPr>
          <w:szCs w:val="26"/>
        </w:rPr>
        <w:t xml:space="preserve"> and made an assessment on </w:t>
      </w:r>
      <w:r w:rsidR="004D5312" w:rsidRPr="00A618F8">
        <w:rPr>
          <w:szCs w:val="26"/>
        </w:rPr>
        <w:t xml:space="preserve">conformance </w:t>
      </w:r>
      <w:r w:rsidRPr="00A618F8">
        <w:rPr>
          <w:szCs w:val="26"/>
        </w:rPr>
        <w:t xml:space="preserve">against the above </w:t>
      </w:r>
      <w:r w:rsidR="007860DC">
        <w:rPr>
          <w:szCs w:val="26"/>
        </w:rPr>
        <w:t xml:space="preserve">criteria which </w:t>
      </w:r>
      <w:r w:rsidR="00A72C69" w:rsidRPr="00A618F8">
        <w:rPr>
          <w:szCs w:val="26"/>
        </w:rPr>
        <w:t>were recorded into a database</w:t>
      </w:r>
      <w:r w:rsidRPr="00A618F8">
        <w:rPr>
          <w:szCs w:val="26"/>
        </w:rPr>
        <w:t xml:space="preserve">. </w:t>
      </w:r>
      <w:r w:rsidR="00770363">
        <w:rPr>
          <w:szCs w:val="26"/>
        </w:rPr>
        <w:t xml:space="preserve">Initial findings were communicated to Departments for dissemination to public bodies under their aegis. Public bodies and Departments were given </w:t>
      </w:r>
      <w:r w:rsidR="008B1D06">
        <w:rPr>
          <w:szCs w:val="26"/>
        </w:rPr>
        <w:t>time</w:t>
      </w:r>
      <w:r w:rsidR="00770363">
        <w:rPr>
          <w:szCs w:val="26"/>
        </w:rPr>
        <w:t xml:space="preserve"> to respond with updated information which was then incorporated into the final analysis and report. </w:t>
      </w:r>
    </w:p>
    <w:p w14:paraId="3D7E746A" w14:textId="46FDCB12" w:rsidR="00C27D9B" w:rsidRDefault="00D52F0F" w:rsidP="008F60BB">
      <w:pPr>
        <w:rPr>
          <w:szCs w:val="26"/>
        </w:rPr>
      </w:pPr>
      <w:r>
        <w:rPr>
          <w:szCs w:val="26"/>
        </w:rPr>
        <w:t>Further information on the methodology of this exercise is contained in the main report and d</w:t>
      </w:r>
      <w:r w:rsidR="00C27D9B">
        <w:rPr>
          <w:szCs w:val="26"/>
        </w:rPr>
        <w:t xml:space="preserve">etailed results from each Department following this exercise are available in Appendix A. </w:t>
      </w:r>
    </w:p>
    <w:p w14:paraId="636C0BFD" w14:textId="4703A926" w:rsidR="00AB020C" w:rsidRPr="00D633FE" w:rsidRDefault="002041EB" w:rsidP="00412B25">
      <w:pPr>
        <w:pStyle w:val="Heading1"/>
      </w:pPr>
      <w:bookmarkStart w:id="19" w:name="_Toc141260654"/>
      <w:r>
        <w:t>M</w:t>
      </w:r>
      <w:r w:rsidRPr="00383B6A">
        <w:t xml:space="preserve">onitoring </w:t>
      </w:r>
      <w:r>
        <w:t>F</w:t>
      </w:r>
      <w:r w:rsidR="00B7410B" w:rsidRPr="00383B6A">
        <w:t>indings</w:t>
      </w:r>
      <w:r w:rsidR="00727F88">
        <w:t xml:space="preserve"> </w:t>
      </w:r>
      <w:r w:rsidR="0002441E">
        <w:t>- Initial Findings and Final Findings</w:t>
      </w:r>
      <w:bookmarkEnd w:id="19"/>
    </w:p>
    <w:p w14:paraId="3CCCEB43" w14:textId="73E4200C" w:rsidR="00727F88" w:rsidRDefault="00727F88" w:rsidP="00AE657D">
      <w:r>
        <w:t>Initial findings reported that o</w:t>
      </w:r>
      <w:r w:rsidR="002D656D">
        <w:t>f</w:t>
      </w:r>
      <w:r w:rsidR="00770363">
        <w:t xml:space="preserve"> </w:t>
      </w:r>
      <w:r w:rsidR="00106E5F">
        <w:t>2</w:t>
      </w:r>
      <w:r w:rsidR="007B2435">
        <w:t>92</w:t>
      </w:r>
      <w:r w:rsidR="00106E5F">
        <w:t xml:space="preserve"> public bodies</w:t>
      </w:r>
      <w:r w:rsidR="006D7E05" w:rsidRPr="001301DD">
        <w:t xml:space="preserve">, </w:t>
      </w:r>
      <w:r w:rsidR="00565E6C" w:rsidRPr="001301DD">
        <w:t>13</w:t>
      </w:r>
      <w:r w:rsidR="00565E6C">
        <w:t>4</w:t>
      </w:r>
      <w:r w:rsidR="00565E6C" w:rsidRPr="001301DD">
        <w:t xml:space="preserve"> </w:t>
      </w:r>
      <w:r w:rsidR="006D7E05" w:rsidRPr="001301DD">
        <w:t>(</w:t>
      </w:r>
      <w:r w:rsidR="00106E5F">
        <w:t>47.</w:t>
      </w:r>
      <w:r w:rsidR="009676B6">
        <w:t>7</w:t>
      </w:r>
      <w:r w:rsidR="00E41CA1" w:rsidRPr="00F73534">
        <w:t>%)</w:t>
      </w:r>
      <w:r w:rsidR="00AE657D" w:rsidRPr="00F73534">
        <w:t xml:space="preserve"> </w:t>
      </w:r>
      <w:r w:rsidR="0020262A" w:rsidRPr="00F73534">
        <w:t xml:space="preserve">promoted </w:t>
      </w:r>
      <w:r w:rsidR="00E41CA1" w:rsidRPr="00F73534">
        <w:t xml:space="preserve">the </w:t>
      </w:r>
      <w:r w:rsidR="00AE657D" w:rsidRPr="00F73534">
        <w:t>appointment of an Access Officer o</w:t>
      </w:r>
      <w:r w:rsidR="00E41CA1" w:rsidRPr="00F73534">
        <w:t>n their public website, whereas</w:t>
      </w:r>
      <w:r w:rsidR="0043570B">
        <w:t xml:space="preserve"> </w:t>
      </w:r>
      <w:r w:rsidR="00A872A4" w:rsidRPr="00F73534">
        <w:t>1</w:t>
      </w:r>
      <w:r w:rsidR="00A872A4">
        <w:t>4</w:t>
      </w:r>
      <w:r w:rsidR="009676B6">
        <w:t>7</w:t>
      </w:r>
      <w:r w:rsidR="00A872A4">
        <w:t xml:space="preserve"> </w:t>
      </w:r>
      <w:r w:rsidR="00AE657D" w:rsidRPr="00F73534">
        <w:t>(</w:t>
      </w:r>
      <w:r w:rsidR="00A872A4">
        <w:t>52.</w:t>
      </w:r>
      <w:r w:rsidR="009676B6">
        <w:t>3</w:t>
      </w:r>
      <w:r w:rsidR="00AE657D" w:rsidRPr="00F73534">
        <w:t>%)</w:t>
      </w:r>
      <w:r w:rsidR="0043570B">
        <w:t xml:space="preserve"> </w:t>
      </w:r>
      <w:r w:rsidR="00AE657D" w:rsidRPr="00F73534">
        <w:t>public bodies appeared to</w:t>
      </w:r>
      <w:r w:rsidR="00063E14">
        <w:t xml:space="preserve"> </w:t>
      </w:r>
      <w:r w:rsidR="00AE657D" w:rsidRPr="00F73534">
        <w:t>have no information on their websites concerning Access Officers</w:t>
      </w:r>
      <w:r w:rsidR="0020262A" w:rsidRPr="00F73534">
        <w:t>.</w:t>
      </w:r>
      <w:r w:rsidR="00895EB6">
        <w:t xml:space="preserve"> </w:t>
      </w:r>
      <w:r w:rsidR="00303A04">
        <w:t>(</w:t>
      </w:r>
      <w:r w:rsidR="00895EB6">
        <w:t>See Chart 1</w:t>
      </w:r>
      <w:r w:rsidR="00303A04">
        <w:t>)</w:t>
      </w:r>
      <w:r w:rsidR="00895EB6">
        <w:t xml:space="preserve">. </w:t>
      </w:r>
    </w:p>
    <w:p w14:paraId="7E372212" w14:textId="0CDE031E" w:rsidR="008E4C4B" w:rsidRPr="00F73534" w:rsidRDefault="00727F88" w:rsidP="00AE657D">
      <w:r>
        <w:t xml:space="preserve">Following on from the issuing of the draft report and </w:t>
      </w:r>
      <w:r w:rsidR="008418E9">
        <w:t>considering</w:t>
      </w:r>
      <w:r>
        <w:t xml:space="preserve"> the resulting updated information provided by public bodies, o</w:t>
      </w:r>
      <w:r w:rsidRPr="00F73534">
        <w:t xml:space="preserve">f </w:t>
      </w:r>
      <w:r>
        <w:t>28</w:t>
      </w:r>
      <w:r w:rsidR="001577C2">
        <w:t>1</w:t>
      </w:r>
      <w:r>
        <w:t xml:space="preserve"> public bodies</w:t>
      </w:r>
      <w:r w:rsidRPr="001301DD">
        <w:t xml:space="preserve">, </w:t>
      </w:r>
      <w:r>
        <w:t>19</w:t>
      </w:r>
      <w:r w:rsidR="00512F97">
        <w:t>2</w:t>
      </w:r>
      <w:r>
        <w:t xml:space="preserve"> </w:t>
      </w:r>
      <w:r w:rsidRPr="001301DD">
        <w:t>(</w:t>
      </w:r>
      <w:r>
        <w:t>68.</w:t>
      </w:r>
      <w:r w:rsidR="00512F97">
        <w:t>3</w:t>
      </w:r>
      <w:r w:rsidRPr="00F73534">
        <w:t xml:space="preserve">%) promoted the appointment of an Access Officer on their public website, whereas </w:t>
      </w:r>
      <w:r w:rsidR="00DE55EB">
        <w:t>89</w:t>
      </w:r>
      <w:r w:rsidR="00303A04">
        <w:t xml:space="preserve"> </w:t>
      </w:r>
      <w:r w:rsidRPr="00F73534">
        <w:t>(</w:t>
      </w:r>
      <w:r>
        <w:t>31.</w:t>
      </w:r>
      <w:r w:rsidR="00512F97">
        <w:t>7</w:t>
      </w:r>
      <w:r w:rsidRPr="00F73534">
        <w:t>%) public bodies appeared to have no information on their public websites concerning Access Officers.</w:t>
      </w:r>
      <w:r>
        <w:t xml:space="preserve"> </w:t>
      </w:r>
      <w:r w:rsidR="00303A04">
        <w:t>(</w:t>
      </w:r>
      <w:r>
        <w:t xml:space="preserve">See Chart </w:t>
      </w:r>
      <w:r w:rsidR="007223BB">
        <w:t>2</w:t>
      </w:r>
      <w:r w:rsidR="00303A04">
        <w:t>)</w:t>
      </w:r>
      <w:r>
        <w:t xml:space="preserve">. </w:t>
      </w:r>
    </w:p>
    <w:p w14:paraId="4DEB7568" w14:textId="31D36D00" w:rsidR="00565E6C" w:rsidRDefault="00565E6C" w:rsidP="00A618F8">
      <w:pPr>
        <w:pStyle w:val="Caption"/>
        <w:keepNext/>
        <w:jc w:val="left"/>
      </w:pPr>
      <w:r>
        <w:rPr>
          <w:noProof/>
        </w:rPr>
        <w:lastRenderedPageBreak/>
        <w:t>Chart 1-Initial Findings- Access Officer Promoted</w:t>
      </w:r>
    </w:p>
    <w:p w14:paraId="20FA3F17" w14:textId="2C8D9C95" w:rsidR="0020262A" w:rsidRDefault="00565E6C" w:rsidP="00A618F8">
      <w:pPr>
        <w:tabs>
          <w:tab w:val="left" w:pos="7875"/>
        </w:tabs>
      </w:pPr>
      <w:r w:rsidRPr="0028765C">
        <w:rPr>
          <w:noProof/>
          <w:shd w:val="clear" w:color="auto" w:fill="FFFFFF" w:themeFill="background1"/>
          <w:lang w:eastAsia="en-IE"/>
        </w:rPr>
        <w:drawing>
          <wp:inline distT="0" distB="0" distL="0" distR="0" wp14:anchorId="48FDAD1C" wp14:editId="2240927C">
            <wp:extent cx="3981450" cy="2962275"/>
            <wp:effectExtent l="0" t="0" r="0" b="0"/>
            <wp:docPr id="3" name="Chart 3" descr="Pie chart of initial findings showing that 47.5% of public bodies had access officer details promoted on their websites while 52.5% of public bodies did not. "/>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BCDA0B" w14:textId="1B05B0A4" w:rsidR="00727F88" w:rsidRDefault="00727F88" w:rsidP="00A618F8">
      <w:pPr>
        <w:tabs>
          <w:tab w:val="left" w:pos="7875"/>
        </w:tabs>
      </w:pPr>
    </w:p>
    <w:p w14:paraId="5F64ED37" w14:textId="631A1C19" w:rsidR="00727F88" w:rsidRDefault="00727F88" w:rsidP="00727F88">
      <w:pPr>
        <w:pStyle w:val="Caption"/>
        <w:keepNext/>
        <w:jc w:val="left"/>
      </w:pPr>
      <w:r>
        <w:t xml:space="preserve">Chart </w:t>
      </w:r>
      <w:r w:rsidR="007223BB">
        <w:t>2</w:t>
      </w:r>
      <w:r>
        <w:t xml:space="preserve">- </w:t>
      </w:r>
      <w:r>
        <w:rPr>
          <w:noProof/>
        </w:rPr>
        <w:t>Final Monitoring Findings- Access Officer Promoted on Website</w:t>
      </w:r>
    </w:p>
    <w:p w14:paraId="534DFF31" w14:textId="62AEC1D5" w:rsidR="00727F88" w:rsidRPr="00D633FE" w:rsidRDefault="00727F88" w:rsidP="00727F88">
      <w:r>
        <w:rPr>
          <w:noProof/>
          <w:lang w:eastAsia="en-IE"/>
        </w:rPr>
        <w:drawing>
          <wp:inline distT="0" distB="0" distL="0" distR="0" wp14:anchorId="5114A756" wp14:editId="6BA11BD5">
            <wp:extent cx="4238625" cy="2990850"/>
            <wp:effectExtent l="0" t="0" r="9525" b="0"/>
            <wp:docPr id="7" name="Chart 7" descr="Pie chart of final findings showing that 68.4% of public bodies had access officer details promoted on their websites while 31.6% of public bodies did not. "/>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0852A9" w14:textId="4FAF49DD" w:rsidR="00C76C68" w:rsidRDefault="000821FD" w:rsidP="00E60E2A">
      <w:pPr>
        <w:pStyle w:val="ListBullet"/>
        <w:numPr>
          <w:ilvl w:val="0"/>
          <w:numId w:val="0"/>
        </w:numPr>
      </w:pPr>
      <w:proofErr w:type="gramStart"/>
      <w:r>
        <w:t>Overall</w:t>
      </w:r>
      <w:proofErr w:type="gramEnd"/>
      <w:r w:rsidR="00A72B9C">
        <w:t xml:space="preserve"> in our initial monitoring</w:t>
      </w:r>
      <w:r w:rsidR="00A872A4">
        <w:t xml:space="preserve">, </w:t>
      </w:r>
      <w:r w:rsidR="00ED0B0B">
        <w:t>only</w:t>
      </w:r>
      <w:r w:rsidR="006C04E5" w:rsidRPr="00A872A4">
        <w:t xml:space="preserve"> 9</w:t>
      </w:r>
      <w:r w:rsidR="00FB3C48">
        <w:t>8</w:t>
      </w:r>
      <w:r w:rsidR="006C04E5" w:rsidRPr="00A872A4">
        <w:t xml:space="preserve"> (</w:t>
      </w:r>
      <w:r w:rsidR="00C76C68">
        <w:t>34.</w:t>
      </w:r>
      <w:r w:rsidR="00AB345C">
        <w:t>9</w:t>
      </w:r>
      <w:r w:rsidR="006C04E5" w:rsidRPr="00A872A4">
        <w:t xml:space="preserve">%) public bodies met </w:t>
      </w:r>
      <w:r w:rsidR="006C04E5" w:rsidRPr="00757B5B">
        <w:rPr>
          <w:b/>
          <w:bCs/>
        </w:rPr>
        <w:t>all</w:t>
      </w:r>
      <w:r w:rsidR="006C04E5" w:rsidRPr="00A872A4">
        <w:t xml:space="preserve"> </w:t>
      </w:r>
      <w:r w:rsidRPr="000821FD">
        <w:rPr>
          <w:b/>
          <w:bCs/>
        </w:rPr>
        <w:t xml:space="preserve">three </w:t>
      </w:r>
      <w:r w:rsidR="006C04E5" w:rsidRPr="00A872A4">
        <w:t>criteria of the indicator with regard to Access Officer</w:t>
      </w:r>
      <w:r w:rsidR="00C76C68">
        <w:t xml:space="preserve">. </w:t>
      </w:r>
      <w:r w:rsidR="00303A04">
        <w:t>(</w:t>
      </w:r>
      <w:r w:rsidR="00C76C68">
        <w:t xml:space="preserve">See Chart </w:t>
      </w:r>
      <w:r>
        <w:t>3</w:t>
      </w:r>
      <w:r w:rsidR="00303A04">
        <w:t>).</w:t>
      </w:r>
    </w:p>
    <w:p w14:paraId="5BB28AB7" w14:textId="25AB3A3C" w:rsidR="00C76C68" w:rsidRDefault="00C76C68" w:rsidP="00A618F8">
      <w:pPr>
        <w:pStyle w:val="Caption"/>
        <w:keepNext/>
        <w:jc w:val="left"/>
      </w:pPr>
      <w:r>
        <w:rPr>
          <w:noProof/>
        </w:rPr>
        <w:lastRenderedPageBreak/>
        <w:t xml:space="preserve">Chart </w:t>
      </w:r>
      <w:r w:rsidR="000821FD">
        <w:rPr>
          <w:noProof/>
        </w:rPr>
        <w:t>3</w:t>
      </w:r>
      <w:r>
        <w:rPr>
          <w:noProof/>
        </w:rPr>
        <w:t>- Initial Findings- Public bodies who met all criteria of the indicator</w:t>
      </w:r>
    </w:p>
    <w:p w14:paraId="1F57AC93" w14:textId="6CFE7115" w:rsidR="0020262A" w:rsidRDefault="00C76C68" w:rsidP="00E60E2A">
      <w:pPr>
        <w:pStyle w:val="ListBullet"/>
        <w:numPr>
          <w:ilvl w:val="0"/>
          <w:numId w:val="0"/>
        </w:numPr>
      </w:pPr>
      <w:r>
        <w:rPr>
          <w:noProof/>
          <w:lang w:eastAsia="en-IE"/>
        </w:rPr>
        <w:drawing>
          <wp:inline distT="0" distB="0" distL="0" distR="0" wp14:anchorId="4577FF22" wp14:editId="5BE7D725">
            <wp:extent cx="4562475" cy="2828925"/>
            <wp:effectExtent l="0" t="0" r="0" b="0"/>
            <wp:docPr id="4" name="Chart 4" descr="Pie chart of initial findings showing that 34.8% of public bodies met all the criteria of the indicator under section 26 (2) while 65.2% of public bodies did not meet all the criteria. "/>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4536F3" w14:textId="32C19091" w:rsidR="006726C3" w:rsidRDefault="006726C3" w:rsidP="00E60E2A">
      <w:pPr>
        <w:pStyle w:val="ListBullet"/>
        <w:numPr>
          <w:ilvl w:val="0"/>
          <w:numId w:val="0"/>
        </w:numPr>
      </w:pPr>
    </w:p>
    <w:p w14:paraId="46D3D12F" w14:textId="78BAFDDD" w:rsidR="006726C3" w:rsidRDefault="006726C3" w:rsidP="00E60E2A">
      <w:pPr>
        <w:pStyle w:val="ListBullet"/>
        <w:numPr>
          <w:ilvl w:val="0"/>
          <w:numId w:val="0"/>
        </w:numPr>
      </w:pPr>
    </w:p>
    <w:p w14:paraId="65539F56" w14:textId="35C77A87" w:rsidR="000821FD" w:rsidRDefault="00E71790" w:rsidP="000821FD">
      <w:pPr>
        <w:pStyle w:val="ListBullet"/>
        <w:numPr>
          <w:ilvl w:val="0"/>
          <w:numId w:val="0"/>
        </w:numPr>
      </w:pPr>
      <w:r>
        <w:t xml:space="preserve">However, following the issuing of the initial draft of this report there was improvement amongst public bodies across all three criteria. In the final analysis </w:t>
      </w:r>
      <w:r w:rsidR="000821FD">
        <w:t xml:space="preserve">overall, a </w:t>
      </w:r>
      <w:r w:rsidR="000821FD" w:rsidRPr="00A872A4">
        <w:t xml:space="preserve">total of </w:t>
      </w:r>
      <w:r w:rsidR="000821FD">
        <w:t>165</w:t>
      </w:r>
      <w:r w:rsidR="000821FD" w:rsidRPr="00A872A4">
        <w:t xml:space="preserve"> (</w:t>
      </w:r>
      <w:r w:rsidR="000821FD">
        <w:t>58.</w:t>
      </w:r>
      <w:r w:rsidR="00EA2950">
        <w:t>7</w:t>
      </w:r>
      <w:r w:rsidR="000821FD" w:rsidRPr="00A872A4">
        <w:t>%)</w:t>
      </w:r>
      <w:r w:rsidR="000821FD">
        <w:t xml:space="preserve"> of 28</w:t>
      </w:r>
      <w:r w:rsidR="00EA2950">
        <w:t>1</w:t>
      </w:r>
      <w:r w:rsidR="000821FD">
        <w:t xml:space="preserve"> </w:t>
      </w:r>
      <w:r w:rsidR="000821FD" w:rsidRPr="00A872A4">
        <w:t xml:space="preserve">public bodies met </w:t>
      </w:r>
      <w:r w:rsidR="000821FD" w:rsidRPr="00E71790">
        <w:rPr>
          <w:b/>
          <w:bCs/>
        </w:rPr>
        <w:t xml:space="preserve">all </w:t>
      </w:r>
      <w:r w:rsidRPr="00E71790">
        <w:rPr>
          <w:b/>
          <w:bCs/>
        </w:rPr>
        <w:t>three</w:t>
      </w:r>
      <w:r w:rsidR="000821FD" w:rsidRPr="00E71790">
        <w:rPr>
          <w:b/>
          <w:bCs/>
        </w:rPr>
        <w:t xml:space="preserve"> criteria</w:t>
      </w:r>
      <w:r w:rsidR="000821FD" w:rsidRPr="00A872A4">
        <w:t xml:space="preserve"> of the indicato</w:t>
      </w:r>
      <w:r w:rsidR="000821FD">
        <w:t>r with regard</w:t>
      </w:r>
      <w:r>
        <w:t>s</w:t>
      </w:r>
      <w:r w:rsidR="000821FD">
        <w:t xml:space="preserve"> to Access Officer while 11</w:t>
      </w:r>
      <w:r w:rsidR="00E42BEE">
        <w:t>6</w:t>
      </w:r>
      <w:r w:rsidR="000821FD">
        <w:t xml:space="preserve"> (41.</w:t>
      </w:r>
      <w:r w:rsidR="00E42BEE">
        <w:t>3</w:t>
      </w:r>
      <w:r w:rsidR="000821FD">
        <w:t xml:space="preserve">%) did not. (See Chart 4) </w:t>
      </w:r>
    </w:p>
    <w:p w14:paraId="5414A146" w14:textId="7D792A95" w:rsidR="000821FD" w:rsidRDefault="000821FD" w:rsidP="000821FD">
      <w:pPr>
        <w:pStyle w:val="Caption"/>
        <w:keepNext/>
        <w:jc w:val="left"/>
      </w:pPr>
      <w:r>
        <w:t>Chart 4- Final Findings- Public Bodies who met all Criteria</w:t>
      </w:r>
    </w:p>
    <w:p w14:paraId="367BDE03" w14:textId="77777777" w:rsidR="000821FD" w:rsidRDefault="000821FD" w:rsidP="000821FD">
      <w:pPr>
        <w:pStyle w:val="ListBullet"/>
        <w:numPr>
          <w:ilvl w:val="0"/>
          <w:numId w:val="0"/>
        </w:numPr>
      </w:pPr>
      <w:r>
        <w:rPr>
          <w:noProof/>
          <w:lang w:eastAsia="en-IE"/>
        </w:rPr>
        <w:drawing>
          <wp:inline distT="0" distB="0" distL="0" distR="0" wp14:anchorId="4900DBED" wp14:editId="027F47CA">
            <wp:extent cx="4594860" cy="2796540"/>
            <wp:effectExtent l="0" t="0" r="15240" b="3810"/>
            <wp:docPr id="6" name="Chart 6" descr="Pie chart of final findings showing that 58.5% of public bodies met all the criteria of the indicator under section 26 (2) while 41.5% of public bodies did not meet all the criteria. "/>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A9ED43" w14:textId="3B50CBF7" w:rsidR="006726C3" w:rsidRDefault="006726C3" w:rsidP="00E60E2A">
      <w:pPr>
        <w:pStyle w:val="ListBullet"/>
        <w:numPr>
          <w:ilvl w:val="0"/>
          <w:numId w:val="0"/>
        </w:numPr>
      </w:pPr>
    </w:p>
    <w:p w14:paraId="1C19B7EE" w14:textId="6C1D7DD3" w:rsidR="00E71790" w:rsidRPr="00D633FE" w:rsidRDefault="009A2F21" w:rsidP="00E60E2A">
      <w:pPr>
        <w:pStyle w:val="ListBullet"/>
        <w:numPr>
          <w:ilvl w:val="0"/>
          <w:numId w:val="0"/>
        </w:numPr>
      </w:pPr>
      <w:r>
        <w:lastRenderedPageBreak/>
        <w:t xml:space="preserve">For further information on the assessment of public bodies against all three criteria in both the initial and final reports, please consult the full report. </w:t>
      </w:r>
    </w:p>
    <w:p w14:paraId="1FAED6E3" w14:textId="5139E6BC" w:rsidR="00460B5C" w:rsidRDefault="00460B5C" w:rsidP="00A618F8">
      <w:pPr>
        <w:pStyle w:val="Heading1"/>
      </w:pPr>
      <w:bookmarkStart w:id="20" w:name="_Toc141260655"/>
      <w:r>
        <w:t>Impact of Monitoring</w:t>
      </w:r>
      <w:bookmarkEnd w:id="20"/>
      <w:r>
        <w:t xml:space="preserve"> </w:t>
      </w:r>
    </w:p>
    <w:p w14:paraId="21064691" w14:textId="473A7A01" w:rsidR="00E36F7C" w:rsidRDefault="00A03661" w:rsidP="00217455">
      <w:r>
        <w:rPr>
          <w:szCs w:val="26"/>
        </w:rPr>
        <w:t>Overall,</w:t>
      </w:r>
      <w:r w:rsidR="00217455">
        <w:rPr>
          <w:szCs w:val="26"/>
        </w:rPr>
        <w:t xml:space="preserve"> since the issuing of the draft report the NDA notes there has been a marked improvement in the</w:t>
      </w:r>
      <w:r w:rsidR="00B76505">
        <w:rPr>
          <w:szCs w:val="26"/>
        </w:rPr>
        <w:t xml:space="preserve"> promotion</w:t>
      </w:r>
      <w:r w:rsidR="00217455">
        <w:rPr>
          <w:szCs w:val="26"/>
        </w:rPr>
        <w:t xml:space="preserve"> of Access Officers on public body websites. </w:t>
      </w:r>
      <w:r w:rsidR="005F363D">
        <w:rPr>
          <w:szCs w:val="26"/>
        </w:rPr>
        <w:t>For example, t</w:t>
      </w:r>
      <w:r w:rsidR="00217455">
        <w:rPr>
          <w:szCs w:val="26"/>
        </w:rPr>
        <w:t xml:space="preserve">he </w:t>
      </w:r>
      <w:r w:rsidR="00254A4B">
        <w:rPr>
          <w:szCs w:val="26"/>
        </w:rPr>
        <w:t xml:space="preserve">promotion of the appointment of an Access Officer </w:t>
      </w:r>
      <w:r w:rsidR="00217455">
        <w:rPr>
          <w:szCs w:val="26"/>
        </w:rPr>
        <w:t>on public body websites has jumped from 134 (47.</w:t>
      </w:r>
      <w:r w:rsidR="00F31AE7">
        <w:rPr>
          <w:szCs w:val="26"/>
        </w:rPr>
        <w:t>7</w:t>
      </w:r>
      <w:r w:rsidR="00217455">
        <w:rPr>
          <w:szCs w:val="26"/>
        </w:rPr>
        <w:t>% of all public bodies monitored) to 19</w:t>
      </w:r>
      <w:r w:rsidR="00F31AE7">
        <w:rPr>
          <w:szCs w:val="26"/>
        </w:rPr>
        <w:t>2</w:t>
      </w:r>
      <w:r w:rsidR="00217455">
        <w:rPr>
          <w:szCs w:val="26"/>
        </w:rPr>
        <w:t xml:space="preserve"> (68.</w:t>
      </w:r>
      <w:r w:rsidR="00F31AE7">
        <w:rPr>
          <w:szCs w:val="26"/>
        </w:rPr>
        <w:t>3</w:t>
      </w:r>
      <w:r w:rsidR="00217455">
        <w:rPr>
          <w:szCs w:val="26"/>
        </w:rPr>
        <w:t xml:space="preserve">% of all public bodies monitored). This represents a </w:t>
      </w:r>
      <w:r w:rsidR="00B36642">
        <w:rPr>
          <w:szCs w:val="26"/>
        </w:rPr>
        <w:t>4</w:t>
      </w:r>
      <w:r w:rsidR="001F3726">
        <w:rPr>
          <w:szCs w:val="26"/>
        </w:rPr>
        <w:t>3.3</w:t>
      </w:r>
      <w:r w:rsidR="00B36642">
        <w:rPr>
          <w:szCs w:val="26"/>
        </w:rPr>
        <w:t>%</w:t>
      </w:r>
      <w:r w:rsidR="00217455">
        <w:rPr>
          <w:szCs w:val="26"/>
        </w:rPr>
        <w:t xml:space="preserve"> increase i</w:t>
      </w:r>
      <w:r w:rsidR="008E69CE">
        <w:rPr>
          <w:szCs w:val="26"/>
        </w:rPr>
        <w:t xml:space="preserve">n promotion of Access Officers on public body websites monitored. </w:t>
      </w:r>
      <w:r w:rsidR="00E36F7C">
        <w:rPr>
          <w:szCs w:val="26"/>
        </w:rPr>
        <w:t xml:space="preserve">(See Chart 7) </w:t>
      </w:r>
    </w:p>
    <w:p w14:paraId="08CDEF43" w14:textId="63E13C6F" w:rsidR="00E36F7C" w:rsidRDefault="00E36F7C" w:rsidP="00A618F8">
      <w:pPr>
        <w:pStyle w:val="Caption"/>
        <w:keepNext/>
        <w:jc w:val="left"/>
      </w:pPr>
      <w:r>
        <w:t xml:space="preserve">Chart </w:t>
      </w:r>
      <w:r w:rsidR="00A568BD">
        <w:t>5</w:t>
      </w:r>
      <w:r>
        <w:t xml:space="preserve">- </w:t>
      </w:r>
      <w:r>
        <w:rPr>
          <w:noProof/>
        </w:rPr>
        <w:t>Change to Promtion of Access Officers On Websites</w:t>
      </w:r>
    </w:p>
    <w:p w14:paraId="211B23F3" w14:textId="60B06204" w:rsidR="00BC5C7C" w:rsidRDefault="00BC5C7C" w:rsidP="00460B5C">
      <w:pPr>
        <w:rPr>
          <w:szCs w:val="26"/>
        </w:rPr>
      </w:pPr>
      <w:r>
        <w:rPr>
          <w:noProof/>
        </w:rPr>
        <w:drawing>
          <wp:inline distT="0" distB="0" distL="0" distR="0" wp14:anchorId="0E442C82" wp14:editId="3042433F">
            <wp:extent cx="4610100" cy="2733675"/>
            <wp:effectExtent l="0" t="0" r="0" b="9525"/>
            <wp:docPr id="2" name="Chart 2" descr="Bar chart showing difference in public bodies promoting access officers on their websites. From 47.5% in the initial findings to 68.1% in the final findings ">
              <a:extLst xmlns:a="http://schemas.openxmlformats.org/drawingml/2006/main">
                <a:ext uri="{FF2B5EF4-FFF2-40B4-BE49-F238E27FC236}">
                  <a16:creationId xmlns:a16="http://schemas.microsoft.com/office/drawing/2014/main" id="{04E395FE-BC22-CF0F-0C66-17589B3693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C268A54" w14:textId="1BBD170E" w:rsidR="000A5519" w:rsidRDefault="00B96526" w:rsidP="00460B5C">
      <w:r>
        <w:rPr>
          <w:szCs w:val="26"/>
        </w:rPr>
        <w:t>In addition, there was a marked improvement in the provision of Access Officers</w:t>
      </w:r>
      <w:r w:rsidR="00B10EFE">
        <w:rPr>
          <w:szCs w:val="26"/>
        </w:rPr>
        <w:t>’</w:t>
      </w:r>
      <w:r>
        <w:rPr>
          <w:szCs w:val="26"/>
        </w:rPr>
        <w:t xml:space="preserve"> contact information </w:t>
      </w:r>
      <w:r w:rsidR="000A5519">
        <w:rPr>
          <w:szCs w:val="26"/>
        </w:rPr>
        <w:t>facilitating</w:t>
      </w:r>
      <w:r>
        <w:rPr>
          <w:szCs w:val="26"/>
        </w:rPr>
        <w:t xml:space="preserve"> written and spoken communication</w:t>
      </w:r>
      <w:r w:rsidR="000A5519">
        <w:rPr>
          <w:szCs w:val="26"/>
        </w:rPr>
        <w:t xml:space="preserve"> and therefore meeting all criteria under this indicator</w:t>
      </w:r>
      <w:r>
        <w:rPr>
          <w:szCs w:val="26"/>
        </w:rPr>
        <w:t xml:space="preserve">. </w:t>
      </w:r>
      <w:r w:rsidR="000A5519">
        <w:rPr>
          <w:szCs w:val="26"/>
        </w:rPr>
        <w:t>This improved from</w:t>
      </w:r>
      <w:r>
        <w:rPr>
          <w:szCs w:val="26"/>
        </w:rPr>
        <w:t xml:space="preserve"> </w:t>
      </w:r>
      <w:r w:rsidRPr="00A872A4">
        <w:t>9</w:t>
      </w:r>
      <w:r>
        <w:t>8</w:t>
      </w:r>
      <w:r w:rsidRPr="00A872A4">
        <w:t xml:space="preserve"> (</w:t>
      </w:r>
      <w:r>
        <w:t>34.</w:t>
      </w:r>
      <w:r w:rsidR="00D94FC7">
        <w:t>9</w:t>
      </w:r>
      <w:r>
        <w:t>% of public bodies monitored) to 165</w:t>
      </w:r>
      <w:r w:rsidR="00B36642">
        <w:t xml:space="preserve"> </w:t>
      </w:r>
      <w:r w:rsidRPr="00A872A4">
        <w:t>(</w:t>
      </w:r>
      <w:r>
        <w:t>58.</w:t>
      </w:r>
      <w:r w:rsidR="00D94FC7">
        <w:t>7</w:t>
      </w:r>
      <w:r>
        <w:t>% of public bodies monitored</w:t>
      </w:r>
      <w:r w:rsidRPr="00A872A4">
        <w:t>)</w:t>
      </w:r>
      <w:r>
        <w:t xml:space="preserve"> representing a </w:t>
      </w:r>
      <w:r w:rsidR="00CE4614">
        <w:t>68.4</w:t>
      </w:r>
      <w:r>
        <w:t xml:space="preserve">% improvement. </w:t>
      </w:r>
      <w:r>
        <w:rPr>
          <w:szCs w:val="26"/>
        </w:rPr>
        <w:t xml:space="preserve">(See Chart 8) </w:t>
      </w:r>
    </w:p>
    <w:p w14:paraId="4D95A5FC" w14:textId="4EA5C14F" w:rsidR="000A5519" w:rsidRDefault="000A5519" w:rsidP="00A618F8">
      <w:pPr>
        <w:pStyle w:val="Caption"/>
        <w:keepNext/>
        <w:jc w:val="left"/>
      </w:pPr>
      <w:r>
        <w:lastRenderedPageBreak/>
        <w:t xml:space="preserve">Chart </w:t>
      </w:r>
      <w:r w:rsidR="00A568BD">
        <w:t>6</w:t>
      </w:r>
      <w:r>
        <w:t>-</w:t>
      </w:r>
      <w:r>
        <w:rPr>
          <w:noProof/>
        </w:rPr>
        <w:t>Public Bodies meeting all Criteria</w:t>
      </w:r>
    </w:p>
    <w:p w14:paraId="651B6F5E" w14:textId="77777777" w:rsidR="0028765C" w:rsidRDefault="00B4727B" w:rsidP="005F363D">
      <w:pPr>
        <w:rPr>
          <w:szCs w:val="26"/>
        </w:rPr>
      </w:pPr>
      <w:r>
        <w:rPr>
          <w:noProof/>
        </w:rPr>
        <w:drawing>
          <wp:inline distT="0" distB="0" distL="0" distR="0" wp14:anchorId="60819BA3" wp14:editId="2FCEB9C5">
            <wp:extent cx="4752975" cy="2847975"/>
            <wp:effectExtent l="0" t="0" r="9525" b="9525"/>
            <wp:docPr id="5" name="Chart 5" descr="Bar chart showing difference in public bodies meeting all criteria. From 34.8% in the initial findings to 58.5% in the final findings ">
              <a:extLst xmlns:a="http://schemas.openxmlformats.org/drawingml/2006/main">
                <a:ext uri="{FF2B5EF4-FFF2-40B4-BE49-F238E27FC236}">
                  <a16:creationId xmlns:a16="http://schemas.microsoft.com/office/drawing/2014/main" id="{29061A46-CF10-85BD-144D-E309387BEB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89C688" w14:textId="26F23EE8" w:rsidR="00313442" w:rsidRDefault="00B4727B" w:rsidP="005F363D">
      <w:pPr>
        <w:rPr>
          <w:szCs w:val="26"/>
        </w:rPr>
      </w:pPr>
      <w:r>
        <w:rPr>
          <w:szCs w:val="26"/>
        </w:rPr>
        <w:t>P</w:t>
      </w:r>
      <w:r w:rsidR="00E630FB">
        <w:rPr>
          <w:szCs w:val="26"/>
        </w:rPr>
        <w:t>recise</w:t>
      </w:r>
      <w:r w:rsidR="000A5519">
        <w:rPr>
          <w:szCs w:val="26"/>
        </w:rPr>
        <w:t xml:space="preserve"> measuring of </w:t>
      </w:r>
      <w:r w:rsidR="00E630FB">
        <w:rPr>
          <w:szCs w:val="26"/>
        </w:rPr>
        <w:t>the impact of the NDA’s monitoring on these numbers is difficult as there are many factors which can con</w:t>
      </w:r>
      <w:r w:rsidR="00822170">
        <w:rPr>
          <w:szCs w:val="26"/>
        </w:rPr>
        <w:t>tribute to the increased provision and promotion of Access Officers across the public service</w:t>
      </w:r>
      <w:r w:rsidR="00E630FB">
        <w:rPr>
          <w:szCs w:val="26"/>
        </w:rPr>
        <w:t xml:space="preserve">. However, </w:t>
      </w:r>
      <w:r w:rsidR="005F363D">
        <w:rPr>
          <w:szCs w:val="26"/>
        </w:rPr>
        <w:t>o</w:t>
      </w:r>
      <w:r w:rsidR="00313442">
        <w:rPr>
          <w:szCs w:val="26"/>
        </w:rPr>
        <w:t xml:space="preserve">f the 75 responses </w:t>
      </w:r>
      <w:r w:rsidR="005F363D">
        <w:rPr>
          <w:szCs w:val="26"/>
        </w:rPr>
        <w:t xml:space="preserve">the NDA </w:t>
      </w:r>
      <w:r w:rsidR="00313442">
        <w:rPr>
          <w:szCs w:val="26"/>
        </w:rPr>
        <w:t xml:space="preserve">received which provided updated information on public websites, 62 (82.7% of responses) indicated that the information was updated </w:t>
      </w:r>
      <w:proofErr w:type="gramStart"/>
      <w:r w:rsidR="00313442">
        <w:rPr>
          <w:szCs w:val="26"/>
        </w:rPr>
        <w:t>as a result of</w:t>
      </w:r>
      <w:proofErr w:type="gramEnd"/>
      <w:r w:rsidR="00313442">
        <w:rPr>
          <w:szCs w:val="26"/>
        </w:rPr>
        <w:t xml:space="preserve"> the draft report being issued. </w:t>
      </w:r>
      <w:r w:rsidR="001B38C5">
        <w:rPr>
          <w:szCs w:val="26"/>
        </w:rPr>
        <w:t>13 of the responses (17.3% of responses) did not specify</w:t>
      </w:r>
      <w:r w:rsidR="008541D6">
        <w:rPr>
          <w:szCs w:val="26"/>
        </w:rPr>
        <w:t xml:space="preserve">. </w:t>
      </w:r>
      <w:r w:rsidR="005F363D">
        <w:rPr>
          <w:szCs w:val="26"/>
        </w:rPr>
        <w:t xml:space="preserve">No responses stated that the report had no impact on the information </w:t>
      </w:r>
      <w:r w:rsidR="00743EDC">
        <w:rPr>
          <w:szCs w:val="26"/>
        </w:rPr>
        <w:t>promoted on the</w:t>
      </w:r>
      <w:r w:rsidR="005F363D">
        <w:rPr>
          <w:szCs w:val="26"/>
        </w:rPr>
        <w:t xml:space="preserve"> websites</w:t>
      </w:r>
      <w:r w:rsidR="00743EDC">
        <w:rPr>
          <w:szCs w:val="26"/>
        </w:rPr>
        <w:t xml:space="preserve"> of public bodies who responded</w:t>
      </w:r>
      <w:r w:rsidR="005F363D">
        <w:rPr>
          <w:szCs w:val="26"/>
        </w:rPr>
        <w:t xml:space="preserve">. </w:t>
      </w:r>
    </w:p>
    <w:p w14:paraId="573188CE" w14:textId="04098843" w:rsidR="00460B5C" w:rsidRPr="00A618F8" w:rsidRDefault="001B38C5" w:rsidP="00460B5C">
      <w:pPr>
        <w:rPr>
          <w:szCs w:val="26"/>
        </w:rPr>
      </w:pPr>
      <w:r>
        <w:rPr>
          <w:szCs w:val="26"/>
        </w:rPr>
        <w:t xml:space="preserve">Further to the improvements detailed above, </w:t>
      </w:r>
      <w:r w:rsidR="00360118">
        <w:rPr>
          <w:szCs w:val="26"/>
        </w:rPr>
        <w:t xml:space="preserve">individual </w:t>
      </w:r>
      <w:r w:rsidR="0096260D">
        <w:rPr>
          <w:szCs w:val="26"/>
        </w:rPr>
        <w:t>Departments</w:t>
      </w:r>
      <w:r w:rsidR="00360118">
        <w:rPr>
          <w:szCs w:val="26"/>
        </w:rPr>
        <w:t xml:space="preserve"> such as </w:t>
      </w:r>
      <w:r w:rsidRPr="001B38C5">
        <w:rPr>
          <w:szCs w:val="26"/>
        </w:rPr>
        <w:t>t</w:t>
      </w:r>
      <w:r w:rsidR="00460B5C" w:rsidRPr="00A618F8">
        <w:rPr>
          <w:szCs w:val="26"/>
        </w:rPr>
        <w:t xml:space="preserve">he Department of Justice </w:t>
      </w:r>
      <w:r w:rsidR="00626805" w:rsidRPr="00A618F8">
        <w:rPr>
          <w:szCs w:val="26"/>
        </w:rPr>
        <w:t>ha</w:t>
      </w:r>
      <w:r w:rsidR="00626805">
        <w:rPr>
          <w:szCs w:val="26"/>
        </w:rPr>
        <w:t>ve</w:t>
      </w:r>
      <w:r w:rsidR="00626805" w:rsidRPr="00A618F8">
        <w:rPr>
          <w:szCs w:val="26"/>
        </w:rPr>
        <w:t xml:space="preserve"> </w:t>
      </w:r>
      <w:r w:rsidR="00460B5C" w:rsidRPr="00A618F8">
        <w:rPr>
          <w:szCs w:val="26"/>
        </w:rPr>
        <w:t>used the opportunity, to further engage with public bodies under its remit</w:t>
      </w:r>
      <w:r w:rsidR="00E630FB" w:rsidRPr="00E630FB">
        <w:rPr>
          <w:szCs w:val="26"/>
        </w:rPr>
        <w:t xml:space="preserve"> in this regard</w:t>
      </w:r>
      <w:r w:rsidR="00460B5C" w:rsidRPr="00A618F8">
        <w:rPr>
          <w:szCs w:val="26"/>
        </w:rPr>
        <w:t xml:space="preserve">. This engagement has led to the development of a justice sector Access Officer </w:t>
      </w:r>
      <w:r w:rsidR="00BD6CCA" w:rsidRPr="00BD6CCA">
        <w:rPr>
          <w:szCs w:val="26"/>
        </w:rPr>
        <w:t>Network</w:t>
      </w:r>
      <w:r w:rsidR="00460B5C" w:rsidRPr="00A618F8">
        <w:rPr>
          <w:szCs w:val="26"/>
        </w:rPr>
        <w:t xml:space="preserve"> </w:t>
      </w:r>
      <w:r w:rsidR="00360118">
        <w:rPr>
          <w:szCs w:val="26"/>
        </w:rPr>
        <w:t>that</w:t>
      </w:r>
      <w:r w:rsidR="00BB248F">
        <w:rPr>
          <w:szCs w:val="26"/>
        </w:rPr>
        <w:t xml:space="preserve"> will meet regularly to discuss best practice, advice, exchange information, listen to and learn from the lived experience of disabled people, and to keep apprised of new developments. </w:t>
      </w:r>
      <w:r w:rsidRPr="001B38C5">
        <w:rPr>
          <w:szCs w:val="26"/>
        </w:rPr>
        <w:t>The NDA</w:t>
      </w:r>
      <w:r w:rsidR="00607DDD">
        <w:rPr>
          <w:szCs w:val="26"/>
        </w:rPr>
        <w:t xml:space="preserve"> welcomes </w:t>
      </w:r>
      <w:r w:rsidR="00EC3B95">
        <w:rPr>
          <w:szCs w:val="26"/>
        </w:rPr>
        <w:t>the approach taken</w:t>
      </w:r>
      <w:r w:rsidR="00E630FB">
        <w:rPr>
          <w:szCs w:val="26"/>
        </w:rPr>
        <w:t xml:space="preserve"> by the Department of Justice</w:t>
      </w:r>
      <w:r w:rsidR="00984043">
        <w:rPr>
          <w:szCs w:val="26"/>
        </w:rPr>
        <w:t xml:space="preserve"> and</w:t>
      </w:r>
      <w:r w:rsidRPr="001B38C5">
        <w:rPr>
          <w:szCs w:val="26"/>
        </w:rPr>
        <w:t xml:space="preserve"> </w:t>
      </w:r>
      <w:r w:rsidR="00A47332">
        <w:rPr>
          <w:szCs w:val="26"/>
        </w:rPr>
        <w:t xml:space="preserve">would </w:t>
      </w:r>
      <w:r w:rsidR="00E630FB">
        <w:rPr>
          <w:szCs w:val="26"/>
        </w:rPr>
        <w:t>suggest this be followed as a best practice example</w:t>
      </w:r>
      <w:r w:rsidR="009E639E">
        <w:rPr>
          <w:szCs w:val="26"/>
        </w:rPr>
        <w:t xml:space="preserve">. The NDA </w:t>
      </w:r>
      <w:r w:rsidR="00E630FB">
        <w:rPr>
          <w:szCs w:val="26"/>
        </w:rPr>
        <w:t xml:space="preserve">would </w:t>
      </w:r>
      <w:r w:rsidR="009E639E">
        <w:rPr>
          <w:szCs w:val="26"/>
        </w:rPr>
        <w:t xml:space="preserve">therefore advise </w:t>
      </w:r>
      <w:r w:rsidRPr="001B38C5">
        <w:rPr>
          <w:szCs w:val="26"/>
        </w:rPr>
        <w:t xml:space="preserve">that </w:t>
      </w:r>
      <w:r w:rsidR="00A47332">
        <w:rPr>
          <w:szCs w:val="26"/>
        </w:rPr>
        <w:t xml:space="preserve">other </w:t>
      </w:r>
      <w:r w:rsidRPr="001B38C5">
        <w:rPr>
          <w:szCs w:val="26"/>
        </w:rPr>
        <w:t>Departments may find it useful to set up similar networks for bodies under</w:t>
      </w:r>
      <w:r>
        <w:rPr>
          <w:szCs w:val="26"/>
        </w:rPr>
        <w:t xml:space="preserve"> their aegis. </w:t>
      </w:r>
    </w:p>
    <w:p w14:paraId="6E0C2167" w14:textId="77777777" w:rsidR="00C67D40" w:rsidRPr="00D633FE" w:rsidRDefault="00442303" w:rsidP="008078B6">
      <w:pPr>
        <w:pStyle w:val="Heading1"/>
        <w:rPr>
          <w:rFonts w:eastAsia="SimSun"/>
          <w:lang w:eastAsia="en-IE"/>
        </w:rPr>
      </w:pPr>
      <w:bookmarkStart w:id="21" w:name="_Toc141260656"/>
      <w:r w:rsidRPr="00D633FE">
        <w:rPr>
          <w:rFonts w:eastAsia="SimSun"/>
          <w:lang w:eastAsia="en-IE"/>
        </w:rPr>
        <w:t xml:space="preserve">Conclusion </w:t>
      </w:r>
      <w:r w:rsidR="00935FE3" w:rsidRPr="00D633FE">
        <w:rPr>
          <w:rFonts w:eastAsia="SimSun"/>
          <w:lang w:eastAsia="en-IE"/>
        </w:rPr>
        <w:t>and Recommendations</w:t>
      </w:r>
      <w:bookmarkEnd w:id="21"/>
    </w:p>
    <w:p w14:paraId="25C21983" w14:textId="2DA3A5F3" w:rsidR="00CB42C7" w:rsidRPr="00D633FE" w:rsidRDefault="00734B6A" w:rsidP="00CB42C7">
      <w:pPr>
        <w:pStyle w:val="ListBullet"/>
        <w:numPr>
          <w:ilvl w:val="0"/>
          <w:numId w:val="0"/>
        </w:numPr>
      </w:pPr>
      <w:r>
        <w:t xml:space="preserve">While this monitoring exercise has resulted in a marked improvement in the </w:t>
      </w:r>
      <w:r w:rsidR="009E639E">
        <w:t>promotion</w:t>
      </w:r>
      <w:r>
        <w:t xml:space="preserve"> of Access Officers on public body websites monitored, there are still 11</w:t>
      </w:r>
      <w:r w:rsidR="00F514C5">
        <w:t>6</w:t>
      </w:r>
      <w:r>
        <w:t xml:space="preserve"> public bodies (</w:t>
      </w:r>
      <w:r w:rsidR="00CC4C19">
        <w:t>41.</w:t>
      </w:r>
      <w:r w:rsidR="003F4D6E">
        <w:t>3</w:t>
      </w:r>
      <w:r w:rsidR="00CC4C19">
        <w:t>%) which did not meet the requirements under the Access Officer indicator. I</w:t>
      </w:r>
      <w:r w:rsidR="00F845AE" w:rsidRPr="00D633FE">
        <w:t xml:space="preserve">t is </w:t>
      </w:r>
      <w:r w:rsidR="00CC4C19">
        <w:t xml:space="preserve">therefore </w:t>
      </w:r>
      <w:r w:rsidR="00F845AE" w:rsidRPr="00D633FE">
        <w:t xml:space="preserve">clear </w:t>
      </w:r>
      <w:r w:rsidR="005B47E9" w:rsidRPr="00D633FE">
        <w:t xml:space="preserve">that public bodies </w:t>
      </w:r>
      <w:r w:rsidR="00CC4C19">
        <w:t xml:space="preserve">still </w:t>
      </w:r>
      <w:r w:rsidR="005B47E9" w:rsidRPr="00D633FE">
        <w:t xml:space="preserve">need to improve </w:t>
      </w:r>
      <w:r w:rsidR="006F4896" w:rsidRPr="00D633FE">
        <w:t xml:space="preserve">awareness of their </w:t>
      </w:r>
      <w:r w:rsidR="006F4896" w:rsidRPr="00D633FE">
        <w:lastRenderedPageBreak/>
        <w:t xml:space="preserve">responsibilities under the Section 26(2) of the Disability Act and to take action to ensure they make </w:t>
      </w:r>
      <w:r w:rsidR="005B47E9" w:rsidRPr="00D633FE">
        <w:t xml:space="preserve">the </w:t>
      </w:r>
      <w:r w:rsidR="006F4896" w:rsidRPr="00D633FE">
        <w:t xml:space="preserve">relevant </w:t>
      </w:r>
      <w:r w:rsidR="005B47E9" w:rsidRPr="00D633FE">
        <w:t>information available to the public</w:t>
      </w:r>
      <w:r w:rsidR="006F4896" w:rsidRPr="00D633FE">
        <w:t xml:space="preserve">. </w:t>
      </w:r>
    </w:p>
    <w:p w14:paraId="5E09BF7E" w14:textId="77777777" w:rsidR="00882720" w:rsidRDefault="00D17B07" w:rsidP="005B47E9">
      <w:r w:rsidRPr="00270DBE">
        <w:t>T</w:t>
      </w:r>
      <w:r w:rsidR="00CB42C7" w:rsidRPr="00867EB6">
        <w:t xml:space="preserve">he NDA </w:t>
      </w:r>
      <w:r w:rsidRPr="00867EB6">
        <w:t>advise</w:t>
      </w:r>
      <w:r w:rsidR="00CB42C7" w:rsidRPr="00A9228A">
        <w:t>s</w:t>
      </w:r>
      <w:r w:rsidRPr="00460B5C">
        <w:t xml:space="preserve"> public bodies </w:t>
      </w:r>
      <w:r w:rsidR="00B505AA" w:rsidRPr="00460B5C">
        <w:t>to update their internal procedures if the appropriate processes/appointments are not in place</w:t>
      </w:r>
      <w:r w:rsidR="004F6DDE" w:rsidRPr="00677C76">
        <w:t xml:space="preserve">. </w:t>
      </w:r>
    </w:p>
    <w:p w14:paraId="7C9DDF85" w14:textId="32901F33" w:rsidR="00CC4C19" w:rsidRDefault="00CC4C19" w:rsidP="005B47E9">
      <w:r>
        <w:t xml:space="preserve">In addition to this, public bodies with an Access Officer in place must ensure that the Access Officer has appropriate training, resources, and information to support them to carry out their duties as specified by the Disability Act 2005. </w:t>
      </w:r>
      <w:r w:rsidR="004F6DDE" w:rsidRPr="00677C76">
        <w:t>Guidance from the NDA is available in the</w:t>
      </w:r>
      <w:r w:rsidR="004F6DDE" w:rsidRPr="001E2754">
        <w:t xml:space="preserve"> </w:t>
      </w:r>
      <w:hyperlink r:id="rId15" w:history="1">
        <w:r w:rsidR="004F6DDE" w:rsidRPr="00D633FE">
          <w:rPr>
            <w:rStyle w:val="Hyperlink"/>
          </w:rPr>
          <w:t>Access Officer Guidance for Public Bodies</w:t>
        </w:r>
      </w:hyperlink>
      <w:r w:rsidR="004F6DDE" w:rsidRPr="00D633FE">
        <w:t xml:space="preserve"> document regarding appointment, training, duties and processes surrounding Access Officers. </w:t>
      </w:r>
    </w:p>
    <w:p w14:paraId="671FBE97" w14:textId="029706D4" w:rsidR="009E555C" w:rsidRPr="00D633FE" w:rsidRDefault="005F363D" w:rsidP="005F363D">
      <w:r>
        <w:t xml:space="preserve">Further recommendations and advice can be found in the full report. </w:t>
      </w:r>
    </w:p>
    <w:sectPr w:rsidR="009E555C" w:rsidRPr="00D633FE" w:rsidSect="00FE7D56">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60B9F" w14:textId="77777777" w:rsidR="005B3D5C" w:rsidRDefault="005B3D5C">
      <w:r>
        <w:separator/>
      </w:r>
    </w:p>
  </w:endnote>
  <w:endnote w:type="continuationSeparator" w:id="0">
    <w:p w14:paraId="5C1FF9DF" w14:textId="77777777" w:rsidR="005B3D5C" w:rsidRDefault="005B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4D63" w14:textId="25B188ED" w:rsidR="005B3D5C" w:rsidRDefault="005B3D5C">
    <w:pPr>
      <w:pStyle w:val="Footer"/>
    </w:pPr>
    <w:r>
      <w:tab/>
    </w:r>
    <w:r>
      <w:tab/>
    </w:r>
    <w:r>
      <w:fldChar w:fldCharType="begin"/>
    </w:r>
    <w:r>
      <w:instrText xml:space="preserve"> PAGE  \* Arabic  \* MERGEFORMAT </w:instrText>
    </w:r>
    <w:r>
      <w:fldChar w:fldCharType="separate"/>
    </w:r>
    <w:r w:rsidR="00EA6A50">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13687" w14:textId="77777777" w:rsidR="005B3D5C" w:rsidRDefault="005B3D5C">
      <w:r>
        <w:separator/>
      </w:r>
    </w:p>
  </w:footnote>
  <w:footnote w:type="continuationSeparator" w:id="0">
    <w:p w14:paraId="05C042F6" w14:textId="77777777" w:rsidR="005B3D5C" w:rsidRDefault="005B3D5C">
      <w:r>
        <w:continuationSeparator/>
      </w:r>
    </w:p>
  </w:footnote>
  <w:footnote w:id="1">
    <w:p w14:paraId="28EBB31E" w14:textId="7068769C" w:rsidR="005B3D5C" w:rsidRDefault="005B3D5C">
      <w:pPr>
        <w:pStyle w:val="FootnoteText"/>
      </w:pPr>
      <w:r>
        <w:rPr>
          <w:rStyle w:val="FootnoteReference"/>
        </w:rPr>
        <w:footnoteRef/>
      </w:r>
      <w:r>
        <w:t xml:space="preserve"> The NDA has produced </w:t>
      </w:r>
      <w:hyperlink r:id="rId1" w:history="1">
        <w:r w:rsidRPr="00107937">
          <w:rPr>
            <w:rStyle w:val="Hyperlink"/>
          </w:rPr>
          <w:t>Access Officer Guidance for Public Bodies</w:t>
        </w:r>
      </w:hyperlink>
      <w:r>
        <w:t xml:space="preserve"> to assist public bodies and Departments in understanding the role of access officer and providing information on how best to support and make use of the Access Officer role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3FB6" w14:textId="77777777" w:rsidR="005B3D5C" w:rsidRDefault="005B3D5C" w:rsidP="00A618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70E46C9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FFBEABAE"/>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051236E4"/>
    <w:multiLevelType w:val="hybridMultilevel"/>
    <w:tmpl w:val="24F8AB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0B39456E"/>
    <w:multiLevelType w:val="hybridMultilevel"/>
    <w:tmpl w:val="A9106B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F6556FA"/>
    <w:multiLevelType w:val="hybridMultilevel"/>
    <w:tmpl w:val="DA16149E"/>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6FB18C4"/>
    <w:multiLevelType w:val="hybridMultilevel"/>
    <w:tmpl w:val="B4AA5238"/>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C1A639B"/>
    <w:multiLevelType w:val="hybridMultilevel"/>
    <w:tmpl w:val="5F20ADC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F153B9C"/>
    <w:multiLevelType w:val="hybridMultilevel"/>
    <w:tmpl w:val="089E06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86B69EE"/>
    <w:multiLevelType w:val="hybridMultilevel"/>
    <w:tmpl w:val="5F20ADC6"/>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49562293"/>
    <w:multiLevelType w:val="hybridMultilevel"/>
    <w:tmpl w:val="3C9CA1A0"/>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1A1270B"/>
    <w:multiLevelType w:val="hybridMultilevel"/>
    <w:tmpl w:val="DA16149E"/>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17977F6"/>
    <w:multiLevelType w:val="hybridMultilevel"/>
    <w:tmpl w:val="F11206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2A87622"/>
    <w:multiLevelType w:val="hybridMultilevel"/>
    <w:tmpl w:val="B4AA5238"/>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45C354A"/>
    <w:multiLevelType w:val="hybridMultilevel"/>
    <w:tmpl w:val="3C9CA1A0"/>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A3D4659"/>
    <w:multiLevelType w:val="hybridMultilevel"/>
    <w:tmpl w:val="194A87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C6A4EAF"/>
    <w:multiLevelType w:val="hybridMultilevel"/>
    <w:tmpl w:val="88F0D7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CA87B08"/>
    <w:multiLevelType w:val="hybridMultilevel"/>
    <w:tmpl w:val="495498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D794F81"/>
    <w:multiLevelType w:val="hybridMultilevel"/>
    <w:tmpl w:val="806AE8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F4E2852"/>
    <w:multiLevelType w:val="hybridMultilevel"/>
    <w:tmpl w:val="13E21D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890458055">
    <w:abstractNumId w:val="5"/>
  </w:num>
  <w:num w:numId="2" w16cid:durableId="633826921">
    <w:abstractNumId w:val="3"/>
  </w:num>
  <w:num w:numId="3" w16cid:durableId="1323773566">
    <w:abstractNumId w:val="2"/>
  </w:num>
  <w:num w:numId="4" w16cid:durableId="874388984">
    <w:abstractNumId w:val="4"/>
  </w:num>
  <w:num w:numId="5" w16cid:durableId="1943301786">
    <w:abstractNumId w:val="4"/>
  </w:num>
  <w:num w:numId="6" w16cid:durableId="968166924">
    <w:abstractNumId w:val="1"/>
  </w:num>
  <w:num w:numId="7" w16cid:durableId="581791515">
    <w:abstractNumId w:val="0"/>
  </w:num>
  <w:num w:numId="8" w16cid:durableId="1390881333">
    <w:abstractNumId w:val="21"/>
  </w:num>
  <w:num w:numId="9" w16cid:durableId="191962898">
    <w:abstractNumId w:val="9"/>
  </w:num>
  <w:num w:numId="10" w16cid:durableId="484200648">
    <w:abstractNumId w:val="13"/>
  </w:num>
  <w:num w:numId="11" w16cid:durableId="453594627">
    <w:abstractNumId w:val="12"/>
  </w:num>
  <w:num w:numId="12" w16cid:durableId="1607149668">
    <w:abstractNumId w:val="8"/>
  </w:num>
  <w:num w:numId="13" w16cid:durableId="1700857552">
    <w:abstractNumId w:val="15"/>
  </w:num>
  <w:num w:numId="14" w16cid:durableId="248122246">
    <w:abstractNumId w:val="4"/>
    <w:lvlOverride w:ilvl="0">
      <w:startOverride w:val="1"/>
    </w:lvlOverride>
  </w:num>
  <w:num w:numId="15" w16cid:durableId="999190667">
    <w:abstractNumId w:val="18"/>
  </w:num>
  <w:num w:numId="16" w16cid:durableId="1286352052">
    <w:abstractNumId w:val="4"/>
    <w:lvlOverride w:ilvl="0">
      <w:startOverride w:val="1"/>
    </w:lvlOverride>
  </w:num>
  <w:num w:numId="17" w16cid:durableId="519517056">
    <w:abstractNumId w:val="4"/>
    <w:lvlOverride w:ilvl="0">
      <w:startOverride w:val="1"/>
    </w:lvlOverride>
  </w:num>
  <w:num w:numId="18" w16cid:durableId="916087745">
    <w:abstractNumId w:val="4"/>
    <w:lvlOverride w:ilvl="0">
      <w:startOverride w:val="1"/>
    </w:lvlOverride>
  </w:num>
  <w:num w:numId="19" w16cid:durableId="209345505">
    <w:abstractNumId w:val="4"/>
    <w:lvlOverride w:ilvl="0">
      <w:startOverride w:val="1"/>
    </w:lvlOverride>
  </w:num>
  <w:num w:numId="20" w16cid:durableId="630331115">
    <w:abstractNumId w:val="4"/>
    <w:lvlOverride w:ilvl="0">
      <w:startOverride w:val="1"/>
    </w:lvlOverride>
  </w:num>
  <w:num w:numId="21" w16cid:durableId="105974681">
    <w:abstractNumId w:val="4"/>
    <w:lvlOverride w:ilvl="0">
      <w:startOverride w:val="1"/>
    </w:lvlOverride>
  </w:num>
  <w:num w:numId="22" w16cid:durableId="1259674016">
    <w:abstractNumId w:val="4"/>
    <w:lvlOverride w:ilvl="0">
      <w:startOverride w:val="1"/>
    </w:lvlOverride>
  </w:num>
  <w:num w:numId="23" w16cid:durableId="2754191">
    <w:abstractNumId w:val="4"/>
    <w:lvlOverride w:ilvl="0">
      <w:startOverride w:val="1"/>
    </w:lvlOverride>
  </w:num>
  <w:num w:numId="24" w16cid:durableId="1135411737">
    <w:abstractNumId w:val="4"/>
    <w:lvlOverride w:ilvl="0">
      <w:startOverride w:val="1"/>
    </w:lvlOverride>
  </w:num>
  <w:num w:numId="25" w16cid:durableId="2000845357">
    <w:abstractNumId w:val="4"/>
    <w:lvlOverride w:ilvl="0">
      <w:startOverride w:val="1"/>
    </w:lvlOverride>
  </w:num>
  <w:num w:numId="26" w16cid:durableId="1401751560">
    <w:abstractNumId w:val="4"/>
    <w:lvlOverride w:ilvl="0">
      <w:startOverride w:val="1"/>
    </w:lvlOverride>
  </w:num>
  <w:num w:numId="27" w16cid:durableId="30765881">
    <w:abstractNumId w:val="4"/>
    <w:lvlOverride w:ilvl="0">
      <w:startOverride w:val="1"/>
    </w:lvlOverride>
  </w:num>
  <w:num w:numId="28" w16cid:durableId="862474552">
    <w:abstractNumId w:val="4"/>
    <w:lvlOverride w:ilvl="0">
      <w:startOverride w:val="1"/>
    </w:lvlOverride>
  </w:num>
  <w:num w:numId="29" w16cid:durableId="2122528040">
    <w:abstractNumId w:val="4"/>
    <w:lvlOverride w:ilvl="0">
      <w:startOverride w:val="1"/>
    </w:lvlOverride>
  </w:num>
  <w:num w:numId="30" w16cid:durableId="860048633">
    <w:abstractNumId w:val="4"/>
    <w:lvlOverride w:ilvl="0">
      <w:startOverride w:val="1"/>
    </w:lvlOverride>
  </w:num>
  <w:num w:numId="31" w16cid:durableId="1713536125">
    <w:abstractNumId w:val="4"/>
    <w:lvlOverride w:ilvl="0">
      <w:startOverride w:val="1"/>
    </w:lvlOverride>
  </w:num>
  <w:num w:numId="32" w16cid:durableId="736323791">
    <w:abstractNumId w:val="4"/>
    <w:lvlOverride w:ilvl="0">
      <w:startOverride w:val="1"/>
    </w:lvlOverride>
  </w:num>
  <w:num w:numId="33" w16cid:durableId="233929904">
    <w:abstractNumId w:val="4"/>
    <w:lvlOverride w:ilvl="0">
      <w:startOverride w:val="1"/>
    </w:lvlOverride>
  </w:num>
  <w:num w:numId="34" w16cid:durableId="1946110820">
    <w:abstractNumId w:val="4"/>
    <w:lvlOverride w:ilvl="0">
      <w:startOverride w:val="1"/>
    </w:lvlOverride>
  </w:num>
  <w:num w:numId="35" w16cid:durableId="174081671">
    <w:abstractNumId w:val="4"/>
    <w:lvlOverride w:ilvl="0">
      <w:startOverride w:val="1"/>
    </w:lvlOverride>
  </w:num>
  <w:num w:numId="36" w16cid:durableId="2143109151">
    <w:abstractNumId w:val="4"/>
    <w:lvlOverride w:ilvl="0">
      <w:startOverride w:val="1"/>
    </w:lvlOverride>
  </w:num>
  <w:num w:numId="37" w16cid:durableId="1353845730">
    <w:abstractNumId w:val="4"/>
    <w:lvlOverride w:ilvl="0">
      <w:startOverride w:val="1"/>
    </w:lvlOverride>
  </w:num>
  <w:num w:numId="38" w16cid:durableId="2055158526">
    <w:abstractNumId w:val="4"/>
    <w:lvlOverride w:ilvl="0">
      <w:startOverride w:val="1"/>
    </w:lvlOverride>
  </w:num>
  <w:num w:numId="39" w16cid:durableId="93788234">
    <w:abstractNumId w:val="4"/>
    <w:lvlOverride w:ilvl="0">
      <w:startOverride w:val="1"/>
    </w:lvlOverride>
  </w:num>
  <w:num w:numId="40" w16cid:durableId="677922084">
    <w:abstractNumId w:val="4"/>
    <w:lvlOverride w:ilvl="0">
      <w:startOverride w:val="1"/>
    </w:lvlOverride>
  </w:num>
  <w:num w:numId="41" w16cid:durableId="863128809">
    <w:abstractNumId w:val="4"/>
    <w:lvlOverride w:ilvl="0">
      <w:startOverride w:val="1"/>
    </w:lvlOverride>
  </w:num>
  <w:num w:numId="42" w16cid:durableId="2031058601">
    <w:abstractNumId w:val="4"/>
    <w:lvlOverride w:ilvl="0">
      <w:startOverride w:val="1"/>
    </w:lvlOverride>
  </w:num>
  <w:num w:numId="43" w16cid:durableId="1503860577">
    <w:abstractNumId w:val="4"/>
    <w:lvlOverride w:ilvl="0">
      <w:startOverride w:val="1"/>
    </w:lvlOverride>
  </w:num>
  <w:num w:numId="44" w16cid:durableId="1479762532">
    <w:abstractNumId w:val="4"/>
    <w:lvlOverride w:ilvl="0">
      <w:startOverride w:val="1"/>
    </w:lvlOverride>
  </w:num>
  <w:num w:numId="45" w16cid:durableId="1502505130">
    <w:abstractNumId w:val="4"/>
    <w:lvlOverride w:ilvl="0">
      <w:startOverride w:val="1"/>
    </w:lvlOverride>
  </w:num>
  <w:num w:numId="46" w16cid:durableId="1771506785">
    <w:abstractNumId w:val="4"/>
    <w:lvlOverride w:ilvl="0">
      <w:startOverride w:val="1"/>
    </w:lvlOverride>
  </w:num>
  <w:num w:numId="47" w16cid:durableId="90929773">
    <w:abstractNumId w:val="4"/>
    <w:lvlOverride w:ilvl="0">
      <w:startOverride w:val="1"/>
    </w:lvlOverride>
  </w:num>
  <w:num w:numId="48" w16cid:durableId="2021350850">
    <w:abstractNumId w:val="4"/>
    <w:lvlOverride w:ilvl="0">
      <w:startOverride w:val="1"/>
    </w:lvlOverride>
  </w:num>
  <w:num w:numId="49" w16cid:durableId="360667985">
    <w:abstractNumId w:val="4"/>
    <w:lvlOverride w:ilvl="0">
      <w:startOverride w:val="1"/>
    </w:lvlOverride>
  </w:num>
  <w:num w:numId="50" w16cid:durableId="318533575">
    <w:abstractNumId w:val="4"/>
    <w:lvlOverride w:ilvl="0">
      <w:startOverride w:val="1"/>
    </w:lvlOverride>
  </w:num>
  <w:num w:numId="51" w16cid:durableId="1000887949">
    <w:abstractNumId w:val="4"/>
    <w:lvlOverride w:ilvl="0">
      <w:startOverride w:val="1"/>
    </w:lvlOverride>
  </w:num>
  <w:num w:numId="52" w16cid:durableId="1048918985">
    <w:abstractNumId w:val="16"/>
  </w:num>
  <w:num w:numId="53" w16cid:durableId="958996638">
    <w:abstractNumId w:val="17"/>
  </w:num>
  <w:num w:numId="54" w16cid:durableId="582570498">
    <w:abstractNumId w:val="10"/>
  </w:num>
  <w:num w:numId="55" w16cid:durableId="317270817">
    <w:abstractNumId w:val="14"/>
  </w:num>
  <w:num w:numId="56" w16cid:durableId="1160384933">
    <w:abstractNumId w:val="4"/>
    <w:lvlOverride w:ilvl="0">
      <w:startOverride w:val="1"/>
    </w:lvlOverride>
  </w:num>
  <w:num w:numId="57" w16cid:durableId="227347306">
    <w:abstractNumId w:val="4"/>
    <w:lvlOverride w:ilvl="0">
      <w:startOverride w:val="1"/>
    </w:lvlOverride>
  </w:num>
  <w:num w:numId="58" w16cid:durableId="667683022">
    <w:abstractNumId w:val="4"/>
    <w:lvlOverride w:ilvl="0">
      <w:startOverride w:val="1"/>
    </w:lvlOverride>
  </w:num>
  <w:num w:numId="59" w16cid:durableId="615142000">
    <w:abstractNumId w:val="4"/>
    <w:lvlOverride w:ilvl="0">
      <w:startOverride w:val="1"/>
    </w:lvlOverride>
  </w:num>
  <w:num w:numId="60" w16cid:durableId="764153187">
    <w:abstractNumId w:val="4"/>
    <w:lvlOverride w:ilvl="0">
      <w:startOverride w:val="1"/>
    </w:lvlOverride>
  </w:num>
  <w:num w:numId="61" w16cid:durableId="1608151433">
    <w:abstractNumId w:val="4"/>
    <w:lvlOverride w:ilvl="0">
      <w:startOverride w:val="1"/>
    </w:lvlOverride>
  </w:num>
  <w:num w:numId="62" w16cid:durableId="1123497316">
    <w:abstractNumId w:val="4"/>
    <w:lvlOverride w:ilvl="0">
      <w:startOverride w:val="1"/>
    </w:lvlOverride>
  </w:num>
  <w:num w:numId="63" w16cid:durableId="1443568281">
    <w:abstractNumId w:val="4"/>
    <w:lvlOverride w:ilvl="0">
      <w:startOverride w:val="1"/>
    </w:lvlOverride>
  </w:num>
  <w:num w:numId="64" w16cid:durableId="2005009034">
    <w:abstractNumId w:val="4"/>
    <w:lvlOverride w:ilvl="0">
      <w:startOverride w:val="1"/>
    </w:lvlOverride>
  </w:num>
  <w:num w:numId="65" w16cid:durableId="97792964">
    <w:abstractNumId w:val="4"/>
    <w:lvlOverride w:ilvl="0">
      <w:startOverride w:val="1"/>
    </w:lvlOverride>
  </w:num>
  <w:num w:numId="66" w16cid:durableId="1938247863">
    <w:abstractNumId w:val="4"/>
    <w:lvlOverride w:ilvl="0">
      <w:startOverride w:val="1"/>
    </w:lvlOverride>
  </w:num>
  <w:num w:numId="67" w16cid:durableId="857962158">
    <w:abstractNumId w:val="4"/>
    <w:lvlOverride w:ilvl="0">
      <w:startOverride w:val="1"/>
    </w:lvlOverride>
  </w:num>
  <w:num w:numId="68" w16cid:durableId="975719955">
    <w:abstractNumId w:val="4"/>
    <w:lvlOverride w:ilvl="0">
      <w:startOverride w:val="1"/>
    </w:lvlOverride>
  </w:num>
  <w:num w:numId="69" w16cid:durableId="2018774996">
    <w:abstractNumId w:val="4"/>
    <w:lvlOverride w:ilvl="0">
      <w:startOverride w:val="1"/>
    </w:lvlOverride>
  </w:num>
  <w:num w:numId="70" w16cid:durableId="1193373203">
    <w:abstractNumId w:val="4"/>
    <w:lvlOverride w:ilvl="0">
      <w:startOverride w:val="1"/>
    </w:lvlOverride>
  </w:num>
  <w:num w:numId="71" w16cid:durableId="2052218297">
    <w:abstractNumId w:val="4"/>
    <w:lvlOverride w:ilvl="0">
      <w:startOverride w:val="1"/>
    </w:lvlOverride>
  </w:num>
  <w:num w:numId="72" w16cid:durableId="1382293132">
    <w:abstractNumId w:val="4"/>
    <w:lvlOverride w:ilvl="0">
      <w:startOverride w:val="1"/>
    </w:lvlOverride>
  </w:num>
  <w:num w:numId="73" w16cid:durableId="1954822540">
    <w:abstractNumId w:val="4"/>
    <w:lvlOverride w:ilvl="0">
      <w:startOverride w:val="1"/>
    </w:lvlOverride>
  </w:num>
  <w:num w:numId="74" w16cid:durableId="92826012">
    <w:abstractNumId w:val="20"/>
  </w:num>
  <w:num w:numId="75" w16cid:durableId="279798378">
    <w:abstractNumId w:val="7"/>
  </w:num>
  <w:num w:numId="76" w16cid:durableId="1826312878">
    <w:abstractNumId w:val="22"/>
  </w:num>
  <w:num w:numId="77" w16cid:durableId="943343003">
    <w:abstractNumId w:val="19"/>
  </w:num>
  <w:num w:numId="78" w16cid:durableId="901255716">
    <w:abstractNumId w:val="11"/>
  </w:num>
  <w:num w:numId="79" w16cid:durableId="92821664">
    <w:abstractNumId w:val="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62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B7"/>
    <w:rsid w:val="000024C4"/>
    <w:rsid w:val="00002F38"/>
    <w:rsid w:val="000053E0"/>
    <w:rsid w:val="000067EB"/>
    <w:rsid w:val="00007DAE"/>
    <w:rsid w:val="00020C6D"/>
    <w:rsid w:val="00021A24"/>
    <w:rsid w:val="000233EE"/>
    <w:rsid w:val="0002441E"/>
    <w:rsid w:val="00030458"/>
    <w:rsid w:val="0003096D"/>
    <w:rsid w:val="00030E8F"/>
    <w:rsid w:val="00031BF3"/>
    <w:rsid w:val="00034800"/>
    <w:rsid w:val="00035246"/>
    <w:rsid w:val="00041831"/>
    <w:rsid w:val="00041C9C"/>
    <w:rsid w:val="00042313"/>
    <w:rsid w:val="00044CF1"/>
    <w:rsid w:val="00050A93"/>
    <w:rsid w:val="000563C8"/>
    <w:rsid w:val="00056A6A"/>
    <w:rsid w:val="00060C3D"/>
    <w:rsid w:val="000627AB"/>
    <w:rsid w:val="00062D2D"/>
    <w:rsid w:val="00063E14"/>
    <w:rsid w:val="00063EE9"/>
    <w:rsid w:val="000659D2"/>
    <w:rsid w:val="00065CD9"/>
    <w:rsid w:val="00072AF2"/>
    <w:rsid w:val="00072DDD"/>
    <w:rsid w:val="000773D1"/>
    <w:rsid w:val="000821FD"/>
    <w:rsid w:val="000832AE"/>
    <w:rsid w:val="000841CA"/>
    <w:rsid w:val="000946DD"/>
    <w:rsid w:val="00096A0F"/>
    <w:rsid w:val="00096D75"/>
    <w:rsid w:val="00097307"/>
    <w:rsid w:val="000A0053"/>
    <w:rsid w:val="000A5519"/>
    <w:rsid w:val="000A7D6E"/>
    <w:rsid w:val="000C03FA"/>
    <w:rsid w:val="000C150E"/>
    <w:rsid w:val="000C5CCA"/>
    <w:rsid w:val="000D09E0"/>
    <w:rsid w:val="000D1ECB"/>
    <w:rsid w:val="000D42F8"/>
    <w:rsid w:val="000D731A"/>
    <w:rsid w:val="000E089B"/>
    <w:rsid w:val="000E2F76"/>
    <w:rsid w:val="000E4153"/>
    <w:rsid w:val="000E7BF0"/>
    <w:rsid w:val="000F0585"/>
    <w:rsid w:val="000F2D76"/>
    <w:rsid w:val="000F5746"/>
    <w:rsid w:val="000F575E"/>
    <w:rsid w:val="000F6A4C"/>
    <w:rsid w:val="001023C5"/>
    <w:rsid w:val="00106E5F"/>
    <w:rsid w:val="00107937"/>
    <w:rsid w:val="0011062A"/>
    <w:rsid w:val="0011115E"/>
    <w:rsid w:val="001146C5"/>
    <w:rsid w:val="00115220"/>
    <w:rsid w:val="00115CF4"/>
    <w:rsid w:val="00125C17"/>
    <w:rsid w:val="0012646D"/>
    <w:rsid w:val="001301DD"/>
    <w:rsid w:val="001315D2"/>
    <w:rsid w:val="00131845"/>
    <w:rsid w:val="00136BE4"/>
    <w:rsid w:val="00137BB4"/>
    <w:rsid w:val="00141322"/>
    <w:rsid w:val="0014439C"/>
    <w:rsid w:val="00144F2E"/>
    <w:rsid w:val="00150AB4"/>
    <w:rsid w:val="0015417D"/>
    <w:rsid w:val="00156826"/>
    <w:rsid w:val="001577C2"/>
    <w:rsid w:val="0016388B"/>
    <w:rsid w:val="001763F2"/>
    <w:rsid w:val="00176789"/>
    <w:rsid w:val="00181FE6"/>
    <w:rsid w:val="00182635"/>
    <w:rsid w:val="001847CE"/>
    <w:rsid w:val="00186471"/>
    <w:rsid w:val="00191726"/>
    <w:rsid w:val="0019248F"/>
    <w:rsid w:val="00195397"/>
    <w:rsid w:val="001A1132"/>
    <w:rsid w:val="001A3C55"/>
    <w:rsid w:val="001B38C5"/>
    <w:rsid w:val="001C22A2"/>
    <w:rsid w:val="001C2DA6"/>
    <w:rsid w:val="001C7238"/>
    <w:rsid w:val="001D2D00"/>
    <w:rsid w:val="001D4E67"/>
    <w:rsid w:val="001D52FE"/>
    <w:rsid w:val="001E2754"/>
    <w:rsid w:val="001E34F5"/>
    <w:rsid w:val="001E359D"/>
    <w:rsid w:val="001E7890"/>
    <w:rsid w:val="001F1758"/>
    <w:rsid w:val="001F1B44"/>
    <w:rsid w:val="001F29C0"/>
    <w:rsid w:val="001F3726"/>
    <w:rsid w:val="001F424D"/>
    <w:rsid w:val="001F4CC8"/>
    <w:rsid w:val="001F7F12"/>
    <w:rsid w:val="0020262A"/>
    <w:rsid w:val="00203F16"/>
    <w:rsid w:val="002041EB"/>
    <w:rsid w:val="00207884"/>
    <w:rsid w:val="002107A2"/>
    <w:rsid w:val="00211DBA"/>
    <w:rsid w:val="002156C7"/>
    <w:rsid w:val="00216526"/>
    <w:rsid w:val="00216EF3"/>
    <w:rsid w:val="00217455"/>
    <w:rsid w:val="00227DDB"/>
    <w:rsid w:val="00230890"/>
    <w:rsid w:val="00231CBB"/>
    <w:rsid w:val="00231E61"/>
    <w:rsid w:val="00232EF7"/>
    <w:rsid w:val="00236CEC"/>
    <w:rsid w:val="00243285"/>
    <w:rsid w:val="00243E7C"/>
    <w:rsid w:val="00246B22"/>
    <w:rsid w:val="00254A4B"/>
    <w:rsid w:val="00255BF2"/>
    <w:rsid w:val="00256118"/>
    <w:rsid w:val="00261CF6"/>
    <w:rsid w:val="00262090"/>
    <w:rsid w:val="00262EEE"/>
    <w:rsid w:val="00263B43"/>
    <w:rsid w:val="0026553E"/>
    <w:rsid w:val="0026685C"/>
    <w:rsid w:val="00267039"/>
    <w:rsid w:val="00267289"/>
    <w:rsid w:val="00270DBE"/>
    <w:rsid w:val="00272C19"/>
    <w:rsid w:val="002766C6"/>
    <w:rsid w:val="0027748A"/>
    <w:rsid w:val="00277A9F"/>
    <w:rsid w:val="0028043E"/>
    <w:rsid w:val="00282B43"/>
    <w:rsid w:val="002846BD"/>
    <w:rsid w:val="0028765C"/>
    <w:rsid w:val="00287B8E"/>
    <w:rsid w:val="00292C4A"/>
    <w:rsid w:val="00293524"/>
    <w:rsid w:val="00293A19"/>
    <w:rsid w:val="0029498F"/>
    <w:rsid w:val="00294FFF"/>
    <w:rsid w:val="00296A60"/>
    <w:rsid w:val="002A303D"/>
    <w:rsid w:val="002A5652"/>
    <w:rsid w:val="002B2B07"/>
    <w:rsid w:val="002B5FBC"/>
    <w:rsid w:val="002C2E5D"/>
    <w:rsid w:val="002D1DD7"/>
    <w:rsid w:val="002D433A"/>
    <w:rsid w:val="002D5D28"/>
    <w:rsid w:val="002D656D"/>
    <w:rsid w:val="002D6597"/>
    <w:rsid w:val="002D6943"/>
    <w:rsid w:val="002D7695"/>
    <w:rsid w:val="002E30D4"/>
    <w:rsid w:val="002E4346"/>
    <w:rsid w:val="002E4937"/>
    <w:rsid w:val="002E4F72"/>
    <w:rsid w:val="002E662B"/>
    <w:rsid w:val="002F12F2"/>
    <w:rsid w:val="002F17C5"/>
    <w:rsid w:val="002F1CE3"/>
    <w:rsid w:val="002F20B7"/>
    <w:rsid w:val="002F5897"/>
    <w:rsid w:val="002F644B"/>
    <w:rsid w:val="00300FAE"/>
    <w:rsid w:val="00301C77"/>
    <w:rsid w:val="00303A04"/>
    <w:rsid w:val="00304E3A"/>
    <w:rsid w:val="003071BE"/>
    <w:rsid w:val="003074E0"/>
    <w:rsid w:val="00313442"/>
    <w:rsid w:val="00313F34"/>
    <w:rsid w:val="003142B7"/>
    <w:rsid w:val="0032052D"/>
    <w:rsid w:val="00321F78"/>
    <w:rsid w:val="0033034F"/>
    <w:rsid w:val="003334E6"/>
    <w:rsid w:val="00333966"/>
    <w:rsid w:val="00334D37"/>
    <w:rsid w:val="00340211"/>
    <w:rsid w:val="003405DD"/>
    <w:rsid w:val="00341EAD"/>
    <w:rsid w:val="00344F18"/>
    <w:rsid w:val="00345805"/>
    <w:rsid w:val="00345EDE"/>
    <w:rsid w:val="00351252"/>
    <w:rsid w:val="00352596"/>
    <w:rsid w:val="003527E4"/>
    <w:rsid w:val="00354C40"/>
    <w:rsid w:val="0035715F"/>
    <w:rsid w:val="00360118"/>
    <w:rsid w:val="003647BD"/>
    <w:rsid w:val="00364D4A"/>
    <w:rsid w:val="00370344"/>
    <w:rsid w:val="003716E2"/>
    <w:rsid w:val="00371F43"/>
    <w:rsid w:val="00372EDF"/>
    <w:rsid w:val="003756E3"/>
    <w:rsid w:val="0037613B"/>
    <w:rsid w:val="0037628B"/>
    <w:rsid w:val="00377E52"/>
    <w:rsid w:val="003803B8"/>
    <w:rsid w:val="00381261"/>
    <w:rsid w:val="00383B6A"/>
    <w:rsid w:val="0039242F"/>
    <w:rsid w:val="00395055"/>
    <w:rsid w:val="003A44C8"/>
    <w:rsid w:val="003B10EC"/>
    <w:rsid w:val="003B5F19"/>
    <w:rsid w:val="003C27FD"/>
    <w:rsid w:val="003C2F4E"/>
    <w:rsid w:val="003C32A9"/>
    <w:rsid w:val="003C62A3"/>
    <w:rsid w:val="003C6C27"/>
    <w:rsid w:val="003D10E6"/>
    <w:rsid w:val="003D62DF"/>
    <w:rsid w:val="003D7199"/>
    <w:rsid w:val="003D7C7D"/>
    <w:rsid w:val="003E1755"/>
    <w:rsid w:val="003E18ED"/>
    <w:rsid w:val="003E1EEA"/>
    <w:rsid w:val="003F22BB"/>
    <w:rsid w:val="003F4D6E"/>
    <w:rsid w:val="003F5E0E"/>
    <w:rsid w:val="0040229A"/>
    <w:rsid w:val="00402A55"/>
    <w:rsid w:val="00403A33"/>
    <w:rsid w:val="00406A79"/>
    <w:rsid w:val="0040760F"/>
    <w:rsid w:val="00407621"/>
    <w:rsid w:val="00411232"/>
    <w:rsid w:val="004112D8"/>
    <w:rsid w:val="0041188E"/>
    <w:rsid w:val="00412B25"/>
    <w:rsid w:val="00412BB2"/>
    <w:rsid w:val="00413AC4"/>
    <w:rsid w:val="00417F07"/>
    <w:rsid w:val="004202F7"/>
    <w:rsid w:val="00420CE4"/>
    <w:rsid w:val="004226C6"/>
    <w:rsid w:val="00423E48"/>
    <w:rsid w:val="00424436"/>
    <w:rsid w:val="00426CCD"/>
    <w:rsid w:val="00427426"/>
    <w:rsid w:val="0043267E"/>
    <w:rsid w:val="004336BB"/>
    <w:rsid w:val="0043570B"/>
    <w:rsid w:val="00442303"/>
    <w:rsid w:val="0044271A"/>
    <w:rsid w:val="004444DC"/>
    <w:rsid w:val="00450103"/>
    <w:rsid w:val="00453680"/>
    <w:rsid w:val="0045450D"/>
    <w:rsid w:val="00460B5C"/>
    <w:rsid w:val="00461897"/>
    <w:rsid w:val="004661A9"/>
    <w:rsid w:val="00466627"/>
    <w:rsid w:val="0047189E"/>
    <w:rsid w:val="00473E07"/>
    <w:rsid w:val="00475937"/>
    <w:rsid w:val="00477DF7"/>
    <w:rsid w:val="00485279"/>
    <w:rsid w:val="00485310"/>
    <w:rsid w:val="0049317C"/>
    <w:rsid w:val="004934C9"/>
    <w:rsid w:val="00494AF5"/>
    <w:rsid w:val="004973E1"/>
    <w:rsid w:val="004A050F"/>
    <w:rsid w:val="004A1D17"/>
    <w:rsid w:val="004A328E"/>
    <w:rsid w:val="004A474B"/>
    <w:rsid w:val="004B0D63"/>
    <w:rsid w:val="004B1977"/>
    <w:rsid w:val="004B61FB"/>
    <w:rsid w:val="004C1929"/>
    <w:rsid w:val="004C2FEA"/>
    <w:rsid w:val="004C5836"/>
    <w:rsid w:val="004C5E1E"/>
    <w:rsid w:val="004C6AA0"/>
    <w:rsid w:val="004D35E5"/>
    <w:rsid w:val="004D44D6"/>
    <w:rsid w:val="004D5312"/>
    <w:rsid w:val="004D6FBF"/>
    <w:rsid w:val="004E09D6"/>
    <w:rsid w:val="004E0DCA"/>
    <w:rsid w:val="004E14FC"/>
    <w:rsid w:val="004E1D42"/>
    <w:rsid w:val="004E2337"/>
    <w:rsid w:val="004E40F1"/>
    <w:rsid w:val="004E55AC"/>
    <w:rsid w:val="004F47FB"/>
    <w:rsid w:val="004F6DDE"/>
    <w:rsid w:val="004F755C"/>
    <w:rsid w:val="004F7721"/>
    <w:rsid w:val="00500F14"/>
    <w:rsid w:val="00502575"/>
    <w:rsid w:val="0050358D"/>
    <w:rsid w:val="00506CF8"/>
    <w:rsid w:val="00506E9C"/>
    <w:rsid w:val="00512F97"/>
    <w:rsid w:val="00515805"/>
    <w:rsid w:val="00515BEB"/>
    <w:rsid w:val="005229DB"/>
    <w:rsid w:val="00522ED3"/>
    <w:rsid w:val="00523F8B"/>
    <w:rsid w:val="00531D02"/>
    <w:rsid w:val="00533A98"/>
    <w:rsid w:val="00535DFB"/>
    <w:rsid w:val="005363E9"/>
    <w:rsid w:val="00540E96"/>
    <w:rsid w:val="00541288"/>
    <w:rsid w:val="005417C3"/>
    <w:rsid w:val="00542FD1"/>
    <w:rsid w:val="0054313E"/>
    <w:rsid w:val="00553172"/>
    <w:rsid w:val="00554707"/>
    <w:rsid w:val="00556F04"/>
    <w:rsid w:val="00557DEA"/>
    <w:rsid w:val="005617CD"/>
    <w:rsid w:val="005627A9"/>
    <w:rsid w:val="00565E6C"/>
    <w:rsid w:val="00571525"/>
    <w:rsid w:val="00575E0F"/>
    <w:rsid w:val="005777D0"/>
    <w:rsid w:val="00583AEA"/>
    <w:rsid w:val="0058570F"/>
    <w:rsid w:val="00585A44"/>
    <w:rsid w:val="0059117F"/>
    <w:rsid w:val="00592749"/>
    <w:rsid w:val="00592EC9"/>
    <w:rsid w:val="005952D8"/>
    <w:rsid w:val="00595A56"/>
    <w:rsid w:val="00597C37"/>
    <w:rsid w:val="005A10DF"/>
    <w:rsid w:val="005A12E0"/>
    <w:rsid w:val="005A38C5"/>
    <w:rsid w:val="005B1010"/>
    <w:rsid w:val="005B11EA"/>
    <w:rsid w:val="005B390D"/>
    <w:rsid w:val="005B3D5C"/>
    <w:rsid w:val="005B47E9"/>
    <w:rsid w:val="005C08B3"/>
    <w:rsid w:val="005C2F9C"/>
    <w:rsid w:val="005D183C"/>
    <w:rsid w:val="005E041B"/>
    <w:rsid w:val="005F363D"/>
    <w:rsid w:val="005F4AF6"/>
    <w:rsid w:val="005F5BA8"/>
    <w:rsid w:val="005F6598"/>
    <w:rsid w:val="005F73E7"/>
    <w:rsid w:val="006006B3"/>
    <w:rsid w:val="0060262F"/>
    <w:rsid w:val="00603075"/>
    <w:rsid w:val="0060408B"/>
    <w:rsid w:val="006077F8"/>
    <w:rsid w:val="00607DDD"/>
    <w:rsid w:val="00612137"/>
    <w:rsid w:val="0061688D"/>
    <w:rsid w:val="00617449"/>
    <w:rsid w:val="00624919"/>
    <w:rsid w:val="00626706"/>
    <w:rsid w:val="00626805"/>
    <w:rsid w:val="00626B07"/>
    <w:rsid w:val="006312F8"/>
    <w:rsid w:val="006349ED"/>
    <w:rsid w:val="00641F35"/>
    <w:rsid w:val="00643E2C"/>
    <w:rsid w:val="006453B0"/>
    <w:rsid w:val="006470F4"/>
    <w:rsid w:val="0065123C"/>
    <w:rsid w:val="006513F7"/>
    <w:rsid w:val="00654AC9"/>
    <w:rsid w:val="00655323"/>
    <w:rsid w:val="00656CFB"/>
    <w:rsid w:val="00660843"/>
    <w:rsid w:val="0066141A"/>
    <w:rsid w:val="00662F20"/>
    <w:rsid w:val="00663BAC"/>
    <w:rsid w:val="006726C3"/>
    <w:rsid w:val="00675DDE"/>
    <w:rsid w:val="00677C76"/>
    <w:rsid w:val="00680ED2"/>
    <w:rsid w:val="006818C0"/>
    <w:rsid w:val="006836E5"/>
    <w:rsid w:val="00683986"/>
    <w:rsid w:val="0068590E"/>
    <w:rsid w:val="006940F8"/>
    <w:rsid w:val="006962E0"/>
    <w:rsid w:val="006A34EB"/>
    <w:rsid w:val="006A5A9E"/>
    <w:rsid w:val="006A6E47"/>
    <w:rsid w:val="006B62F7"/>
    <w:rsid w:val="006B7B69"/>
    <w:rsid w:val="006C04E5"/>
    <w:rsid w:val="006C0AF0"/>
    <w:rsid w:val="006C2BA3"/>
    <w:rsid w:val="006C65BD"/>
    <w:rsid w:val="006C7860"/>
    <w:rsid w:val="006D42E7"/>
    <w:rsid w:val="006D7BA0"/>
    <w:rsid w:val="006D7E05"/>
    <w:rsid w:val="006E43F6"/>
    <w:rsid w:val="006E668D"/>
    <w:rsid w:val="006E66A0"/>
    <w:rsid w:val="006F4707"/>
    <w:rsid w:val="006F4896"/>
    <w:rsid w:val="006F679B"/>
    <w:rsid w:val="00700330"/>
    <w:rsid w:val="00702B28"/>
    <w:rsid w:val="0070636C"/>
    <w:rsid w:val="00706D43"/>
    <w:rsid w:val="00707C0C"/>
    <w:rsid w:val="00717572"/>
    <w:rsid w:val="00717CF4"/>
    <w:rsid w:val="00721DDA"/>
    <w:rsid w:val="007223BB"/>
    <w:rsid w:val="00726090"/>
    <w:rsid w:val="00727F88"/>
    <w:rsid w:val="0073209A"/>
    <w:rsid w:val="00732C2F"/>
    <w:rsid w:val="00734B6A"/>
    <w:rsid w:val="00740852"/>
    <w:rsid w:val="00742962"/>
    <w:rsid w:val="00743EDC"/>
    <w:rsid w:val="0075432E"/>
    <w:rsid w:val="0075560B"/>
    <w:rsid w:val="00755822"/>
    <w:rsid w:val="00757B5B"/>
    <w:rsid w:val="00761D5A"/>
    <w:rsid w:val="00765FAE"/>
    <w:rsid w:val="00770363"/>
    <w:rsid w:val="0077248B"/>
    <w:rsid w:val="007748FC"/>
    <w:rsid w:val="00776EAE"/>
    <w:rsid w:val="00777243"/>
    <w:rsid w:val="007860DC"/>
    <w:rsid w:val="007861CD"/>
    <w:rsid w:val="00787C6C"/>
    <w:rsid w:val="0079270C"/>
    <w:rsid w:val="00792A66"/>
    <w:rsid w:val="00795643"/>
    <w:rsid w:val="00796310"/>
    <w:rsid w:val="007A05CC"/>
    <w:rsid w:val="007A0E19"/>
    <w:rsid w:val="007B09C3"/>
    <w:rsid w:val="007B0E1B"/>
    <w:rsid w:val="007B18ED"/>
    <w:rsid w:val="007B2131"/>
    <w:rsid w:val="007B2435"/>
    <w:rsid w:val="007B2F49"/>
    <w:rsid w:val="007C1D90"/>
    <w:rsid w:val="007D044F"/>
    <w:rsid w:val="007D23F0"/>
    <w:rsid w:val="007D360B"/>
    <w:rsid w:val="007E0FA9"/>
    <w:rsid w:val="007E1347"/>
    <w:rsid w:val="007E15AF"/>
    <w:rsid w:val="007E57D9"/>
    <w:rsid w:val="007F0592"/>
    <w:rsid w:val="007F11C4"/>
    <w:rsid w:val="007F1AB7"/>
    <w:rsid w:val="007F2078"/>
    <w:rsid w:val="007F3CD1"/>
    <w:rsid w:val="007F464B"/>
    <w:rsid w:val="007F55AB"/>
    <w:rsid w:val="007F6936"/>
    <w:rsid w:val="007F7106"/>
    <w:rsid w:val="007F7432"/>
    <w:rsid w:val="00805279"/>
    <w:rsid w:val="00805C53"/>
    <w:rsid w:val="008061D7"/>
    <w:rsid w:val="008078B6"/>
    <w:rsid w:val="00812500"/>
    <w:rsid w:val="0081254D"/>
    <w:rsid w:val="00813C2B"/>
    <w:rsid w:val="00814219"/>
    <w:rsid w:val="00820DA9"/>
    <w:rsid w:val="00821023"/>
    <w:rsid w:val="00822170"/>
    <w:rsid w:val="00823BFA"/>
    <w:rsid w:val="00831FA1"/>
    <w:rsid w:val="0083269B"/>
    <w:rsid w:val="0083753F"/>
    <w:rsid w:val="008418E9"/>
    <w:rsid w:val="00841C6D"/>
    <w:rsid w:val="008462B0"/>
    <w:rsid w:val="008500B6"/>
    <w:rsid w:val="008541D6"/>
    <w:rsid w:val="00855147"/>
    <w:rsid w:val="00861AC7"/>
    <w:rsid w:val="0086209E"/>
    <w:rsid w:val="0086340D"/>
    <w:rsid w:val="00864C77"/>
    <w:rsid w:val="00867EB6"/>
    <w:rsid w:val="00871B68"/>
    <w:rsid w:val="00871BA1"/>
    <w:rsid w:val="00871BBB"/>
    <w:rsid w:val="00871DC5"/>
    <w:rsid w:val="00882720"/>
    <w:rsid w:val="00882DC8"/>
    <w:rsid w:val="00886196"/>
    <w:rsid w:val="00886581"/>
    <w:rsid w:val="00893030"/>
    <w:rsid w:val="008931D2"/>
    <w:rsid w:val="00895905"/>
    <w:rsid w:val="00895EB6"/>
    <w:rsid w:val="008A25BB"/>
    <w:rsid w:val="008A5505"/>
    <w:rsid w:val="008A5992"/>
    <w:rsid w:val="008A5C64"/>
    <w:rsid w:val="008B1B6B"/>
    <w:rsid w:val="008B1D06"/>
    <w:rsid w:val="008C2332"/>
    <w:rsid w:val="008C4113"/>
    <w:rsid w:val="008C65C2"/>
    <w:rsid w:val="008D1476"/>
    <w:rsid w:val="008D264F"/>
    <w:rsid w:val="008D6BC5"/>
    <w:rsid w:val="008D7D3B"/>
    <w:rsid w:val="008E12CE"/>
    <w:rsid w:val="008E3D78"/>
    <w:rsid w:val="008E43D0"/>
    <w:rsid w:val="008E4C4B"/>
    <w:rsid w:val="008E69CE"/>
    <w:rsid w:val="008E7FA9"/>
    <w:rsid w:val="008F29EC"/>
    <w:rsid w:val="008F4917"/>
    <w:rsid w:val="008F6046"/>
    <w:rsid w:val="008F60BB"/>
    <w:rsid w:val="00901646"/>
    <w:rsid w:val="0090337E"/>
    <w:rsid w:val="00907B27"/>
    <w:rsid w:val="00910705"/>
    <w:rsid w:val="00913D5A"/>
    <w:rsid w:val="009149F1"/>
    <w:rsid w:val="00915C99"/>
    <w:rsid w:val="00915D3A"/>
    <w:rsid w:val="009174E8"/>
    <w:rsid w:val="00921052"/>
    <w:rsid w:val="00921146"/>
    <w:rsid w:val="00930317"/>
    <w:rsid w:val="0093095F"/>
    <w:rsid w:val="00932036"/>
    <w:rsid w:val="00933A79"/>
    <w:rsid w:val="00935FE3"/>
    <w:rsid w:val="00950E79"/>
    <w:rsid w:val="00952720"/>
    <w:rsid w:val="00954489"/>
    <w:rsid w:val="0095465A"/>
    <w:rsid w:val="0095659F"/>
    <w:rsid w:val="00956643"/>
    <w:rsid w:val="00956C93"/>
    <w:rsid w:val="009605A3"/>
    <w:rsid w:val="00961B05"/>
    <w:rsid w:val="0096260D"/>
    <w:rsid w:val="00963F49"/>
    <w:rsid w:val="00964FE1"/>
    <w:rsid w:val="00966177"/>
    <w:rsid w:val="009676B6"/>
    <w:rsid w:val="0097053E"/>
    <w:rsid w:val="00971118"/>
    <w:rsid w:val="00974A3D"/>
    <w:rsid w:val="00977A3F"/>
    <w:rsid w:val="00977BA8"/>
    <w:rsid w:val="00984043"/>
    <w:rsid w:val="00985FF0"/>
    <w:rsid w:val="00986173"/>
    <w:rsid w:val="00986288"/>
    <w:rsid w:val="00986EF5"/>
    <w:rsid w:val="00990197"/>
    <w:rsid w:val="00990438"/>
    <w:rsid w:val="00991C88"/>
    <w:rsid w:val="00992F91"/>
    <w:rsid w:val="009938B1"/>
    <w:rsid w:val="00994E8F"/>
    <w:rsid w:val="00994F6B"/>
    <w:rsid w:val="0099762F"/>
    <w:rsid w:val="009977F4"/>
    <w:rsid w:val="009A117A"/>
    <w:rsid w:val="009A2E80"/>
    <w:rsid w:val="009A2F21"/>
    <w:rsid w:val="009A38B7"/>
    <w:rsid w:val="009A3F00"/>
    <w:rsid w:val="009A4DB9"/>
    <w:rsid w:val="009A68A5"/>
    <w:rsid w:val="009B0278"/>
    <w:rsid w:val="009B333B"/>
    <w:rsid w:val="009B5D5F"/>
    <w:rsid w:val="009C1D97"/>
    <w:rsid w:val="009C3BD7"/>
    <w:rsid w:val="009C4575"/>
    <w:rsid w:val="009C4D62"/>
    <w:rsid w:val="009C556E"/>
    <w:rsid w:val="009C5853"/>
    <w:rsid w:val="009C729E"/>
    <w:rsid w:val="009C73AF"/>
    <w:rsid w:val="009D32AF"/>
    <w:rsid w:val="009D428E"/>
    <w:rsid w:val="009D5BF3"/>
    <w:rsid w:val="009D5C9E"/>
    <w:rsid w:val="009D6B08"/>
    <w:rsid w:val="009E21F6"/>
    <w:rsid w:val="009E2E1D"/>
    <w:rsid w:val="009E4FCA"/>
    <w:rsid w:val="009E555C"/>
    <w:rsid w:val="009E639E"/>
    <w:rsid w:val="009F12DE"/>
    <w:rsid w:val="009F2AC0"/>
    <w:rsid w:val="00A01E16"/>
    <w:rsid w:val="00A03208"/>
    <w:rsid w:val="00A03661"/>
    <w:rsid w:val="00A0404F"/>
    <w:rsid w:val="00A05270"/>
    <w:rsid w:val="00A06583"/>
    <w:rsid w:val="00A133D3"/>
    <w:rsid w:val="00A138A3"/>
    <w:rsid w:val="00A13B2F"/>
    <w:rsid w:val="00A13BC1"/>
    <w:rsid w:val="00A15E64"/>
    <w:rsid w:val="00A25461"/>
    <w:rsid w:val="00A268FD"/>
    <w:rsid w:val="00A30A7B"/>
    <w:rsid w:val="00A332E9"/>
    <w:rsid w:val="00A34D45"/>
    <w:rsid w:val="00A41DD2"/>
    <w:rsid w:val="00A452A7"/>
    <w:rsid w:val="00A47332"/>
    <w:rsid w:val="00A50843"/>
    <w:rsid w:val="00A51545"/>
    <w:rsid w:val="00A54CC6"/>
    <w:rsid w:val="00A568BD"/>
    <w:rsid w:val="00A6008E"/>
    <w:rsid w:val="00A618F8"/>
    <w:rsid w:val="00A64B84"/>
    <w:rsid w:val="00A72B9C"/>
    <w:rsid w:val="00A72C69"/>
    <w:rsid w:val="00A760FE"/>
    <w:rsid w:val="00A771DC"/>
    <w:rsid w:val="00A77A2E"/>
    <w:rsid w:val="00A813F7"/>
    <w:rsid w:val="00A838FA"/>
    <w:rsid w:val="00A84790"/>
    <w:rsid w:val="00A85CF8"/>
    <w:rsid w:val="00A872A4"/>
    <w:rsid w:val="00A90270"/>
    <w:rsid w:val="00A90DA2"/>
    <w:rsid w:val="00A91510"/>
    <w:rsid w:val="00A9228A"/>
    <w:rsid w:val="00A94FE1"/>
    <w:rsid w:val="00A96C54"/>
    <w:rsid w:val="00AA4913"/>
    <w:rsid w:val="00AA4B85"/>
    <w:rsid w:val="00AA5A09"/>
    <w:rsid w:val="00AB020C"/>
    <w:rsid w:val="00AB030B"/>
    <w:rsid w:val="00AB2B94"/>
    <w:rsid w:val="00AB345C"/>
    <w:rsid w:val="00AB3E43"/>
    <w:rsid w:val="00AB5E9B"/>
    <w:rsid w:val="00AB778B"/>
    <w:rsid w:val="00AB7F0A"/>
    <w:rsid w:val="00AC43E7"/>
    <w:rsid w:val="00AC591D"/>
    <w:rsid w:val="00AC74D4"/>
    <w:rsid w:val="00AC7B9D"/>
    <w:rsid w:val="00AD00DA"/>
    <w:rsid w:val="00AD33BD"/>
    <w:rsid w:val="00AD78C5"/>
    <w:rsid w:val="00AE0E62"/>
    <w:rsid w:val="00AE2B2D"/>
    <w:rsid w:val="00AE3838"/>
    <w:rsid w:val="00AE5436"/>
    <w:rsid w:val="00AE657D"/>
    <w:rsid w:val="00AE7E30"/>
    <w:rsid w:val="00AF1435"/>
    <w:rsid w:val="00AF18A6"/>
    <w:rsid w:val="00AF4CC1"/>
    <w:rsid w:val="00AF6720"/>
    <w:rsid w:val="00AF725C"/>
    <w:rsid w:val="00AF7A8A"/>
    <w:rsid w:val="00B10EFE"/>
    <w:rsid w:val="00B14548"/>
    <w:rsid w:val="00B14618"/>
    <w:rsid w:val="00B1698A"/>
    <w:rsid w:val="00B20AFF"/>
    <w:rsid w:val="00B225A4"/>
    <w:rsid w:val="00B3456C"/>
    <w:rsid w:val="00B36284"/>
    <w:rsid w:val="00B36642"/>
    <w:rsid w:val="00B41EB7"/>
    <w:rsid w:val="00B4727B"/>
    <w:rsid w:val="00B505AA"/>
    <w:rsid w:val="00B51510"/>
    <w:rsid w:val="00B535AF"/>
    <w:rsid w:val="00B57FCB"/>
    <w:rsid w:val="00B617F3"/>
    <w:rsid w:val="00B65701"/>
    <w:rsid w:val="00B67FC1"/>
    <w:rsid w:val="00B72BB6"/>
    <w:rsid w:val="00B7410B"/>
    <w:rsid w:val="00B7625F"/>
    <w:rsid w:val="00B76505"/>
    <w:rsid w:val="00B76547"/>
    <w:rsid w:val="00B77AF7"/>
    <w:rsid w:val="00B86C05"/>
    <w:rsid w:val="00B91CA2"/>
    <w:rsid w:val="00B91E92"/>
    <w:rsid w:val="00B92118"/>
    <w:rsid w:val="00B92BD5"/>
    <w:rsid w:val="00B940E3"/>
    <w:rsid w:val="00B96526"/>
    <w:rsid w:val="00BA05B5"/>
    <w:rsid w:val="00BA2579"/>
    <w:rsid w:val="00BB0B50"/>
    <w:rsid w:val="00BB0FCD"/>
    <w:rsid w:val="00BB248F"/>
    <w:rsid w:val="00BB3F79"/>
    <w:rsid w:val="00BB5645"/>
    <w:rsid w:val="00BC24BB"/>
    <w:rsid w:val="00BC306B"/>
    <w:rsid w:val="00BC5C7C"/>
    <w:rsid w:val="00BC74C2"/>
    <w:rsid w:val="00BD0D73"/>
    <w:rsid w:val="00BD1EE0"/>
    <w:rsid w:val="00BD3365"/>
    <w:rsid w:val="00BD62B0"/>
    <w:rsid w:val="00BD6A52"/>
    <w:rsid w:val="00BD6CCA"/>
    <w:rsid w:val="00BE0DF1"/>
    <w:rsid w:val="00BE3C9E"/>
    <w:rsid w:val="00BE3DCC"/>
    <w:rsid w:val="00BE5973"/>
    <w:rsid w:val="00BE70BA"/>
    <w:rsid w:val="00BE7B35"/>
    <w:rsid w:val="00BF08BC"/>
    <w:rsid w:val="00BF102E"/>
    <w:rsid w:val="00BF2E53"/>
    <w:rsid w:val="00BF3A28"/>
    <w:rsid w:val="00BF4ED7"/>
    <w:rsid w:val="00BF541A"/>
    <w:rsid w:val="00BF7A8B"/>
    <w:rsid w:val="00C01587"/>
    <w:rsid w:val="00C01FFD"/>
    <w:rsid w:val="00C02AB4"/>
    <w:rsid w:val="00C06B7B"/>
    <w:rsid w:val="00C10E18"/>
    <w:rsid w:val="00C12BBD"/>
    <w:rsid w:val="00C142E6"/>
    <w:rsid w:val="00C154AE"/>
    <w:rsid w:val="00C161A6"/>
    <w:rsid w:val="00C1778C"/>
    <w:rsid w:val="00C211E0"/>
    <w:rsid w:val="00C236E5"/>
    <w:rsid w:val="00C26B35"/>
    <w:rsid w:val="00C27D9B"/>
    <w:rsid w:val="00C30E40"/>
    <w:rsid w:val="00C3242C"/>
    <w:rsid w:val="00C34183"/>
    <w:rsid w:val="00C36813"/>
    <w:rsid w:val="00C45A70"/>
    <w:rsid w:val="00C46FC5"/>
    <w:rsid w:val="00C47D89"/>
    <w:rsid w:val="00C52F3C"/>
    <w:rsid w:val="00C53419"/>
    <w:rsid w:val="00C544C6"/>
    <w:rsid w:val="00C54600"/>
    <w:rsid w:val="00C57002"/>
    <w:rsid w:val="00C63337"/>
    <w:rsid w:val="00C6353E"/>
    <w:rsid w:val="00C63F7C"/>
    <w:rsid w:val="00C6425D"/>
    <w:rsid w:val="00C65664"/>
    <w:rsid w:val="00C67D40"/>
    <w:rsid w:val="00C73D9B"/>
    <w:rsid w:val="00C761D2"/>
    <w:rsid w:val="00C76419"/>
    <w:rsid w:val="00C76C68"/>
    <w:rsid w:val="00C85C1E"/>
    <w:rsid w:val="00C867C9"/>
    <w:rsid w:val="00C91669"/>
    <w:rsid w:val="00C970A9"/>
    <w:rsid w:val="00CA0602"/>
    <w:rsid w:val="00CA3E7C"/>
    <w:rsid w:val="00CA455D"/>
    <w:rsid w:val="00CA51F5"/>
    <w:rsid w:val="00CB42C7"/>
    <w:rsid w:val="00CC0EA1"/>
    <w:rsid w:val="00CC19E3"/>
    <w:rsid w:val="00CC414A"/>
    <w:rsid w:val="00CC4678"/>
    <w:rsid w:val="00CC4C19"/>
    <w:rsid w:val="00CD1907"/>
    <w:rsid w:val="00CD4883"/>
    <w:rsid w:val="00CD78B4"/>
    <w:rsid w:val="00CE4614"/>
    <w:rsid w:val="00CE63A4"/>
    <w:rsid w:val="00CE6AC8"/>
    <w:rsid w:val="00CF3CC0"/>
    <w:rsid w:val="00CF524B"/>
    <w:rsid w:val="00D045F2"/>
    <w:rsid w:val="00D05F1C"/>
    <w:rsid w:val="00D06597"/>
    <w:rsid w:val="00D10A72"/>
    <w:rsid w:val="00D10C90"/>
    <w:rsid w:val="00D17B07"/>
    <w:rsid w:val="00D2305D"/>
    <w:rsid w:val="00D256ED"/>
    <w:rsid w:val="00D32121"/>
    <w:rsid w:val="00D332B6"/>
    <w:rsid w:val="00D3383B"/>
    <w:rsid w:val="00D3492E"/>
    <w:rsid w:val="00D424F3"/>
    <w:rsid w:val="00D4405F"/>
    <w:rsid w:val="00D50843"/>
    <w:rsid w:val="00D52F0F"/>
    <w:rsid w:val="00D532AF"/>
    <w:rsid w:val="00D53737"/>
    <w:rsid w:val="00D5634C"/>
    <w:rsid w:val="00D56907"/>
    <w:rsid w:val="00D633FE"/>
    <w:rsid w:val="00D6350C"/>
    <w:rsid w:val="00D70522"/>
    <w:rsid w:val="00D7578E"/>
    <w:rsid w:val="00D759DD"/>
    <w:rsid w:val="00D76D63"/>
    <w:rsid w:val="00D80ED2"/>
    <w:rsid w:val="00D84E3F"/>
    <w:rsid w:val="00D8765D"/>
    <w:rsid w:val="00D87881"/>
    <w:rsid w:val="00D916E9"/>
    <w:rsid w:val="00D91AE6"/>
    <w:rsid w:val="00D94D5F"/>
    <w:rsid w:val="00D94FC7"/>
    <w:rsid w:val="00D9506F"/>
    <w:rsid w:val="00D9574B"/>
    <w:rsid w:val="00DA582C"/>
    <w:rsid w:val="00DA7BC1"/>
    <w:rsid w:val="00DB29CA"/>
    <w:rsid w:val="00DB2A93"/>
    <w:rsid w:val="00DB6280"/>
    <w:rsid w:val="00DB7104"/>
    <w:rsid w:val="00DC1D2D"/>
    <w:rsid w:val="00DC5804"/>
    <w:rsid w:val="00DD3FC4"/>
    <w:rsid w:val="00DD7C2E"/>
    <w:rsid w:val="00DE2313"/>
    <w:rsid w:val="00DE55EB"/>
    <w:rsid w:val="00DE5D1E"/>
    <w:rsid w:val="00DE5DBB"/>
    <w:rsid w:val="00DF00F3"/>
    <w:rsid w:val="00DF4F6B"/>
    <w:rsid w:val="00DF5D9E"/>
    <w:rsid w:val="00DF626A"/>
    <w:rsid w:val="00DF7C6C"/>
    <w:rsid w:val="00E022C4"/>
    <w:rsid w:val="00E052B7"/>
    <w:rsid w:val="00E0583D"/>
    <w:rsid w:val="00E06188"/>
    <w:rsid w:val="00E0742A"/>
    <w:rsid w:val="00E10450"/>
    <w:rsid w:val="00E1247A"/>
    <w:rsid w:val="00E126F8"/>
    <w:rsid w:val="00E129AA"/>
    <w:rsid w:val="00E3614C"/>
    <w:rsid w:val="00E36F7C"/>
    <w:rsid w:val="00E379D4"/>
    <w:rsid w:val="00E40371"/>
    <w:rsid w:val="00E41CA1"/>
    <w:rsid w:val="00E42BEE"/>
    <w:rsid w:val="00E47298"/>
    <w:rsid w:val="00E507E4"/>
    <w:rsid w:val="00E51319"/>
    <w:rsid w:val="00E51433"/>
    <w:rsid w:val="00E520AD"/>
    <w:rsid w:val="00E54CD3"/>
    <w:rsid w:val="00E57145"/>
    <w:rsid w:val="00E60E2A"/>
    <w:rsid w:val="00E630FB"/>
    <w:rsid w:val="00E71790"/>
    <w:rsid w:val="00E73AF7"/>
    <w:rsid w:val="00E7432E"/>
    <w:rsid w:val="00E76327"/>
    <w:rsid w:val="00E808FA"/>
    <w:rsid w:val="00E81769"/>
    <w:rsid w:val="00E82287"/>
    <w:rsid w:val="00E8521F"/>
    <w:rsid w:val="00E909EE"/>
    <w:rsid w:val="00E93072"/>
    <w:rsid w:val="00E9682B"/>
    <w:rsid w:val="00E9772E"/>
    <w:rsid w:val="00EA25AF"/>
    <w:rsid w:val="00EA2950"/>
    <w:rsid w:val="00EA2FF7"/>
    <w:rsid w:val="00EA3D8C"/>
    <w:rsid w:val="00EA4ED2"/>
    <w:rsid w:val="00EA6100"/>
    <w:rsid w:val="00EA6A50"/>
    <w:rsid w:val="00EA7F01"/>
    <w:rsid w:val="00EB2A66"/>
    <w:rsid w:val="00EB52BA"/>
    <w:rsid w:val="00EB5D6E"/>
    <w:rsid w:val="00EC3B95"/>
    <w:rsid w:val="00EC451E"/>
    <w:rsid w:val="00EC5095"/>
    <w:rsid w:val="00ED0B0B"/>
    <w:rsid w:val="00ED0F7A"/>
    <w:rsid w:val="00ED442E"/>
    <w:rsid w:val="00EE0093"/>
    <w:rsid w:val="00EE2B4E"/>
    <w:rsid w:val="00EE3FD0"/>
    <w:rsid w:val="00EE40C5"/>
    <w:rsid w:val="00EE609F"/>
    <w:rsid w:val="00F02B10"/>
    <w:rsid w:val="00F07578"/>
    <w:rsid w:val="00F177DB"/>
    <w:rsid w:val="00F245DC"/>
    <w:rsid w:val="00F24CDD"/>
    <w:rsid w:val="00F2613A"/>
    <w:rsid w:val="00F30519"/>
    <w:rsid w:val="00F31AE7"/>
    <w:rsid w:val="00F327D4"/>
    <w:rsid w:val="00F351D6"/>
    <w:rsid w:val="00F37919"/>
    <w:rsid w:val="00F37B37"/>
    <w:rsid w:val="00F414A3"/>
    <w:rsid w:val="00F4682A"/>
    <w:rsid w:val="00F476BD"/>
    <w:rsid w:val="00F514C5"/>
    <w:rsid w:val="00F561D5"/>
    <w:rsid w:val="00F601AF"/>
    <w:rsid w:val="00F60E00"/>
    <w:rsid w:val="00F6120E"/>
    <w:rsid w:val="00F62827"/>
    <w:rsid w:val="00F67487"/>
    <w:rsid w:val="00F73534"/>
    <w:rsid w:val="00F737D8"/>
    <w:rsid w:val="00F82596"/>
    <w:rsid w:val="00F845AE"/>
    <w:rsid w:val="00F85F37"/>
    <w:rsid w:val="00F90CA7"/>
    <w:rsid w:val="00F92ECE"/>
    <w:rsid w:val="00F94A13"/>
    <w:rsid w:val="00F96FBC"/>
    <w:rsid w:val="00FA48A2"/>
    <w:rsid w:val="00FA5A70"/>
    <w:rsid w:val="00FA7592"/>
    <w:rsid w:val="00FB130D"/>
    <w:rsid w:val="00FB3880"/>
    <w:rsid w:val="00FB3C48"/>
    <w:rsid w:val="00FB49A7"/>
    <w:rsid w:val="00FB7316"/>
    <w:rsid w:val="00FC46DB"/>
    <w:rsid w:val="00FD08F1"/>
    <w:rsid w:val="00FD313B"/>
    <w:rsid w:val="00FD40DF"/>
    <w:rsid w:val="00FE7D56"/>
    <w:rsid w:val="00FF01FC"/>
    <w:rsid w:val="00FF2C1B"/>
    <w:rsid w:val="00FF2F28"/>
    <w:rsid w:val="00FF4E63"/>
    <w:rsid w:val="00FF563C"/>
    <w:rsid w:val="00FF56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14:docId w14:val="03008FC2"/>
  <w15:chartTrackingRefBased/>
  <w15:docId w15:val="{621B2A23-7D14-4948-9D73-C145B5D0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B14618"/>
    <w:pPr>
      <w:keepNext/>
      <w:spacing w:after="60"/>
      <w:outlineLvl w:val="1"/>
    </w:pPr>
    <w:rPr>
      <w:rFonts w:cs="Arial Bold"/>
      <w:b/>
      <w:bCs/>
      <w:iCs/>
      <w:sz w:val="28"/>
      <w:szCs w:val="28"/>
    </w:rPr>
  </w:style>
  <w:style w:type="paragraph" w:styleId="Heading3">
    <w:name w:val="heading 3"/>
    <w:basedOn w:val="Normal"/>
    <w:next w:val="Normal"/>
    <w:link w:val="Heading3Char"/>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link w:val="HeaderChar"/>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1"/>
      </w:numPr>
      <w:spacing w:before="120" w:after="120"/>
    </w:pPr>
  </w:style>
  <w:style w:type="paragraph" w:styleId="ListBullet2">
    <w:name w:val="List Bullet 2"/>
    <w:basedOn w:val="Normal"/>
    <w:pPr>
      <w:numPr>
        <w:numId w:val="2"/>
      </w:numPr>
      <w:spacing w:before="60" w:after="60"/>
    </w:pPr>
  </w:style>
  <w:style w:type="paragraph" w:styleId="ListBullet3">
    <w:name w:val="List Bullet 3"/>
    <w:basedOn w:val="Normal"/>
    <w:pPr>
      <w:numPr>
        <w:numId w:val="3"/>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5"/>
      </w:numPr>
      <w:tabs>
        <w:tab w:val="clear" w:pos="360"/>
      </w:tabs>
      <w:spacing w:after="120"/>
    </w:pPr>
  </w:style>
  <w:style w:type="paragraph" w:styleId="ListNumber2">
    <w:name w:val="List Number 2"/>
    <w:basedOn w:val="Normal"/>
    <w:pPr>
      <w:numPr>
        <w:numId w:val="6"/>
      </w:numPr>
      <w:tabs>
        <w:tab w:val="clear" w:pos="641"/>
        <w:tab w:val="num" w:pos="643"/>
      </w:tabs>
      <w:spacing w:before="60" w:after="60"/>
    </w:pPr>
  </w:style>
  <w:style w:type="paragraph" w:styleId="ListNumber3">
    <w:name w:val="List Number 3"/>
    <w:basedOn w:val="Normal"/>
    <w:pPr>
      <w:numPr>
        <w:numId w:val="7"/>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ListParagraph">
    <w:name w:val="List Paragraph"/>
    <w:basedOn w:val="Normal"/>
    <w:uiPriority w:val="34"/>
    <w:qFormat/>
    <w:rsid w:val="00612137"/>
    <w:pPr>
      <w:ind w:left="720"/>
      <w:contextualSpacing/>
    </w:pPr>
    <w:rPr>
      <w:rFonts w:ascii="Gill Sans" w:hAnsi="Gill Sans"/>
    </w:rPr>
  </w:style>
  <w:style w:type="character" w:styleId="CommentReference">
    <w:name w:val="annotation reference"/>
    <w:basedOn w:val="DefaultParagraphFont"/>
    <w:rsid w:val="00CF524B"/>
    <w:rPr>
      <w:sz w:val="16"/>
      <w:szCs w:val="16"/>
    </w:rPr>
  </w:style>
  <w:style w:type="paragraph" w:styleId="CommentSubject">
    <w:name w:val="annotation subject"/>
    <w:basedOn w:val="CommentText"/>
    <w:next w:val="CommentText"/>
    <w:link w:val="CommentSubjectChar"/>
    <w:rsid w:val="00CF524B"/>
    <w:rPr>
      <w:rFonts w:ascii="Gill Sans MT" w:hAnsi="Gill Sans MT"/>
      <w:b/>
      <w:bCs/>
      <w:szCs w:val="20"/>
      <w:lang w:val="en-IE"/>
    </w:rPr>
  </w:style>
  <w:style w:type="character" w:customStyle="1" w:styleId="CommentSubjectChar">
    <w:name w:val="Comment Subject Char"/>
    <w:basedOn w:val="CommentTextChar"/>
    <w:link w:val="CommentSubject"/>
    <w:rsid w:val="00CF524B"/>
    <w:rPr>
      <w:rFonts w:ascii="Gill Sans MT" w:eastAsia="Times New Roman" w:hAnsi="Gill Sans MT"/>
      <w:b/>
      <w:bCs/>
      <w:szCs w:val="24"/>
      <w:lang w:eastAsia="en-US"/>
    </w:rPr>
  </w:style>
  <w:style w:type="paragraph" w:styleId="BalloonText">
    <w:name w:val="Balloon Text"/>
    <w:basedOn w:val="Normal"/>
    <w:link w:val="BalloonTextChar"/>
    <w:rsid w:val="00CF524B"/>
    <w:pPr>
      <w:spacing w:after="0"/>
    </w:pPr>
    <w:rPr>
      <w:rFonts w:ascii="Segoe UI" w:hAnsi="Segoe UI" w:cs="Segoe UI"/>
      <w:sz w:val="18"/>
      <w:szCs w:val="18"/>
    </w:rPr>
  </w:style>
  <w:style w:type="character" w:customStyle="1" w:styleId="BalloonTextChar">
    <w:name w:val="Balloon Text Char"/>
    <w:basedOn w:val="DefaultParagraphFont"/>
    <w:link w:val="BalloonText"/>
    <w:rsid w:val="00CF524B"/>
    <w:rPr>
      <w:rFonts w:ascii="Segoe UI" w:eastAsia="Times New Roman" w:hAnsi="Segoe UI" w:cs="Segoe UI"/>
      <w:sz w:val="18"/>
      <w:szCs w:val="18"/>
      <w:lang w:eastAsia="en-US"/>
    </w:rPr>
  </w:style>
  <w:style w:type="paragraph" w:styleId="EndnoteText">
    <w:name w:val="endnote text"/>
    <w:basedOn w:val="Normal"/>
    <w:link w:val="EndnoteTextChar"/>
    <w:rsid w:val="00BB3F79"/>
    <w:pPr>
      <w:spacing w:after="0"/>
    </w:pPr>
    <w:rPr>
      <w:sz w:val="20"/>
      <w:szCs w:val="20"/>
    </w:rPr>
  </w:style>
  <w:style w:type="character" w:customStyle="1" w:styleId="EndnoteTextChar">
    <w:name w:val="Endnote Text Char"/>
    <w:basedOn w:val="DefaultParagraphFont"/>
    <w:link w:val="EndnoteText"/>
    <w:rsid w:val="00BB3F79"/>
    <w:rPr>
      <w:rFonts w:ascii="Gill Sans MT" w:eastAsia="Times New Roman" w:hAnsi="Gill Sans MT"/>
      <w:lang w:eastAsia="en-US"/>
    </w:rPr>
  </w:style>
  <w:style w:type="character" w:styleId="EndnoteReference">
    <w:name w:val="endnote reference"/>
    <w:basedOn w:val="DefaultParagraphFont"/>
    <w:rsid w:val="00BB3F79"/>
    <w:rPr>
      <w:vertAlign w:val="superscript"/>
    </w:rPr>
  </w:style>
  <w:style w:type="paragraph" w:styleId="TOCHeading">
    <w:name w:val="TOC Heading"/>
    <w:basedOn w:val="Heading1"/>
    <w:next w:val="Normal"/>
    <w:uiPriority w:val="39"/>
    <w:unhideWhenUsed/>
    <w:qFormat/>
    <w:rsid w:val="000C03FA"/>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BC1862" w:themeColor="accent1" w:themeShade="BF"/>
      <w:kern w:val="0"/>
      <w:lang w:val="en-US"/>
    </w:rPr>
  </w:style>
  <w:style w:type="paragraph" w:styleId="NormalWeb">
    <w:name w:val="Normal (Web)"/>
    <w:basedOn w:val="Normal"/>
    <w:uiPriority w:val="99"/>
    <w:unhideWhenUsed/>
    <w:rsid w:val="006312F8"/>
    <w:pPr>
      <w:spacing w:before="100" w:beforeAutospacing="1" w:after="100" w:afterAutospacing="1"/>
    </w:pPr>
    <w:rPr>
      <w:rFonts w:ascii="Times New Roman" w:hAnsi="Times New Roman"/>
      <w:sz w:val="24"/>
      <w:lang w:eastAsia="en-IE"/>
    </w:rPr>
  </w:style>
  <w:style w:type="character" w:customStyle="1" w:styleId="Heading1Char">
    <w:name w:val="Heading 1 Char"/>
    <w:basedOn w:val="DefaultParagraphFont"/>
    <w:link w:val="Heading1"/>
    <w:rsid w:val="00475937"/>
    <w:rPr>
      <w:rFonts w:ascii="Gill Sans MT" w:eastAsia="Times New Roman" w:hAnsi="Gill Sans MT" w:cs="Arial"/>
      <w:b/>
      <w:bCs/>
      <w:kern w:val="32"/>
      <w:sz w:val="32"/>
      <w:szCs w:val="32"/>
      <w:lang w:eastAsia="en-US"/>
    </w:rPr>
  </w:style>
  <w:style w:type="character" w:customStyle="1" w:styleId="Heading2Char">
    <w:name w:val="Heading 2 Char"/>
    <w:basedOn w:val="DefaultParagraphFont"/>
    <w:link w:val="Heading2"/>
    <w:rsid w:val="00475937"/>
    <w:rPr>
      <w:rFonts w:ascii="Gill Sans MT" w:eastAsia="Times New Roman" w:hAnsi="Gill Sans MT" w:cs="Arial Bold"/>
      <w:b/>
      <w:bCs/>
      <w:iCs/>
      <w:sz w:val="28"/>
      <w:szCs w:val="28"/>
      <w:lang w:eastAsia="en-US"/>
    </w:rPr>
  </w:style>
  <w:style w:type="paragraph" w:styleId="TOC3">
    <w:name w:val="toc 3"/>
    <w:basedOn w:val="Normal"/>
    <w:next w:val="Normal"/>
    <w:autoRedefine/>
    <w:uiPriority w:val="39"/>
    <w:rsid w:val="00AD00DA"/>
    <w:pPr>
      <w:tabs>
        <w:tab w:val="right" w:leader="dot" w:pos="8630"/>
      </w:tabs>
      <w:spacing w:after="100"/>
      <w:ind w:left="520"/>
    </w:pPr>
  </w:style>
  <w:style w:type="paragraph" w:styleId="TOC4">
    <w:name w:val="toc 4"/>
    <w:basedOn w:val="Normal"/>
    <w:next w:val="Normal"/>
    <w:autoRedefine/>
    <w:uiPriority w:val="39"/>
    <w:unhideWhenUsed/>
    <w:rsid w:val="00A90270"/>
    <w:pPr>
      <w:spacing w:after="100" w:line="259" w:lineRule="auto"/>
      <w:ind w:left="660"/>
    </w:pPr>
    <w:rPr>
      <w:rFonts w:asciiTheme="minorHAnsi" w:eastAsiaTheme="minorEastAsia" w:hAnsiTheme="minorHAnsi" w:cstheme="minorBidi"/>
      <w:sz w:val="22"/>
      <w:szCs w:val="22"/>
      <w:lang w:eastAsia="en-IE"/>
    </w:rPr>
  </w:style>
  <w:style w:type="paragraph" w:styleId="TOC5">
    <w:name w:val="toc 5"/>
    <w:basedOn w:val="Normal"/>
    <w:next w:val="Normal"/>
    <w:autoRedefine/>
    <w:uiPriority w:val="39"/>
    <w:unhideWhenUsed/>
    <w:rsid w:val="00A90270"/>
    <w:pPr>
      <w:spacing w:after="100" w:line="259" w:lineRule="auto"/>
      <w:ind w:left="880"/>
    </w:pPr>
    <w:rPr>
      <w:rFonts w:asciiTheme="minorHAnsi" w:eastAsiaTheme="minorEastAsia" w:hAnsiTheme="minorHAnsi" w:cstheme="minorBidi"/>
      <w:sz w:val="22"/>
      <w:szCs w:val="22"/>
      <w:lang w:eastAsia="en-IE"/>
    </w:rPr>
  </w:style>
  <w:style w:type="paragraph" w:styleId="TOC6">
    <w:name w:val="toc 6"/>
    <w:basedOn w:val="Normal"/>
    <w:next w:val="Normal"/>
    <w:autoRedefine/>
    <w:uiPriority w:val="39"/>
    <w:unhideWhenUsed/>
    <w:rsid w:val="00A90270"/>
    <w:pPr>
      <w:spacing w:after="100" w:line="259" w:lineRule="auto"/>
      <w:ind w:left="1100"/>
    </w:pPr>
    <w:rPr>
      <w:rFonts w:asciiTheme="minorHAnsi" w:eastAsiaTheme="minorEastAsia" w:hAnsiTheme="minorHAnsi" w:cstheme="minorBidi"/>
      <w:sz w:val="22"/>
      <w:szCs w:val="22"/>
      <w:lang w:eastAsia="en-IE"/>
    </w:rPr>
  </w:style>
  <w:style w:type="paragraph" w:styleId="TOC7">
    <w:name w:val="toc 7"/>
    <w:basedOn w:val="Normal"/>
    <w:next w:val="Normal"/>
    <w:autoRedefine/>
    <w:uiPriority w:val="39"/>
    <w:unhideWhenUsed/>
    <w:rsid w:val="00A90270"/>
    <w:pPr>
      <w:spacing w:after="100" w:line="259" w:lineRule="auto"/>
      <w:ind w:left="1320"/>
    </w:pPr>
    <w:rPr>
      <w:rFonts w:asciiTheme="minorHAnsi" w:eastAsiaTheme="minorEastAsia" w:hAnsiTheme="minorHAnsi" w:cstheme="minorBidi"/>
      <w:sz w:val="22"/>
      <w:szCs w:val="22"/>
      <w:lang w:eastAsia="en-IE"/>
    </w:rPr>
  </w:style>
  <w:style w:type="paragraph" w:styleId="TOC8">
    <w:name w:val="toc 8"/>
    <w:basedOn w:val="Normal"/>
    <w:next w:val="Normal"/>
    <w:autoRedefine/>
    <w:uiPriority w:val="39"/>
    <w:unhideWhenUsed/>
    <w:rsid w:val="00A90270"/>
    <w:pPr>
      <w:spacing w:after="100" w:line="259" w:lineRule="auto"/>
      <w:ind w:left="1540"/>
    </w:pPr>
    <w:rPr>
      <w:rFonts w:asciiTheme="minorHAnsi" w:eastAsiaTheme="minorEastAsia" w:hAnsiTheme="minorHAnsi" w:cstheme="minorBidi"/>
      <w:sz w:val="22"/>
      <w:szCs w:val="22"/>
      <w:lang w:eastAsia="en-IE"/>
    </w:rPr>
  </w:style>
  <w:style w:type="paragraph" w:styleId="TOC9">
    <w:name w:val="toc 9"/>
    <w:basedOn w:val="Normal"/>
    <w:next w:val="Normal"/>
    <w:autoRedefine/>
    <w:uiPriority w:val="39"/>
    <w:unhideWhenUsed/>
    <w:rsid w:val="00A90270"/>
    <w:pPr>
      <w:spacing w:after="100" w:line="259" w:lineRule="auto"/>
      <w:ind w:left="1760"/>
    </w:pPr>
    <w:rPr>
      <w:rFonts w:asciiTheme="minorHAnsi" w:eastAsiaTheme="minorEastAsia" w:hAnsiTheme="minorHAnsi" w:cstheme="minorBidi"/>
      <w:sz w:val="22"/>
      <w:szCs w:val="22"/>
      <w:lang w:eastAsia="en-IE"/>
    </w:rPr>
  </w:style>
  <w:style w:type="character" w:customStyle="1" w:styleId="TitleChar">
    <w:name w:val="Title Char"/>
    <w:basedOn w:val="DefaultParagraphFont"/>
    <w:link w:val="Title"/>
    <w:rsid w:val="0037628B"/>
    <w:rPr>
      <w:rFonts w:ascii="Gill Sans MT" w:eastAsia="Times New Roman" w:hAnsi="Gill Sans MT" w:cs="Arial"/>
      <w:b/>
      <w:bCs/>
      <w:kern w:val="28"/>
      <w:sz w:val="36"/>
      <w:szCs w:val="32"/>
      <w:lang w:eastAsia="en-US"/>
    </w:rPr>
  </w:style>
  <w:style w:type="character" w:customStyle="1" w:styleId="HeaderChar">
    <w:name w:val="Header Char"/>
    <w:basedOn w:val="DefaultParagraphFont"/>
    <w:link w:val="Header"/>
    <w:rsid w:val="0037628B"/>
    <w:rPr>
      <w:rFonts w:ascii="Gill Sans MT" w:eastAsia="Times New Roman" w:hAnsi="Gill Sans MT"/>
      <w:color w:val="333333"/>
      <w:sz w:val="22"/>
      <w:lang w:eastAsia="en-US"/>
    </w:rPr>
  </w:style>
  <w:style w:type="paragraph" w:styleId="Revision">
    <w:name w:val="Revision"/>
    <w:hidden/>
    <w:uiPriority w:val="99"/>
    <w:semiHidden/>
    <w:rsid w:val="0037628B"/>
    <w:rPr>
      <w:rFonts w:ascii="Gill Sans MT" w:eastAsia="Times New Roman" w:hAnsi="Gill Sans MT"/>
      <w:sz w:val="26"/>
      <w:szCs w:val="24"/>
      <w:lang w:eastAsia="en-US"/>
    </w:rPr>
  </w:style>
  <w:style w:type="table" w:styleId="TableGrid">
    <w:name w:val="Table Grid"/>
    <w:basedOn w:val="TableNormal"/>
    <w:rsid w:val="004E1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39242F"/>
    <w:rPr>
      <w:rFonts w:ascii="Gill Sans MT" w:eastAsia="Times New Roman" w:hAnsi="Gill Sans MT"/>
      <w:sz w:val="22"/>
      <w:lang w:eastAsia="en-US"/>
    </w:rPr>
  </w:style>
  <w:style w:type="character" w:customStyle="1" w:styleId="Heading3Char">
    <w:name w:val="Heading 3 Char"/>
    <w:basedOn w:val="DefaultParagraphFont"/>
    <w:link w:val="Heading3"/>
    <w:rsid w:val="00864C77"/>
    <w:rPr>
      <w:rFonts w:ascii="Gill Sans MT" w:eastAsia="Times New Roman" w:hAnsi="Gill Sans MT" w:cs="Arial Bold"/>
      <w:b/>
      <w:bCs/>
      <w:sz w:val="26"/>
      <w:szCs w:val="24"/>
      <w:lang w:eastAsia="en-US"/>
    </w:rPr>
  </w:style>
  <w:style w:type="paragraph" w:customStyle="1" w:styleId="CM61">
    <w:name w:val="CM61"/>
    <w:basedOn w:val="Normal"/>
    <w:next w:val="Normal"/>
    <w:uiPriority w:val="99"/>
    <w:rsid w:val="00864C77"/>
    <w:pPr>
      <w:autoSpaceDE w:val="0"/>
      <w:autoSpaceDN w:val="0"/>
      <w:adjustRightInd w:val="0"/>
      <w:spacing w:after="0"/>
    </w:pPr>
    <w:rPr>
      <w:rFonts w:eastAsia="SimSun"/>
      <w:sz w:val="24"/>
      <w:lang w:eastAsia="en-IE"/>
    </w:rPr>
  </w:style>
  <w:style w:type="character" w:styleId="UnresolvedMention">
    <w:name w:val="Unresolved Mention"/>
    <w:basedOn w:val="DefaultParagraphFont"/>
    <w:uiPriority w:val="99"/>
    <w:semiHidden/>
    <w:unhideWhenUsed/>
    <w:rsid w:val="00D25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4197">
      <w:bodyDiv w:val="1"/>
      <w:marLeft w:val="0"/>
      <w:marRight w:val="0"/>
      <w:marTop w:val="0"/>
      <w:marBottom w:val="0"/>
      <w:divBdr>
        <w:top w:val="none" w:sz="0" w:space="0" w:color="auto"/>
        <w:left w:val="none" w:sz="0" w:space="0" w:color="auto"/>
        <w:bottom w:val="none" w:sz="0" w:space="0" w:color="auto"/>
        <w:right w:val="none" w:sz="0" w:space="0" w:color="auto"/>
      </w:divBdr>
    </w:div>
    <w:div w:id="123819283">
      <w:bodyDiv w:val="1"/>
      <w:marLeft w:val="0"/>
      <w:marRight w:val="0"/>
      <w:marTop w:val="0"/>
      <w:marBottom w:val="0"/>
      <w:divBdr>
        <w:top w:val="none" w:sz="0" w:space="0" w:color="auto"/>
        <w:left w:val="none" w:sz="0" w:space="0" w:color="auto"/>
        <w:bottom w:val="none" w:sz="0" w:space="0" w:color="auto"/>
        <w:right w:val="none" w:sz="0" w:space="0" w:color="auto"/>
      </w:divBdr>
    </w:div>
    <w:div w:id="163010031">
      <w:bodyDiv w:val="1"/>
      <w:marLeft w:val="0"/>
      <w:marRight w:val="0"/>
      <w:marTop w:val="0"/>
      <w:marBottom w:val="0"/>
      <w:divBdr>
        <w:top w:val="none" w:sz="0" w:space="0" w:color="auto"/>
        <w:left w:val="none" w:sz="0" w:space="0" w:color="auto"/>
        <w:bottom w:val="none" w:sz="0" w:space="0" w:color="auto"/>
        <w:right w:val="none" w:sz="0" w:space="0" w:color="auto"/>
      </w:divBdr>
    </w:div>
    <w:div w:id="197358670">
      <w:bodyDiv w:val="1"/>
      <w:marLeft w:val="0"/>
      <w:marRight w:val="0"/>
      <w:marTop w:val="0"/>
      <w:marBottom w:val="0"/>
      <w:divBdr>
        <w:top w:val="none" w:sz="0" w:space="0" w:color="auto"/>
        <w:left w:val="none" w:sz="0" w:space="0" w:color="auto"/>
        <w:bottom w:val="none" w:sz="0" w:space="0" w:color="auto"/>
        <w:right w:val="none" w:sz="0" w:space="0" w:color="auto"/>
      </w:divBdr>
    </w:div>
    <w:div w:id="236014078">
      <w:bodyDiv w:val="1"/>
      <w:marLeft w:val="0"/>
      <w:marRight w:val="0"/>
      <w:marTop w:val="0"/>
      <w:marBottom w:val="0"/>
      <w:divBdr>
        <w:top w:val="none" w:sz="0" w:space="0" w:color="auto"/>
        <w:left w:val="none" w:sz="0" w:space="0" w:color="auto"/>
        <w:bottom w:val="none" w:sz="0" w:space="0" w:color="auto"/>
        <w:right w:val="none" w:sz="0" w:space="0" w:color="auto"/>
      </w:divBdr>
    </w:div>
    <w:div w:id="254823068">
      <w:bodyDiv w:val="1"/>
      <w:marLeft w:val="0"/>
      <w:marRight w:val="0"/>
      <w:marTop w:val="0"/>
      <w:marBottom w:val="0"/>
      <w:divBdr>
        <w:top w:val="none" w:sz="0" w:space="0" w:color="auto"/>
        <w:left w:val="none" w:sz="0" w:space="0" w:color="auto"/>
        <w:bottom w:val="none" w:sz="0" w:space="0" w:color="auto"/>
        <w:right w:val="none" w:sz="0" w:space="0" w:color="auto"/>
      </w:divBdr>
    </w:div>
    <w:div w:id="387729474">
      <w:bodyDiv w:val="1"/>
      <w:marLeft w:val="0"/>
      <w:marRight w:val="0"/>
      <w:marTop w:val="0"/>
      <w:marBottom w:val="0"/>
      <w:divBdr>
        <w:top w:val="none" w:sz="0" w:space="0" w:color="auto"/>
        <w:left w:val="none" w:sz="0" w:space="0" w:color="auto"/>
        <w:bottom w:val="none" w:sz="0" w:space="0" w:color="auto"/>
        <w:right w:val="none" w:sz="0" w:space="0" w:color="auto"/>
      </w:divBdr>
    </w:div>
    <w:div w:id="432752800">
      <w:bodyDiv w:val="1"/>
      <w:marLeft w:val="0"/>
      <w:marRight w:val="0"/>
      <w:marTop w:val="0"/>
      <w:marBottom w:val="0"/>
      <w:divBdr>
        <w:top w:val="none" w:sz="0" w:space="0" w:color="auto"/>
        <w:left w:val="none" w:sz="0" w:space="0" w:color="auto"/>
        <w:bottom w:val="none" w:sz="0" w:space="0" w:color="auto"/>
        <w:right w:val="none" w:sz="0" w:space="0" w:color="auto"/>
      </w:divBdr>
    </w:div>
    <w:div w:id="635839468">
      <w:bodyDiv w:val="1"/>
      <w:marLeft w:val="0"/>
      <w:marRight w:val="0"/>
      <w:marTop w:val="0"/>
      <w:marBottom w:val="0"/>
      <w:divBdr>
        <w:top w:val="none" w:sz="0" w:space="0" w:color="auto"/>
        <w:left w:val="none" w:sz="0" w:space="0" w:color="auto"/>
        <w:bottom w:val="none" w:sz="0" w:space="0" w:color="auto"/>
        <w:right w:val="none" w:sz="0" w:space="0" w:color="auto"/>
      </w:divBdr>
    </w:div>
    <w:div w:id="713234164">
      <w:bodyDiv w:val="1"/>
      <w:marLeft w:val="0"/>
      <w:marRight w:val="0"/>
      <w:marTop w:val="0"/>
      <w:marBottom w:val="0"/>
      <w:divBdr>
        <w:top w:val="none" w:sz="0" w:space="0" w:color="auto"/>
        <w:left w:val="none" w:sz="0" w:space="0" w:color="auto"/>
        <w:bottom w:val="none" w:sz="0" w:space="0" w:color="auto"/>
        <w:right w:val="none" w:sz="0" w:space="0" w:color="auto"/>
      </w:divBdr>
    </w:div>
    <w:div w:id="780106144">
      <w:bodyDiv w:val="1"/>
      <w:marLeft w:val="0"/>
      <w:marRight w:val="0"/>
      <w:marTop w:val="0"/>
      <w:marBottom w:val="0"/>
      <w:divBdr>
        <w:top w:val="none" w:sz="0" w:space="0" w:color="auto"/>
        <w:left w:val="none" w:sz="0" w:space="0" w:color="auto"/>
        <w:bottom w:val="none" w:sz="0" w:space="0" w:color="auto"/>
        <w:right w:val="none" w:sz="0" w:space="0" w:color="auto"/>
      </w:divBdr>
    </w:div>
    <w:div w:id="781609185">
      <w:bodyDiv w:val="1"/>
      <w:marLeft w:val="0"/>
      <w:marRight w:val="0"/>
      <w:marTop w:val="0"/>
      <w:marBottom w:val="0"/>
      <w:divBdr>
        <w:top w:val="none" w:sz="0" w:space="0" w:color="auto"/>
        <w:left w:val="none" w:sz="0" w:space="0" w:color="auto"/>
        <w:bottom w:val="none" w:sz="0" w:space="0" w:color="auto"/>
        <w:right w:val="none" w:sz="0" w:space="0" w:color="auto"/>
      </w:divBdr>
    </w:div>
    <w:div w:id="879443432">
      <w:bodyDiv w:val="1"/>
      <w:marLeft w:val="0"/>
      <w:marRight w:val="0"/>
      <w:marTop w:val="0"/>
      <w:marBottom w:val="0"/>
      <w:divBdr>
        <w:top w:val="none" w:sz="0" w:space="0" w:color="auto"/>
        <w:left w:val="none" w:sz="0" w:space="0" w:color="auto"/>
        <w:bottom w:val="none" w:sz="0" w:space="0" w:color="auto"/>
        <w:right w:val="none" w:sz="0" w:space="0" w:color="auto"/>
      </w:divBdr>
    </w:div>
    <w:div w:id="943414589">
      <w:bodyDiv w:val="1"/>
      <w:marLeft w:val="0"/>
      <w:marRight w:val="0"/>
      <w:marTop w:val="0"/>
      <w:marBottom w:val="0"/>
      <w:divBdr>
        <w:top w:val="none" w:sz="0" w:space="0" w:color="auto"/>
        <w:left w:val="none" w:sz="0" w:space="0" w:color="auto"/>
        <w:bottom w:val="none" w:sz="0" w:space="0" w:color="auto"/>
        <w:right w:val="none" w:sz="0" w:space="0" w:color="auto"/>
      </w:divBdr>
    </w:div>
    <w:div w:id="1024598523">
      <w:bodyDiv w:val="1"/>
      <w:marLeft w:val="0"/>
      <w:marRight w:val="0"/>
      <w:marTop w:val="0"/>
      <w:marBottom w:val="0"/>
      <w:divBdr>
        <w:top w:val="none" w:sz="0" w:space="0" w:color="auto"/>
        <w:left w:val="none" w:sz="0" w:space="0" w:color="auto"/>
        <w:bottom w:val="none" w:sz="0" w:space="0" w:color="auto"/>
        <w:right w:val="none" w:sz="0" w:space="0" w:color="auto"/>
      </w:divBdr>
    </w:div>
    <w:div w:id="1143237674">
      <w:bodyDiv w:val="1"/>
      <w:marLeft w:val="0"/>
      <w:marRight w:val="0"/>
      <w:marTop w:val="0"/>
      <w:marBottom w:val="0"/>
      <w:divBdr>
        <w:top w:val="none" w:sz="0" w:space="0" w:color="auto"/>
        <w:left w:val="none" w:sz="0" w:space="0" w:color="auto"/>
        <w:bottom w:val="none" w:sz="0" w:space="0" w:color="auto"/>
        <w:right w:val="none" w:sz="0" w:space="0" w:color="auto"/>
      </w:divBdr>
    </w:div>
    <w:div w:id="1160539696">
      <w:bodyDiv w:val="1"/>
      <w:marLeft w:val="0"/>
      <w:marRight w:val="0"/>
      <w:marTop w:val="0"/>
      <w:marBottom w:val="0"/>
      <w:divBdr>
        <w:top w:val="none" w:sz="0" w:space="0" w:color="auto"/>
        <w:left w:val="none" w:sz="0" w:space="0" w:color="auto"/>
        <w:bottom w:val="none" w:sz="0" w:space="0" w:color="auto"/>
        <w:right w:val="none" w:sz="0" w:space="0" w:color="auto"/>
      </w:divBdr>
    </w:div>
    <w:div w:id="1168322300">
      <w:bodyDiv w:val="1"/>
      <w:marLeft w:val="0"/>
      <w:marRight w:val="0"/>
      <w:marTop w:val="0"/>
      <w:marBottom w:val="0"/>
      <w:divBdr>
        <w:top w:val="none" w:sz="0" w:space="0" w:color="auto"/>
        <w:left w:val="none" w:sz="0" w:space="0" w:color="auto"/>
        <w:bottom w:val="none" w:sz="0" w:space="0" w:color="auto"/>
        <w:right w:val="none" w:sz="0" w:space="0" w:color="auto"/>
      </w:divBdr>
    </w:div>
    <w:div w:id="1174105049">
      <w:bodyDiv w:val="1"/>
      <w:marLeft w:val="0"/>
      <w:marRight w:val="0"/>
      <w:marTop w:val="0"/>
      <w:marBottom w:val="0"/>
      <w:divBdr>
        <w:top w:val="none" w:sz="0" w:space="0" w:color="auto"/>
        <w:left w:val="none" w:sz="0" w:space="0" w:color="auto"/>
        <w:bottom w:val="none" w:sz="0" w:space="0" w:color="auto"/>
        <w:right w:val="none" w:sz="0" w:space="0" w:color="auto"/>
      </w:divBdr>
    </w:div>
    <w:div w:id="1270699565">
      <w:bodyDiv w:val="1"/>
      <w:marLeft w:val="0"/>
      <w:marRight w:val="0"/>
      <w:marTop w:val="0"/>
      <w:marBottom w:val="0"/>
      <w:divBdr>
        <w:top w:val="none" w:sz="0" w:space="0" w:color="auto"/>
        <w:left w:val="none" w:sz="0" w:space="0" w:color="auto"/>
        <w:bottom w:val="none" w:sz="0" w:space="0" w:color="auto"/>
        <w:right w:val="none" w:sz="0" w:space="0" w:color="auto"/>
      </w:divBdr>
    </w:div>
    <w:div w:id="1319577518">
      <w:bodyDiv w:val="1"/>
      <w:marLeft w:val="0"/>
      <w:marRight w:val="0"/>
      <w:marTop w:val="0"/>
      <w:marBottom w:val="0"/>
      <w:divBdr>
        <w:top w:val="none" w:sz="0" w:space="0" w:color="auto"/>
        <w:left w:val="none" w:sz="0" w:space="0" w:color="auto"/>
        <w:bottom w:val="none" w:sz="0" w:space="0" w:color="auto"/>
        <w:right w:val="none" w:sz="0" w:space="0" w:color="auto"/>
      </w:divBdr>
    </w:div>
    <w:div w:id="1386293263">
      <w:bodyDiv w:val="1"/>
      <w:marLeft w:val="0"/>
      <w:marRight w:val="0"/>
      <w:marTop w:val="0"/>
      <w:marBottom w:val="0"/>
      <w:divBdr>
        <w:top w:val="none" w:sz="0" w:space="0" w:color="auto"/>
        <w:left w:val="none" w:sz="0" w:space="0" w:color="auto"/>
        <w:bottom w:val="none" w:sz="0" w:space="0" w:color="auto"/>
        <w:right w:val="none" w:sz="0" w:space="0" w:color="auto"/>
      </w:divBdr>
    </w:div>
    <w:div w:id="1509710160">
      <w:bodyDiv w:val="1"/>
      <w:marLeft w:val="0"/>
      <w:marRight w:val="0"/>
      <w:marTop w:val="0"/>
      <w:marBottom w:val="0"/>
      <w:divBdr>
        <w:top w:val="none" w:sz="0" w:space="0" w:color="auto"/>
        <w:left w:val="none" w:sz="0" w:space="0" w:color="auto"/>
        <w:bottom w:val="none" w:sz="0" w:space="0" w:color="auto"/>
        <w:right w:val="none" w:sz="0" w:space="0" w:color="auto"/>
      </w:divBdr>
    </w:div>
    <w:div w:id="1554582474">
      <w:bodyDiv w:val="1"/>
      <w:marLeft w:val="0"/>
      <w:marRight w:val="0"/>
      <w:marTop w:val="0"/>
      <w:marBottom w:val="0"/>
      <w:divBdr>
        <w:top w:val="none" w:sz="0" w:space="0" w:color="auto"/>
        <w:left w:val="none" w:sz="0" w:space="0" w:color="auto"/>
        <w:bottom w:val="none" w:sz="0" w:space="0" w:color="auto"/>
        <w:right w:val="none" w:sz="0" w:space="0" w:color="auto"/>
      </w:divBdr>
    </w:div>
    <w:div w:id="1674918629">
      <w:bodyDiv w:val="1"/>
      <w:marLeft w:val="0"/>
      <w:marRight w:val="0"/>
      <w:marTop w:val="0"/>
      <w:marBottom w:val="0"/>
      <w:divBdr>
        <w:top w:val="none" w:sz="0" w:space="0" w:color="auto"/>
        <w:left w:val="none" w:sz="0" w:space="0" w:color="auto"/>
        <w:bottom w:val="none" w:sz="0" w:space="0" w:color="auto"/>
        <w:right w:val="none" w:sz="0" w:space="0" w:color="auto"/>
      </w:divBdr>
    </w:div>
    <w:div w:id="1726179159">
      <w:bodyDiv w:val="1"/>
      <w:marLeft w:val="0"/>
      <w:marRight w:val="0"/>
      <w:marTop w:val="0"/>
      <w:marBottom w:val="0"/>
      <w:divBdr>
        <w:top w:val="none" w:sz="0" w:space="0" w:color="auto"/>
        <w:left w:val="none" w:sz="0" w:space="0" w:color="auto"/>
        <w:bottom w:val="none" w:sz="0" w:space="0" w:color="auto"/>
        <w:right w:val="none" w:sz="0" w:space="0" w:color="auto"/>
      </w:divBdr>
    </w:div>
    <w:div w:id="1728068206">
      <w:bodyDiv w:val="1"/>
      <w:marLeft w:val="0"/>
      <w:marRight w:val="0"/>
      <w:marTop w:val="0"/>
      <w:marBottom w:val="0"/>
      <w:divBdr>
        <w:top w:val="none" w:sz="0" w:space="0" w:color="auto"/>
        <w:left w:val="none" w:sz="0" w:space="0" w:color="auto"/>
        <w:bottom w:val="none" w:sz="0" w:space="0" w:color="auto"/>
        <w:right w:val="none" w:sz="0" w:space="0" w:color="auto"/>
      </w:divBdr>
    </w:div>
    <w:div w:id="1730880197">
      <w:bodyDiv w:val="1"/>
      <w:marLeft w:val="0"/>
      <w:marRight w:val="0"/>
      <w:marTop w:val="0"/>
      <w:marBottom w:val="0"/>
      <w:divBdr>
        <w:top w:val="none" w:sz="0" w:space="0" w:color="auto"/>
        <w:left w:val="none" w:sz="0" w:space="0" w:color="auto"/>
        <w:bottom w:val="none" w:sz="0" w:space="0" w:color="auto"/>
        <w:right w:val="none" w:sz="0" w:space="0" w:color="auto"/>
      </w:divBdr>
    </w:div>
    <w:div w:id="1775663943">
      <w:bodyDiv w:val="1"/>
      <w:marLeft w:val="0"/>
      <w:marRight w:val="0"/>
      <w:marTop w:val="0"/>
      <w:marBottom w:val="0"/>
      <w:divBdr>
        <w:top w:val="none" w:sz="0" w:space="0" w:color="auto"/>
        <w:left w:val="none" w:sz="0" w:space="0" w:color="auto"/>
        <w:bottom w:val="none" w:sz="0" w:space="0" w:color="auto"/>
        <w:right w:val="none" w:sz="0" w:space="0" w:color="auto"/>
      </w:divBdr>
    </w:div>
    <w:div w:id="1790317793">
      <w:bodyDiv w:val="1"/>
      <w:marLeft w:val="0"/>
      <w:marRight w:val="0"/>
      <w:marTop w:val="0"/>
      <w:marBottom w:val="0"/>
      <w:divBdr>
        <w:top w:val="none" w:sz="0" w:space="0" w:color="auto"/>
        <w:left w:val="none" w:sz="0" w:space="0" w:color="auto"/>
        <w:bottom w:val="none" w:sz="0" w:space="0" w:color="auto"/>
        <w:right w:val="none" w:sz="0" w:space="0" w:color="auto"/>
      </w:divBdr>
    </w:div>
    <w:div w:id="1825120090">
      <w:bodyDiv w:val="1"/>
      <w:marLeft w:val="0"/>
      <w:marRight w:val="0"/>
      <w:marTop w:val="0"/>
      <w:marBottom w:val="0"/>
      <w:divBdr>
        <w:top w:val="none" w:sz="0" w:space="0" w:color="auto"/>
        <w:left w:val="none" w:sz="0" w:space="0" w:color="auto"/>
        <w:bottom w:val="none" w:sz="0" w:space="0" w:color="auto"/>
        <w:right w:val="none" w:sz="0" w:space="0" w:color="auto"/>
      </w:divBdr>
    </w:div>
    <w:div w:id="1883783497">
      <w:bodyDiv w:val="1"/>
      <w:marLeft w:val="0"/>
      <w:marRight w:val="0"/>
      <w:marTop w:val="0"/>
      <w:marBottom w:val="0"/>
      <w:divBdr>
        <w:top w:val="none" w:sz="0" w:space="0" w:color="auto"/>
        <w:left w:val="none" w:sz="0" w:space="0" w:color="auto"/>
        <w:bottom w:val="none" w:sz="0" w:space="0" w:color="auto"/>
        <w:right w:val="none" w:sz="0" w:space="0" w:color="auto"/>
      </w:divBdr>
    </w:div>
    <w:div w:id="2033189965">
      <w:bodyDiv w:val="1"/>
      <w:marLeft w:val="0"/>
      <w:marRight w:val="0"/>
      <w:marTop w:val="0"/>
      <w:marBottom w:val="0"/>
      <w:divBdr>
        <w:top w:val="none" w:sz="0" w:space="0" w:color="auto"/>
        <w:left w:val="none" w:sz="0" w:space="0" w:color="auto"/>
        <w:bottom w:val="none" w:sz="0" w:space="0" w:color="auto"/>
        <w:right w:val="none" w:sz="0" w:space="0" w:color="auto"/>
      </w:divBdr>
    </w:div>
    <w:div w:id="2131700372">
      <w:bodyDiv w:val="1"/>
      <w:marLeft w:val="0"/>
      <w:marRight w:val="0"/>
      <w:marTop w:val="0"/>
      <w:marBottom w:val="0"/>
      <w:divBdr>
        <w:top w:val="none" w:sz="0" w:space="0" w:color="auto"/>
        <w:left w:val="none" w:sz="0" w:space="0" w:color="auto"/>
        <w:bottom w:val="none" w:sz="0" w:space="0" w:color="auto"/>
        <w:right w:val="none" w:sz="0" w:space="0" w:color="auto"/>
      </w:divBdr>
    </w:div>
    <w:div w:id="21442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nda.ie/publications/access-officer-guidance-for-public-bodies" TargetMode="Externa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footnotes.xml.rels><?xml version="1.0" encoding="UTF-8" standalone="yes"?>
<Relationships xmlns="http://schemas.openxmlformats.org/package/2006/relationships"><Relationship Id="rId1" Type="http://schemas.openxmlformats.org/officeDocument/2006/relationships/hyperlink" Target="https://nda.ie/publications/access-officer-guidance-for-public-bod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ojfilecluster\dojshares$\NDA\Shares\CEUD%20and%20Standards%20&amp;%20Monitoring\CEUDSM%20Targeted%20monitoring%20-%20Access%20Officers\Final%20Report%20for%20Publication\Analysis\Access%20Officer%20Analysis%202023%20v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ojfilecluster\dojshares$\NDA\Shares\CEUD%20and%20Standards%20&amp;%20Monitoring\CEUDSM%20Targeted%20monitoring%20-%20Access%20Officers\Final%20Report%20for%20Publication\Analysis\Access%20Officer%20Analysis%202023%20v1.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ojfilecluster\dojshares$\NDA\Shares\CEUD%20and%20Standards%20&amp;%20Monitoring\CEUDSM%20Targeted%20monitoring%20-%20Access%20Officers\Final%20Report%20for%20Publication\Analysis\Access%20Officer%20Analysis%202023%20v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ojfilecluster\dojshares$\NDA\Shares\CEUD%20and%20Standards%20&amp;%20Monitoring\CEUDSM%20Targeted%20monitoring%20-%20Access%20Officers\Final%20Report%20for%20Publication\Analysis\Access%20Officer%20Analysis%202023%20v1.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Gill Sans MT" panose="020B0502020104020203" pitchFamily="34" charset="0"/>
                <a:ea typeface="+mn-ea"/>
                <a:cs typeface="+mn-cs"/>
              </a:defRPr>
            </a:pPr>
            <a:r>
              <a:rPr lang="en-IE">
                <a:latin typeface="Gill Sans MT" panose="020B0502020104020203" pitchFamily="34" charset="0"/>
              </a:rPr>
              <a:t>Initial Findings- Access Officer promoted on website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Gill Sans MT" panose="020B0502020104020203" pitchFamily="34" charset="0"/>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3374-4146-809E-4AAD0C8A798E}"/>
              </c:ext>
            </c:extLst>
          </c:dPt>
          <c:dPt>
            <c:idx val="1"/>
            <c:bubble3D val="0"/>
            <c:spPr>
              <a:solidFill>
                <a:schemeClr val="tx1"/>
              </a:solidFill>
              <a:ln w="19050">
                <a:solidFill>
                  <a:schemeClr val="bg1"/>
                </a:solidFill>
              </a:ln>
              <a:effectLst/>
            </c:spPr>
            <c:extLst>
              <c:ext xmlns:c16="http://schemas.microsoft.com/office/drawing/2014/chart" uri="{C3380CC4-5D6E-409C-BE32-E72D297353CC}">
                <c16:uniqueId val="{00000003-3374-4146-809E-4AAD0C8A798E}"/>
              </c:ext>
            </c:extLst>
          </c:dPt>
          <c:dLbls>
            <c:dLbl>
              <c:idx val="0"/>
              <c:layout>
                <c:manualLayout>
                  <c:x val="-4.3225458061761418E-4"/>
                  <c:y val="-0.15873576896135574"/>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fld id="{981F0ADC-D2C7-4ABA-ACA2-B31A1207BE46}" type="CATEGORYNAME">
                      <a:rPr lang="en-US" sz="1050">
                        <a:latin typeface="Gill Sans MT" panose="020B0502020104020203" pitchFamily="34" charset="0"/>
                      </a:rPr>
                      <a:pPr>
                        <a:defRPr/>
                      </a:pPr>
                      <a:t>[CATEGORY NAME]</a:t>
                    </a:fld>
                    <a:r>
                      <a:rPr lang="en-US" sz="1050">
                        <a:latin typeface="Gill Sans MT" panose="020B0502020104020203" pitchFamily="34" charset="0"/>
                      </a:rPr>
                      <a:t>  </a:t>
                    </a:r>
                  </a:p>
                  <a:p>
                    <a:pPr>
                      <a:defRPr/>
                    </a:pPr>
                    <a:r>
                      <a:rPr lang="en-US" sz="1050">
                        <a:latin typeface="Gill Sans MT" panose="020B0502020104020203" pitchFamily="34" charset="0"/>
                      </a:rPr>
                      <a:t>47.7%</a:t>
                    </a:r>
                  </a:p>
                </c:rich>
              </c:tx>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1-3374-4146-809E-4AAD0C8A798E}"/>
                </c:ext>
              </c:extLst>
            </c:dLbl>
            <c:dLbl>
              <c:idx val="1"/>
              <c:layout>
                <c:manualLayout>
                  <c:x val="7.0376370417811148E-4"/>
                  <c:y val="0.15374703563983763"/>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fld id="{0EA44FA5-FAFD-4174-8AC0-403FD26A9AB0}" type="CATEGORYNAME">
                      <a:rPr lang="en-US" sz="1050">
                        <a:latin typeface="Gill Sans MT" panose="020B0502020104020203" pitchFamily="34" charset="0"/>
                      </a:rPr>
                      <a:pPr>
                        <a:defRPr/>
                      </a:pPr>
                      <a:t>[CATEGORY NAME]</a:t>
                    </a:fld>
                    <a:r>
                      <a:rPr lang="en-US" sz="1050">
                        <a:latin typeface="Gill Sans MT" panose="020B0502020104020203" pitchFamily="34" charset="0"/>
                      </a:rPr>
                      <a:t>   </a:t>
                    </a:r>
                  </a:p>
                  <a:p>
                    <a:pPr>
                      <a:defRPr/>
                    </a:pPr>
                    <a:r>
                      <a:rPr lang="en-US" sz="1050">
                        <a:solidFill>
                          <a:sysClr val="windowText" lastClr="000000"/>
                        </a:solidFill>
                        <a:latin typeface="Gill Sans MT" panose="020B0502020104020203" pitchFamily="34" charset="0"/>
                      </a:rPr>
                      <a:t>52.3%</a:t>
                    </a:r>
                  </a:p>
                </c:rich>
              </c:tx>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layout>
                    <c:manualLayout>
                      <c:w val="0.17940649763277197"/>
                      <c:h val="0.28193027318530522"/>
                    </c:manualLayout>
                  </c15:layout>
                  <c15:dlblFieldTable/>
                  <c15:showDataLabelsRange val="0"/>
                </c:ext>
                <c:ext xmlns:c16="http://schemas.microsoft.com/office/drawing/2014/chart" uri="{C3380CC4-5D6E-409C-BE32-E72D297353CC}">
                  <c16:uniqueId val="{00000003-3374-4146-809E-4AAD0C8A798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0"/>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'initial findings- adjusted'!$A$290:$A$291</c:f>
              <c:strCache>
                <c:ptCount val="2"/>
                <c:pt idx="0">
                  <c:v>Access Officer promoted </c:v>
                </c:pt>
                <c:pt idx="1">
                  <c:v>Access Officer not promoted</c:v>
                </c:pt>
              </c:strCache>
            </c:strRef>
          </c:cat>
          <c:val>
            <c:numRef>
              <c:f>'initial findings- adjusted'!$B$290:$B$291</c:f>
              <c:numCache>
                <c:formatCode>General</c:formatCode>
                <c:ptCount val="2"/>
                <c:pt idx="0">
                  <c:v>134</c:v>
                </c:pt>
                <c:pt idx="1">
                  <c:v>148</c:v>
                </c:pt>
              </c:numCache>
            </c:numRef>
          </c:val>
          <c:extLst>
            <c:ext xmlns:c16="http://schemas.microsoft.com/office/drawing/2014/chart" uri="{C3380CC4-5D6E-409C-BE32-E72D297353CC}">
              <c16:uniqueId val="{00000004-3374-4146-809E-4AAD0C8A798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IE" sz="1400" b="0">
                <a:solidFill>
                  <a:sysClr val="windowText" lastClr="000000"/>
                </a:solidFill>
                <a:latin typeface="Gill Sans MT" panose="020B0502020104020203" pitchFamily="34" charset="0"/>
              </a:rPr>
              <a:t>Final Findings</a:t>
            </a:r>
            <a:r>
              <a:rPr lang="en-IE" sz="1400" b="0" baseline="0">
                <a:solidFill>
                  <a:sysClr val="windowText" lastClr="000000"/>
                </a:solidFill>
                <a:latin typeface="Gill Sans MT" panose="020B0502020104020203" pitchFamily="34" charset="0"/>
              </a:rPr>
              <a:t> - </a:t>
            </a:r>
            <a:r>
              <a:rPr lang="en-IE" sz="1400" b="0">
                <a:solidFill>
                  <a:sysClr val="windowText" lastClr="000000"/>
                </a:solidFill>
                <a:latin typeface="Gill Sans MT" panose="020B0502020104020203" pitchFamily="34" charset="0"/>
              </a:rPr>
              <a:t>Access Officer Promoted on Website </a:t>
            </a:r>
          </a:p>
        </c:rich>
      </c:tx>
      <c:layout>
        <c:manualLayout>
          <c:xMode val="edge"/>
          <c:yMode val="edge"/>
          <c:x val="0.15977610663835559"/>
          <c:y val="1.8669274620927163E-2"/>
        </c:manualLayout>
      </c:layout>
      <c:overlay val="0"/>
      <c:spPr>
        <a:solidFill>
          <a:sysClr val="window" lastClr="FFFFFF"/>
        </a:solid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28913116629652064"/>
          <c:y val="0.15313070322168279"/>
          <c:w val="0.46511407227942658"/>
          <c:h val="0.75189425156052381"/>
        </c:manualLayout>
      </c:layout>
      <c:pieChart>
        <c:varyColors val="1"/>
        <c:ser>
          <c:idx val="0"/>
          <c:order val="0"/>
          <c:dPt>
            <c:idx val="0"/>
            <c:bubble3D val="0"/>
            <c:spPr>
              <a:solidFill>
                <a:srgbClr val="E31DA1"/>
              </a:solidFill>
              <a:ln w="19050">
                <a:solidFill>
                  <a:schemeClr val="lt1"/>
                </a:solidFill>
              </a:ln>
              <a:effectLst/>
            </c:spPr>
            <c:extLst>
              <c:ext xmlns:c16="http://schemas.microsoft.com/office/drawing/2014/chart" uri="{C3380CC4-5D6E-409C-BE32-E72D297353CC}">
                <c16:uniqueId val="{00000001-B9D1-43BA-AAB6-EE7839EA827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9D1-43BA-AAB6-EE7839EA8279}"/>
              </c:ext>
            </c:extLst>
          </c:dPt>
          <c:dLbls>
            <c:dLbl>
              <c:idx val="0"/>
              <c:layout>
                <c:manualLayout>
                  <c:x val="9.7406586278837165E-2"/>
                  <c:y val="-0.10507349675138666"/>
                </c:manualLayout>
              </c:layout>
              <c:tx>
                <c:rich>
                  <a:bodyPr/>
                  <a:lstStyle/>
                  <a:p>
                    <a:fld id="{C96A9059-CD57-4F79-BFE1-97FAD2C5D680}" type="CATEGORYNAME">
                      <a:rPr lang="en-US" sz="1000" b="0">
                        <a:solidFill>
                          <a:sysClr val="windowText" lastClr="000000"/>
                        </a:solidFill>
                        <a:latin typeface="Gill Sans MT" panose="020B0502020104020203" pitchFamily="34" charset="0"/>
                      </a:rPr>
                      <a:pPr/>
                      <a:t>[CATEGORY NAME]</a:t>
                    </a:fld>
                    <a:r>
                      <a:rPr lang="en-US" sz="1000" b="0">
                        <a:solidFill>
                          <a:sysClr val="windowText" lastClr="000000"/>
                        </a:solidFill>
                        <a:latin typeface="Gill Sans MT" panose="020B0502020104020203" pitchFamily="34" charset="0"/>
                      </a:rPr>
                      <a:t>
68.3%</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16195396265122033"/>
                      <c:h val="0.38064027207866624"/>
                    </c:manualLayout>
                  </c15:layout>
                  <c15:dlblFieldTable/>
                  <c15:showDataLabelsRange val="0"/>
                </c:ext>
                <c:ext xmlns:c16="http://schemas.microsoft.com/office/drawing/2014/chart" uri="{C3380CC4-5D6E-409C-BE32-E72D297353CC}">
                  <c16:uniqueId val="{00000001-B9D1-43BA-AAB6-EE7839EA8279}"/>
                </c:ext>
              </c:extLst>
            </c:dLbl>
            <c:dLbl>
              <c:idx val="1"/>
              <c:layout>
                <c:manualLayout>
                  <c:x val="-7.4786324786324798E-2"/>
                  <c:y val="6.5630261243251331E-2"/>
                </c:manualLayout>
              </c:layout>
              <c:tx>
                <c:rich>
                  <a:bodyPr/>
                  <a:lstStyle/>
                  <a:p>
                    <a:fld id="{F2AFAB33-BA7D-4008-9A89-0A94DED1B278}" type="CATEGORYNAME">
                      <a:rPr lang="en-US" sz="1000" b="0">
                        <a:solidFill>
                          <a:schemeClr val="dk1"/>
                        </a:solidFill>
                        <a:latin typeface="Gill Sans MT" panose="020B0502020104020203" pitchFamily="34" charset="0"/>
                        <a:ea typeface="+mn-ea"/>
                        <a:cs typeface="+mn-cs"/>
                      </a:rPr>
                      <a:pPr/>
                      <a:t>[CATEGORY NAME]</a:t>
                    </a:fld>
                    <a:r>
                      <a:rPr lang="en-US" sz="1000" b="0" baseline="0">
                        <a:solidFill>
                          <a:schemeClr val="dk1"/>
                        </a:solidFill>
                        <a:latin typeface="Gill Sans MT" panose="020B0502020104020203" pitchFamily="34" charset="0"/>
                        <a:ea typeface="+mn-ea"/>
                        <a:cs typeface="+mn-cs"/>
                      </a:rPr>
                      <a:t>
31.7%</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17823457164008344"/>
                      <c:h val="0.2799061645791685"/>
                    </c:manualLayout>
                  </c15:layout>
                  <c15:dlblFieldTable/>
                  <c15:showDataLabelsRange val="0"/>
                </c:ext>
                <c:ext xmlns:c16="http://schemas.microsoft.com/office/drawing/2014/chart" uri="{C3380CC4-5D6E-409C-BE32-E72D297353CC}">
                  <c16:uniqueId val="{00000003-B9D1-43BA-AAB6-EE7839EA8279}"/>
                </c:ext>
              </c:extLst>
            </c:dLbl>
            <c:spPr>
              <a:solidFill>
                <a:sysClr val="window" lastClr="FFFFFF"/>
              </a:solidFill>
              <a:ln w="12700" cap="flat" cmpd="sng" algn="ctr">
                <a:solidFill>
                  <a:srgbClr val="000000"/>
                </a:solidFill>
                <a:prstDash val="solid"/>
                <a:miter lim="800000"/>
              </a:ln>
              <a:effectLst/>
            </c:spPr>
            <c:txPr>
              <a:bodyPr rot="0" spcFirstLastPara="1" vertOverflow="clip" horzOverflow="clip" vert="horz" wrap="square" lIns="36576" tIns="18288" rIns="36576" bIns="18288" anchor="ctr" anchorCtr="1">
                <a:spAutoFit/>
              </a:bodyPr>
              <a:lstStyle/>
              <a:p>
                <a:pPr>
                  <a:defRPr sz="1050" b="0" i="0" u="none" strike="noStrike" kern="1200" baseline="0">
                    <a:solidFill>
                      <a:schemeClr val="dk1"/>
                    </a:solidFill>
                    <a:latin typeface="Gill Sans MT" panose="020B0502020104020203" pitchFamily="34" charset="0"/>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'Final Monitoring Findings '!$A$290:$A$291</c:f>
              <c:strCache>
                <c:ptCount val="2"/>
                <c:pt idx="0">
                  <c:v>Access Officer promoted </c:v>
                </c:pt>
                <c:pt idx="1">
                  <c:v>Access Officer not promoted</c:v>
                </c:pt>
              </c:strCache>
            </c:strRef>
          </c:cat>
          <c:val>
            <c:numRef>
              <c:f>'Final Monitoring Findings '!$B$290:$B$291</c:f>
              <c:numCache>
                <c:formatCode>General</c:formatCode>
                <c:ptCount val="2"/>
                <c:pt idx="0">
                  <c:v>192</c:v>
                </c:pt>
                <c:pt idx="1">
                  <c:v>90</c:v>
                </c:pt>
              </c:numCache>
            </c:numRef>
          </c:val>
          <c:extLst>
            <c:ext xmlns:c16="http://schemas.microsoft.com/office/drawing/2014/chart" uri="{C3380CC4-5D6E-409C-BE32-E72D297353CC}">
              <c16:uniqueId val="{00000004-B9D1-43BA-AAB6-EE7839EA8279}"/>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Gill Sans MT" panose="020B0502020104020203" pitchFamily="34" charset="0"/>
                <a:ea typeface="+mn-ea"/>
                <a:cs typeface="+mn-cs"/>
              </a:defRPr>
            </a:pPr>
            <a:r>
              <a:rPr lang="en-IE">
                <a:solidFill>
                  <a:schemeClr val="tx1"/>
                </a:solidFill>
                <a:latin typeface="Gill Sans MT" panose="020B0502020104020203" pitchFamily="34" charset="0"/>
              </a:rPr>
              <a:t>Initial Findings- Public bodies who met all the criteria of the indicator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Gill Sans MT" panose="020B0502020104020203" pitchFamily="34" charset="0"/>
              <a:ea typeface="+mn-ea"/>
              <a:cs typeface="+mn-cs"/>
            </a:defRPr>
          </a:pPr>
          <a:endParaRPr lang="en-US"/>
        </a:p>
      </c:txPr>
    </c:title>
    <c:autoTitleDeleted val="0"/>
    <c:plotArea>
      <c:layout/>
      <c:pieChart>
        <c:varyColors val="1"/>
        <c:ser>
          <c:idx val="0"/>
          <c:order val="0"/>
          <c:spPr>
            <a:solidFill>
              <a:schemeClr val="tx1"/>
            </a:solidFill>
          </c:spPr>
          <c:dPt>
            <c:idx val="0"/>
            <c:bubble3D val="0"/>
            <c:spPr>
              <a:solidFill>
                <a:schemeClr val="tx1"/>
              </a:solidFill>
              <a:ln w="19050">
                <a:solidFill>
                  <a:schemeClr val="lt1"/>
                </a:solidFill>
              </a:ln>
              <a:effectLst/>
            </c:spPr>
            <c:extLst>
              <c:ext xmlns:c16="http://schemas.microsoft.com/office/drawing/2014/chart" uri="{C3380CC4-5D6E-409C-BE32-E72D297353CC}">
                <c16:uniqueId val="{00000001-2A44-449D-AE4D-A7162B8CF75B}"/>
              </c:ext>
            </c:extLst>
          </c:dPt>
          <c:dPt>
            <c:idx val="1"/>
            <c:bubble3D val="0"/>
            <c:spPr>
              <a:solidFill>
                <a:schemeClr val="accent6"/>
              </a:solidFill>
              <a:ln w="19050">
                <a:solidFill>
                  <a:schemeClr val="lt1"/>
                </a:solidFill>
              </a:ln>
              <a:effectLst/>
            </c:spPr>
            <c:extLst>
              <c:ext xmlns:c16="http://schemas.microsoft.com/office/drawing/2014/chart" uri="{C3380CC4-5D6E-409C-BE32-E72D297353CC}">
                <c16:uniqueId val="{00000003-2A44-449D-AE4D-A7162B8CF75B}"/>
              </c:ext>
            </c:extLst>
          </c:dPt>
          <c:dLbls>
            <c:dLbl>
              <c:idx val="0"/>
              <c:tx>
                <c:rich>
                  <a:bodyPr/>
                  <a:lstStyle/>
                  <a:p>
                    <a:fld id="{EB7F1D74-F184-44CE-964C-86A7406F1E77}" type="CATEGORYNAME">
                      <a:rPr lang="en-US" sz="1000"/>
                      <a:pPr/>
                      <a:t>[CATEGORY NAME]</a:t>
                    </a:fld>
                    <a:r>
                      <a:rPr lang="en-US" sz="1000" baseline="0"/>
                      <a:t>
65.1%</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A44-449D-AE4D-A7162B8CF75B}"/>
                </c:ext>
              </c:extLst>
            </c:dLbl>
            <c:dLbl>
              <c:idx val="1"/>
              <c:layout>
                <c:manualLayout>
                  <c:x val="-2.551582678851606E-17"/>
                  <c:y val="4.1151787985519167E-17"/>
                </c:manualLayout>
              </c:layout>
              <c:tx>
                <c:rich>
                  <a:bodyPr/>
                  <a:lstStyle/>
                  <a:p>
                    <a:fld id="{237B3B74-F324-4D37-9DAC-5C7E4BC32823}" type="CATEGORYNAME">
                      <a:rPr lang="en-US" sz="1000"/>
                      <a:pPr/>
                      <a:t>[CATEGORY NAME]</a:t>
                    </a:fld>
                    <a:r>
                      <a:rPr lang="en-US" sz="1000" baseline="0"/>
                      <a:t>
34.9%</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A44-449D-AE4D-A7162B8CF75B}"/>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Gill Sans MT" panose="020B0502020104020203" pitchFamily="34" charset="0"/>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'initial findings- adjusted'!$J$308:$J$309</c:f>
              <c:strCache>
                <c:ptCount val="2"/>
                <c:pt idx="0">
                  <c:v>Did not meet all the criteria of the indicator</c:v>
                </c:pt>
                <c:pt idx="1">
                  <c:v>met all criteria of the indicator</c:v>
                </c:pt>
              </c:strCache>
            </c:strRef>
          </c:cat>
          <c:val>
            <c:numRef>
              <c:f>'initial findings- adjusted'!$K$308:$K$309</c:f>
              <c:numCache>
                <c:formatCode>General</c:formatCode>
                <c:ptCount val="2"/>
                <c:pt idx="0">
                  <c:v>184</c:v>
                </c:pt>
                <c:pt idx="1">
                  <c:v>98</c:v>
                </c:pt>
              </c:numCache>
            </c:numRef>
          </c:val>
          <c:extLst>
            <c:ext xmlns:c16="http://schemas.microsoft.com/office/drawing/2014/chart" uri="{C3380CC4-5D6E-409C-BE32-E72D297353CC}">
              <c16:uniqueId val="{00000004-2A44-449D-AE4D-A7162B8CF75B}"/>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IE" sz="1400" b="0" i="0" cap="none" spc="0" baseline="0">
                <a:ln w="0"/>
                <a:solidFill>
                  <a:schemeClr val="tx1"/>
                </a:solidFill>
                <a:effectLst/>
                <a:latin typeface="Gill Sans MT" panose="020B0502020104020203" pitchFamily="34" charset="0"/>
              </a:rPr>
              <a:t>Final Findings- Public bodies who met all the criteria of the indicator</a:t>
            </a:r>
            <a:endParaRPr lang="en-IE" sz="1200" b="0" cap="none" spc="0">
              <a:ln w="0"/>
              <a:solidFill>
                <a:schemeClr val="tx1"/>
              </a:solidFill>
              <a:effectLst/>
              <a:latin typeface="Gill Sans MT" panose="020B0502020104020203" pitchFamily="34" charset="0"/>
            </a:endParaRP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E31DA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E93-4EF0-B1DE-DD35A7E095F0}"/>
              </c:ext>
            </c:extLst>
          </c:dPt>
          <c:dPt>
            <c:idx val="1"/>
            <c:bubble3D val="0"/>
            <c:spPr>
              <a:solidFill>
                <a:schemeClr val="accent2"/>
              </a:solidFill>
              <a:ln>
                <a:solidFill>
                  <a:sysClr val="window" lastClr="FFFFFF"/>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E93-4EF0-B1DE-DD35A7E095F0}"/>
              </c:ext>
            </c:extLst>
          </c:dPt>
          <c:dLbls>
            <c:dLbl>
              <c:idx val="0"/>
              <c:layout>
                <c:manualLayout>
                  <c:x val="6.5462578494329543E-2"/>
                  <c:y val="-5.854817295098666E-2"/>
                </c:manualLayout>
              </c:layout>
              <c:tx>
                <c:rich>
                  <a:bodyPr rot="0" spcFirstLastPara="1" vertOverflow="clip" horzOverflow="clip" vert="horz" wrap="square" lIns="36576" tIns="18288" rIns="36576" bIns="18288" anchor="ctr" anchorCtr="1">
                    <a:spAutoFit/>
                  </a:bodyPr>
                  <a:lstStyle/>
                  <a:p>
                    <a:pPr>
                      <a:defRPr sz="1000" b="1" i="0" u="none" strike="noStrike" kern="1200" baseline="0">
                        <a:solidFill>
                          <a:schemeClr val="dk1"/>
                        </a:solidFill>
                        <a:latin typeface="Gill Sans MT" panose="020B0502020104020203" pitchFamily="34" charset="0"/>
                        <a:ea typeface="+mn-ea"/>
                        <a:cs typeface="+mn-cs"/>
                      </a:defRPr>
                    </a:pPr>
                    <a:r>
                      <a:rPr lang="en-US" sz="1000" b="0" baseline="0">
                        <a:solidFill>
                          <a:schemeClr val="dk1"/>
                        </a:solidFill>
                        <a:latin typeface="Gill Sans MT" panose="020B0502020104020203" pitchFamily="34" charset="0"/>
                        <a:ea typeface="+mn-ea"/>
                        <a:cs typeface="+mn-cs"/>
                      </a:rPr>
                      <a:t>Met all the criteria of the indicator
58.7%</a:t>
                    </a:r>
                  </a:p>
                </c:rich>
              </c:tx>
              <c:spPr>
                <a:solidFill>
                  <a:sysClr val="window" lastClr="FFFFFF"/>
                </a:solidFill>
                <a:ln w="12700" cap="flat" cmpd="sng" algn="ctr">
                  <a:solidFill>
                    <a:sysClr val="windowText" lastClr="000000"/>
                  </a:solidFill>
                  <a:prstDash val="solid"/>
                  <a:miter lim="800000"/>
                </a:ln>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dk1"/>
                      </a:solidFill>
                      <a:latin typeface="Gill Sans MT" panose="020B0502020104020203" pitchFamily="34"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1974260306517954"/>
                      <c:h val="0.32766609284891035"/>
                    </c:manualLayout>
                  </c15:layout>
                  <c15:showDataLabelsRange val="0"/>
                </c:ext>
                <c:ext xmlns:c16="http://schemas.microsoft.com/office/drawing/2014/chart" uri="{C3380CC4-5D6E-409C-BE32-E72D297353CC}">
                  <c16:uniqueId val="{00000001-BE93-4EF0-B1DE-DD35A7E095F0}"/>
                </c:ext>
              </c:extLst>
            </c:dLbl>
            <c:dLbl>
              <c:idx val="1"/>
              <c:layout>
                <c:manualLayout>
                  <c:x val="-7.0657500080362867E-2"/>
                  <c:y val="-0.11558307533539736"/>
                </c:manualLayout>
              </c:layout>
              <c:tx>
                <c:rich>
                  <a:bodyPr rot="0" spcFirstLastPara="1" vertOverflow="clip" horzOverflow="clip" vert="horz" wrap="square" lIns="36576" tIns="18288" rIns="36576" bIns="18288" anchor="ctr" anchorCtr="1">
                    <a:spAutoFit/>
                  </a:bodyPr>
                  <a:lstStyle/>
                  <a:p>
                    <a:pPr>
                      <a:defRPr sz="1000" b="1" i="0" u="none" strike="noStrike" kern="1200" baseline="0">
                        <a:solidFill>
                          <a:schemeClr val="dk1"/>
                        </a:solidFill>
                        <a:latin typeface="+mn-lt"/>
                        <a:ea typeface="+mn-ea"/>
                        <a:cs typeface="+mn-cs"/>
                      </a:defRPr>
                    </a:pPr>
                    <a:fld id="{C6821093-F505-47E5-8EDE-0FB97F818C41}" type="CATEGORYNAME">
                      <a:rPr lang="en-US" sz="1000" b="0">
                        <a:latin typeface="Gill Sans MT" panose="020B0502020104020203" pitchFamily="34" charset="0"/>
                      </a:rPr>
                      <a:pPr>
                        <a:defRPr>
                          <a:solidFill>
                            <a:schemeClr val="dk1"/>
                          </a:solidFill>
                        </a:defRPr>
                      </a:pPr>
                      <a:t>[CATEGORY NAME]</a:t>
                    </a:fld>
                    <a:r>
                      <a:rPr lang="en-US" sz="1000" b="0" baseline="0">
                        <a:latin typeface="Gill Sans MT" panose="020B0502020104020203" pitchFamily="34" charset="0"/>
                      </a:rPr>
                      <a:t>
41.3%</a:t>
                    </a:r>
                  </a:p>
                </c:rich>
              </c:tx>
              <c:spPr>
                <a:solidFill>
                  <a:sysClr val="window" lastClr="FFFFFF"/>
                </a:solidFill>
                <a:ln w="12700" cap="flat" cmpd="sng" algn="ctr">
                  <a:solidFill>
                    <a:srgbClr val="000000"/>
                  </a:solidFill>
                  <a:prstDash val="solid"/>
                  <a:miter lim="800000"/>
                </a:ln>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dk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3-BE93-4EF0-B1DE-DD35A7E095F0}"/>
                </c:ext>
              </c:extLst>
            </c:dLbl>
            <c:spPr>
              <a:solidFill>
                <a:sysClr val="window" lastClr="FFFFFF"/>
              </a:solidFill>
              <a:ln w="12700" cap="flat" cmpd="sng" algn="ctr">
                <a:solidFill>
                  <a:srgbClr val="000000"/>
                </a:solidFill>
                <a:prstDash val="solid"/>
                <a:miter lim="800000"/>
              </a:ln>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dk1"/>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'Final Monitoring Findings '!$J$308:$J$309</c:f>
              <c:strCache>
                <c:ptCount val="2"/>
                <c:pt idx="0">
                  <c:v> Met the criteria of the indicator</c:v>
                </c:pt>
                <c:pt idx="1">
                  <c:v>Did not meet the criteria of the indicator</c:v>
                </c:pt>
              </c:strCache>
            </c:strRef>
          </c:cat>
          <c:val>
            <c:numRef>
              <c:f>'Final Monitoring Findings '!$K$308:$K$309</c:f>
              <c:numCache>
                <c:formatCode>General</c:formatCode>
                <c:ptCount val="2"/>
                <c:pt idx="0">
                  <c:v>165</c:v>
                </c:pt>
                <c:pt idx="1">
                  <c:v>117</c:v>
                </c:pt>
              </c:numCache>
            </c:numRef>
          </c:val>
          <c:extLst>
            <c:ext xmlns:c16="http://schemas.microsoft.com/office/drawing/2014/chart" uri="{C3380CC4-5D6E-409C-BE32-E72D297353CC}">
              <c16:uniqueId val="{00000004-BE93-4EF0-B1DE-DD35A7E095F0}"/>
            </c:ext>
          </c:extLst>
        </c:ser>
        <c:dLbls>
          <c:dLblPos val="outEnd"/>
          <c:showLegendKey val="0"/>
          <c:showVal val="0"/>
          <c:showCatName val="0"/>
          <c:showSerName val="0"/>
          <c:showPercent val="1"/>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 in Microsoft Word]Sheet1'!$B$1</c:f>
              <c:strCache>
                <c:ptCount val="1"/>
                <c:pt idx="0">
                  <c:v>Initial Findings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'[Chart in Microsoft Word]Sheet1'!$B$3</c:f>
              <c:numCache>
                <c:formatCode>0.0%</c:formatCode>
                <c:ptCount val="1"/>
                <c:pt idx="0">
                  <c:v>0.47517730496453903</c:v>
                </c:pt>
              </c:numCache>
            </c:numRef>
          </c:val>
          <c:extLst>
            <c:ext xmlns:c16="http://schemas.microsoft.com/office/drawing/2014/chart" uri="{C3380CC4-5D6E-409C-BE32-E72D297353CC}">
              <c16:uniqueId val="{00000000-3462-4450-B300-9F0A4C773FF3}"/>
            </c:ext>
          </c:extLst>
        </c:ser>
        <c:ser>
          <c:idx val="1"/>
          <c:order val="1"/>
          <c:tx>
            <c:strRef>
              <c:f>'[Chart in Microsoft Word]Sheet1'!$C$1</c:f>
              <c:strCache>
                <c:ptCount val="1"/>
                <c:pt idx="0">
                  <c:v>Final Findings</c:v>
                </c:pt>
              </c:strCache>
            </c:strRef>
          </c:tx>
          <c:spPr>
            <a:solidFill>
              <a:schemeClr val="accent2"/>
            </a:solidFill>
            <a:ln>
              <a:noFill/>
            </a:ln>
            <a:effectLst/>
          </c:spPr>
          <c:invertIfNegative val="0"/>
          <c:dLbls>
            <c:dLbl>
              <c:idx val="0"/>
              <c:tx>
                <c:rich>
                  <a:bodyPr/>
                  <a:lstStyle/>
                  <a:p>
                    <a:r>
                      <a:rPr lang="en-US"/>
                      <a:t>68.3%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E81-49D7-A87B-EE961F68361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'[Chart in Microsoft Word]Sheet1'!$C$3</c:f>
              <c:numCache>
                <c:formatCode>0.0%</c:formatCode>
                <c:ptCount val="1"/>
                <c:pt idx="0">
                  <c:v>0.68085106382978722</c:v>
                </c:pt>
              </c:numCache>
            </c:numRef>
          </c:val>
          <c:extLst>
            <c:ext xmlns:c16="http://schemas.microsoft.com/office/drawing/2014/chart" uri="{C3380CC4-5D6E-409C-BE32-E72D297353CC}">
              <c16:uniqueId val="{00000001-3462-4450-B300-9F0A4C773FF3}"/>
            </c:ext>
          </c:extLst>
        </c:ser>
        <c:dLbls>
          <c:showLegendKey val="0"/>
          <c:showVal val="0"/>
          <c:showCatName val="0"/>
          <c:showSerName val="0"/>
          <c:showPercent val="0"/>
          <c:showBubbleSize val="0"/>
        </c:dLbls>
        <c:gapWidth val="219"/>
        <c:overlap val="-27"/>
        <c:axId val="475994312"/>
        <c:axId val="475992672"/>
      </c:barChart>
      <c:catAx>
        <c:axId val="475994312"/>
        <c:scaling>
          <c:orientation val="minMax"/>
        </c:scaling>
        <c:delete val="1"/>
        <c:axPos val="b"/>
        <c:majorTickMark val="none"/>
        <c:minorTickMark val="none"/>
        <c:tickLblPos val="nextTo"/>
        <c:crossAx val="475992672"/>
        <c:crosses val="autoZero"/>
        <c:auto val="1"/>
        <c:lblAlgn val="ctr"/>
        <c:lblOffset val="100"/>
        <c:noMultiLvlLbl val="0"/>
      </c:catAx>
      <c:valAx>
        <c:axId val="4759926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475994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3"/>
          <c:order val="3"/>
          <c:tx>
            <c:v>Initial Findings</c:v>
          </c:tx>
          <c:spPr>
            <a:solidFill>
              <a:schemeClr val="accent4"/>
            </a:solidFill>
            <a:ln>
              <a:noFill/>
            </a:ln>
            <a:effectLst/>
          </c:spPr>
          <c:invertIfNegative val="0"/>
          <c:dLbls>
            <c:dLbl>
              <c:idx val="0"/>
              <c:tx>
                <c:rich>
                  <a:bodyPr/>
                  <a:lstStyle/>
                  <a:p>
                    <a:r>
                      <a:rPr lang="en-US"/>
                      <a:t>34.9%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657-4EE0-9B78-F891972E82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Met all Criteria</c:v>
              </c:pt>
            </c:strLit>
          </c:cat>
          <c:val>
            <c:numRef>
              <c:f>'[Chart in Microsoft Word]Sheet1'!$B$3</c:f>
              <c:numCache>
                <c:formatCode>0.0%</c:formatCode>
                <c:ptCount val="1"/>
                <c:pt idx="0">
                  <c:v>0.3475177304964539</c:v>
                </c:pt>
              </c:numCache>
            </c:numRef>
          </c:val>
          <c:extLst>
            <c:ext xmlns:c16="http://schemas.microsoft.com/office/drawing/2014/chart" uri="{C3380CC4-5D6E-409C-BE32-E72D297353CC}">
              <c16:uniqueId val="{00000000-8100-4FC5-A10A-9D736979FC1B}"/>
            </c:ext>
          </c:extLst>
        </c:ser>
        <c:ser>
          <c:idx val="4"/>
          <c:order val="4"/>
          <c:tx>
            <c:v>Final Findings</c:v>
          </c:tx>
          <c:spPr>
            <a:solidFill>
              <a:schemeClr val="accent5"/>
            </a:solidFill>
            <a:ln>
              <a:noFill/>
            </a:ln>
            <a:effectLst/>
          </c:spPr>
          <c:invertIfNegative val="0"/>
          <c:dLbls>
            <c:dLbl>
              <c:idx val="0"/>
              <c:tx>
                <c:rich>
                  <a:bodyPr/>
                  <a:lstStyle/>
                  <a:p>
                    <a:r>
                      <a:rPr lang="en-US"/>
                      <a:t>58.7%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657-4EE0-9B78-F891972E82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Met all Criteria</c:v>
              </c:pt>
            </c:strLit>
          </c:cat>
          <c:val>
            <c:numRef>
              <c:f>'[Chart in Microsoft Word]Sheet1'!$C$3</c:f>
              <c:numCache>
                <c:formatCode>0.0%</c:formatCode>
                <c:ptCount val="1"/>
                <c:pt idx="0">
                  <c:v>0.58510638297872342</c:v>
                </c:pt>
              </c:numCache>
            </c:numRef>
          </c:val>
          <c:extLst>
            <c:ext xmlns:c16="http://schemas.microsoft.com/office/drawing/2014/chart" uri="{C3380CC4-5D6E-409C-BE32-E72D297353CC}">
              <c16:uniqueId val="{00000001-8100-4FC5-A10A-9D736979FC1B}"/>
            </c:ext>
          </c:extLst>
        </c:ser>
        <c:dLbls>
          <c:showLegendKey val="0"/>
          <c:showVal val="0"/>
          <c:showCatName val="0"/>
          <c:showSerName val="0"/>
          <c:showPercent val="0"/>
          <c:showBubbleSize val="0"/>
        </c:dLbls>
        <c:gapWidth val="219"/>
        <c:overlap val="-27"/>
        <c:axId val="471417024"/>
        <c:axId val="471418664"/>
        <c:extLst>
          <c:ext xmlns:c15="http://schemas.microsoft.com/office/drawing/2012/chart" uri="{02D57815-91ED-43cb-92C2-25804820EDAC}">
            <c15:filteredBarSeries>
              <c15:ser>
                <c:idx val="0"/>
                <c:order val="0"/>
                <c:spPr>
                  <a:solidFill>
                    <a:schemeClr val="accent1"/>
                  </a:solidFill>
                  <a:ln>
                    <a:noFill/>
                  </a:ln>
                  <a:effectLst/>
                </c:spPr>
                <c:invertIfNegative val="0"/>
                <c:cat>
                  <c:strLit>
                    <c:ptCount val="1"/>
                    <c:pt idx="0">
                      <c:v>Met all Criteria</c:v>
                    </c:pt>
                  </c:strLit>
                </c:cat>
                <c:val>
                  <c:numRef>
                    <c:extLst>
                      <c:ext uri="{02D57815-91ED-43cb-92C2-25804820EDAC}">
                        <c15:formulaRef>
                          <c15:sqref>'[Chart in Microsoft Word]Sheet1'!$B$1</c15:sqref>
                        </c15:formulaRef>
                      </c:ext>
                    </c:extLst>
                    <c:numCache>
                      <c:formatCode>General</c:formatCode>
                      <c:ptCount val="1"/>
                      <c:pt idx="0">
                        <c:v>0</c:v>
                      </c:pt>
                    </c:numCache>
                  </c:numRef>
                </c:val>
                <c:extLst>
                  <c:ext xmlns:c16="http://schemas.microsoft.com/office/drawing/2014/chart" uri="{C3380CC4-5D6E-409C-BE32-E72D297353CC}">
                    <c16:uniqueId val="{00000002-8100-4FC5-A10A-9D736979FC1B}"/>
                  </c:ext>
                </c:extLst>
              </c15:ser>
            </c15:filteredBarSeries>
            <c15:filteredBarSeries>
              <c15:ser>
                <c:idx val="1"/>
                <c:order val="1"/>
                <c:spPr>
                  <a:solidFill>
                    <a:schemeClr val="accent2"/>
                  </a:solidFill>
                  <a:ln>
                    <a:noFill/>
                  </a:ln>
                  <a:effectLst/>
                </c:spPr>
                <c:invertIfNegative val="0"/>
                <c:cat>
                  <c:strLit>
                    <c:ptCount val="1"/>
                    <c:pt idx="0">
                      <c:v>Met all Criteria</c:v>
                    </c:pt>
                  </c:strLit>
                </c:cat>
                <c:val>
                  <c:numRef>
                    <c:extLst xmlns:c15="http://schemas.microsoft.com/office/drawing/2012/chart">
                      <c:ext xmlns:c15="http://schemas.microsoft.com/office/drawing/2012/chart" uri="{02D57815-91ED-43cb-92C2-25804820EDAC}">
                        <c15:formulaRef>
                          <c15:sqref>'[Chart in Microsoft Word]Sheet1'!$C$1</c15:sqref>
                        </c15:formulaRef>
                      </c:ext>
                    </c:extLst>
                    <c:numCache>
                      <c:formatCode>General</c:formatCode>
                      <c:ptCount val="1"/>
                      <c:pt idx="0">
                        <c:v>0</c:v>
                      </c:pt>
                    </c:numCache>
                  </c:numRef>
                </c:val>
                <c:extLst xmlns:c15="http://schemas.microsoft.com/office/drawing/2012/chart">
                  <c:ext xmlns:c16="http://schemas.microsoft.com/office/drawing/2014/chart" uri="{C3380CC4-5D6E-409C-BE32-E72D297353CC}">
                    <c16:uniqueId val="{00000003-8100-4FC5-A10A-9D736979FC1B}"/>
                  </c:ext>
                </c:extLst>
              </c15:ser>
            </c15:filteredBarSeries>
            <c15:filteredBarSeries>
              <c15:ser>
                <c:idx val="2"/>
                <c:order val="2"/>
                <c:spPr>
                  <a:solidFill>
                    <a:schemeClr val="accent3"/>
                  </a:solidFill>
                  <a:ln>
                    <a:noFill/>
                  </a:ln>
                  <a:effectLst/>
                </c:spPr>
                <c:invertIfNegative val="0"/>
                <c:cat>
                  <c:strLit>
                    <c:ptCount val="1"/>
                    <c:pt idx="0">
                      <c:v>Met all Criteria</c:v>
                    </c:pt>
                  </c:strLit>
                </c:cat>
                <c:val>
                  <c:numRef>
                    <c:extLst xmlns:c15="http://schemas.microsoft.com/office/drawing/2012/chart">
                      <c:ext xmlns:c15="http://schemas.microsoft.com/office/drawing/2012/chart" uri="{02D57815-91ED-43cb-92C2-25804820EDAC}">
                        <c15:formulaRef>
                          <c15:sqref>'[Chart in Microsoft Word]Sheet1'!$A$2</c15:sqref>
                        </c15:formulaRef>
                      </c:ext>
                    </c:extLst>
                    <c:numCache>
                      <c:formatCode>General</c:formatCode>
                      <c:ptCount val="1"/>
                      <c:pt idx="0">
                        <c:v>0</c:v>
                      </c:pt>
                    </c:numCache>
                  </c:numRef>
                </c:val>
                <c:extLst xmlns:c15="http://schemas.microsoft.com/office/drawing/2012/chart">
                  <c:ext xmlns:c16="http://schemas.microsoft.com/office/drawing/2014/chart" uri="{C3380CC4-5D6E-409C-BE32-E72D297353CC}">
                    <c16:uniqueId val="{00000004-8100-4FC5-A10A-9D736979FC1B}"/>
                  </c:ext>
                </c:extLst>
              </c15:ser>
            </c15:filteredBarSeries>
          </c:ext>
        </c:extLst>
      </c:barChart>
      <c:catAx>
        <c:axId val="47141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418664"/>
        <c:crosses val="autoZero"/>
        <c:auto val="1"/>
        <c:lblAlgn val="ctr"/>
        <c:lblOffset val="100"/>
        <c:noMultiLvlLbl val="0"/>
      </c:catAx>
      <c:valAx>
        <c:axId val="4714186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417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E53786"/>
      </a:accent1>
      <a:accent2>
        <a:srgbClr val="000000"/>
      </a:accent2>
      <a:accent3>
        <a:srgbClr val="000000"/>
      </a:accent3>
      <a:accent4>
        <a:srgbClr val="E31DA1"/>
      </a:accent4>
      <a:accent5>
        <a:srgbClr val="000000"/>
      </a:accent5>
      <a:accent6>
        <a:srgbClr val="E31DA1"/>
      </a:accent6>
      <a:hlink>
        <a:srgbClr val="000000"/>
      </a:hlink>
      <a:folHlink>
        <a:srgbClr val="E31DA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E31DA1"/>
    </a:accent1>
    <a:accent2>
      <a:srgbClr val="000000"/>
    </a:accent2>
    <a:accent3>
      <a:srgbClr val="000000"/>
    </a:accent3>
    <a:accent4>
      <a:srgbClr val="E31DA1"/>
    </a:accent4>
    <a:accent5>
      <a:srgbClr val="000000"/>
    </a:accent5>
    <a:accent6>
      <a:srgbClr val="E31DA1"/>
    </a:accent6>
    <a:hlink>
      <a:srgbClr val="000000"/>
    </a:hlink>
    <a:folHlink>
      <a:srgbClr val="E31DA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E31DA1"/>
    </a:accent1>
    <a:accent2>
      <a:srgbClr val="000000"/>
    </a:accent2>
    <a:accent3>
      <a:srgbClr val="000000"/>
    </a:accent3>
    <a:accent4>
      <a:srgbClr val="E31DA1"/>
    </a:accent4>
    <a:accent5>
      <a:srgbClr val="000000"/>
    </a:accent5>
    <a:accent6>
      <a:srgbClr val="E31DA1"/>
    </a:accent6>
    <a:hlink>
      <a:srgbClr val="000000"/>
    </a:hlink>
    <a:folHlink>
      <a:srgbClr val="E31DA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4E9B2-D49E-4CA1-AA31-5FC29482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156</TotalTime>
  <Pages>9</Pages>
  <Words>1378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 Oldenburg</dc:creator>
  <cp:keywords/>
  <dc:description/>
  <cp:lastModifiedBy>Naomi Oldenburg (NDA)</cp:lastModifiedBy>
  <cp:revision>28</cp:revision>
  <dcterms:created xsi:type="dcterms:W3CDTF">2023-08-08T11:49:00Z</dcterms:created>
  <dcterms:modified xsi:type="dcterms:W3CDTF">2023-10-16T15:13:00Z</dcterms:modified>
</cp:coreProperties>
</file>