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A3F8" w14:textId="7FCEB0CF" w:rsidR="004B0D63" w:rsidRPr="0051723D" w:rsidRDefault="00C53419" w:rsidP="009C3BD7">
      <w:pPr>
        <w:pStyle w:val="Title"/>
        <w:rPr>
          <w:rFonts w:ascii="Rockwell" w:hAnsi="Rockwell"/>
          <w:color w:val="CC3399"/>
          <w:sz w:val="64"/>
          <w:szCs w:val="64"/>
        </w:rPr>
      </w:pPr>
      <w:bookmarkStart w:id="0" w:name="_Toc145483413"/>
      <w:bookmarkStart w:id="1" w:name="_Toc80626260"/>
      <w:bookmarkStart w:id="2" w:name="_Toc78967395"/>
      <w:r w:rsidRPr="0051723D">
        <w:rPr>
          <w:rFonts w:ascii="Rockwell" w:hAnsi="Rockwell"/>
          <w:color w:val="CC3399"/>
          <w:sz w:val="64"/>
          <w:szCs w:val="64"/>
          <w:lang w:val="ga"/>
        </w:rPr>
        <w:t>Acht ÚNM um Míchumas – Cód Cleachtais Chuid 3 maidir le hInrochtaineacht Seirbhísí Poiblí agus Faisnéise a chuireann Comhlachtaí Poiblí ar fáil</w:t>
      </w:r>
      <w:bookmarkEnd w:id="0"/>
    </w:p>
    <w:p w14:paraId="69D3089A" w14:textId="1714C21E" w:rsidR="0083753F" w:rsidRPr="0051723D" w:rsidRDefault="00C53419" w:rsidP="009C3BD7">
      <w:pPr>
        <w:pStyle w:val="Title"/>
        <w:rPr>
          <w:rFonts w:ascii="Rockwell" w:hAnsi="Rockwell"/>
          <w:color w:val="CC3399"/>
          <w:sz w:val="64"/>
          <w:szCs w:val="64"/>
        </w:rPr>
      </w:pPr>
      <w:bookmarkStart w:id="3" w:name="_Toc141260643"/>
      <w:bookmarkStart w:id="4" w:name="_Toc141092073"/>
      <w:bookmarkStart w:id="5" w:name="_Toc145483414"/>
      <w:r w:rsidRPr="0051723D">
        <w:rPr>
          <w:rFonts w:ascii="Rockwell" w:hAnsi="Rockwell"/>
          <w:color w:val="CC3399"/>
          <w:sz w:val="64"/>
          <w:szCs w:val="64"/>
          <w:lang w:val="ga"/>
        </w:rPr>
        <w:t>Tuarascáil Faireacháin 2022</w:t>
      </w:r>
      <w:bookmarkEnd w:id="1"/>
      <w:bookmarkEnd w:id="2"/>
      <w:bookmarkEnd w:id="3"/>
      <w:bookmarkEnd w:id="4"/>
      <w:bookmarkEnd w:id="5"/>
    </w:p>
    <w:p w14:paraId="7F899A99" w14:textId="77777777" w:rsidR="0096260D" w:rsidRPr="0051723D" w:rsidRDefault="0096260D" w:rsidP="0083753F">
      <w:pPr>
        <w:pStyle w:val="Title"/>
        <w:rPr>
          <w:rFonts w:ascii="Rockwell" w:hAnsi="Rockwell"/>
          <w:color w:val="CC3399"/>
          <w:sz w:val="64"/>
          <w:szCs w:val="64"/>
        </w:rPr>
      </w:pPr>
      <w:bookmarkStart w:id="6" w:name="_Toc141260644"/>
      <w:bookmarkStart w:id="7" w:name="_Toc141092074"/>
      <w:bookmarkStart w:id="8" w:name="_Toc145483415"/>
      <w:bookmarkStart w:id="9" w:name="_Toc138067157"/>
      <w:r w:rsidRPr="0051723D">
        <w:rPr>
          <w:rFonts w:ascii="Rockwell" w:hAnsi="Rockwell"/>
          <w:color w:val="CC3399"/>
          <w:sz w:val="64"/>
          <w:szCs w:val="64"/>
          <w:lang w:val="ga"/>
        </w:rPr>
        <w:t>Achoimre Fheidhmeach</w:t>
      </w:r>
      <w:bookmarkEnd w:id="6"/>
      <w:bookmarkEnd w:id="7"/>
      <w:bookmarkEnd w:id="8"/>
    </w:p>
    <w:p w14:paraId="5DC08FB7" w14:textId="7F4B1C4C" w:rsidR="0083753F" w:rsidRPr="0051723D" w:rsidRDefault="00A618F8" w:rsidP="0083753F">
      <w:pPr>
        <w:pStyle w:val="Title"/>
        <w:rPr>
          <w:rFonts w:ascii="Rockwell" w:hAnsi="Rockwell"/>
          <w:color w:val="CC3399"/>
          <w:sz w:val="64"/>
          <w:szCs w:val="64"/>
        </w:rPr>
      </w:pPr>
      <w:bookmarkStart w:id="10" w:name="_Toc141260645"/>
      <w:bookmarkStart w:id="11" w:name="_Toc141092075"/>
      <w:bookmarkStart w:id="12" w:name="_Toc145483416"/>
      <w:r w:rsidRPr="0051723D">
        <w:rPr>
          <w:rFonts w:ascii="Rockwell" w:hAnsi="Rockwell"/>
          <w:color w:val="CC3399"/>
          <w:sz w:val="64"/>
          <w:szCs w:val="64"/>
          <w:lang w:val="ga"/>
        </w:rPr>
        <w:t>Meitheamh 2023</w:t>
      </w:r>
      <w:bookmarkEnd w:id="9"/>
      <w:bookmarkEnd w:id="10"/>
      <w:bookmarkEnd w:id="11"/>
      <w:bookmarkEnd w:id="12"/>
    </w:p>
    <w:p w14:paraId="4B2CF74A" w14:textId="44991D33" w:rsidR="00453680" w:rsidRPr="00191726" w:rsidRDefault="0083753F">
      <w:pPr>
        <w:spacing w:after="0"/>
        <w:rPr>
          <w:rFonts w:ascii="Rockwell" w:hAnsi="Rockwell" w:cs="Arial"/>
          <w:b/>
          <w:bCs/>
          <w:color w:val="CC3399"/>
          <w:kern w:val="28"/>
          <w:sz w:val="120"/>
          <w:szCs w:val="120"/>
        </w:rPr>
      </w:pPr>
      <w:r>
        <w:rPr>
          <w:rFonts w:ascii="Rockwell" w:hAnsi="Rockwell"/>
          <w:noProof/>
          <w:color w:val="CC3399"/>
          <w:sz w:val="120"/>
          <w:szCs w:val="120"/>
          <w:lang w:val="ga"/>
        </w:rPr>
        <w:drawing>
          <wp:inline distT="0" distB="0" distL="0" distR="0" wp14:anchorId="4101F3F6" wp14:editId="6307FA06">
            <wp:extent cx="2650256" cy="1888176"/>
            <wp:effectExtent l="0" t="0" r="0" b="0"/>
            <wp:docPr id="1" name="Picture 1" descr="Lógó ÚNM" title="Ló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066" cy="1943611"/>
                    </a:xfrm>
                    <a:prstGeom prst="rect">
                      <a:avLst/>
                    </a:prstGeom>
                    <a:noFill/>
                    <a:ln>
                      <a:noFill/>
                    </a:ln>
                  </pic:spPr>
                </pic:pic>
              </a:graphicData>
            </a:graphic>
          </wp:inline>
        </w:drawing>
      </w:r>
      <w:r>
        <w:rPr>
          <w:rFonts w:ascii="Rockwell" w:hAnsi="Rockwell"/>
          <w:color w:val="CC3399"/>
          <w:sz w:val="120"/>
          <w:szCs w:val="120"/>
          <w:lang w:val="ga"/>
        </w:rPr>
        <w:br w:type="page"/>
      </w:r>
    </w:p>
    <w:bookmarkStart w:id="13" w:name="_Toc145483417" w:displacedByCustomXml="next"/>
    <w:sdt>
      <w:sdtPr>
        <w:rPr>
          <w:rFonts w:cs="Times New Roman"/>
          <w:b w:val="0"/>
          <w:bCs w:val="0"/>
          <w:kern w:val="0"/>
          <w:sz w:val="26"/>
          <w:szCs w:val="24"/>
        </w:rPr>
        <w:id w:val="-225297309"/>
        <w:docPartObj>
          <w:docPartGallery w:val="Table of Contents"/>
          <w:docPartUnique/>
        </w:docPartObj>
      </w:sdtPr>
      <w:sdtEndPr>
        <w:rPr>
          <w:noProof/>
        </w:rPr>
      </w:sdtEndPr>
      <w:sdtContent>
        <w:p w14:paraId="1717ABF3" w14:textId="730F5EA1" w:rsidR="000C03FA" w:rsidRPr="00C27D9B" w:rsidRDefault="000C03FA" w:rsidP="00755822">
          <w:pPr>
            <w:pStyle w:val="Heading1"/>
            <w:tabs>
              <w:tab w:val="left" w:pos="7620"/>
            </w:tabs>
          </w:pPr>
          <w:r>
            <w:rPr>
              <w:lang w:val="ga"/>
            </w:rPr>
            <w:t>Clár Ábhar</w:t>
          </w:r>
          <w:bookmarkEnd w:id="13"/>
          <w:r>
            <w:rPr>
              <w:b w:val="0"/>
              <w:bCs w:val="0"/>
              <w:lang w:val="ga"/>
            </w:rPr>
            <w:tab/>
          </w:r>
        </w:p>
        <w:p w14:paraId="242AD2B3" w14:textId="07F78CB8" w:rsidR="0051723D" w:rsidRDefault="000C03FA">
          <w:pPr>
            <w:pStyle w:val="TOC1"/>
            <w:tabs>
              <w:tab w:val="right" w:leader="dot" w:pos="9350"/>
            </w:tabs>
            <w:rPr>
              <w:rFonts w:asciiTheme="minorHAnsi" w:eastAsiaTheme="minorEastAsia" w:hAnsiTheme="minorHAnsi" w:cstheme="minorBidi"/>
              <w:b w:val="0"/>
              <w:noProof/>
              <w:kern w:val="2"/>
              <w:sz w:val="22"/>
              <w:szCs w:val="22"/>
              <w:lang w:val="en-GB" w:eastAsia="en-GB"/>
              <w14:ligatures w14:val="standardContextual"/>
            </w:rPr>
          </w:pPr>
          <w:r>
            <w:rPr>
              <w:bCs/>
              <w:sz w:val="24"/>
              <w:lang w:val="ga"/>
            </w:rPr>
            <w:fldChar w:fldCharType="begin"/>
          </w:r>
          <w:r>
            <w:rPr>
              <w:sz w:val="24"/>
            </w:rPr>
            <w:instrText xml:space="preserve"> TOC \o "1-3" \h \z \u </w:instrText>
          </w:r>
          <w:r>
            <w:rPr>
              <w:sz w:val="24"/>
            </w:rPr>
            <w:fldChar w:fldCharType="separate"/>
          </w:r>
          <w:hyperlink w:anchor="_Toc145483413" w:history="1">
            <w:r w:rsidR="0051723D" w:rsidRPr="00FF6565">
              <w:rPr>
                <w:rStyle w:val="Hyperlink"/>
                <w:rFonts w:ascii="Rockwell" w:hAnsi="Rockwell"/>
                <w:noProof/>
                <w:lang w:val="ga"/>
              </w:rPr>
              <w:t>Acht ÚNM um Míchumas – Cód Cleachtais Chuid 3 maidir le hInrochtaineacht Seirbhísí Poiblí agus Faisnéise a chuireann Comhlachtaí Poiblí ar fáil</w:t>
            </w:r>
            <w:r w:rsidR="0051723D">
              <w:rPr>
                <w:noProof/>
                <w:webHidden/>
              </w:rPr>
              <w:tab/>
            </w:r>
            <w:r w:rsidR="0051723D">
              <w:rPr>
                <w:noProof/>
                <w:webHidden/>
              </w:rPr>
              <w:fldChar w:fldCharType="begin"/>
            </w:r>
            <w:r w:rsidR="0051723D">
              <w:rPr>
                <w:noProof/>
                <w:webHidden/>
              </w:rPr>
              <w:instrText xml:space="preserve"> PAGEREF _Toc145483413 \h </w:instrText>
            </w:r>
            <w:r w:rsidR="0051723D">
              <w:rPr>
                <w:noProof/>
                <w:webHidden/>
              </w:rPr>
            </w:r>
            <w:r w:rsidR="0051723D">
              <w:rPr>
                <w:noProof/>
                <w:webHidden/>
              </w:rPr>
              <w:fldChar w:fldCharType="separate"/>
            </w:r>
            <w:r w:rsidR="00A6100C">
              <w:rPr>
                <w:noProof/>
                <w:webHidden/>
              </w:rPr>
              <w:t>1</w:t>
            </w:r>
            <w:r w:rsidR="0051723D">
              <w:rPr>
                <w:noProof/>
                <w:webHidden/>
              </w:rPr>
              <w:fldChar w:fldCharType="end"/>
            </w:r>
          </w:hyperlink>
        </w:p>
        <w:p w14:paraId="2581C5EB" w14:textId="6DD4130F" w:rsidR="0051723D" w:rsidRDefault="00286096">
          <w:pPr>
            <w:pStyle w:val="TOC1"/>
            <w:tabs>
              <w:tab w:val="right" w:leader="dot" w:pos="9350"/>
            </w:tabs>
            <w:rPr>
              <w:rFonts w:asciiTheme="minorHAnsi" w:eastAsiaTheme="minorEastAsia" w:hAnsiTheme="minorHAnsi" w:cstheme="minorBidi"/>
              <w:b w:val="0"/>
              <w:noProof/>
              <w:kern w:val="2"/>
              <w:sz w:val="22"/>
              <w:szCs w:val="22"/>
              <w:lang w:val="en-GB" w:eastAsia="en-GB"/>
              <w14:ligatures w14:val="standardContextual"/>
            </w:rPr>
          </w:pPr>
          <w:hyperlink w:anchor="_Toc145483417" w:history="1">
            <w:r w:rsidR="0051723D" w:rsidRPr="00FF6565">
              <w:rPr>
                <w:rStyle w:val="Hyperlink"/>
                <w:noProof/>
                <w:lang w:val="ga"/>
              </w:rPr>
              <w:t>Clár Ábhar</w:t>
            </w:r>
            <w:r w:rsidR="0051723D">
              <w:rPr>
                <w:noProof/>
                <w:webHidden/>
              </w:rPr>
              <w:tab/>
            </w:r>
            <w:r w:rsidR="0051723D">
              <w:rPr>
                <w:noProof/>
                <w:webHidden/>
              </w:rPr>
              <w:fldChar w:fldCharType="begin"/>
            </w:r>
            <w:r w:rsidR="0051723D">
              <w:rPr>
                <w:noProof/>
                <w:webHidden/>
              </w:rPr>
              <w:instrText xml:space="preserve"> PAGEREF _Toc145483417 \h </w:instrText>
            </w:r>
            <w:r w:rsidR="0051723D">
              <w:rPr>
                <w:noProof/>
                <w:webHidden/>
              </w:rPr>
            </w:r>
            <w:r w:rsidR="0051723D">
              <w:rPr>
                <w:noProof/>
                <w:webHidden/>
              </w:rPr>
              <w:fldChar w:fldCharType="separate"/>
            </w:r>
            <w:r w:rsidR="00A6100C">
              <w:rPr>
                <w:noProof/>
                <w:webHidden/>
              </w:rPr>
              <w:t>2</w:t>
            </w:r>
            <w:r w:rsidR="0051723D">
              <w:rPr>
                <w:noProof/>
                <w:webHidden/>
              </w:rPr>
              <w:fldChar w:fldCharType="end"/>
            </w:r>
          </w:hyperlink>
        </w:p>
        <w:p w14:paraId="7E9297A4" w14:textId="2A354D37" w:rsidR="0051723D" w:rsidRDefault="00286096">
          <w:pPr>
            <w:pStyle w:val="TOC1"/>
            <w:tabs>
              <w:tab w:val="right" w:leader="dot" w:pos="9350"/>
            </w:tabs>
            <w:rPr>
              <w:rFonts w:asciiTheme="minorHAnsi" w:eastAsiaTheme="minorEastAsia" w:hAnsiTheme="minorHAnsi" w:cstheme="minorBidi"/>
              <w:b w:val="0"/>
              <w:noProof/>
              <w:kern w:val="2"/>
              <w:sz w:val="22"/>
              <w:szCs w:val="22"/>
              <w:lang w:val="en-GB" w:eastAsia="en-GB"/>
              <w14:ligatures w14:val="standardContextual"/>
            </w:rPr>
          </w:pPr>
          <w:hyperlink w:anchor="_Toc145483418" w:history="1">
            <w:r w:rsidR="0051723D" w:rsidRPr="00FF6565">
              <w:rPr>
                <w:rStyle w:val="Hyperlink"/>
                <w:noProof/>
                <w:lang w:val="ga"/>
              </w:rPr>
              <w:t>Acht ÚNM um Míchumas – Tuarascáil Faireacháin Chuid 3, 2022</w:t>
            </w:r>
            <w:r w:rsidR="0051723D">
              <w:rPr>
                <w:noProof/>
                <w:webHidden/>
              </w:rPr>
              <w:tab/>
            </w:r>
            <w:r w:rsidR="0051723D">
              <w:rPr>
                <w:noProof/>
                <w:webHidden/>
              </w:rPr>
              <w:fldChar w:fldCharType="begin"/>
            </w:r>
            <w:r w:rsidR="0051723D">
              <w:rPr>
                <w:noProof/>
                <w:webHidden/>
              </w:rPr>
              <w:instrText xml:space="preserve"> PAGEREF _Toc145483418 \h </w:instrText>
            </w:r>
            <w:r w:rsidR="0051723D">
              <w:rPr>
                <w:noProof/>
                <w:webHidden/>
              </w:rPr>
            </w:r>
            <w:r w:rsidR="0051723D">
              <w:rPr>
                <w:noProof/>
                <w:webHidden/>
              </w:rPr>
              <w:fldChar w:fldCharType="separate"/>
            </w:r>
            <w:r w:rsidR="00A6100C">
              <w:rPr>
                <w:noProof/>
                <w:webHidden/>
              </w:rPr>
              <w:t>3</w:t>
            </w:r>
            <w:r w:rsidR="0051723D">
              <w:rPr>
                <w:noProof/>
                <w:webHidden/>
              </w:rPr>
              <w:fldChar w:fldCharType="end"/>
            </w:r>
          </w:hyperlink>
        </w:p>
        <w:p w14:paraId="58D07586" w14:textId="007CC1CC" w:rsidR="0051723D" w:rsidRDefault="00286096">
          <w:pPr>
            <w:pStyle w:val="TOC1"/>
            <w:tabs>
              <w:tab w:val="right" w:leader="dot" w:pos="9350"/>
            </w:tabs>
            <w:rPr>
              <w:rFonts w:asciiTheme="minorHAnsi" w:eastAsiaTheme="minorEastAsia" w:hAnsiTheme="minorHAnsi" w:cstheme="minorBidi"/>
              <w:b w:val="0"/>
              <w:noProof/>
              <w:kern w:val="2"/>
              <w:sz w:val="22"/>
              <w:szCs w:val="22"/>
              <w:lang w:val="en-GB" w:eastAsia="en-GB"/>
              <w14:ligatures w14:val="standardContextual"/>
            </w:rPr>
          </w:pPr>
          <w:hyperlink w:anchor="_Toc145483419" w:history="1">
            <w:r w:rsidR="0051723D" w:rsidRPr="00FF6565">
              <w:rPr>
                <w:rStyle w:val="Hyperlink"/>
                <w:noProof/>
                <w:lang w:val="ga"/>
              </w:rPr>
              <w:t>Réamhrá</w:t>
            </w:r>
            <w:r w:rsidR="0051723D">
              <w:rPr>
                <w:noProof/>
                <w:webHidden/>
              </w:rPr>
              <w:tab/>
            </w:r>
            <w:r w:rsidR="0051723D">
              <w:rPr>
                <w:noProof/>
                <w:webHidden/>
              </w:rPr>
              <w:fldChar w:fldCharType="begin"/>
            </w:r>
            <w:r w:rsidR="0051723D">
              <w:rPr>
                <w:noProof/>
                <w:webHidden/>
              </w:rPr>
              <w:instrText xml:space="preserve"> PAGEREF _Toc145483419 \h </w:instrText>
            </w:r>
            <w:r w:rsidR="0051723D">
              <w:rPr>
                <w:noProof/>
                <w:webHidden/>
              </w:rPr>
            </w:r>
            <w:r w:rsidR="0051723D">
              <w:rPr>
                <w:noProof/>
                <w:webHidden/>
              </w:rPr>
              <w:fldChar w:fldCharType="separate"/>
            </w:r>
            <w:r w:rsidR="00A6100C">
              <w:rPr>
                <w:noProof/>
                <w:webHidden/>
              </w:rPr>
              <w:t>3</w:t>
            </w:r>
            <w:r w:rsidR="0051723D">
              <w:rPr>
                <w:noProof/>
                <w:webHidden/>
              </w:rPr>
              <w:fldChar w:fldCharType="end"/>
            </w:r>
          </w:hyperlink>
        </w:p>
        <w:p w14:paraId="503974C3" w14:textId="61F72140" w:rsidR="0051723D" w:rsidRDefault="00286096">
          <w:pPr>
            <w:pStyle w:val="TOC2"/>
            <w:tabs>
              <w:tab w:val="right" w:leader="dot" w:pos="9350"/>
            </w:tabs>
            <w:rPr>
              <w:rFonts w:asciiTheme="minorHAnsi" w:eastAsiaTheme="minorEastAsia" w:hAnsiTheme="minorHAnsi" w:cstheme="minorBidi"/>
              <w:noProof/>
              <w:kern w:val="2"/>
              <w:sz w:val="22"/>
              <w:szCs w:val="22"/>
              <w:lang w:val="en-GB" w:eastAsia="en-GB"/>
              <w14:ligatures w14:val="standardContextual"/>
            </w:rPr>
          </w:pPr>
          <w:hyperlink w:anchor="_Toc145483420" w:history="1">
            <w:r w:rsidR="0051723D" w:rsidRPr="00FF6565">
              <w:rPr>
                <w:rStyle w:val="Hyperlink"/>
                <w:noProof/>
                <w:lang w:val="ga"/>
              </w:rPr>
              <w:t>Cé sinne</w:t>
            </w:r>
            <w:r w:rsidR="0051723D">
              <w:rPr>
                <w:noProof/>
                <w:webHidden/>
              </w:rPr>
              <w:tab/>
            </w:r>
            <w:r w:rsidR="0051723D">
              <w:rPr>
                <w:noProof/>
                <w:webHidden/>
              </w:rPr>
              <w:fldChar w:fldCharType="begin"/>
            </w:r>
            <w:r w:rsidR="0051723D">
              <w:rPr>
                <w:noProof/>
                <w:webHidden/>
              </w:rPr>
              <w:instrText xml:space="preserve"> PAGEREF _Toc145483420 \h </w:instrText>
            </w:r>
            <w:r w:rsidR="0051723D">
              <w:rPr>
                <w:noProof/>
                <w:webHidden/>
              </w:rPr>
            </w:r>
            <w:r w:rsidR="0051723D">
              <w:rPr>
                <w:noProof/>
                <w:webHidden/>
              </w:rPr>
              <w:fldChar w:fldCharType="separate"/>
            </w:r>
            <w:r w:rsidR="00A6100C">
              <w:rPr>
                <w:noProof/>
                <w:webHidden/>
              </w:rPr>
              <w:t>3</w:t>
            </w:r>
            <w:r w:rsidR="0051723D">
              <w:rPr>
                <w:noProof/>
                <w:webHidden/>
              </w:rPr>
              <w:fldChar w:fldCharType="end"/>
            </w:r>
          </w:hyperlink>
        </w:p>
        <w:p w14:paraId="474149EF" w14:textId="45910C73" w:rsidR="0051723D" w:rsidRDefault="00286096">
          <w:pPr>
            <w:pStyle w:val="TOC2"/>
            <w:tabs>
              <w:tab w:val="right" w:leader="dot" w:pos="9350"/>
            </w:tabs>
            <w:rPr>
              <w:rFonts w:asciiTheme="minorHAnsi" w:eastAsiaTheme="minorEastAsia" w:hAnsiTheme="minorHAnsi" w:cstheme="minorBidi"/>
              <w:noProof/>
              <w:kern w:val="2"/>
              <w:sz w:val="22"/>
              <w:szCs w:val="22"/>
              <w:lang w:val="en-GB" w:eastAsia="en-GB"/>
              <w14:ligatures w14:val="standardContextual"/>
            </w:rPr>
          </w:pPr>
          <w:hyperlink w:anchor="_Toc145483421" w:history="1">
            <w:r w:rsidR="0051723D" w:rsidRPr="00FF6565">
              <w:rPr>
                <w:rStyle w:val="Hyperlink"/>
                <w:noProof/>
                <w:lang w:val="ga"/>
              </w:rPr>
              <w:t>Freagrachtaí faireacháin ÚNM</w:t>
            </w:r>
            <w:r w:rsidR="0051723D">
              <w:rPr>
                <w:noProof/>
                <w:webHidden/>
              </w:rPr>
              <w:tab/>
            </w:r>
            <w:r w:rsidR="0051723D">
              <w:rPr>
                <w:noProof/>
                <w:webHidden/>
              </w:rPr>
              <w:fldChar w:fldCharType="begin"/>
            </w:r>
            <w:r w:rsidR="0051723D">
              <w:rPr>
                <w:noProof/>
                <w:webHidden/>
              </w:rPr>
              <w:instrText xml:space="preserve"> PAGEREF _Toc145483421 \h </w:instrText>
            </w:r>
            <w:r w:rsidR="0051723D">
              <w:rPr>
                <w:noProof/>
                <w:webHidden/>
              </w:rPr>
            </w:r>
            <w:r w:rsidR="0051723D">
              <w:rPr>
                <w:noProof/>
                <w:webHidden/>
              </w:rPr>
              <w:fldChar w:fldCharType="separate"/>
            </w:r>
            <w:r w:rsidR="00A6100C">
              <w:rPr>
                <w:noProof/>
                <w:webHidden/>
              </w:rPr>
              <w:t>3</w:t>
            </w:r>
            <w:r w:rsidR="0051723D">
              <w:rPr>
                <w:noProof/>
                <w:webHidden/>
              </w:rPr>
              <w:fldChar w:fldCharType="end"/>
            </w:r>
          </w:hyperlink>
        </w:p>
        <w:p w14:paraId="2EBE41A6" w14:textId="13423F58" w:rsidR="0051723D" w:rsidRDefault="00286096">
          <w:pPr>
            <w:pStyle w:val="TOC2"/>
            <w:tabs>
              <w:tab w:val="right" w:leader="dot" w:pos="9350"/>
            </w:tabs>
            <w:rPr>
              <w:rFonts w:asciiTheme="minorHAnsi" w:eastAsiaTheme="minorEastAsia" w:hAnsiTheme="minorHAnsi" w:cstheme="minorBidi"/>
              <w:noProof/>
              <w:kern w:val="2"/>
              <w:sz w:val="22"/>
              <w:szCs w:val="22"/>
              <w:lang w:val="en-GB" w:eastAsia="en-GB"/>
              <w14:ligatures w14:val="standardContextual"/>
            </w:rPr>
          </w:pPr>
          <w:hyperlink w:anchor="_Toc145483422" w:history="1">
            <w:r w:rsidR="0051723D" w:rsidRPr="00FF6565">
              <w:rPr>
                <w:rStyle w:val="Hyperlink"/>
                <w:noProof/>
                <w:lang w:val="ga"/>
              </w:rPr>
              <w:t>Cuspóir na gníomhaíochta faireacháin seo</w:t>
            </w:r>
            <w:r w:rsidR="0051723D">
              <w:rPr>
                <w:noProof/>
                <w:webHidden/>
              </w:rPr>
              <w:tab/>
            </w:r>
            <w:r w:rsidR="0051723D">
              <w:rPr>
                <w:noProof/>
                <w:webHidden/>
              </w:rPr>
              <w:fldChar w:fldCharType="begin"/>
            </w:r>
            <w:r w:rsidR="0051723D">
              <w:rPr>
                <w:noProof/>
                <w:webHidden/>
              </w:rPr>
              <w:instrText xml:space="preserve"> PAGEREF _Toc145483422 \h </w:instrText>
            </w:r>
            <w:r w:rsidR="0051723D">
              <w:rPr>
                <w:noProof/>
                <w:webHidden/>
              </w:rPr>
            </w:r>
            <w:r w:rsidR="0051723D">
              <w:rPr>
                <w:noProof/>
                <w:webHidden/>
              </w:rPr>
              <w:fldChar w:fldCharType="separate"/>
            </w:r>
            <w:r w:rsidR="00A6100C">
              <w:rPr>
                <w:noProof/>
                <w:webHidden/>
              </w:rPr>
              <w:t>3</w:t>
            </w:r>
            <w:r w:rsidR="0051723D">
              <w:rPr>
                <w:noProof/>
                <w:webHidden/>
              </w:rPr>
              <w:fldChar w:fldCharType="end"/>
            </w:r>
          </w:hyperlink>
        </w:p>
        <w:p w14:paraId="53E93F64" w14:textId="53B53579" w:rsidR="0051723D" w:rsidRDefault="00286096">
          <w:pPr>
            <w:pStyle w:val="TOC3"/>
            <w:rPr>
              <w:rFonts w:asciiTheme="minorHAnsi" w:eastAsiaTheme="minorEastAsia" w:hAnsiTheme="minorHAnsi" w:cstheme="minorBidi"/>
              <w:noProof/>
              <w:kern w:val="2"/>
              <w:sz w:val="22"/>
              <w:szCs w:val="22"/>
              <w:lang w:val="en-GB" w:eastAsia="en-GB"/>
              <w14:ligatures w14:val="standardContextual"/>
            </w:rPr>
          </w:pPr>
          <w:hyperlink w:anchor="_Toc145483423" w:history="1">
            <w:r w:rsidR="0051723D" w:rsidRPr="00FF6565">
              <w:rPr>
                <w:rStyle w:val="Hyperlink"/>
                <w:noProof/>
                <w:lang w:val="ga"/>
              </w:rPr>
              <w:t>Alt 26(2) – Oifigeach Rochtana</w:t>
            </w:r>
            <w:r w:rsidR="0051723D">
              <w:rPr>
                <w:noProof/>
                <w:webHidden/>
              </w:rPr>
              <w:tab/>
            </w:r>
            <w:r w:rsidR="0051723D">
              <w:rPr>
                <w:noProof/>
                <w:webHidden/>
              </w:rPr>
              <w:fldChar w:fldCharType="begin"/>
            </w:r>
            <w:r w:rsidR="0051723D">
              <w:rPr>
                <w:noProof/>
                <w:webHidden/>
              </w:rPr>
              <w:instrText xml:space="preserve"> PAGEREF _Toc145483423 \h </w:instrText>
            </w:r>
            <w:r w:rsidR="0051723D">
              <w:rPr>
                <w:noProof/>
                <w:webHidden/>
              </w:rPr>
            </w:r>
            <w:r w:rsidR="0051723D">
              <w:rPr>
                <w:noProof/>
                <w:webHidden/>
              </w:rPr>
              <w:fldChar w:fldCharType="separate"/>
            </w:r>
            <w:r w:rsidR="00A6100C">
              <w:rPr>
                <w:noProof/>
                <w:webHidden/>
              </w:rPr>
              <w:t>3</w:t>
            </w:r>
            <w:r w:rsidR="0051723D">
              <w:rPr>
                <w:noProof/>
                <w:webHidden/>
              </w:rPr>
              <w:fldChar w:fldCharType="end"/>
            </w:r>
          </w:hyperlink>
        </w:p>
        <w:p w14:paraId="3631C11C" w14:textId="1CE21B17" w:rsidR="0051723D" w:rsidRDefault="00286096">
          <w:pPr>
            <w:pStyle w:val="TOC2"/>
            <w:tabs>
              <w:tab w:val="right" w:leader="dot" w:pos="9350"/>
            </w:tabs>
            <w:rPr>
              <w:rFonts w:asciiTheme="minorHAnsi" w:eastAsiaTheme="minorEastAsia" w:hAnsiTheme="minorHAnsi" w:cstheme="minorBidi"/>
              <w:noProof/>
              <w:kern w:val="2"/>
              <w:sz w:val="22"/>
              <w:szCs w:val="22"/>
              <w:lang w:val="en-GB" w:eastAsia="en-GB"/>
              <w14:ligatures w14:val="standardContextual"/>
            </w:rPr>
          </w:pPr>
          <w:hyperlink w:anchor="_Toc145483424" w:history="1">
            <w:r w:rsidR="0051723D" w:rsidRPr="00FF6565">
              <w:rPr>
                <w:rStyle w:val="Hyperlink"/>
                <w:noProof/>
                <w:lang w:val="ga"/>
              </w:rPr>
              <w:t>Modhanna</w:t>
            </w:r>
            <w:r w:rsidR="0051723D">
              <w:rPr>
                <w:noProof/>
                <w:webHidden/>
              </w:rPr>
              <w:tab/>
            </w:r>
            <w:r w:rsidR="0051723D">
              <w:rPr>
                <w:noProof/>
                <w:webHidden/>
              </w:rPr>
              <w:fldChar w:fldCharType="begin"/>
            </w:r>
            <w:r w:rsidR="0051723D">
              <w:rPr>
                <w:noProof/>
                <w:webHidden/>
              </w:rPr>
              <w:instrText xml:space="preserve"> PAGEREF _Toc145483424 \h </w:instrText>
            </w:r>
            <w:r w:rsidR="0051723D">
              <w:rPr>
                <w:noProof/>
                <w:webHidden/>
              </w:rPr>
            </w:r>
            <w:r w:rsidR="0051723D">
              <w:rPr>
                <w:noProof/>
                <w:webHidden/>
              </w:rPr>
              <w:fldChar w:fldCharType="separate"/>
            </w:r>
            <w:r w:rsidR="00A6100C">
              <w:rPr>
                <w:noProof/>
                <w:webHidden/>
              </w:rPr>
              <w:t>4</w:t>
            </w:r>
            <w:r w:rsidR="0051723D">
              <w:rPr>
                <w:noProof/>
                <w:webHidden/>
              </w:rPr>
              <w:fldChar w:fldCharType="end"/>
            </w:r>
          </w:hyperlink>
        </w:p>
        <w:p w14:paraId="2DCA2A96" w14:textId="1A98EC08" w:rsidR="0051723D" w:rsidRDefault="00286096">
          <w:pPr>
            <w:pStyle w:val="TOC1"/>
            <w:tabs>
              <w:tab w:val="right" w:leader="dot" w:pos="9350"/>
            </w:tabs>
            <w:rPr>
              <w:rFonts w:asciiTheme="minorHAnsi" w:eastAsiaTheme="minorEastAsia" w:hAnsiTheme="minorHAnsi" w:cstheme="minorBidi"/>
              <w:b w:val="0"/>
              <w:noProof/>
              <w:kern w:val="2"/>
              <w:sz w:val="22"/>
              <w:szCs w:val="22"/>
              <w:lang w:val="en-GB" w:eastAsia="en-GB"/>
              <w14:ligatures w14:val="standardContextual"/>
            </w:rPr>
          </w:pPr>
          <w:hyperlink w:anchor="_Toc145483425" w:history="1">
            <w:r w:rsidR="0051723D" w:rsidRPr="00FF6565">
              <w:rPr>
                <w:rStyle w:val="Hyperlink"/>
                <w:noProof/>
                <w:lang w:val="ga"/>
              </w:rPr>
              <w:t>Fionnachtana an Fhaireacháin – Fionnachtana Tosaigh agus Fionnachtana Deiridh</w:t>
            </w:r>
            <w:r w:rsidR="0051723D">
              <w:rPr>
                <w:noProof/>
                <w:webHidden/>
              </w:rPr>
              <w:tab/>
            </w:r>
            <w:r w:rsidR="0051723D">
              <w:rPr>
                <w:noProof/>
                <w:webHidden/>
              </w:rPr>
              <w:fldChar w:fldCharType="begin"/>
            </w:r>
            <w:r w:rsidR="0051723D">
              <w:rPr>
                <w:noProof/>
                <w:webHidden/>
              </w:rPr>
              <w:instrText xml:space="preserve"> PAGEREF _Toc145483425 \h </w:instrText>
            </w:r>
            <w:r w:rsidR="0051723D">
              <w:rPr>
                <w:noProof/>
                <w:webHidden/>
              </w:rPr>
            </w:r>
            <w:r w:rsidR="0051723D">
              <w:rPr>
                <w:noProof/>
                <w:webHidden/>
              </w:rPr>
              <w:fldChar w:fldCharType="separate"/>
            </w:r>
            <w:r w:rsidR="00A6100C">
              <w:rPr>
                <w:noProof/>
                <w:webHidden/>
              </w:rPr>
              <w:t>4</w:t>
            </w:r>
            <w:r w:rsidR="0051723D">
              <w:rPr>
                <w:noProof/>
                <w:webHidden/>
              </w:rPr>
              <w:fldChar w:fldCharType="end"/>
            </w:r>
          </w:hyperlink>
        </w:p>
        <w:p w14:paraId="3FD0870C" w14:textId="5B48DEE5" w:rsidR="0051723D" w:rsidRDefault="00286096">
          <w:pPr>
            <w:pStyle w:val="TOC1"/>
            <w:tabs>
              <w:tab w:val="right" w:leader="dot" w:pos="9350"/>
            </w:tabs>
            <w:rPr>
              <w:rFonts w:asciiTheme="minorHAnsi" w:eastAsiaTheme="minorEastAsia" w:hAnsiTheme="minorHAnsi" w:cstheme="minorBidi"/>
              <w:b w:val="0"/>
              <w:noProof/>
              <w:kern w:val="2"/>
              <w:sz w:val="22"/>
              <w:szCs w:val="22"/>
              <w:lang w:val="en-GB" w:eastAsia="en-GB"/>
              <w14:ligatures w14:val="standardContextual"/>
            </w:rPr>
          </w:pPr>
          <w:hyperlink w:anchor="_Toc145483426" w:history="1">
            <w:r w:rsidR="0051723D" w:rsidRPr="00FF6565">
              <w:rPr>
                <w:rStyle w:val="Hyperlink"/>
                <w:noProof/>
                <w:lang w:val="ga"/>
              </w:rPr>
              <w:t>Tionchar an Fhaireacháin</w:t>
            </w:r>
            <w:r w:rsidR="0051723D">
              <w:rPr>
                <w:noProof/>
                <w:webHidden/>
              </w:rPr>
              <w:tab/>
            </w:r>
            <w:r w:rsidR="0051723D">
              <w:rPr>
                <w:noProof/>
                <w:webHidden/>
              </w:rPr>
              <w:fldChar w:fldCharType="begin"/>
            </w:r>
            <w:r w:rsidR="0051723D">
              <w:rPr>
                <w:noProof/>
                <w:webHidden/>
              </w:rPr>
              <w:instrText xml:space="preserve"> PAGEREF _Toc145483426 \h </w:instrText>
            </w:r>
            <w:r w:rsidR="0051723D">
              <w:rPr>
                <w:noProof/>
                <w:webHidden/>
              </w:rPr>
            </w:r>
            <w:r w:rsidR="0051723D">
              <w:rPr>
                <w:noProof/>
                <w:webHidden/>
              </w:rPr>
              <w:fldChar w:fldCharType="separate"/>
            </w:r>
            <w:r w:rsidR="00A6100C">
              <w:rPr>
                <w:noProof/>
                <w:webHidden/>
              </w:rPr>
              <w:t>7</w:t>
            </w:r>
            <w:r w:rsidR="0051723D">
              <w:rPr>
                <w:noProof/>
                <w:webHidden/>
              </w:rPr>
              <w:fldChar w:fldCharType="end"/>
            </w:r>
          </w:hyperlink>
        </w:p>
        <w:p w14:paraId="3DD9A6EF" w14:textId="15AEF195" w:rsidR="0051723D" w:rsidRDefault="00286096">
          <w:pPr>
            <w:pStyle w:val="TOC1"/>
            <w:tabs>
              <w:tab w:val="right" w:leader="dot" w:pos="9350"/>
            </w:tabs>
            <w:rPr>
              <w:rFonts w:asciiTheme="minorHAnsi" w:eastAsiaTheme="minorEastAsia" w:hAnsiTheme="minorHAnsi" w:cstheme="minorBidi"/>
              <w:b w:val="0"/>
              <w:noProof/>
              <w:kern w:val="2"/>
              <w:sz w:val="22"/>
              <w:szCs w:val="22"/>
              <w:lang w:val="en-GB" w:eastAsia="en-GB"/>
              <w14:ligatures w14:val="standardContextual"/>
            </w:rPr>
          </w:pPr>
          <w:hyperlink w:anchor="_Toc145483427" w:history="1">
            <w:r w:rsidR="0051723D" w:rsidRPr="00FF6565">
              <w:rPr>
                <w:rStyle w:val="Hyperlink"/>
                <w:rFonts w:eastAsia="SimSun"/>
                <w:noProof/>
                <w:lang w:val="ga"/>
              </w:rPr>
              <w:t>Conclúid agus Moltaí</w:t>
            </w:r>
            <w:r w:rsidR="0051723D">
              <w:rPr>
                <w:noProof/>
                <w:webHidden/>
              </w:rPr>
              <w:tab/>
            </w:r>
            <w:r w:rsidR="0051723D">
              <w:rPr>
                <w:noProof/>
                <w:webHidden/>
              </w:rPr>
              <w:fldChar w:fldCharType="begin"/>
            </w:r>
            <w:r w:rsidR="0051723D">
              <w:rPr>
                <w:noProof/>
                <w:webHidden/>
              </w:rPr>
              <w:instrText xml:space="preserve"> PAGEREF _Toc145483427 \h </w:instrText>
            </w:r>
            <w:r w:rsidR="0051723D">
              <w:rPr>
                <w:noProof/>
                <w:webHidden/>
              </w:rPr>
            </w:r>
            <w:r w:rsidR="0051723D">
              <w:rPr>
                <w:noProof/>
                <w:webHidden/>
              </w:rPr>
              <w:fldChar w:fldCharType="separate"/>
            </w:r>
            <w:r w:rsidR="00A6100C">
              <w:rPr>
                <w:noProof/>
                <w:webHidden/>
              </w:rPr>
              <w:t>9</w:t>
            </w:r>
            <w:r w:rsidR="0051723D">
              <w:rPr>
                <w:noProof/>
                <w:webHidden/>
              </w:rPr>
              <w:fldChar w:fldCharType="end"/>
            </w:r>
          </w:hyperlink>
        </w:p>
        <w:p w14:paraId="5646F51D" w14:textId="61E5F4EA" w:rsidR="000C03FA" w:rsidRPr="00D633FE" w:rsidRDefault="000C03FA">
          <w:r>
            <w:rPr>
              <w:b/>
              <w:bCs/>
              <w:noProof/>
              <w:sz w:val="24"/>
            </w:rPr>
            <w:fldChar w:fldCharType="end"/>
          </w:r>
        </w:p>
      </w:sdtContent>
    </w:sdt>
    <w:p w14:paraId="3BBB7055" w14:textId="7855EB92" w:rsidR="00A813F7" w:rsidRDefault="00A813F7">
      <w:pPr>
        <w:spacing w:after="0"/>
        <w:rPr>
          <w:rFonts w:cs="Arial"/>
          <w:b/>
          <w:bCs/>
          <w:kern w:val="28"/>
          <w:sz w:val="36"/>
          <w:szCs w:val="32"/>
        </w:rPr>
      </w:pPr>
      <w:bookmarkStart w:id="14" w:name="_Toc78967397"/>
      <w:r>
        <w:rPr>
          <w:lang w:val="ga"/>
        </w:rPr>
        <w:br w:type="page"/>
      </w:r>
    </w:p>
    <w:p w14:paraId="12BF439B" w14:textId="49AE3887" w:rsidR="00DB2A93" w:rsidRPr="00D633FE" w:rsidRDefault="00DB2A93" w:rsidP="00DB2A93">
      <w:pPr>
        <w:pStyle w:val="Title"/>
      </w:pPr>
      <w:bookmarkStart w:id="15" w:name="_Toc145483418"/>
      <w:r>
        <w:rPr>
          <w:lang w:val="ga"/>
        </w:rPr>
        <w:lastRenderedPageBreak/>
        <w:t>Acht ÚNM um Míchumas – Tuarascáil Faireacháin Chuid 3, 2022</w:t>
      </w:r>
      <w:bookmarkEnd w:id="15"/>
    </w:p>
    <w:p w14:paraId="4E913D71" w14:textId="77777777" w:rsidR="009C3BD7" w:rsidRPr="00D633FE" w:rsidRDefault="00453680" w:rsidP="009C3BD7">
      <w:pPr>
        <w:pStyle w:val="Heading1"/>
      </w:pPr>
      <w:bookmarkStart w:id="16" w:name="_Toc145483419"/>
      <w:bookmarkEnd w:id="14"/>
      <w:r>
        <w:rPr>
          <w:lang w:val="ga"/>
        </w:rPr>
        <w:t>Réamhrá</w:t>
      </w:r>
      <w:bookmarkEnd w:id="16"/>
      <w:r>
        <w:rPr>
          <w:lang w:val="ga"/>
        </w:rPr>
        <w:t xml:space="preserve"> </w:t>
      </w:r>
    </w:p>
    <w:p w14:paraId="34EEF15E" w14:textId="77777777" w:rsidR="00841C6D" w:rsidRPr="00A618F8" w:rsidRDefault="00841C6D" w:rsidP="00412B25">
      <w:pPr>
        <w:pStyle w:val="Heading2"/>
      </w:pPr>
      <w:bookmarkStart w:id="17" w:name="_Toc145483420"/>
      <w:r>
        <w:rPr>
          <w:iCs w:val="0"/>
          <w:lang w:val="ga"/>
        </w:rPr>
        <w:t>Cé sinne</w:t>
      </w:r>
      <w:bookmarkEnd w:id="17"/>
    </w:p>
    <w:p w14:paraId="4DAE6A68" w14:textId="17249B17" w:rsidR="00841C6D" w:rsidRPr="00A618F8" w:rsidRDefault="00841C6D" w:rsidP="005229DB">
      <w:pPr>
        <w:rPr>
          <w:szCs w:val="26"/>
        </w:rPr>
      </w:pPr>
      <w:r>
        <w:rPr>
          <w:szCs w:val="26"/>
          <w:lang w:val="ga"/>
        </w:rPr>
        <w:t>Is é an tÚdarás Náisiúnta Míchumais (ÚNM) an comhlacht reachtúil neamhspleách a sholáthraíonn faisnéis agus comhairle don Rialtas ar bheartas agus cleachtas a bhaineann le saol daoine faoi mhíchumas. Oibrímid trínár Lárionad Sármhaitheasa i nDearadh Uilíoch chun úsáid an deartha uilíoch sa timpeallacht thógtha, sa timpeallacht dhigiteach, i dtáirgí, i seirbhísí agus i gcórais a chur chun cinn ionas gur féidir le gach duine iad a rochtain agus a úsáid go réidh, lena n-áirítear daoine faoi mhíchumas.</w:t>
      </w:r>
    </w:p>
    <w:p w14:paraId="0B12CB7A" w14:textId="17099A79" w:rsidR="00150AB4" w:rsidRPr="00D633FE" w:rsidRDefault="00150AB4" w:rsidP="00412B25">
      <w:pPr>
        <w:pStyle w:val="Heading2"/>
      </w:pPr>
      <w:bookmarkStart w:id="18" w:name="_Toc145483421"/>
      <w:r>
        <w:rPr>
          <w:iCs w:val="0"/>
          <w:lang w:val="ga"/>
        </w:rPr>
        <w:t>Freagrachtaí faireacháin ÚNM</w:t>
      </w:r>
      <w:bookmarkEnd w:id="18"/>
    </w:p>
    <w:p w14:paraId="6BD17763" w14:textId="49DD032E" w:rsidR="0096260D" w:rsidRDefault="005229DB" w:rsidP="00AB7F0A">
      <w:pPr>
        <w:spacing w:after="120"/>
        <w:rPr>
          <w:szCs w:val="26"/>
        </w:rPr>
      </w:pPr>
      <w:r>
        <w:rPr>
          <w:szCs w:val="26"/>
          <w:lang w:val="ga"/>
        </w:rPr>
        <w:t xml:space="preserve">Faoi Chuid II, alt 8(2)(d), den Acht um Údarás Náisiúnta Míchumais, 1999 (Acht ÚNM, 1999), tá ról ag ÚNM i bhfaireachán a dhéanamh ar fhorfheidhmiú Cód Cleachtais atá ceadaithe ag an Aire agus tuarascáil a thabhairt ar na fionnachtana. Áirítear leis sin an Cód Cleachtais maidir le hInrochtaineacht Seirbhísí Poiblí agus Faisnéise (“an Cód”), rud lena dtreoraítear comhlachtaí poiblí chun na ceanglais faoi ailt 26, 27 agus 28 den Acht um Míchumas a chomhlíonadh. Is ar fáil sa tuarascáil iomlán atá tuilleadh faisnéise faoi oibleagáidí reachtúla comhlachtaí poiblí agus faoi fhreagrachtaí faireacháin agus feidhmeanna faireacháin ÚNM. </w:t>
      </w:r>
    </w:p>
    <w:p w14:paraId="69F6D318" w14:textId="3E2B7EF4" w:rsidR="00150AB4" w:rsidRPr="00D633FE" w:rsidRDefault="00150AB4" w:rsidP="00150AB4">
      <w:pPr>
        <w:pStyle w:val="Heading2"/>
      </w:pPr>
      <w:bookmarkStart w:id="19" w:name="_Toc145483422"/>
      <w:r>
        <w:rPr>
          <w:iCs w:val="0"/>
          <w:lang w:val="ga"/>
        </w:rPr>
        <w:t>Cuspóir na gníomhaíochta faireacháin seo</w:t>
      </w:r>
      <w:bookmarkEnd w:id="19"/>
    </w:p>
    <w:p w14:paraId="3D0D408F" w14:textId="7DF6D924" w:rsidR="00A51545" w:rsidRPr="00D633FE" w:rsidRDefault="008500B6" w:rsidP="009A2E80">
      <w:pPr>
        <w:spacing w:after="120"/>
      </w:pPr>
      <w:r>
        <w:rPr>
          <w:lang w:val="ga"/>
        </w:rPr>
        <w:t>Chun críocha na gníomhaíochta faireacháin seo, rinne ÚNM meastóireacht dheascbhunaithe ar chomhréireacht gach comhlachta phoiblí i gcomparáid le ceanglais reachtúla shonracha maidir leo seo trí úsáid a bhaint as a suíomhanna Gréasáin:</w:t>
      </w:r>
    </w:p>
    <w:p w14:paraId="45C94FFD" w14:textId="77777777" w:rsidR="00952720" w:rsidRPr="00D633FE" w:rsidRDefault="00952720" w:rsidP="00412B25">
      <w:pPr>
        <w:pStyle w:val="Heading3"/>
      </w:pPr>
      <w:bookmarkStart w:id="20" w:name="_Toc145483423"/>
      <w:r>
        <w:rPr>
          <w:lang w:val="ga"/>
        </w:rPr>
        <w:t>Alt 26(2) – Oifigeach Rochtana</w:t>
      </w:r>
      <w:bookmarkEnd w:id="20"/>
    </w:p>
    <w:p w14:paraId="570E70E7" w14:textId="77777777" w:rsidR="008F4917" w:rsidRPr="00D633FE" w:rsidRDefault="00DB7104" w:rsidP="009A2E80">
      <w:pPr>
        <w:spacing w:after="120"/>
      </w:pPr>
      <w:r>
        <w:rPr>
          <w:lang w:val="ga"/>
        </w:rPr>
        <w:t xml:space="preserve">Faoi mar atá leagtha amach faoi alt 26 den Acht um Míchumas 2005, tá ceanglas reachtúil ar chomhlachtaí poiblí Oifigeach Rochtana a cheapadh san eagraíocht. </w:t>
      </w:r>
    </w:p>
    <w:p w14:paraId="600E3F82" w14:textId="7CBE3B09" w:rsidR="008F4917" w:rsidRPr="00D633FE" w:rsidRDefault="008F4917" w:rsidP="00412B25">
      <w:pPr>
        <w:pStyle w:val="BlockQuote"/>
      </w:pPr>
      <w:r>
        <w:rPr>
          <w:lang w:val="ga"/>
        </w:rPr>
        <w:t>Tabharfaidh gach ceann ar chomhlacht poiblí údarás do dhuine amháin ar a laghad dá c(h)uid oifigeach (dá ngairtear “oifigigh rochtana” san Acht seo) chun cur ar fáil, eagrú agus comhordú a dhéanamh ar an soláthar cúnaimh agus treorach do dhaoine a bhfuil míchumas orthu agus atá ag iarraidh a sheirbhísí a rochtain</w:t>
      </w:r>
      <w:r>
        <w:rPr>
          <w:rStyle w:val="FootnoteReference"/>
          <w:lang w:val="ga"/>
        </w:rPr>
        <w:footnoteReference w:id="1"/>
      </w:r>
    </w:p>
    <w:p w14:paraId="35FE7B3B" w14:textId="77777777" w:rsidR="00377E52" w:rsidRPr="00D633FE" w:rsidRDefault="00B86C05" w:rsidP="009938B1">
      <w:pPr>
        <w:pStyle w:val="Heading2"/>
      </w:pPr>
      <w:bookmarkStart w:id="21" w:name="_Toc145483424"/>
      <w:r>
        <w:rPr>
          <w:iCs w:val="0"/>
          <w:lang w:val="ga"/>
        </w:rPr>
        <w:lastRenderedPageBreak/>
        <w:t>Modhanna</w:t>
      </w:r>
      <w:bookmarkEnd w:id="21"/>
    </w:p>
    <w:p w14:paraId="170D1924" w14:textId="369EB420" w:rsidR="00BD6A52" w:rsidRDefault="00B10EFE" w:rsidP="00351252">
      <w:pPr>
        <w:rPr>
          <w:szCs w:val="26"/>
        </w:rPr>
      </w:pPr>
      <w:r>
        <w:rPr>
          <w:szCs w:val="26"/>
          <w:lang w:val="ga"/>
        </w:rPr>
        <w:t xml:space="preserve">Ghabh ÚNM gníomhaíocht faireacháin dheascbhunaithe de láimh, rud a raibh sé i gceist leis faireachán a dhéanamh ar shuíomhanna Gréasáin na gcomhlachtaí poiblí a measadh a bheith ar áireamh sa sainmhíniú ar chomhlachtaí poiblí faoi Chuid 3 den Acht um Míchumas 2005. </w:t>
      </w:r>
    </w:p>
    <w:p w14:paraId="25BD7012" w14:textId="57A23732" w:rsidR="003D7199" w:rsidRDefault="009F12DE" w:rsidP="00041831">
      <w:r>
        <w:rPr>
          <w:lang w:val="ga"/>
        </w:rPr>
        <w:t>Sa bhliain 2021, rinneadh faireachán ar shuíomhanna Gréasáin gach comhlachta phoiblí i gcomparáid le táscaire atá comhdhéanta de thrí chritéar chun a mheas ar cuireadh nó nár cuireadh an fhaisnéis riachtanach chun cinn i ndáil leis an Oifigeach Rochtana. Ba iad seo a leanas na trí chritéar a measúnaíodh:</w:t>
      </w:r>
    </w:p>
    <w:p w14:paraId="3CAD3222" w14:textId="77777777" w:rsidR="003D7199" w:rsidRDefault="008F60BB" w:rsidP="003D7199">
      <w:pPr>
        <w:pStyle w:val="ListParagraph"/>
        <w:numPr>
          <w:ilvl w:val="0"/>
          <w:numId w:val="79"/>
        </w:numPr>
      </w:pPr>
      <w:r>
        <w:rPr>
          <w:lang w:val="ga"/>
        </w:rPr>
        <w:t>Cur chun cinn cheapadh an Oifigigh Rochtana ar an suíomh Gréasáin</w:t>
      </w:r>
    </w:p>
    <w:p w14:paraId="7705DBE4" w14:textId="77777777" w:rsidR="003D7199" w:rsidRDefault="008F60BB" w:rsidP="003D7199">
      <w:pPr>
        <w:pStyle w:val="ListParagraph"/>
        <w:numPr>
          <w:ilvl w:val="0"/>
          <w:numId w:val="79"/>
        </w:numPr>
      </w:pPr>
      <w:r>
        <w:rPr>
          <w:lang w:val="ga"/>
        </w:rPr>
        <w:t>Faisnéis faoi conas teagmháil a dhéanamh leis an Oifigeach Rochtana</w:t>
      </w:r>
    </w:p>
    <w:p w14:paraId="5AA021EA" w14:textId="5CE27741" w:rsidR="008F60BB" w:rsidRPr="00D633FE" w:rsidRDefault="008F60BB" w:rsidP="003D7199">
      <w:pPr>
        <w:pStyle w:val="ListParagraph"/>
        <w:numPr>
          <w:ilvl w:val="0"/>
          <w:numId w:val="79"/>
        </w:numPr>
      </w:pPr>
      <w:r>
        <w:rPr>
          <w:lang w:val="ga"/>
        </w:rPr>
        <w:t xml:space="preserve">Éagsúlacht cainéal cumarsáide le haghaidh teagmháil a dhéanamh leis/léi. </w:t>
      </w:r>
    </w:p>
    <w:p w14:paraId="1309111D" w14:textId="4D3ED3DC" w:rsidR="00DF626A" w:rsidRDefault="008F60BB" w:rsidP="008F60BB">
      <w:pPr>
        <w:rPr>
          <w:szCs w:val="26"/>
        </w:rPr>
      </w:pPr>
      <w:r>
        <w:rPr>
          <w:szCs w:val="26"/>
          <w:lang w:val="ga"/>
        </w:rPr>
        <w:t xml:space="preserve">Rinne foireann faireacháin ÚNM meastóireacht ar an bhfaisnéis a tugadh ar shuíomhanna Gréasáin 292 chomhlacht phoiblí (a coigeartaíodh go 282 chomhlacht phoiblí ina dhiaidh sin) agus rinne sí measúnú ar chomhréireacht i gcomparáid leis na critéir thuas agus taifeadadh na fionnachtana isteach i mbunachar sonraí. Cuireadh fionnachtana tosaigh in iúl do Ranna lena scaipeadh ar na comhlachtaí poiblí atá faoina gcoimirce. Tugadh am do chomhlachtaí poiblí agus do Ranna teacht ar ais chugainn le faisnéis nuashonraithe, rud a cuireadh ar áireamh ansin san anailís deiridh agus sa tuarascáil. </w:t>
      </w:r>
    </w:p>
    <w:p w14:paraId="3D7E746A" w14:textId="46FDCB12" w:rsidR="00C27D9B" w:rsidRDefault="00D52F0F" w:rsidP="008F60BB">
      <w:pPr>
        <w:rPr>
          <w:szCs w:val="26"/>
        </w:rPr>
      </w:pPr>
      <w:r>
        <w:rPr>
          <w:szCs w:val="26"/>
          <w:lang w:val="ga"/>
        </w:rPr>
        <w:t xml:space="preserve">Tugtar tuilleadh faisnéise faoi mhodheolaíocht an chleachtaidh seo sa phríomhthuarascáil agus is ar fáil in Aguisín A atá torthaí mionsonraithe ó gach Roinn tar éis an chleachtaidh seo. </w:t>
      </w:r>
    </w:p>
    <w:p w14:paraId="636C0BFD" w14:textId="4703A926" w:rsidR="00AB020C" w:rsidRPr="00D633FE" w:rsidRDefault="002041EB" w:rsidP="00412B25">
      <w:pPr>
        <w:pStyle w:val="Heading1"/>
      </w:pPr>
      <w:bookmarkStart w:id="22" w:name="_Toc145483425"/>
      <w:r>
        <w:rPr>
          <w:lang w:val="ga"/>
        </w:rPr>
        <w:t>Fionnachtana an Fhaireacháin – Fionnachtana Tosaigh agus Fionnachtana Deiridh</w:t>
      </w:r>
      <w:bookmarkEnd w:id="22"/>
    </w:p>
    <w:p w14:paraId="3CCCEB43" w14:textId="130BC053" w:rsidR="00727F88" w:rsidRDefault="00727F88" w:rsidP="00AE657D">
      <w:r>
        <w:rPr>
          <w:lang w:val="ga"/>
        </w:rPr>
        <w:t xml:space="preserve">Tuairiscíodh sna fionnachtana tosaigh gurb amhlaidh, de 281 chomhlacht phoiblí, a chuir 134 cinn (47.7%) chun cinn ar a suíomh Gréasáin poiblí gur ceapadh Oifigeach Rochtana agus a bhí an chuma air nach raibh aon fhaisnéis ar a suíomhanna Gréasáin faoi Oifigigh Rochtana ar fáil ag 147 gcomhlacht phoiblí (52.3%). (Féach Cairt 1). </w:t>
      </w:r>
    </w:p>
    <w:p w14:paraId="7E372212" w14:textId="0CDE031E" w:rsidR="008E4C4B" w:rsidRPr="00F73534" w:rsidRDefault="00727F88" w:rsidP="00AE657D">
      <w:r>
        <w:rPr>
          <w:lang w:val="ga"/>
        </w:rPr>
        <w:t xml:space="preserve">Ag teacht sna sála ar eisiúint na dréacht-tuarascála, agus an fhaisnéis nuashonraithe iarmhartach ar sholáthair comhlachtaí poiblí í á cur san áireamh, is amhlaidh, de 281 chomhlacht phoiblí, a chuir 192 cheann (68.3%) chun cinn ar a suíomh Gréasáin poiblí gur ceapadh Oifigeach Rochtana agus a bhí an chuma air nach raibh aon fhaisnéis ar a suíomhanna Gréasáin poiblí faoi Oifigigh Rochtana ar fáil ag 89 gcomhlacht phoiblí (31.7%). (Féach Cairt 2). </w:t>
      </w:r>
    </w:p>
    <w:p w14:paraId="4DEB7568" w14:textId="31D36D00" w:rsidR="00565E6C" w:rsidRDefault="00565E6C" w:rsidP="00A618F8">
      <w:pPr>
        <w:pStyle w:val="Caption"/>
        <w:keepNext/>
        <w:jc w:val="left"/>
      </w:pPr>
      <w:r>
        <w:rPr>
          <w:noProof/>
          <w:lang w:val="ga"/>
        </w:rPr>
        <w:lastRenderedPageBreak/>
        <w:t>Cairt 1 – Fionnachtana Tosaigh – Cuireadh Oifigeach Rochtana chun cinn</w:t>
      </w:r>
    </w:p>
    <w:p w14:paraId="20FA3F17" w14:textId="2C8D9C95" w:rsidR="0020262A" w:rsidRDefault="00565E6C" w:rsidP="00A618F8">
      <w:pPr>
        <w:tabs>
          <w:tab w:val="left" w:pos="7875"/>
        </w:tabs>
      </w:pPr>
      <w:r>
        <w:rPr>
          <w:noProof/>
          <w:shd w:val="clear" w:color="auto" w:fill="FFFFFF" w:themeFill="background1"/>
          <w:lang w:val="ga"/>
        </w:rPr>
        <w:drawing>
          <wp:inline distT="0" distB="0" distL="0" distR="0" wp14:anchorId="48FDAD1C" wp14:editId="1EF2AA63">
            <wp:extent cx="3981450" cy="2962275"/>
            <wp:effectExtent l="0" t="0" r="0" b="0"/>
            <wp:docPr id="3" name="Chart 3" descr="Píchairt de na fionnachtana tosaigh ina léirítear gur chuir 47.5% de chomhlachtaí poiblí mionsonraí an oifigigh rochtana chun cinn ar a suíomhanna Gréasáin agus nár chuir 52.5% de chomhlachtaí poiblí mionsonraí an oifigigh rochtana chun cinn ar a suíomhanna Gréasáin.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BCDA0B" w14:textId="1B05B0A4" w:rsidR="00727F88" w:rsidRDefault="00727F88" w:rsidP="00A618F8">
      <w:pPr>
        <w:tabs>
          <w:tab w:val="left" w:pos="7875"/>
        </w:tabs>
      </w:pPr>
    </w:p>
    <w:p w14:paraId="5F64ED37" w14:textId="631A1C19" w:rsidR="00727F88" w:rsidRDefault="00727F88" w:rsidP="00727F88">
      <w:pPr>
        <w:pStyle w:val="Caption"/>
        <w:keepNext/>
        <w:jc w:val="left"/>
      </w:pPr>
      <w:r>
        <w:rPr>
          <w:lang w:val="ga"/>
        </w:rPr>
        <w:t xml:space="preserve">Cairt 2 – </w:t>
      </w:r>
      <w:r>
        <w:rPr>
          <w:noProof/>
          <w:lang w:val="ga"/>
        </w:rPr>
        <w:t>Fionnachtana Deiridh an Fhaireacháin – Cuireadh Oifigeach Rochtana chun cinn ar an Suíomh Gréasáin</w:t>
      </w:r>
    </w:p>
    <w:p w14:paraId="534DFF31" w14:textId="62AEC1D5" w:rsidR="00727F88" w:rsidRPr="00D633FE" w:rsidRDefault="00727F88" w:rsidP="00727F88">
      <w:r>
        <w:rPr>
          <w:noProof/>
          <w:lang w:val="ga"/>
        </w:rPr>
        <w:drawing>
          <wp:inline distT="0" distB="0" distL="0" distR="0" wp14:anchorId="5114A756" wp14:editId="45F2EE1B">
            <wp:extent cx="4238625" cy="2990850"/>
            <wp:effectExtent l="0" t="0" r="9525" b="0"/>
            <wp:docPr id="7" name="Chart 7" descr="Píchairt de na fionnachtana deiridh ina léirítear gur chuir 68.4% de chomhlachtaí poiblí mionsonraí an oifigigh rochtana chun cinn ar a suíomhanna Gréasáin agus nár chuir 31.6% de chomhlachtaí poiblí mionsonraí an oifigigh rochtana chun cinn ar a suíomhanna Gréasái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0852A9" w14:textId="4FAF49DD" w:rsidR="00C76C68" w:rsidRDefault="000821FD" w:rsidP="00E60E2A">
      <w:pPr>
        <w:pStyle w:val="ListBullet"/>
        <w:numPr>
          <w:ilvl w:val="0"/>
          <w:numId w:val="0"/>
        </w:numPr>
      </w:pPr>
      <w:r>
        <w:rPr>
          <w:lang w:val="ga"/>
        </w:rPr>
        <w:t xml:space="preserve">B’amhlaidh ar an iomlán inár bhfaireachán tosaigh nár chomhlíon ach 98 gcomhlacht phoiblí (34.9%) </w:t>
      </w:r>
      <w:r>
        <w:rPr>
          <w:b/>
          <w:bCs/>
          <w:lang w:val="ga"/>
        </w:rPr>
        <w:t>trí chritéar uile</w:t>
      </w:r>
      <w:r>
        <w:rPr>
          <w:lang w:val="ga"/>
        </w:rPr>
        <w:t xml:space="preserve"> an táscaire maidir le hOifigeach Rochtana. (Féach Cairt 3).</w:t>
      </w:r>
    </w:p>
    <w:p w14:paraId="5BB28AB7" w14:textId="25AB3A3C" w:rsidR="00C76C68" w:rsidRDefault="00C76C68" w:rsidP="00A618F8">
      <w:pPr>
        <w:pStyle w:val="Caption"/>
        <w:keepNext/>
        <w:jc w:val="left"/>
      </w:pPr>
      <w:r>
        <w:rPr>
          <w:noProof/>
          <w:lang w:val="ga"/>
        </w:rPr>
        <w:lastRenderedPageBreak/>
        <w:t>Cairt 3 – Fionnachtana Tosaigh – Comhlachtaí poiblí a chomhlíon critéir uile an táscaire</w:t>
      </w:r>
    </w:p>
    <w:p w14:paraId="1F57AC93" w14:textId="6CFE7115" w:rsidR="0020262A" w:rsidRDefault="00C76C68" w:rsidP="00E60E2A">
      <w:pPr>
        <w:pStyle w:val="ListBullet"/>
        <w:numPr>
          <w:ilvl w:val="0"/>
          <w:numId w:val="0"/>
        </w:numPr>
      </w:pPr>
      <w:r>
        <w:rPr>
          <w:noProof/>
          <w:lang w:val="ga"/>
        </w:rPr>
        <w:drawing>
          <wp:inline distT="0" distB="0" distL="0" distR="0" wp14:anchorId="4577FF22" wp14:editId="006CCCD8">
            <wp:extent cx="4562475" cy="2828925"/>
            <wp:effectExtent l="0" t="0" r="0" b="0"/>
            <wp:docPr id="4" name="Chart 4" descr="Píchairt de na fionnachtana tosaigh ina léirítear gur chomhlíon 34.8% de chomhlachtaí poiblí critéir uile an táscaire faoi alt 26(2) agus nár chomhlíon 65.2% de chomhlachtaí poiblí na critéir ui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4536F3" w14:textId="32C19091" w:rsidR="006726C3" w:rsidRDefault="006726C3" w:rsidP="00E60E2A">
      <w:pPr>
        <w:pStyle w:val="ListBullet"/>
        <w:numPr>
          <w:ilvl w:val="0"/>
          <w:numId w:val="0"/>
        </w:numPr>
      </w:pPr>
    </w:p>
    <w:p w14:paraId="46D3D12F" w14:textId="78BAFDDD" w:rsidR="006726C3" w:rsidRDefault="006726C3" w:rsidP="00E60E2A">
      <w:pPr>
        <w:pStyle w:val="ListBullet"/>
        <w:numPr>
          <w:ilvl w:val="0"/>
          <w:numId w:val="0"/>
        </w:numPr>
      </w:pPr>
    </w:p>
    <w:p w14:paraId="65539F56" w14:textId="35C77A87" w:rsidR="000821FD" w:rsidRDefault="00E71790" w:rsidP="000821FD">
      <w:pPr>
        <w:pStyle w:val="ListBullet"/>
        <w:numPr>
          <w:ilvl w:val="0"/>
          <w:numId w:val="0"/>
        </w:numPr>
      </w:pPr>
      <w:r>
        <w:rPr>
          <w:lang w:val="ga"/>
        </w:rPr>
        <w:t xml:space="preserve">Ag teacht sna sála ar eisiúint an dréachta tosaigh den tuarascáil seo, bhí feabhas ann i measc comhlachtaí poiblí maidir leis na trí chritéar uile. San anailís deiridh ar an iomlán, dá bhrí sin, chomhlíon 165 cinn de 281 chomhlacht phoiblí (58.7%) san iomlán </w:t>
      </w:r>
      <w:r>
        <w:rPr>
          <w:b/>
          <w:bCs/>
          <w:lang w:val="ga"/>
        </w:rPr>
        <w:t>trí chritéar uile</w:t>
      </w:r>
      <w:r>
        <w:rPr>
          <w:lang w:val="ga"/>
        </w:rPr>
        <w:t xml:space="preserve"> an táscaire maidir le hOifigeach Rochtana agus nár chomhlíon 116 cinn díobh (41.3%) na trí chritéar sin. (Féach Cairt 4) </w:t>
      </w:r>
    </w:p>
    <w:p w14:paraId="5414A146" w14:textId="7D792A95" w:rsidR="000821FD" w:rsidRDefault="000821FD" w:rsidP="000821FD">
      <w:pPr>
        <w:pStyle w:val="Caption"/>
        <w:keepNext/>
        <w:jc w:val="left"/>
      </w:pPr>
      <w:r>
        <w:rPr>
          <w:lang w:val="ga"/>
        </w:rPr>
        <w:t>Cairt 4 – Fionnachtana Deiridh – Comhlachtaí Poiblí a chomhlíon na Critéir uile</w:t>
      </w:r>
    </w:p>
    <w:p w14:paraId="367BDE03" w14:textId="77777777" w:rsidR="000821FD" w:rsidRDefault="000821FD" w:rsidP="000821FD">
      <w:pPr>
        <w:pStyle w:val="ListBullet"/>
        <w:numPr>
          <w:ilvl w:val="0"/>
          <w:numId w:val="0"/>
        </w:numPr>
      </w:pPr>
      <w:r>
        <w:rPr>
          <w:noProof/>
          <w:lang w:val="ga"/>
        </w:rPr>
        <w:drawing>
          <wp:inline distT="0" distB="0" distL="0" distR="0" wp14:anchorId="4900DBED" wp14:editId="07165FFB">
            <wp:extent cx="4594860" cy="2796540"/>
            <wp:effectExtent l="0" t="0" r="15240" b="3810"/>
            <wp:docPr id="6" name="Chart 6" descr="Píchairt de na fionnachtana deiridh ina léirítear gur chomhlíon 58.5% de chomhlachtaí poiblí critéir uile an táscaire faoi alt 26(2) agus nár chomhlíon 41.5% de chomhlachtaí poiblí na critéir ui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A9ED43" w14:textId="3B50CBF7" w:rsidR="006726C3" w:rsidRDefault="006726C3" w:rsidP="00E60E2A">
      <w:pPr>
        <w:pStyle w:val="ListBullet"/>
        <w:numPr>
          <w:ilvl w:val="0"/>
          <w:numId w:val="0"/>
        </w:numPr>
      </w:pPr>
    </w:p>
    <w:p w14:paraId="1C19B7EE" w14:textId="6C1D7DD3" w:rsidR="00E71790" w:rsidRPr="00D633FE" w:rsidRDefault="009A2F21" w:rsidP="00E60E2A">
      <w:pPr>
        <w:pStyle w:val="ListBullet"/>
        <w:numPr>
          <w:ilvl w:val="0"/>
          <w:numId w:val="0"/>
        </w:numPr>
      </w:pPr>
      <w:r>
        <w:rPr>
          <w:lang w:val="ga"/>
        </w:rPr>
        <w:t xml:space="preserve">Le haghaidh tuilleadh faisnéise faoin measúnú ar chomhlachtaí poiblí i gcomparáid leis na trí chritéar uile sa tuarascáil tosaigh agus sa tuarascáil deiridh araon, ceadaigh an tuarascáil iomlán. </w:t>
      </w:r>
    </w:p>
    <w:p w14:paraId="1FAED6E3" w14:textId="5139E6BC" w:rsidR="00460B5C" w:rsidRDefault="00460B5C" w:rsidP="00A618F8">
      <w:pPr>
        <w:pStyle w:val="Heading1"/>
      </w:pPr>
      <w:bookmarkStart w:id="23" w:name="_Toc145483426"/>
      <w:r>
        <w:rPr>
          <w:lang w:val="ga"/>
        </w:rPr>
        <w:t>Tionchar an Fhaireacháin</w:t>
      </w:r>
      <w:bookmarkEnd w:id="23"/>
      <w:r>
        <w:rPr>
          <w:lang w:val="ga"/>
        </w:rPr>
        <w:t xml:space="preserve"> </w:t>
      </w:r>
    </w:p>
    <w:p w14:paraId="21064691" w14:textId="473A7A01" w:rsidR="00E36F7C" w:rsidRDefault="00A03661" w:rsidP="00217455">
      <w:r>
        <w:rPr>
          <w:szCs w:val="26"/>
          <w:lang w:val="ga"/>
        </w:rPr>
        <w:t xml:space="preserve">Ar an iomlán, is amhlaidh ó eisiúint na dréacht-tuarascála i leith a thugann ÚNM dá aire gur tháinig feabhas suntasach ar chur chun cinn Oifigeach Rochtana ar shuíomhanna Gréasáin comhlachtaí poiblí. Mar shampla, tháinig méadú ar an gcur chun cinn a rinneadh ar cheapadh Oifigigh Rochtana ar shuíomhanna Gréasáin comhlachtaí poiblí ó 134 cinn (47.7% de na comhlachtaí poiblí uile a ndearnadh faireachán orthu) go 192 cheann (68.3% de na comhlachtaí poiblí uile a ndearnadh faireachán orthu). Is ionann é sin agus méadú 43.3% i gcur chun cinn Oifigeach Rochtana ar na suíomhanna Gréasáin comhlachtaí poiblí a ndearnadh faireachán orthu. (Féach Cairt 7) </w:t>
      </w:r>
    </w:p>
    <w:p w14:paraId="08CDEF43" w14:textId="63E13C6F" w:rsidR="00E36F7C" w:rsidRDefault="00E36F7C" w:rsidP="00A618F8">
      <w:pPr>
        <w:pStyle w:val="Caption"/>
        <w:keepNext/>
        <w:jc w:val="left"/>
      </w:pPr>
      <w:r>
        <w:rPr>
          <w:lang w:val="ga"/>
        </w:rPr>
        <w:t xml:space="preserve">Cairt 5 – </w:t>
      </w:r>
      <w:r>
        <w:rPr>
          <w:noProof/>
          <w:lang w:val="ga"/>
        </w:rPr>
        <w:t>Athrú ar Chur Chun Cinn Oifigeach Rochtana ar Shuíomhanna Gréasáin</w:t>
      </w:r>
    </w:p>
    <w:p w14:paraId="211B23F3" w14:textId="60B06204" w:rsidR="00BC5C7C" w:rsidRDefault="00BC5C7C" w:rsidP="00460B5C">
      <w:pPr>
        <w:rPr>
          <w:szCs w:val="26"/>
        </w:rPr>
      </w:pPr>
      <w:r>
        <w:rPr>
          <w:noProof/>
          <w:lang w:val="ga"/>
        </w:rPr>
        <w:drawing>
          <wp:inline distT="0" distB="0" distL="0" distR="0" wp14:anchorId="0E442C82" wp14:editId="3042433F">
            <wp:extent cx="4610100" cy="2733675"/>
            <wp:effectExtent l="0" t="0" r="0" b="9525"/>
            <wp:docPr id="2" name="Chart 2" descr="Barrachairt ina léirítear an difríocht sa chéatadán de chomhlachtaí poiblí a chuir oifigigh rochtana chun cinn ar a suíomhanna Gréasáin. Ó 47.5% sna fionnachtana tosaigh go 68.1% sna fionnachtana deiridh ">
              <a:extLst xmlns:a="http://schemas.openxmlformats.org/drawingml/2006/main">
                <a:ext uri="{FF2B5EF4-FFF2-40B4-BE49-F238E27FC236}">
                  <a16:creationId xmlns:a16="http://schemas.microsoft.com/office/drawing/2014/main" id="{04E395FE-BC22-CF0F-0C66-17589B369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268A54" w14:textId="1BBD170E" w:rsidR="000A5519" w:rsidRDefault="00B96526" w:rsidP="00460B5C">
      <w:r>
        <w:rPr>
          <w:szCs w:val="26"/>
          <w:lang w:val="ga"/>
        </w:rPr>
        <w:t xml:space="preserve">De bhreis air sin, bhí feabhas suntasach ann i soláthar fhaisnéis teagmhála na nOifigeach Rochtana, rud a d’éascaigh cumarsáid i scríbhinn agus cumarsáid ó bhéal agus, dá bhrí sin, a chomhlíon na critéir uile faoin táscaire seo. </w:t>
      </w:r>
      <w:r>
        <w:rPr>
          <w:lang w:val="ga"/>
        </w:rPr>
        <w:t xml:space="preserve">Tháinig feabhas air sin ó 98 gcomhlacht phoiblí (34.9% de na comhlachtaí poiblí uile a ndearnadh faireachán orthu) go 165 cinn (58.7% de na comhlachtaí poiblí uile a ndearnadh faireachán orthu). B’ionann é sin agus méadú 68.4%. </w:t>
      </w:r>
      <w:r>
        <w:rPr>
          <w:szCs w:val="26"/>
          <w:lang w:val="ga"/>
        </w:rPr>
        <w:t xml:space="preserve">(Féach Cairt 8) </w:t>
      </w:r>
    </w:p>
    <w:p w14:paraId="4D95A5FC" w14:textId="4EA5C14F" w:rsidR="000A5519" w:rsidRDefault="000A5519" w:rsidP="00A618F8">
      <w:pPr>
        <w:pStyle w:val="Caption"/>
        <w:keepNext/>
        <w:jc w:val="left"/>
      </w:pPr>
      <w:r>
        <w:rPr>
          <w:lang w:val="ga"/>
        </w:rPr>
        <w:lastRenderedPageBreak/>
        <w:t xml:space="preserve">Cairt 6 – </w:t>
      </w:r>
      <w:r>
        <w:rPr>
          <w:noProof/>
          <w:lang w:val="ga"/>
        </w:rPr>
        <w:t>Comhlachtaí Poiblí a chomhlíon na Critéir uile</w:t>
      </w:r>
    </w:p>
    <w:p w14:paraId="651B6F5E" w14:textId="77777777" w:rsidR="0028765C" w:rsidRDefault="00B4727B" w:rsidP="005F363D">
      <w:pPr>
        <w:rPr>
          <w:szCs w:val="26"/>
        </w:rPr>
      </w:pPr>
      <w:r>
        <w:rPr>
          <w:noProof/>
          <w:lang w:val="ga"/>
        </w:rPr>
        <w:drawing>
          <wp:inline distT="0" distB="0" distL="0" distR="0" wp14:anchorId="60819BA3" wp14:editId="2FCEB9C5">
            <wp:extent cx="4752975" cy="2847975"/>
            <wp:effectExtent l="0" t="0" r="9525" b="9525"/>
            <wp:docPr id="5" name="Chart 5" descr="Barrachairt ina léirítear an difríocht sa chéatadán de chomhlachtaí poiblí a chomhlíon na critéir uile. Ó 34.8% sna fionnachtana tosaigh go 58.5% sna fionnachtana deiridh ">
              <a:extLst xmlns:a="http://schemas.openxmlformats.org/drawingml/2006/main">
                <a:ext uri="{FF2B5EF4-FFF2-40B4-BE49-F238E27FC236}">
                  <a16:creationId xmlns:a16="http://schemas.microsoft.com/office/drawing/2014/main" id="{29061A46-CF10-85BD-144D-E309387BE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89C688" w14:textId="26F23EE8" w:rsidR="00313442" w:rsidRDefault="00B4727B" w:rsidP="005F363D">
      <w:pPr>
        <w:rPr>
          <w:szCs w:val="26"/>
        </w:rPr>
      </w:pPr>
      <w:r>
        <w:rPr>
          <w:szCs w:val="26"/>
          <w:lang w:val="ga"/>
        </w:rPr>
        <w:t xml:space="preserve">Tá sé doiligh a thomhas cén tionchar atá ag faireachán ÚNM ar na líonta sin toisc gurb ann do mhórán tosca ar féidir leo rannchuidiú le soláthar méadaithe Oifigeach Rochtana, agus le cur chun cinn méadaithe Oifigeach Rochtana, ar fud na seirbhíse poiblí. De na 75 fhreagra a fuair ÚNM inar soláthraíodh faisnéis nuashonraithe ar shuíomhanna Gréasáin poiblí, áfach, tugadh le fios in 62 cheann (82.7% de na freagraí) gur nuashonraíodh an fhaisnéis mar thoradh ar eisiúint na dréacht-tuarascála. Níor tugadh mionsonraí i 13 cinn de na freagraí (17.3% de na freagraí). Níor luadh i gceann ar bith de na freagraí nach raibh aon tionchar ag an tuarascáil ar an bhfaisnéis a bhí á cur chun cinn ar shuíomhanna Gréasáin na gcomhlachtaí poiblí a thug freagra. </w:t>
      </w:r>
    </w:p>
    <w:p w14:paraId="573188CE" w14:textId="04098843" w:rsidR="00460B5C" w:rsidRPr="00A618F8" w:rsidRDefault="001B38C5" w:rsidP="00460B5C">
      <w:pPr>
        <w:rPr>
          <w:szCs w:val="26"/>
        </w:rPr>
      </w:pPr>
      <w:r>
        <w:rPr>
          <w:szCs w:val="26"/>
          <w:lang w:val="ga"/>
        </w:rPr>
        <w:t xml:space="preserve">De bhreis ar na feabhsuithe atá mionsonraithe thuas, thapaigh Ranna aonair amhail an Roinn Dlí agus Cirt an deis chun tuilleadh idirchaidrimh a dhéanamh ina leith sin leis na comhlachtaí poiblí atá faoina sainchúram. Mar thoradh ar an idirchaidreamh sin, forbraíodh Líonra Oifigeach Rochtana de chuid na hearnála ceartais. Tiocfaidh an Líonra sin le chéile ar bhonn tráthrialta chun an dea-chleachtas a phlé, comhairle a thabhairt, faisnéis a mhalartú, éisteacht le heispéireas fíorshaoil daoine faoi mhíchumas agus foghlaim ón eispéireas sin, agus coinneáil ar an eolas faoi fhorbairtí nua. Fáiltíonn ÚNM roimh an gcur chuige atá á ghlacadh ag an Roinn Dlí agus Cirt agus molann sé go leanfaí an cur chuige sin mar eiseamláir den dea-chleachtas. Molann ÚNM, dá bhrí sin, go bhféadfadh Ranna eile leas a bhaint as líonraí den chineál céanna a bhunú le haghaidh comhlachtaí atá faoina gcoimirce. </w:t>
      </w:r>
    </w:p>
    <w:p w14:paraId="6E0C2167" w14:textId="77777777" w:rsidR="00C67D40" w:rsidRPr="00D633FE" w:rsidRDefault="00442303" w:rsidP="008078B6">
      <w:pPr>
        <w:pStyle w:val="Heading1"/>
        <w:rPr>
          <w:rFonts w:eastAsia="SimSun"/>
        </w:rPr>
      </w:pPr>
      <w:bookmarkStart w:id="24" w:name="_Toc145483427"/>
      <w:r>
        <w:rPr>
          <w:rFonts w:eastAsia="SimSun"/>
          <w:lang w:val="ga"/>
        </w:rPr>
        <w:lastRenderedPageBreak/>
        <w:t>Conclúid agus Moltaí</w:t>
      </w:r>
      <w:bookmarkEnd w:id="24"/>
    </w:p>
    <w:p w14:paraId="25C21983" w14:textId="2DA3A5F3" w:rsidR="00CB42C7" w:rsidRPr="00D633FE" w:rsidRDefault="00734B6A" w:rsidP="00CB42C7">
      <w:pPr>
        <w:pStyle w:val="ListBullet"/>
        <w:numPr>
          <w:ilvl w:val="0"/>
          <w:numId w:val="0"/>
        </w:numPr>
      </w:pPr>
      <w:r>
        <w:rPr>
          <w:lang w:val="ga"/>
        </w:rPr>
        <w:t xml:space="preserve">Cé gurbh é an toradh a bhí ar an gcleachtadh faireacháin seo ná feabhas suntasach sa chur chun cinn Oifigeach Rochtana ar na suíomhanna Gréasáin comhlachtaí poiblí a ndearnadh faireachán orthu, is ann fós do 116 chomhlacht phoiblí (41.3%) nár chomhlíon na ceanglais faoi tháscaire an Oifigigh Rochtana. Tá sé soiléir, dá bhrí sin, gur gá do chomhlachtaí poiblí fós feabhas a chur ar a bhfeasacht ar na freagrachtaí atá orthu faoi alt 26(2) den Acht um Míchumas agus dul i mbun gnímh chun a chinntiú go gcuireann siad an fhaisnéis ábhartha ar fáil don phobal. </w:t>
      </w:r>
    </w:p>
    <w:p w14:paraId="5E09BF7E" w14:textId="77777777" w:rsidR="00882720" w:rsidRDefault="00D17B07" w:rsidP="005B47E9">
      <w:r>
        <w:rPr>
          <w:lang w:val="ga"/>
        </w:rPr>
        <w:t xml:space="preserve">Molann ÚNM go nuashonródh comhlachtaí poiblí a nósanna imeachta inmheánacha mura bhfuil na próisis chuí/na ceapacháin chuí i bhfeidhm. </w:t>
      </w:r>
    </w:p>
    <w:p w14:paraId="7C9DDF85" w14:textId="32901F33" w:rsidR="00CC4C19" w:rsidRDefault="00CC4C19" w:rsidP="005B47E9">
      <w:r>
        <w:rPr>
          <w:lang w:val="ga"/>
        </w:rPr>
        <w:t xml:space="preserve">De bhreis air sin, ní mór do chomhlachtaí poiblí a bhfuil Oifigeach Rochtana i bhfeidhm acu a chinntiú go bhfuil ag an Oifigeach Rochtana an oiliúint chuí, na hacmhainní cuí agus an fhaisnéis chuí chun tacú leis/léi a c(h)uid dualgas a chomhlíonadh mar atá sonraithe ag an Acht um Míchumas 2005. Tá treoir ó ÚNM ar fáil sa doiciméad dar teideal </w:t>
      </w:r>
      <w:hyperlink r:id="rId15" w:history="1">
        <w:r>
          <w:rPr>
            <w:rStyle w:val="Hyperlink"/>
            <w:lang w:val="ga"/>
          </w:rPr>
          <w:t>‘Treoir maidir le hOifigigh Rochtana do Chomhlachtaí Poiblí’</w:t>
        </w:r>
      </w:hyperlink>
      <w:r>
        <w:rPr>
          <w:lang w:val="ga"/>
        </w:rPr>
        <w:t xml:space="preserve"> i ndáil le ceapadh, oiliúint, dualgais agus próisis a bhaineann le hOifigigh Rochtana. </w:t>
      </w:r>
    </w:p>
    <w:p w14:paraId="671FBE97" w14:textId="029706D4" w:rsidR="009E555C" w:rsidRPr="00D633FE" w:rsidRDefault="005F363D" w:rsidP="005F363D">
      <w:r>
        <w:rPr>
          <w:lang w:val="ga"/>
        </w:rPr>
        <w:t xml:space="preserve">Is féidir tuilleadh moltaí agus tuilleadh comhairle a fháil sa tuarascáil iomlán. </w:t>
      </w:r>
    </w:p>
    <w:sectPr w:rsidR="009E555C" w:rsidRPr="00D633FE" w:rsidSect="00FE7D56">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F435" w14:textId="77777777" w:rsidR="00455EE2" w:rsidRDefault="00455EE2">
      <w:r>
        <w:separator/>
      </w:r>
    </w:p>
  </w:endnote>
  <w:endnote w:type="continuationSeparator" w:id="0">
    <w:p w14:paraId="6142ED26" w14:textId="77777777" w:rsidR="00455EE2" w:rsidRDefault="0045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4D63" w14:textId="25B188ED" w:rsidR="005B3D5C" w:rsidRDefault="005B3D5C">
    <w:pPr>
      <w:pStyle w:val="Footer"/>
    </w:pPr>
    <w:r>
      <w:rPr>
        <w:lang w:val="ga"/>
      </w:rPr>
      <w:tab/>
    </w:r>
    <w:r>
      <w:rPr>
        <w:lang w:val="ga"/>
      </w:rPr>
      <w:tab/>
    </w:r>
    <w:r>
      <w:rPr>
        <w:lang w:val="ga"/>
      </w:rPr>
      <w:fldChar w:fldCharType="begin"/>
    </w:r>
    <w:r>
      <w:rPr>
        <w:lang w:val="ga"/>
      </w:rPr>
      <w:instrText xml:space="preserve"> PAGE  \* Arabic  \* MERGEFORMAT </w:instrText>
    </w:r>
    <w:r>
      <w:rPr>
        <w:lang w:val="ga"/>
      </w:rPr>
      <w:fldChar w:fldCharType="separate"/>
    </w:r>
    <w:r>
      <w:rPr>
        <w:noProof/>
        <w:lang w:val="ga"/>
      </w:rPr>
      <w:t>14</w:t>
    </w:r>
    <w:r>
      <w:rPr>
        <w:lang w:val="g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6D5E" w14:textId="77777777" w:rsidR="00455EE2" w:rsidRDefault="00455EE2">
      <w:r>
        <w:separator/>
      </w:r>
    </w:p>
  </w:footnote>
  <w:footnote w:type="continuationSeparator" w:id="0">
    <w:p w14:paraId="4573F70A" w14:textId="77777777" w:rsidR="00455EE2" w:rsidRDefault="00455EE2">
      <w:r>
        <w:continuationSeparator/>
      </w:r>
    </w:p>
  </w:footnote>
  <w:footnote w:id="1">
    <w:p w14:paraId="28EBB31E" w14:textId="7068769C" w:rsidR="005B3D5C" w:rsidRDefault="005B3D5C">
      <w:pPr>
        <w:pStyle w:val="FootnoteText"/>
      </w:pPr>
      <w:r>
        <w:rPr>
          <w:rStyle w:val="FootnoteReference"/>
          <w:lang w:val="ga"/>
        </w:rPr>
        <w:footnoteRef/>
      </w:r>
      <w:r>
        <w:rPr>
          <w:lang w:val="ga"/>
        </w:rPr>
        <w:t xml:space="preserve"> Tháirg ÚNM </w:t>
      </w:r>
      <w:hyperlink r:id="rId1" w:history="1">
        <w:r>
          <w:rPr>
            <w:rStyle w:val="Hyperlink"/>
            <w:lang w:val="ga"/>
          </w:rPr>
          <w:t>Treoir maidir le hOifigigh Rochtana do Chomhlachtaí Poiblí</w:t>
        </w:r>
      </w:hyperlink>
      <w:r>
        <w:rPr>
          <w:lang w:val="ga"/>
        </w:rPr>
        <w:t xml:space="preserve"> chun cabhrú le comhlachtaí poiblí agus le Ranna tuiscint a ghnóthú ar ról an oifigigh rochtana agus faisnéis a sholáthar faoin dóigh is fearr ar féidir tacú le ról an Oifigigh Rochtana agus leas a bhaint 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3FB6" w14:textId="77777777" w:rsidR="005B3D5C" w:rsidRDefault="005B3D5C" w:rsidP="00A618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70E46C9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DF2E1D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51236E4"/>
    <w:multiLevelType w:val="hybridMultilevel"/>
    <w:tmpl w:val="24F8AB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B39456E"/>
    <w:multiLevelType w:val="hybridMultilevel"/>
    <w:tmpl w:val="A9106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6556FA"/>
    <w:multiLevelType w:val="hybridMultilevel"/>
    <w:tmpl w:val="DA16149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FB18C4"/>
    <w:multiLevelType w:val="hybridMultilevel"/>
    <w:tmpl w:val="B4AA5238"/>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1A639B"/>
    <w:multiLevelType w:val="hybridMultilevel"/>
    <w:tmpl w:val="5F20ADC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153B9C"/>
    <w:multiLevelType w:val="hybridMultilevel"/>
    <w:tmpl w:val="089E0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6B69EE"/>
    <w:multiLevelType w:val="hybridMultilevel"/>
    <w:tmpl w:val="5F20ADC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9562293"/>
    <w:multiLevelType w:val="hybridMultilevel"/>
    <w:tmpl w:val="3C9CA1A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A1270B"/>
    <w:multiLevelType w:val="hybridMultilevel"/>
    <w:tmpl w:val="DA16149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17977F6"/>
    <w:multiLevelType w:val="hybridMultilevel"/>
    <w:tmpl w:val="F11206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2A87622"/>
    <w:multiLevelType w:val="hybridMultilevel"/>
    <w:tmpl w:val="B4AA5238"/>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5C354A"/>
    <w:multiLevelType w:val="hybridMultilevel"/>
    <w:tmpl w:val="3C9CA1A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3D4659"/>
    <w:multiLevelType w:val="hybridMultilevel"/>
    <w:tmpl w:val="194A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6A4EAF"/>
    <w:multiLevelType w:val="hybridMultilevel"/>
    <w:tmpl w:val="88F0D7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CA87B08"/>
    <w:multiLevelType w:val="hybridMultilevel"/>
    <w:tmpl w:val="49549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794F81"/>
    <w:multiLevelType w:val="hybridMultilevel"/>
    <w:tmpl w:val="806AE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4E2852"/>
    <w:multiLevelType w:val="hybridMultilevel"/>
    <w:tmpl w:val="13E21D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90458055">
    <w:abstractNumId w:val="5"/>
  </w:num>
  <w:num w:numId="2" w16cid:durableId="633826921">
    <w:abstractNumId w:val="3"/>
  </w:num>
  <w:num w:numId="3" w16cid:durableId="1323773566">
    <w:abstractNumId w:val="2"/>
  </w:num>
  <w:num w:numId="4" w16cid:durableId="874388984">
    <w:abstractNumId w:val="4"/>
  </w:num>
  <w:num w:numId="5" w16cid:durableId="1943301786">
    <w:abstractNumId w:val="4"/>
  </w:num>
  <w:num w:numId="6" w16cid:durableId="968166924">
    <w:abstractNumId w:val="1"/>
  </w:num>
  <w:num w:numId="7" w16cid:durableId="581791515">
    <w:abstractNumId w:val="0"/>
  </w:num>
  <w:num w:numId="8" w16cid:durableId="1390881333">
    <w:abstractNumId w:val="21"/>
  </w:num>
  <w:num w:numId="9" w16cid:durableId="191962898">
    <w:abstractNumId w:val="9"/>
  </w:num>
  <w:num w:numId="10" w16cid:durableId="484200648">
    <w:abstractNumId w:val="13"/>
  </w:num>
  <w:num w:numId="11" w16cid:durableId="453594627">
    <w:abstractNumId w:val="12"/>
  </w:num>
  <w:num w:numId="12" w16cid:durableId="1607149668">
    <w:abstractNumId w:val="8"/>
  </w:num>
  <w:num w:numId="13" w16cid:durableId="1700857552">
    <w:abstractNumId w:val="15"/>
  </w:num>
  <w:num w:numId="14" w16cid:durableId="248122246">
    <w:abstractNumId w:val="4"/>
    <w:lvlOverride w:ilvl="0">
      <w:startOverride w:val="1"/>
    </w:lvlOverride>
  </w:num>
  <w:num w:numId="15" w16cid:durableId="999190667">
    <w:abstractNumId w:val="18"/>
  </w:num>
  <w:num w:numId="16" w16cid:durableId="1286352052">
    <w:abstractNumId w:val="4"/>
    <w:lvlOverride w:ilvl="0">
      <w:startOverride w:val="1"/>
    </w:lvlOverride>
  </w:num>
  <w:num w:numId="17" w16cid:durableId="519517056">
    <w:abstractNumId w:val="4"/>
    <w:lvlOverride w:ilvl="0">
      <w:startOverride w:val="1"/>
    </w:lvlOverride>
  </w:num>
  <w:num w:numId="18" w16cid:durableId="916087745">
    <w:abstractNumId w:val="4"/>
    <w:lvlOverride w:ilvl="0">
      <w:startOverride w:val="1"/>
    </w:lvlOverride>
  </w:num>
  <w:num w:numId="19" w16cid:durableId="209345505">
    <w:abstractNumId w:val="4"/>
    <w:lvlOverride w:ilvl="0">
      <w:startOverride w:val="1"/>
    </w:lvlOverride>
  </w:num>
  <w:num w:numId="20" w16cid:durableId="630331115">
    <w:abstractNumId w:val="4"/>
    <w:lvlOverride w:ilvl="0">
      <w:startOverride w:val="1"/>
    </w:lvlOverride>
  </w:num>
  <w:num w:numId="21" w16cid:durableId="105974681">
    <w:abstractNumId w:val="4"/>
    <w:lvlOverride w:ilvl="0">
      <w:startOverride w:val="1"/>
    </w:lvlOverride>
  </w:num>
  <w:num w:numId="22" w16cid:durableId="1259674016">
    <w:abstractNumId w:val="4"/>
    <w:lvlOverride w:ilvl="0">
      <w:startOverride w:val="1"/>
    </w:lvlOverride>
  </w:num>
  <w:num w:numId="23" w16cid:durableId="2754191">
    <w:abstractNumId w:val="4"/>
    <w:lvlOverride w:ilvl="0">
      <w:startOverride w:val="1"/>
    </w:lvlOverride>
  </w:num>
  <w:num w:numId="24" w16cid:durableId="1135411737">
    <w:abstractNumId w:val="4"/>
    <w:lvlOverride w:ilvl="0">
      <w:startOverride w:val="1"/>
    </w:lvlOverride>
  </w:num>
  <w:num w:numId="25" w16cid:durableId="2000845357">
    <w:abstractNumId w:val="4"/>
    <w:lvlOverride w:ilvl="0">
      <w:startOverride w:val="1"/>
    </w:lvlOverride>
  </w:num>
  <w:num w:numId="26" w16cid:durableId="1401751560">
    <w:abstractNumId w:val="4"/>
    <w:lvlOverride w:ilvl="0">
      <w:startOverride w:val="1"/>
    </w:lvlOverride>
  </w:num>
  <w:num w:numId="27" w16cid:durableId="30765881">
    <w:abstractNumId w:val="4"/>
    <w:lvlOverride w:ilvl="0">
      <w:startOverride w:val="1"/>
    </w:lvlOverride>
  </w:num>
  <w:num w:numId="28" w16cid:durableId="862474552">
    <w:abstractNumId w:val="4"/>
    <w:lvlOverride w:ilvl="0">
      <w:startOverride w:val="1"/>
    </w:lvlOverride>
  </w:num>
  <w:num w:numId="29" w16cid:durableId="2122528040">
    <w:abstractNumId w:val="4"/>
    <w:lvlOverride w:ilvl="0">
      <w:startOverride w:val="1"/>
    </w:lvlOverride>
  </w:num>
  <w:num w:numId="30" w16cid:durableId="860048633">
    <w:abstractNumId w:val="4"/>
    <w:lvlOverride w:ilvl="0">
      <w:startOverride w:val="1"/>
    </w:lvlOverride>
  </w:num>
  <w:num w:numId="31" w16cid:durableId="1713536125">
    <w:abstractNumId w:val="4"/>
    <w:lvlOverride w:ilvl="0">
      <w:startOverride w:val="1"/>
    </w:lvlOverride>
  </w:num>
  <w:num w:numId="32" w16cid:durableId="736323791">
    <w:abstractNumId w:val="4"/>
    <w:lvlOverride w:ilvl="0">
      <w:startOverride w:val="1"/>
    </w:lvlOverride>
  </w:num>
  <w:num w:numId="33" w16cid:durableId="233929904">
    <w:abstractNumId w:val="4"/>
    <w:lvlOverride w:ilvl="0">
      <w:startOverride w:val="1"/>
    </w:lvlOverride>
  </w:num>
  <w:num w:numId="34" w16cid:durableId="1946110820">
    <w:abstractNumId w:val="4"/>
    <w:lvlOverride w:ilvl="0">
      <w:startOverride w:val="1"/>
    </w:lvlOverride>
  </w:num>
  <w:num w:numId="35" w16cid:durableId="174081671">
    <w:abstractNumId w:val="4"/>
    <w:lvlOverride w:ilvl="0">
      <w:startOverride w:val="1"/>
    </w:lvlOverride>
  </w:num>
  <w:num w:numId="36" w16cid:durableId="2143109151">
    <w:abstractNumId w:val="4"/>
    <w:lvlOverride w:ilvl="0">
      <w:startOverride w:val="1"/>
    </w:lvlOverride>
  </w:num>
  <w:num w:numId="37" w16cid:durableId="1353845730">
    <w:abstractNumId w:val="4"/>
    <w:lvlOverride w:ilvl="0">
      <w:startOverride w:val="1"/>
    </w:lvlOverride>
  </w:num>
  <w:num w:numId="38" w16cid:durableId="2055158526">
    <w:abstractNumId w:val="4"/>
    <w:lvlOverride w:ilvl="0">
      <w:startOverride w:val="1"/>
    </w:lvlOverride>
  </w:num>
  <w:num w:numId="39" w16cid:durableId="93788234">
    <w:abstractNumId w:val="4"/>
    <w:lvlOverride w:ilvl="0">
      <w:startOverride w:val="1"/>
    </w:lvlOverride>
  </w:num>
  <w:num w:numId="40" w16cid:durableId="677922084">
    <w:abstractNumId w:val="4"/>
    <w:lvlOverride w:ilvl="0">
      <w:startOverride w:val="1"/>
    </w:lvlOverride>
  </w:num>
  <w:num w:numId="41" w16cid:durableId="863128809">
    <w:abstractNumId w:val="4"/>
    <w:lvlOverride w:ilvl="0">
      <w:startOverride w:val="1"/>
    </w:lvlOverride>
  </w:num>
  <w:num w:numId="42" w16cid:durableId="2031058601">
    <w:abstractNumId w:val="4"/>
    <w:lvlOverride w:ilvl="0">
      <w:startOverride w:val="1"/>
    </w:lvlOverride>
  </w:num>
  <w:num w:numId="43" w16cid:durableId="1503860577">
    <w:abstractNumId w:val="4"/>
    <w:lvlOverride w:ilvl="0">
      <w:startOverride w:val="1"/>
    </w:lvlOverride>
  </w:num>
  <w:num w:numId="44" w16cid:durableId="1479762532">
    <w:abstractNumId w:val="4"/>
    <w:lvlOverride w:ilvl="0">
      <w:startOverride w:val="1"/>
    </w:lvlOverride>
  </w:num>
  <w:num w:numId="45" w16cid:durableId="1502505130">
    <w:abstractNumId w:val="4"/>
    <w:lvlOverride w:ilvl="0">
      <w:startOverride w:val="1"/>
    </w:lvlOverride>
  </w:num>
  <w:num w:numId="46" w16cid:durableId="1771506785">
    <w:abstractNumId w:val="4"/>
    <w:lvlOverride w:ilvl="0">
      <w:startOverride w:val="1"/>
    </w:lvlOverride>
  </w:num>
  <w:num w:numId="47" w16cid:durableId="90929773">
    <w:abstractNumId w:val="4"/>
    <w:lvlOverride w:ilvl="0">
      <w:startOverride w:val="1"/>
    </w:lvlOverride>
  </w:num>
  <w:num w:numId="48" w16cid:durableId="2021350850">
    <w:abstractNumId w:val="4"/>
    <w:lvlOverride w:ilvl="0">
      <w:startOverride w:val="1"/>
    </w:lvlOverride>
  </w:num>
  <w:num w:numId="49" w16cid:durableId="360667985">
    <w:abstractNumId w:val="4"/>
    <w:lvlOverride w:ilvl="0">
      <w:startOverride w:val="1"/>
    </w:lvlOverride>
  </w:num>
  <w:num w:numId="50" w16cid:durableId="318533575">
    <w:abstractNumId w:val="4"/>
    <w:lvlOverride w:ilvl="0">
      <w:startOverride w:val="1"/>
    </w:lvlOverride>
  </w:num>
  <w:num w:numId="51" w16cid:durableId="1000887949">
    <w:abstractNumId w:val="4"/>
    <w:lvlOverride w:ilvl="0">
      <w:startOverride w:val="1"/>
    </w:lvlOverride>
  </w:num>
  <w:num w:numId="52" w16cid:durableId="1048918985">
    <w:abstractNumId w:val="16"/>
  </w:num>
  <w:num w:numId="53" w16cid:durableId="958996638">
    <w:abstractNumId w:val="17"/>
  </w:num>
  <w:num w:numId="54" w16cid:durableId="582570498">
    <w:abstractNumId w:val="10"/>
  </w:num>
  <w:num w:numId="55" w16cid:durableId="317270817">
    <w:abstractNumId w:val="14"/>
  </w:num>
  <w:num w:numId="56" w16cid:durableId="1160384933">
    <w:abstractNumId w:val="4"/>
    <w:lvlOverride w:ilvl="0">
      <w:startOverride w:val="1"/>
    </w:lvlOverride>
  </w:num>
  <w:num w:numId="57" w16cid:durableId="227347306">
    <w:abstractNumId w:val="4"/>
    <w:lvlOverride w:ilvl="0">
      <w:startOverride w:val="1"/>
    </w:lvlOverride>
  </w:num>
  <w:num w:numId="58" w16cid:durableId="667683022">
    <w:abstractNumId w:val="4"/>
    <w:lvlOverride w:ilvl="0">
      <w:startOverride w:val="1"/>
    </w:lvlOverride>
  </w:num>
  <w:num w:numId="59" w16cid:durableId="615142000">
    <w:abstractNumId w:val="4"/>
    <w:lvlOverride w:ilvl="0">
      <w:startOverride w:val="1"/>
    </w:lvlOverride>
  </w:num>
  <w:num w:numId="60" w16cid:durableId="764153187">
    <w:abstractNumId w:val="4"/>
    <w:lvlOverride w:ilvl="0">
      <w:startOverride w:val="1"/>
    </w:lvlOverride>
  </w:num>
  <w:num w:numId="61" w16cid:durableId="1608151433">
    <w:abstractNumId w:val="4"/>
    <w:lvlOverride w:ilvl="0">
      <w:startOverride w:val="1"/>
    </w:lvlOverride>
  </w:num>
  <w:num w:numId="62" w16cid:durableId="1123497316">
    <w:abstractNumId w:val="4"/>
    <w:lvlOverride w:ilvl="0">
      <w:startOverride w:val="1"/>
    </w:lvlOverride>
  </w:num>
  <w:num w:numId="63" w16cid:durableId="1443568281">
    <w:abstractNumId w:val="4"/>
    <w:lvlOverride w:ilvl="0">
      <w:startOverride w:val="1"/>
    </w:lvlOverride>
  </w:num>
  <w:num w:numId="64" w16cid:durableId="2005009034">
    <w:abstractNumId w:val="4"/>
    <w:lvlOverride w:ilvl="0">
      <w:startOverride w:val="1"/>
    </w:lvlOverride>
  </w:num>
  <w:num w:numId="65" w16cid:durableId="97792964">
    <w:abstractNumId w:val="4"/>
    <w:lvlOverride w:ilvl="0">
      <w:startOverride w:val="1"/>
    </w:lvlOverride>
  </w:num>
  <w:num w:numId="66" w16cid:durableId="1938247863">
    <w:abstractNumId w:val="4"/>
    <w:lvlOverride w:ilvl="0">
      <w:startOverride w:val="1"/>
    </w:lvlOverride>
  </w:num>
  <w:num w:numId="67" w16cid:durableId="857962158">
    <w:abstractNumId w:val="4"/>
    <w:lvlOverride w:ilvl="0">
      <w:startOverride w:val="1"/>
    </w:lvlOverride>
  </w:num>
  <w:num w:numId="68" w16cid:durableId="975719955">
    <w:abstractNumId w:val="4"/>
    <w:lvlOverride w:ilvl="0">
      <w:startOverride w:val="1"/>
    </w:lvlOverride>
  </w:num>
  <w:num w:numId="69" w16cid:durableId="2018774996">
    <w:abstractNumId w:val="4"/>
    <w:lvlOverride w:ilvl="0">
      <w:startOverride w:val="1"/>
    </w:lvlOverride>
  </w:num>
  <w:num w:numId="70" w16cid:durableId="1193373203">
    <w:abstractNumId w:val="4"/>
    <w:lvlOverride w:ilvl="0">
      <w:startOverride w:val="1"/>
    </w:lvlOverride>
  </w:num>
  <w:num w:numId="71" w16cid:durableId="2052218297">
    <w:abstractNumId w:val="4"/>
    <w:lvlOverride w:ilvl="0">
      <w:startOverride w:val="1"/>
    </w:lvlOverride>
  </w:num>
  <w:num w:numId="72" w16cid:durableId="1382293132">
    <w:abstractNumId w:val="4"/>
    <w:lvlOverride w:ilvl="0">
      <w:startOverride w:val="1"/>
    </w:lvlOverride>
  </w:num>
  <w:num w:numId="73" w16cid:durableId="1954822540">
    <w:abstractNumId w:val="4"/>
    <w:lvlOverride w:ilvl="0">
      <w:startOverride w:val="1"/>
    </w:lvlOverride>
  </w:num>
  <w:num w:numId="74" w16cid:durableId="92826012">
    <w:abstractNumId w:val="20"/>
  </w:num>
  <w:num w:numId="75" w16cid:durableId="279798378">
    <w:abstractNumId w:val="7"/>
  </w:num>
  <w:num w:numId="76" w16cid:durableId="1826312878">
    <w:abstractNumId w:val="22"/>
  </w:num>
  <w:num w:numId="77" w16cid:durableId="943343003">
    <w:abstractNumId w:val="19"/>
  </w:num>
  <w:num w:numId="78" w16cid:durableId="901255716">
    <w:abstractNumId w:val="11"/>
  </w:num>
  <w:num w:numId="79" w16cid:durableId="92821664">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B7"/>
    <w:rsid w:val="000024C4"/>
    <w:rsid w:val="00002F38"/>
    <w:rsid w:val="000053E0"/>
    <w:rsid w:val="000067EB"/>
    <w:rsid w:val="00007DAE"/>
    <w:rsid w:val="00020C6D"/>
    <w:rsid w:val="00021A24"/>
    <w:rsid w:val="000233EE"/>
    <w:rsid w:val="0002441E"/>
    <w:rsid w:val="00030458"/>
    <w:rsid w:val="0003096D"/>
    <w:rsid w:val="00030E8F"/>
    <w:rsid w:val="00031BF3"/>
    <w:rsid w:val="00034800"/>
    <w:rsid w:val="00035246"/>
    <w:rsid w:val="00041831"/>
    <w:rsid w:val="00041C9C"/>
    <w:rsid w:val="00042313"/>
    <w:rsid w:val="00044CF1"/>
    <w:rsid w:val="00050A93"/>
    <w:rsid w:val="000563C8"/>
    <w:rsid w:val="00056A6A"/>
    <w:rsid w:val="00060C3D"/>
    <w:rsid w:val="000627AB"/>
    <w:rsid w:val="00062D2D"/>
    <w:rsid w:val="00063E14"/>
    <w:rsid w:val="00063EE9"/>
    <w:rsid w:val="000659D2"/>
    <w:rsid w:val="00065CD9"/>
    <w:rsid w:val="00072AF2"/>
    <w:rsid w:val="00072DDD"/>
    <w:rsid w:val="000773D1"/>
    <w:rsid w:val="000821FD"/>
    <w:rsid w:val="000832AE"/>
    <w:rsid w:val="000841CA"/>
    <w:rsid w:val="000946DD"/>
    <w:rsid w:val="00096A0F"/>
    <w:rsid w:val="00096D75"/>
    <w:rsid w:val="00097307"/>
    <w:rsid w:val="000A0053"/>
    <w:rsid w:val="000A5519"/>
    <w:rsid w:val="000A7D6E"/>
    <w:rsid w:val="000C03FA"/>
    <w:rsid w:val="000C150E"/>
    <w:rsid w:val="000C5CCA"/>
    <w:rsid w:val="000D09E0"/>
    <w:rsid w:val="000D1ECB"/>
    <w:rsid w:val="000D42F8"/>
    <w:rsid w:val="000D731A"/>
    <w:rsid w:val="000E089B"/>
    <w:rsid w:val="000E2F76"/>
    <w:rsid w:val="000E4153"/>
    <w:rsid w:val="000E7BF0"/>
    <w:rsid w:val="000F0585"/>
    <w:rsid w:val="000F2D76"/>
    <w:rsid w:val="000F5746"/>
    <w:rsid w:val="000F575E"/>
    <w:rsid w:val="000F6A4C"/>
    <w:rsid w:val="001023C5"/>
    <w:rsid w:val="00106E5F"/>
    <w:rsid w:val="00107937"/>
    <w:rsid w:val="0011062A"/>
    <w:rsid w:val="0011115E"/>
    <w:rsid w:val="001146C5"/>
    <w:rsid w:val="00115220"/>
    <w:rsid w:val="00115CF4"/>
    <w:rsid w:val="00125C17"/>
    <w:rsid w:val="0012646D"/>
    <w:rsid w:val="001301DD"/>
    <w:rsid w:val="001315D2"/>
    <w:rsid w:val="00131845"/>
    <w:rsid w:val="00136BE4"/>
    <w:rsid w:val="00137BB4"/>
    <w:rsid w:val="00141322"/>
    <w:rsid w:val="0014439C"/>
    <w:rsid w:val="00144F2E"/>
    <w:rsid w:val="00150AB4"/>
    <w:rsid w:val="0015417D"/>
    <w:rsid w:val="00156826"/>
    <w:rsid w:val="001577C2"/>
    <w:rsid w:val="0016388B"/>
    <w:rsid w:val="001763F2"/>
    <w:rsid w:val="00176789"/>
    <w:rsid w:val="00181FE6"/>
    <w:rsid w:val="00182635"/>
    <w:rsid w:val="001847CE"/>
    <w:rsid w:val="00186471"/>
    <w:rsid w:val="00191726"/>
    <w:rsid w:val="0019248F"/>
    <w:rsid w:val="00195397"/>
    <w:rsid w:val="001A1132"/>
    <w:rsid w:val="001A3C55"/>
    <w:rsid w:val="001B38C5"/>
    <w:rsid w:val="001C22A2"/>
    <w:rsid w:val="001C2DA6"/>
    <w:rsid w:val="001C7238"/>
    <w:rsid w:val="001D2D00"/>
    <w:rsid w:val="001D4E67"/>
    <w:rsid w:val="001D52FE"/>
    <w:rsid w:val="001E2754"/>
    <w:rsid w:val="001E34F5"/>
    <w:rsid w:val="001E359D"/>
    <w:rsid w:val="001E7890"/>
    <w:rsid w:val="001F1758"/>
    <w:rsid w:val="001F1B44"/>
    <w:rsid w:val="001F29C0"/>
    <w:rsid w:val="001F3726"/>
    <w:rsid w:val="001F424D"/>
    <w:rsid w:val="001F4CC8"/>
    <w:rsid w:val="001F7F12"/>
    <w:rsid w:val="0020262A"/>
    <w:rsid w:val="00203F16"/>
    <w:rsid w:val="002041EB"/>
    <w:rsid w:val="00207884"/>
    <w:rsid w:val="002107A2"/>
    <w:rsid w:val="00211DBA"/>
    <w:rsid w:val="002156C7"/>
    <w:rsid w:val="00216526"/>
    <w:rsid w:val="00216EF3"/>
    <w:rsid w:val="00217455"/>
    <w:rsid w:val="00227DDB"/>
    <w:rsid w:val="00230890"/>
    <w:rsid w:val="00231CBB"/>
    <w:rsid w:val="00231E61"/>
    <w:rsid w:val="00232EF7"/>
    <w:rsid w:val="00236CEC"/>
    <w:rsid w:val="00243285"/>
    <w:rsid w:val="00243E7C"/>
    <w:rsid w:val="00246B22"/>
    <w:rsid w:val="00254A4B"/>
    <w:rsid w:val="00255BF2"/>
    <w:rsid w:val="00256118"/>
    <w:rsid w:val="00261CF6"/>
    <w:rsid w:val="00262090"/>
    <w:rsid w:val="00262EEE"/>
    <w:rsid w:val="00263B43"/>
    <w:rsid w:val="0026553E"/>
    <w:rsid w:val="0026685C"/>
    <w:rsid w:val="00267039"/>
    <w:rsid w:val="00267289"/>
    <w:rsid w:val="00270DBE"/>
    <w:rsid w:val="00272C19"/>
    <w:rsid w:val="002766C6"/>
    <w:rsid w:val="0027748A"/>
    <w:rsid w:val="00277A9F"/>
    <w:rsid w:val="0028043E"/>
    <w:rsid w:val="00282B43"/>
    <w:rsid w:val="002846BD"/>
    <w:rsid w:val="00286096"/>
    <w:rsid w:val="0028765C"/>
    <w:rsid w:val="00287B8E"/>
    <w:rsid w:val="00292C4A"/>
    <w:rsid w:val="00293524"/>
    <w:rsid w:val="00293A19"/>
    <w:rsid w:val="0029498F"/>
    <w:rsid w:val="00294FFF"/>
    <w:rsid w:val="00296A60"/>
    <w:rsid w:val="002A303D"/>
    <w:rsid w:val="002A5652"/>
    <w:rsid w:val="002B2B07"/>
    <w:rsid w:val="002B5FBC"/>
    <w:rsid w:val="002C2E5D"/>
    <w:rsid w:val="002D1DD7"/>
    <w:rsid w:val="002D236B"/>
    <w:rsid w:val="002D433A"/>
    <w:rsid w:val="002D5D28"/>
    <w:rsid w:val="002D656D"/>
    <w:rsid w:val="002D6597"/>
    <w:rsid w:val="002D6943"/>
    <w:rsid w:val="002D7695"/>
    <w:rsid w:val="002E30D4"/>
    <w:rsid w:val="002E4346"/>
    <w:rsid w:val="002E4937"/>
    <w:rsid w:val="002E4F72"/>
    <w:rsid w:val="002E662B"/>
    <w:rsid w:val="002F12F2"/>
    <w:rsid w:val="002F17C5"/>
    <w:rsid w:val="002F1CE3"/>
    <w:rsid w:val="002F20B7"/>
    <w:rsid w:val="002F5897"/>
    <w:rsid w:val="002F644B"/>
    <w:rsid w:val="00300FAE"/>
    <w:rsid w:val="00301C77"/>
    <w:rsid w:val="00303A04"/>
    <w:rsid w:val="00304E3A"/>
    <w:rsid w:val="003071BE"/>
    <w:rsid w:val="003074E0"/>
    <w:rsid w:val="00313442"/>
    <w:rsid w:val="00313F34"/>
    <w:rsid w:val="003142B7"/>
    <w:rsid w:val="00316556"/>
    <w:rsid w:val="0032052D"/>
    <w:rsid w:val="00321F78"/>
    <w:rsid w:val="003334E6"/>
    <w:rsid w:val="00333966"/>
    <w:rsid w:val="00334D37"/>
    <w:rsid w:val="00340211"/>
    <w:rsid w:val="003405DD"/>
    <w:rsid w:val="00341EAD"/>
    <w:rsid w:val="00344F18"/>
    <w:rsid w:val="00345805"/>
    <w:rsid w:val="00345EDE"/>
    <w:rsid w:val="00351252"/>
    <w:rsid w:val="00352596"/>
    <w:rsid w:val="003527E4"/>
    <w:rsid w:val="00354C40"/>
    <w:rsid w:val="0035715F"/>
    <w:rsid w:val="00360118"/>
    <w:rsid w:val="003647BD"/>
    <w:rsid w:val="00364D4A"/>
    <w:rsid w:val="00370344"/>
    <w:rsid w:val="003716E2"/>
    <w:rsid w:val="00371F43"/>
    <w:rsid w:val="00372EDF"/>
    <w:rsid w:val="003756E3"/>
    <w:rsid w:val="0037613B"/>
    <w:rsid w:val="0037628B"/>
    <w:rsid w:val="00377E52"/>
    <w:rsid w:val="003803B8"/>
    <w:rsid w:val="00381261"/>
    <w:rsid w:val="00383B6A"/>
    <w:rsid w:val="0039242F"/>
    <w:rsid w:val="00395055"/>
    <w:rsid w:val="003A44C8"/>
    <w:rsid w:val="003B10EC"/>
    <w:rsid w:val="003B5F19"/>
    <w:rsid w:val="003C27FD"/>
    <w:rsid w:val="003C2F4E"/>
    <w:rsid w:val="003C32A9"/>
    <w:rsid w:val="003C62A3"/>
    <w:rsid w:val="003C6C27"/>
    <w:rsid w:val="003D10E6"/>
    <w:rsid w:val="003D62DF"/>
    <w:rsid w:val="003D7199"/>
    <w:rsid w:val="003D7C7D"/>
    <w:rsid w:val="003E1755"/>
    <w:rsid w:val="003E18ED"/>
    <w:rsid w:val="003E1EEA"/>
    <w:rsid w:val="003F22BB"/>
    <w:rsid w:val="003F4D6E"/>
    <w:rsid w:val="003F5E0E"/>
    <w:rsid w:val="0040229A"/>
    <w:rsid w:val="00402A55"/>
    <w:rsid w:val="00403A33"/>
    <w:rsid w:val="00406A79"/>
    <w:rsid w:val="0040760F"/>
    <w:rsid w:val="00407621"/>
    <w:rsid w:val="00411232"/>
    <w:rsid w:val="004112D8"/>
    <w:rsid w:val="0041188E"/>
    <w:rsid w:val="00412B25"/>
    <w:rsid w:val="00412BB2"/>
    <w:rsid w:val="00413AC4"/>
    <w:rsid w:val="00417F07"/>
    <w:rsid w:val="004202F7"/>
    <w:rsid w:val="00420CE4"/>
    <w:rsid w:val="004226C6"/>
    <w:rsid w:val="00423E48"/>
    <w:rsid w:val="00424436"/>
    <w:rsid w:val="00426CCD"/>
    <w:rsid w:val="00427426"/>
    <w:rsid w:val="0043267E"/>
    <w:rsid w:val="004336BB"/>
    <w:rsid w:val="0043570B"/>
    <w:rsid w:val="00442303"/>
    <w:rsid w:val="0044271A"/>
    <w:rsid w:val="004444DC"/>
    <w:rsid w:val="00450103"/>
    <w:rsid w:val="00453680"/>
    <w:rsid w:val="0045450D"/>
    <w:rsid w:val="00455EE2"/>
    <w:rsid w:val="00460B5C"/>
    <w:rsid w:val="00461897"/>
    <w:rsid w:val="004661A9"/>
    <w:rsid w:val="00466627"/>
    <w:rsid w:val="0047189E"/>
    <w:rsid w:val="00473E07"/>
    <w:rsid w:val="00475937"/>
    <w:rsid w:val="00477DF7"/>
    <w:rsid w:val="00485279"/>
    <w:rsid w:val="00485310"/>
    <w:rsid w:val="0049317C"/>
    <w:rsid w:val="004934C9"/>
    <w:rsid w:val="00494AF5"/>
    <w:rsid w:val="004973E1"/>
    <w:rsid w:val="004A050F"/>
    <w:rsid w:val="004A1D17"/>
    <w:rsid w:val="004A328E"/>
    <w:rsid w:val="004A474B"/>
    <w:rsid w:val="004B0D63"/>
    <w:rsid w:val="004B1977"/>
    <w:rsid w:val="004B61FB"/>
    <w:rsid w:val="004C1929"/>
    <w:rsid w:val="004C2FEA"/>
    <w:rsid w:val="004C5836"/>
    <w:rsid w:val="004C5E1E"/>
    <w:rsid w:val="004C6AA0"/>
    <w:rsid w:val="004D35E5"/>
    <w:rsid w:val="004D44D6"/>
    <w:rsid w:val="004D5312"/>
    <w:rsid w:val="004D6FBF"/>
    <w:rsid w:val="004E09D6"/>
    <w:rsid w:val="004E0DCA"/>
    <w:rsid w:val="004E14FC"/>
    <w:rsid w:val="004E1D42"/>
    <w:rsid w:val="004E2337"/>
    <w:rsid w:val="004E40F1"/>
    <w:rsid w:val="004E55AC"/>
    <w:rsid w:val="004F47FB"/>
    <w:rsid w:val="004F6DDE"/>
    <w:rsid w:val="004F755C"/>
    <w:rsid w:val="004F7721"/>
    <w:rsid w:val="00500F14"/>
    <w:rsid w:val="00502575"/>
    <w:rsid w:val="0050358D"/>
    <w:rsid w:val="00506CF8"/>
    <w:rsid w:val="00506E9C"/>
    <w:rsid w:val="00512F97"/>
    <w:rsid w:val="00515805"/>
    <w:rsid w:val="00515BEB"/>
    <w:rsid w:val="0051723D"/>
    <w:rsid w:val="005229DB"/>
    <w:rsid w:val="00522ED3"/>
    <w:rsid w:val="00523F8B"/>
    <w:rsid w:val="00531D02"/>
    <w:rsid w:val="00533A98"/>
    <w:rsid w:val="00535DFB"/>
    <w:rsid w:val="005363E9"/>
    <w:rsid w:val="00540E96"/>
    <w:rsid w:val="00541288"/>
    <w:rsid w:val="005417C3"/>
    <w:rsid w:val="00542FD1"/>
    <w:rsid w:val="0054313E"/>
    <w:rsid w:val="00553172"/>
    <w:rsid w:val="00554707"/>
    <w:rsid w:val="00556F04"/>
    <w:rsid w:val="00557DEA"/>
    <w:rsid w:val="005617CD"/>
    <w:rsid w:val="005627A9"/>
    <w:rsid w:val="00565E6C"/>
    <w:rsid w:val="00571525"/>
    <w:rsid w:val="00575E0F"/>
    <w:rsid w:val="005777D0"/>
    <w:rsid w:val="00583AEA"/>
    <w:rsid w:val="0058570F"/>
    <w:rsid w:val="00585A44"/>
    <w:rsid w:val="0059117F"/>
    <w:rsid w:val="00592749"/>
    <w:rsid w:val="00592EC9"/>
    <w:rsid w:val="005952D8"/>
    <w:rsid w:val="00595A56"/>
    <w:rsid w:val="00597C37"/>
    <w:rsid w:val="005A10DF"/>
    <w:rsid w:val="005A12E0"/>
    <w:rsid w:val="005A38C5"/>
    <w:rsid w:val="005B1010"/>
    <w:rsid w:val="005B11EA"/>
    <w:rsid w:val="005B390D"/>
    <w:rsid w:val="005B3D5C"/>
    <w:rsid w:val="005B47E9"/>
    <w:rsid w:val="005C08B3"/>
    <w:rsid w:val="005C2F9C"/>
    <w:rsid w:val="005D183C"/>
    <w:rsid w:val="005E041B"/>
    <w:rsid w:val="005F363D"/>
    <w:rsid w:val="005F4AF6"/>
    <w:rsid w:val="005F5BA8"/>
    <w:rsid w:val="005F6598"/>
    <w:rsid w:val="005F73E7"/>
    <w:rsid w:val="006006B3"/>
    <w:rsid w:val="0060262F"/>
    <w:rsid w:val="00603075"/>
    <w:rsid w:val="0060408B"/>
    <w:rsid w:val="006077F8"/>
    <w:rsid w:val="00607DDD"/>
    <w:rsid w:val="00612137"/>
    <w:rsid w:val="0061688D"/>
    <w:rsid w:val="00617449"/>
    <w:rsid w:val="00624919"/>
    <w:rsid w:val="00626706"/>
    <w:rsid w:val="00626805"/>
    <w:rsid w:val="00626B07"/>
    <w:rsid w:val="006312F8"/>
    <w:rsid w:val="006349ED"/>
    <w:rsid w:val="00641F35"/>
    <w:rsid w:val="00643E2C"/>
    <w:rsid w:val="006453B0"/>
    <w:rsid w:val="006470F4"/>
    <w:rsid w:val="0065123C"/>
    <w:rsid w:val="006513F7"/>
    <w:rsid w:val="00654AC9"/>
    <w:rsid w:val="00655323"/>
    <w:rsid w:val="00656CFB"/>
    <w:rsid w:val="00660843"/>
    <w:rsid w:val="0066141A"/>
    <w:rsid w:val="00662F20"/>
    <w:rsid w:val="00663BAC"/>
    <w:rsid w:val="006726C3"/>
    <w:rsid w:val="00675DDE"/>
    <w:rsid w:val="00677C76"/>
    <w:rsid w:val="00680ED2"/>
    <w:rsid w:val="006818C0"/>
    <w:rsid w:val="006836E5"/>
    <w:rsid w:val="00683986"/>
    <w:rsid w:val="0068590E"/>
    <w:rsid w:val="006940F8"/>
    <w:rsid w:val="006962E0"/>
    <w:rsid w:val="006A34EB"/>
    <w:rsid w:val="006A5A9E"/>
    <w:rsid w:val="006A6E47"/>
    <w:rsid w:val="006B62F7"/>
    <w:rsid w:val="006B7B69"/>
    <w:rsid w:val="006C04E5"/>
    <w:rsid w:val="006C0AF0"/>
    <w:rsid w:val="006C2BA3"/>
    <w:rsid w:val="006C65BD"/>
    <w:rsid w:val="006C7860"/>
    <w:rsid w:val="006D42E7"/>
    <w:rsid w:val="006D7BA0"/>
    <w:rsid w:val="006D7E05"/>
    <w:rsid w:val="006E43F6"/>
    <w:rsid w:val="006E668D"/>
    <w:rsid w:val="006E66A0"/>
    <w:rsid w:val="006F4707"/>
    <w:rsid w:val="006F4896"/>
    <w:rsid w:val="006F679B"/>
    <w:rsid w:val="00700330"/>
    <w:rsid w:val="00702B28"/>
    <w:rsid w:val="0070636C"/>
    <w:rsid w:val="00706D43"/>
    <w:rsid w:val="00707C0C"/>
    <w:rsid w:val="00717572"/>
    <w:rsid w:val="00717CF4"/>
    <w:rsid w:val="00721DDA"/>
    <w:rsid w:val="007223BB"/>
    <w:rsid w:val="00726090"/>
    <w:rsid w:val="00727F88"/>
    <w:rsid w:val="0073209A"/>
    <w:rsid w:val="00732C2F"/>
    <w:rsid w:val="00734B6A"/>
    <w:rsid w:val="00740852"/>
    <w:rsid w:val="00742962"/>
    <w:rsid w:val="00743EDC"/>
    <w:rsid w:val="0075432E"/>
    <w:rsid w:val="0075560B"/>
    <w:rsid w:val="00755822"/>
    <w:rsid w:val="00757B5B"/>
    <w:rsid w:val="00761D5A"/>
    <w:rsid w:val="00765FAE"/>
    <w:rsid w:val="00770363"/>
    <w:rsid w:val="0077248B"/>
    <w:rsid w:val="007748FC"/>
    <w:rsid w:val="00776EAE"/>
    <w:rsid w:val="00777243"/>
    <w:rsid w:val="007860DC"/>
    <w:rsid w:val="007861CD"/>
    <w:rsid w:val="00787C6C"/>
    <w:rsid w:val="0079270C"/>
    <w:rsid w:val="00792A66"/>
    <w:rsid w:val="00795643"/>
    <w:rsid w:val="00796310"/>
    <w:rsid w:val="007A05CC"/>
    <w:rsid w:val="007A0E19"/>
    <w:rsid w:val="007B09C3"/>
    <w:rsid w:val="007B0E1B"/>
    <w:rsid w:val="007B18ED"/>
    <w:rsid w:val="007B2131"/>
    <w:rsid w:val="007B2F49"/>
    <w:rsid w:val="007C1D90"/>
    <w:rsid w:val="007D044F"/>
    <w:rsid w:val="007D23F0"/>
    <w:rsid w:val="007D360B"/>
    <w:rsid w:val="007E0FA9"/>
    <w:rsid w:val="007E1347"/>
    <w:rsid w:val="007E15AF"/>
    <w:rsid w:val="007E57D9"/>
    <w:rsid w:val="007F0592"/>
    <w:rsid w:val="007F11C4"/>
    <w:rsid w:val="007F1AB7"/>
    <w:rsid w:val="007F2078"/>
    <w:rsid w:val="007F3CD1"/>
    <w:rsid w:val="007F464B"/>
    <w:rsid w:val="007F55AB"/>
    <w:rsid w:val="007F6936"/>
    <w:rsid w:val="007F7106"/>
    <w:rsid w:val="007F7432"/>
    <w:rsid w:val="00805279"/>
    <w:rsid w:val="00805C53"/>
    <w:rsid w:val="008061D7"/>
    <w:rsid w:val="008078B6"/>
    <w:rsid w:val="00812500"/>
    <w:rsid w:val="0081254D"/>
    <w:rsid w:val="00813C2B"/>
    <w:rsid w:val="00814219"/>
    <w:rsid w:val="00820DA9"/>
    <w:rsid w:val="00821023"/>
    <w:rsid w:val="00822170"/>
    <w:rsid w:val="00823BFA"/>
    <w:rsid w:val="00831FA1"/>
    <w:rsid w:val="0083269B"/>
    <w:rsid w:val="0083753F"/>
    <w:rsid w:val="008418E9"/>
    <w:rsid w:val="00841C6D"/>
    <w:rsid w:val="008462B0"/>
    <w:rsid w:val="008500B6"/>
    <w:rsid w:val="008541D6"/>
    <w:rsid w:val="00855147"/>
    <w:rsid w:val="00861AC7"/>
    <w:rsid w:val="0086209E"/>
    <w:rsid w:val="0086340D"/>
    <w:rsid w:val="00864C77"/>
    <w:rsid w:val="00867EB6"/>
    <w:rsid w:val="00871B68"/>
    <w:rsid w:val="00871BA1"/>
    <w:rsid w:val="00871BBB"/>
    <w:rsid w:val="00871DC5"/>
    <w:rsid w:val="00882720"/>
    <w:rsid w:val="00882DC8"/>
    <w:rsid w:val="00886196"/>
    <w:rsid w:val="00886581"/>
    <w:rsid w:val="00893030"/>
    <w:rsid w:val="008931D2"/>
    <w:rsid w:val="00895905"/>
    <w:rsid w:val="00895EB6"/>
    <w:rsid w:val="008A25BB"/>
    <w:rsid w:val="008A5505"/>
    <w:rsid w:val="008A5992"/>
    <w:rsid w:val="008A5C64"/>
    <w:rsid w:val="008B1B6B"/>
    <w:rsid w:val="008B1D06"/>
    <w:rsid w:val="008C2332"/>
    <w:rsid w:val="008C4113"/>
    <w:rsid w:val="008C65C2"/>
    <w:rsid w:val="008D1476"/>
    <w:rsid w:val="008D264F"/>
    <w:rsid w:val="008D6BC5"/>
    <w:rsid w:val="008D7D3B"/>
    <w:rsid w:val="008E12CE"/>
    <w:rsid w:val="008E3D78"/>
    <w:rsid w:val="008E43D0"/>
    <w:rsid w:val="008E4C4B"/>
    <w:rsid w:val="008E69CE"/>
    <w:rsid w:val="008E7FA9"/>
    <w:rsid w:val="008F29EC"/>
    <w:rsid w:val="008F4917"/>
    <w:rsid w:val="008F6046"/>
    <w:rsid w:val="008F60BB"/>
    <w:rsid w:val="00901646"/>
    <w:rsid w:val="0090337E"/>
    <w:rsid w:val="00907B27"/>
    <w:rsid w:val="00910705"/>
    <w:rsid w:val="00913D5A"/>
    <w:rsid w:val="009149F1"/>
    <w:rsid w:val="00915C99"/>
    <w:rsid w:val="00915D3A"/>
    <w:rsid w:val="009174E8"/>
    <w:rsid w:val="00921052"/>
    <w:rsid w:val="00921146"/>
    <w:rsid w:val="00930317"/>
    <w:rsid w:val="0093095F"/>
    <w:rsid w:val="00932036"/>
    <w:rsid w:val="00933A79"/>
    <w:rsid w:val="00935FE3"/>
    <w:rsid w:val="009441DC"/>
    <w:rsid w:val="00950E79"/>
    <w:rsid w:val="00952720"/>
    <w:rsid w:val="00954489"/>
    <w:rsid w:val="0095465A"/>
    <w:rsid w:val="0095659F"/>
    <w:rsid w:val="00956643"/>
    <w:rsid w:val="00956C93"/>
    <w:rsid w:val="009605A3"/>
    <w:rsid w:val="00961B05"/>
    <w:rsid w:val="0096260D"/>
    <w:rsid w:val="00963F49"/>
    <w:rsid w:val="00964FE1"/>
    <w:rsid w:val="00966177"/>
    <w:rsid w:val="009676B6"/>
    <w:rsid w:val="0097053E"/>
    <w:rsid w:val="00971118"/>
    <w:rsid w:val="00974A3D"/>
    <w:rsid w:val="00977A3F"/>
    <w:rsid w:val="00977BA8"/>
    <w:rsid w:val="00984043"/>
    <w:rsid w:val="00985FF0"/>
    <w:rsid w:val="00986173"/>
    <w:rsid w:val="00986288"/>
    <w:rsid w:val="00986EF5"/>
    <w:rsid w:val="00990197"/>
    <w:rsid w:val="00990438"/>
    <w:rsid w:val="00991C88"/>
    <w:rsid w:val="00992F91"/>
    <w:rsid w:val="009938B1"/>
    <w:rsid w:val="00994E8F"/>
    <w:rsid w:val="00994F6B"/>
    <w:rsid w:val="0099762F"/>
    <w:rsid w:val="009977F4"/>
    <w:rsid w:val="009A117A"/>
    <w:rsid w:val="009A2E80"/>
    <w:rsid w:val="009A2F21"/>
    <w:rsid w:val="009A38B7"/>
    <w:rsid w:val="009A3F00"/>
    <w:rsid w:val="009A4DB9"/>
    <w:rsid w:val="009A68A5"/>
    <w:rsid w:val="009B0278"/>
    <w:rsid w:val="009B333B"/>
    <w:rsid w:val="009B5D5F"/>
    <w:rsid w:val="009C1D97"/>
    <w:rsid w:val="009C3BD7"/>
    <w:rsid w:val="009C4575"/>
    <w:rsid w:val="009C4D62"/>
    <w:rsid w:val="009C556E"/>
    <w:rsid w:val="009C5853"/>
    <w:rsid w:val="009C729E"/>
    <w:rsid w:val="009C73AF"/>
    <w:rsid w:val="009D32AF"/>
    <w:rsid w:val="009D428E"/>
    <w:rsid w:val="009D5BF3"/>
    <w:rsid w:val="009D5C9E"/>
    <w:rsid w:val="009D6B08"/>
    <w:rsid w:val="009E21F6"/>
    <w:rsid w:val="009E2E1D"/>
    <w:rsid w:val="009E4FCA"/>
    <w:rsid w:val="009E555C"/>
    <w:rsid w:val="009E639E"/>
    <w:rsid w:val="009F12DE"/>
    <w:rsid w:val="009F2AC0"/>
    <w:rsid w:val="00A01E16"/>
    <w:rsid w:val="00A03208"/>
    <w:rsid w:val="00A03661"/>
    <w:rsid w:val="00A0404F"/>
    <w:rsid w:val="00A05270"/>
    <w:rsid w:val="00A06583"/>
    <w:rsid w:val="00A133D3"/>
    <w:rsid w:val="00A138A3"/>
    <w:rsid w:val="00A13B2F"/>
    <w:rsid w:val="00A13BC1"/>
    <w:rsid w:val="00A15E64"/>
    <w:rsid w:val="00A25461"/>
    <w:rsid w:val="00A268FD"/>
    <w:rsid w:val="00A30A7B"/>
    <w:rsid w:val="00A332E9"/>
    <w:rsid w:val="00A34D45"/>
    <w:rsid w:val="00A41DD2"/>
    <w:rsid w:val="00A452A7"/>
    <w:rsid w:val="00A47332"/>
    <w:rsid w:val="00A50843"/>
    <w:rsid w:val="00A51545"/>
    <w:rsid w:val="00A54CC6"/>
    <w:rsid w:val="00A568BD"/>
    <w:rsid w:val="00A6008E"/>
    <w:rsid w:val="00A6100C"/>
    <w:rsid w:val="00A618F8"/>
    <w:rsid w:val="00A64B84"/>
    <w:rsid w:val="00A72B9C"/>
    <w:rsid w:val="00A72C69"/>
    <w:rsid w:val="00A760FE"/>
    <w:rsid w:val="00A771DC"/>
    <w:rsid w:val="00A77A2E"/>
    <w:rsid w:val="00A813F7"/>
    <w:rsid w:val="00A838FA"/>
    <w:rsid w:val="00A84790"/>
    <w:rsid w:val="00A85CF8"/>
    <w:rsid w:val="00A872A4"/>
    <w:rsid w:val="00A90270"/>
    <w:rsid w:val="00A90DA2"/>
    <w:rsid w:val="00A91510"/>
    <w:rsid w:val="00A9228A"/>
    <w:rsid w:val="00A94FE1"/>
    <w:rsid w:val="00AA4913"/>
    <w:rsid w:val="00AA4B85"/>
    <w:rsid w:val="00AA5A09"/>
    <w:rsid w:val="00AB020C"/>
    <w:rsid w:val="00AB030B"/>
    <w:rsid w:val="00AB2B94"/>
    <w:rsid w:val="00AB345C"/>
    <w:rsid w:val="00AB3E43"/>
    <w:rsid w:val="00AB5E9B"/>
    <w:rsid w:val="00AB778B"/>
    <w:rsid w:val="00AB7F0A"/>
    <w:rsid w:val="00AC43E7"/>
    <w:rsid w:val="00AC591D"/>
    <w:rsid w:val="00AC74D4"/>
    <w:rsid w:val="00AC7B9D"/>
    <w:rsid w:val="00AD00DA"/>
    <w:rsid w:val="00AD33BD"/>
    <w:rsid w:val="00AD78C5"/>
    <w:rsid w:val="00AE0E62"/>
    <w:rsid w:val="00AE2B2D"/>
    <w:rsid w:val="00AE3838"/>
    <w:rsid w:val="00AE5436"/>
    <w:rsid w:val="00AE657D"/>
    <w:rsid w:val="00AE7E30"/>
    <w:rsid w:val="00AF1435"/>
    <w:rsid w:val="00AF18A6"/>
    <w:rsid w:val="00AF4CC1"/>
    <w:rsid w:val="00AF6720"/>
    <w:rsid w:val="00AF725C"/>
    <w:rsid w:val="00AF7A8A"/>
    <w:rsid w:val="00B10EFE"/>
    <w:rsid w:val="00B14548"/>
    <w:rsid w:val="00B14618"/>
    <w:rsid w:val="00B1698A"/>
    <w:rsid w:val="00B20AFF"/>
    <w:rsid w:val="00B225A4"/>
    <w:rsid w:val="00B3456C"/>
    <w:rsid w:val="00B36284"/>
    <w:rsid w:val="00B36642"/>
    <w:rsid w:val="00B41EB7"/>
    <w:rsid w:val="00B4727B"/>
    <w:rsid w:val="00B505AA"/>
    <w:rsid w:val="00B51510"/>
    <w:rsid w:val="00B535AF"/>
    <w:rsid w:val="00B57FCB"/>
    <w:rsid w:val="00B617F3"/>
    <w:rsid w:val="00B65701"/>
    <w:rsid w:val="00B67FC1"/>
    <w:rsid w:val="00B72BB6"/>
    <w:rsid w:val="00B7410B"/>
    <w:rsid w:val="00B7625F"/>
    <w:rsid w:val="00B76505"/>
    <w:rsid w:val="00B76547"/>
    <w:rsid w:val="00B77AF7"/>
    <w:rsid w:val="00B86C05"/>
    <w:rsid w:val="00B91CA2"/>
    <w:rsid w:val="00B91E92"/>
    <w:rsid w:val="00B92118"/>
    <w:rsid w:val="00B92BD5"/>
    <w:rsid w:val="00B940E3"/>
    <w:rsid w:val="00B96526"/>
    <w:rsid w:val="00BA05B5"/>
    <w:rsid w:val="00BA2579"/>
    <w:rsid w:val="00BB0B50"/>
    <w:rsid w:val="00BB0FCD"/>
    <w:rsid w:val="00BB248F"/>
    <w:rsid w:val="00BB3F79"/>
    <w:rsid w:val="00BB5645"/>
    <w:rsid w:val="00BC24BB"/>
    <w:rsid w:val="00BC306B"/>
    <w:rsid w:val="00BC5C7C"/>
    <w:rsid w:val="00BC74C2"/>
    <w:rsid w:val="00BD0D73"/>
    <w:rsid w:val="00BD1EE0"/>
    <w:rsid w:val="00BD3365"/>
    <w:rsid w:val="00BD62B0"/>
    <w:rsid w:val="00BD6A52"/>
    <w:rsid w:val="00BD6CCA"/>
    <w:rsid w:val="00BE0DF1"/>
    <w:rsid w:val="00BE3C9E"/>
    <w:rsid w:val="00BE3DCC"/>
    <w:rsid w:val="00BE5973"/>
    <w:rsid w:val="00BE70BA"/>
    <w:rsid w:val="00BE7B35"/>
    <w:rsid w:val="00BF08BC"/>
    <w:rsid w:val="00BF102E"/>
    <w:rsid w:val="00BF2E53"/>
    <w:rsid w:val="00BF3A28"/>
    <w:rsid w:val="00BF4ED7"/>
    <w:rsid w:val="00BF541A"/>
    <w:rsid w:val="00BF7A8B"/>
    <w:rsid w:val="00C01587"/>
    <w:rsid w:val="00C01FFD"/>
    <w:rsid w:val="00C02AB4"/>
    <w:rsid w:val="00C06B7B"/>
    <w:rsid w:val="00C10E18"/>
    <w:rsid w:val="00C12BBD"/>
    <w:rsid w:val="00C142E6"/>
    <w:rsid w:val="00C154AE"/>
    <w:rsid w:val="00C161A6"/>
    <w:rsid w:val="00C1778C"/>
    <w:rsid w:val="00C211E0"/>
    <w:rsid w:val="00C236E5"/>
    <w:rsid w:val="00C26B35"/>
    <w:rsid w:val="00C27D9B"/>
    <w:rsid w:val="00C30E40"/>
    <w:rsid w:val="00C3242C"/>
    <w:rsid w:val="00C34183"/>
    <w:rsid w:val="00C36813"/>
    <w:rsid w:val="00C45A70"/>
    <w:rsid w:val="00C46FC5"/>
    <w:rsid w:val="00C47D89"/>
    <w:rsid w:val="00C52F3C"/>
    <w:rsid w:val="00C53419"/>
    <w:rsid w:val="00C544C6"/>
    <w:rsid w:val="00C54600"/>
    <w:rsid w:val="00C57002"/>
    <w:rsid w:val="00C63337"/>
    <w:rsid w:val="00C6353E"/>
    <w:rsid w:val="00C63F7C"/>
    <w:rsid w:val="00C6425D"/>
    <w:rsid w:val="00C65664"/>
    <w:rsid w:val="00C67D40"/>
    <w:rsid w:val="00C73D9B"/>
    <w:rsid w:val="00C761D2"/>
    <w:rsid w:val="00C76419"/>
    <w:rsid w:val="00C76C68"/>
    <w:rsid w:val="00C85C1E"/>
    <w:rsid w:val="00C867C9"/>
    <w:rsid w:val="00C91669"/>
    <w:rsid w:val="00C970A9"/>
    <w:rsid w:val="00CA0602"/>
    <w:rsid w:val="00CA3E7C"/>
    <w:rsid w:val="00CA455D"/>
    <w:rsid w:val="00CB42C7"/>
    <w:rsid w:val="00CC0EA1"/>
    <w:rsid w:val="00CC19E3"/>
    <w:rsid w:val="00CC414A"/>
    <w:rsid w:val="00CC4678"/>
    <w:rsid w:val="00CC4C19"/>
    <w:rsid w:val="00CD1907"/>
    <w:rsid w:val="00CD4883"/>
    <w:rsid w:val="00CD78B4"/>
    <w:rsid w:val="00CE4614"/>
    <w:rsid w:val="00CE63A4"/>
    <w:rsid w:val="00CE6AC8"/>
    <w:rsid w:val="00CF3CC0"/>
    <w:rsid w:val="00CF524B"/>
    <w:rsid w:val="00D045F2"/>
    <w:rsid w:val="00D05F1C"/>
    <w:rsid w:val="00D06597"/>
    <w:rsid w:val="00D10A72"/>
    <w:rsid w:val="00D10C90"/>
    <w:rsid w:val="00D17B07"/>
    <w:rsid w:val="00D2305D"/>
    <w:rsid w:val="00D256ED"/>
    <w:rsid w:val="00D32121"/>
    <w:rsid w:val="00D332B6"/>
    <w:rsid w:val="00D3383B"/>
    <w:rsid w:val="00D3492E"/>
    <w:rsid w:val="00D424F3"/>
    <w:rsid w:val="00D4405F"/>
    <w:rsid w:val="00D50843"/>
    <w:rsid w:val="00D52F0F"/>
    <w:rsid w:val="00D532AF"/>
    <w:rsid w:val="00D53737"/>
    <w:rsid w:val="00D5634C"/>
    <w:rsid w:val="00D56907"/>
    <w:rsid w:val="00D633FE"/>
    <w:rsid w:val="00D6350C"/>
    <w:rsid w:val="00D70522"/>
    <w:rsid w:val="00D7578E"/>
    <w:rsid w:val="00D759DD"/>
    <w:rsid w:val="00D76D63"/>
    <w:rsid w:val="00D80ED2"/>
    <w:rsid w:val="00D84E3F"/>
    <w:rsid w:val="00D8765D"/>
    <w:rsid w:val="00D87881"/>
    <w:rsid w:val="00D916E9"/>
    <w:rsid w:val="00D91AE6"/>
    <w:rsid w:val="00D94D5F"/>
    <w:rsid w:val="00D94FC7"/>
    <w:rsid w:val="00D9506F"/>
    <w:rsid w:val="00D9574B"/>
    <w:rsid w:val="00DA582C"/>
    <w:rsid w:val="00DA7BC1"/>
    <w:rsid w:val="00DB29CA"/>
    <w:rsid w:val="00DB2A93"/>
    <w:rsid w:val="00DB6280"/>
    <w:rsid w:val="00DB7104"/>
    <w:rsid w:val="00DC1D2D"/>
    <w:rsid w:val="00DC5804"/>
    <w:rsid w:val="00DD3FC4"/>
    <w:rsid w:val="00DD7C2E"/>
    <w:rsid w:val="00DE2313"/>
    <w:rsid w:val="00DE55EB"/>
    <w:rsid w:val="00DE5D1E"/>
    <w:rsid w:val="00DE5DBB"/>
    <w:rsid w:val="00DF00F3"/>
    <w:rsid w:val="00DF4F6B"/>
    <w:rsid w:val="00DF5D9E"/>
    <w:rsid w:val="00DF626A"/>
    <w:rsid w:val="00DF7C6C"/>
    <w:rsid w:val="00E022C4"/>
    <w:rsid w:val="00E052B7"/>
    <w:rsid w:val="00E0583D"/>
    <w:rsid w:val="00E06188"/>
    <w:rsid w:val="00E0742A"/>
    <w:rsid w:val="00E10450"/>
    <w:rsid w:val="00E1247A"/>
    <w:rsid w:val="00E126F8"/>
    <w:rsid w:val="00E129AA"/>
    <w:rsid w:val="00E3614C"/>
    <w:rsid w:val="00E36F7C"/>
    <w:rsid w:val="00E379D4"/>
    <w:rsid w:val="00E40371"/>
    <w:rsid w:val="00E41CA1"/>
    <w:rsid w:val="00E42BEE"/>
    <w:rsid w:val="00E47298"/>
    <w:rsid w:val="00E507E4"/>
    <w:rsid w:val="00E51319"/>
    <w:rsid w:val="00E51433"/>
    <w:rsid w:val="00E520AD"/>
    <w:rsid w:val="00E54CD3"/>
    <w:rsid w:val="00E57145"/>
    <w:rsid w:val="00E60E2A"/>
    <w:rsid w:val="00E630FB"/>
    <w:rsid w:val="00E673DB"/>
    <w:rsid w:val="00E71790"/>
    <w:rsid w:val="00E73AF7"/>
    <w:rsid w:val="00E7432E"/>
    <w:rsid w:val="00E76327"/>
    <w:rsid w:val="00E808FA"/>
    <w:rsid w:val="00E81769"/>
    <w:rsid w:val="00E82287"/>
    <w:rsid w:val="00E8521F"/>
    <w:rsid w:val="00E909EE"/>
    <w:rsid w:val="00E93072"/>
    <w:rsid w:val="00E9682B"/>
    <w:rsid w:val="00E9772E"/>
    <w:rsid w:val="00EA25AF"/>
    <w:rsid w:val="00EA2950"/>
    <w:rsid w:val="00EA2FF7"/>
    <w:rsid w:val="00EA3D8C"/>
    <w:rsid w:val="00EA4ED2"/>
    <w:rsid w:val="00EA6100"/>
    <w:rsid w:val="00EA6A50"/>
    <w:rsid w:val="00EA7F01"/>
    <w:rsid w:val="00EB2A66"/>
    <w:rsid w:val="00EB52BA"/>
    <w:rsid w:val="00EB5D6E"/>
    <w:rsid w:val="00EC3B95"/>
    <w:rsid w:val="00EC451E"/>
    <w:rsid w:val="00EC5095"/>
    <w:rsid w:val="00ED0B0B"/>
    <w:rsid w:val="00ED0F7A"/>
    <w:rsid w:val="00ED442E"/>
    <w:rsid w:val="00EE0093"/>
    <w:rsid w:val="00EE2B4E"/>
    <w:rsid w:val="00EE3FD0"/>
    <w:rsid w:val="00EE40C5"/>
    <w:rsid w:val="00EE609F"/>
    <w:rsid w:val="00F02B10"/>
    <w:rsid w:val="00F07578"/>
    <w:rsid w:val="00F177DB"/>
    <w:rsid w:val="00F245DC"/>
    <w:rsid w:val="00F24CDD"/>
    <w:rsid w:val="00F2613A"/>
    <w:rsid w:val="00F30519"/>
    <w:rsid w:val="00F31AE7"/>
    <w:rsid w:val="00F327D4"/>
    <w:rsid w:val="00F351D6"/>
    <w:rsid w:val="00F37919"/>
    <w:rsid w:val="00F37B37"/>
    <w:rsid w:val="00F414A3"/>
    <w:rsid w:val="00F4682A"/>
    <w:rsid w:val="00F476BD"/>
    <w:rsid w:val="00F514C5"/>
    <w:rsid w:val="00F561D5"/>
    <w:rsid w:val="00F601AF"/>
    <w:rsid w:val="00F60E00"/>
    <w:rsid w:val="00F6120E"/>
    <w:rsid w:val="00F62827"/>
    <w:rsid w:val="00F67487"/>
    <w:rsid w:val="00F73534"/>
    <w:rsid w:val="00F737D8"/>
    <w:rsid w:val="00F82596"/>
    <w:rsid w:val="00F845AE"/>
    <w:rsid w:val="00F85F37"/>
    <w:rsid w:val="00F90CA7"/>
    <w:rsid w:val="00F92ECE"/>
    <w:rsid w:val="00F94A13"/>
    <w:rsid w:val="00F96FBC"/>
    <w:rsid w:val="00FA48A2"/>
    <w:rsid w:val="00FA5A70"/>
    <w:rsid w:val="00FA7592"/>
    <w:rsid w:val="00FB130D"/>
    <w:rsid w:val="00FB3880"/>
    <w:rsid w:val="00FB3C48"/>
    <w:rsid w:val="00FB49A7"/>
    <w:rsid w:val="00FB7316"/>
    <w:rsid w:val="00FC46DB"/>
    <w:rsid w:val="00FD08F1"/>
    <w:rsid w:val="00FD313B"/>
    <w:rsid w:val="00FD40DF"/>
    <w:rsid w:val="00FE7D56"/>
    <w:rsid w:val="00FF01FC"/>
    <w:rsid w:val="00FF2C1B"/>
    <w:rsid w:val="00FF2F28"/>
    <w:rsid w:val="00FF4E63"/>
    <w:rsid w:val="00FF563C"/>
    <w:rsid w:val="00FF56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08FC2"/>
  <w15:chartTrackingRefBased/>
  <w15:docId w15:val="{621B2A23-7D14-4948-9D73-C145B5D0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5"/>
      </w:numPr>
      <w:tabs>
        <w:tab w:val="clear" w:pos="360"/>
      </w:tabs>
      <w:spacing w:after="120"/>
    </w:pPr>
  </w:style>
  <w:style w:type="paragraph" w:styleId="ListNumber2">
    <w:name w:val="List Number 2"/>
    <w:basedOn w:val="Normal"/>
    <w:pPr>
      <w:numPr>
        <w:numId w:val="6"/>
      </w:numPr>
      <w:tabs>
        <w:tab w:val="clear" w:pos="641"/>
        <w:tab w:val="num" w:pos="643"/>
      </w:tabs>
      <w:spacing w:before="60" w:after="60"/>
    </w:pPr>
  </w:style>
  <w:style w:type="paragraph" w:styleId="ListNumber3">
    <w:name w:val="List Number 3"/>
    <w:basedOn w:val="Normal"/>
    <w:pPr>
      <w:numPr>
        <w:numId w:val="7"/>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612137"/>
    <w:pPr>
      <w:ind w:left="720"/>
      <w:contextualSpacing/>
    </w:pPr>
    <w:rPr>
      <w:rFonts w:ascii="Gill Sans" w:hAnsi="Gill Sans"/>
    </w:rPr>
  </w:style>
  <w:style w:type="character" w:styleId="CommentReference">
    <w:name w:val="annotation reference"/>
    <w:basedOn w:val="DefaultParagraphFont"/>
    <w:rsid w:val="00CF524B"/>
    <w:rPr>
      <w:sz w:val="16"/>
      <w:szCs w:val="16"/>
    </w:rPr>
  </w:style>
  <w:style w:type="paragraph" w:styleId="CommentSubject">
    <w:name w:val="annotation subject"/>
    <w:basedOn w:val="CommentText"/>
    <w:next w:val="CommentText"/>
    <w:link w:val="CommentSubjectChar"/>
    <w:rsid w:val="00CF524B"/>
    <w:rPr>
      <w:rFonts w:ascii="Gill Sans MT" w:hAnsi="Gill Sans MT"/>
      <w:b/>
      <w:bCs/>
      <w:szCs w:val="20"/>
      <w:lang w:val="en-IE"/>
    </w:rPr>
  </w:style>
  <w:style w:type="character" w:customStyle="1" w:styleId="CommentSubjectChar">
    <w:name w:val="Comment Subject Char"/>
    <w:basedOn w:val="CommentTextChar"/>
    <w:link w:val="CommentSubject"/>
    <w:rsid w:val="00CF524B"/>
    <w:rPr>
      <w:rFonts w:ascii="Gill Sans MT" w:eastAsia="Times New Roman" w:hAnsi="Gill Sans MT"/>
      <w:b/>
      <w:bCs/>
      <w:szCs w:val="24"/>
      <w:lang w:eastAsia="en-US"/>
    </w:rPr>
  </w:style>
  <w:style w:type="paragraph" w:styleId="BalloonText">
    <w:name w:val="Balloon Text"/>
    <w:basedOn w:val="Normal"/>
    <w:link w:val="BalloonTextChar"/>
    <w:rsid w:val="00CF524B"/>
    <w:pPr>
      <w:spacing w:after="0"/>
    </w:pPr>
    <w:rPr>
      <w:rFonts w:ascii="Segoe UI" w:hAnsi="Segoe UI" w:cs="Segoe UI"/>
      <w:sz w:val="18"/>
      <w:szCs w:val="18"/>
    </w:rPr>
  </w:style>
  <w:style w:type="character" w:customStyle="1" w:styleId="BalloonTextChar">
    <w:name w:val="Balloon Text Char"/>
    <w:basedOn w:val="DefaultParagraphFont"/>
    <w:link w:val="BalloonText"/>
    <w:rsid w:val="00CF524B"/>
    <w:rPr>
      <w:rFonts w:ascii="Segoe UI" w:eastAsia="Times New Roman" w:hAnsi="Segoe UI" w:cs="Segoe UI"/>
      <w:sz w:val="18"/>
      <w:szCs w:val="18"/>
      <w:lang w:eastAsia="en-US"/>
    </w:rPr>
  </w:style>
  <w:style w:type="paragraph" w:styleId="EndnoteText">
    <w:name w:val="endnote text"/>
    <w:basedOn w:val="Normal"/>
    <w:link w:val="EndnoteTextChar"/>
    <w:rsid w:val="00BB3F79"/>
    <w:pPr>
      <w:spacing w:after="0"/>
    </w:pPr>
    <w:rPr>
      <w:sz w:val="20"/>
      <w:szCs w:val="20"/>
    </w:rPr>
  </w:style>
  <w:style w:type="character" w:customStyle="1" w:styleId="EndnoteTextChar">
    <w:name w:val="Endnote Text Char"/>
    <w:basedOn w:val="DefaultParagraphFont"/>
    <w:link w:val="EndnoteText"/>
    <w:rsid w:val="00BB3F79"/>
    <w:rPr>
      <w:rFonts w:ascii="Gill Sans MT" w:eastAsia="Times New Roman" w:hAnsi="Gill Sans MT"/>
      <w:lang w:eastAsia="en-US"/>
    </w:rPr>
  </w:style>
  <w:style w:type="character" w:styleId="EndnoteReference">
    <w:name w:val="endnote reference"/>
    <w:basedOn w:val="DefaultParagraphFont"/>
    <w:rsid w:val="00BB3F79"/>
    <w:rPr>
      <w:vertAlign w:val="superscript"/>
    </w:rPr>
  </w:style>
  <w:style w:type="paragraph" w:styleId="TOCHeading">
    <w:name w:val="TOC Heading"/>
    <w:basedOn w:val="Heading1"/>
    <w:next w:val="Normal"/>
    <w:uiPriority w:val="39"/>
    <w:unhideWhenUsed/>
    <w:qFormat/>
    <w:rsid w:val="000C03FA"/>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BC1862" w:themeColor="accent1" w:themeShade="BF"/>
      <w:kern w:val="0"/>
      <w:lang w:val="en-US"/>
    </w:rPr>
  </w:style>
  <w:style w:type="paragraph" w:styleId="NormalWeb">
    <w:name w:val="Normal (Web)"/>
    <w:basedOn w:val="Normal"/>
    <w:uiPriority w:val="99"/>
    <w:unhideWhenUsed/>
    <w:rsid w:val="006312F8"/>
    <w:pPr>
      <w:spacing w:before="100" w:beforeAutospacing="1" w:after="100" w:afterAutospacing="1"/>
    </w:pPr>
    <w:rPr>
      <w:rFonts w:ascii="Times New Roman" w:hAnsi="Times New Roman"/>
      <w:sz w:val="24"/>
      <w:lang w:eastAsia="en-IE"/>
    </w:rPr>
  </w:style>
  <w:style w:type="character" w:customStyle="1" w:styleId="Heading1Char">
    <w:name w:val="Heading 1 Char"/>
    <w:basedOn w:val="DefaultParagraphFont"/>
    <w:link w:val="Heading1"/>
    <w:rsid w:val="00475937"/>
    <w:rPr>
      <w:rFonts w:ascii="Gill Sans MT" w:eastAsia="Times New Roman" w:hAnsi="Gill Sans MT" w:cs="Arial"/>
      <w:b/>
      <w:bCs/>
      <w:kern w:val="32"/>
      <w:sz w:val="32"/>
      <w:szCs w:val="32"/>
      <w:lang w:eastAsia="en-US"/>
    </w:rPr>
  </w:style>
  <w:style w:type="character" w:customStyle="1" w:styleId="Heading2Char">
    <w:name w:val="Heading 2 Char"/>
    <w:basedOn w:val="DefaultParagraphFont"/>
    <w:link w:val="Heading2"/>
    <w:rsid w:val="00475937"/>
    <w:rPr>
      <w:rFonts w:ascii="Gill Sans MT" w:eastAsia="Times New Roman" w:hAnsi="Gill Sans MT" w:cs="Arial Bold"/>
      <w:b/>
      <w:bCs/>
      <w:iCs/>
      <w:sz w:val="28"/>
      <w:szCs w:val="28"/>
      <w:lang w:eastAsia="en-US"/>
    </w:rPr>
  </w:style>
  <w:style w:type="paragraph" w:styleId="TOC3">
    <w:name w:val="toc 3"/>
    <w:basedOn w:val="Normal"/>
    <w:next w:val="Normal"/>
    <w:autoRedefine/>
    <w:uiPriority w:val="39"/>
    <w:rsid w:val="00AD00DA"/>
    <w:pPr>
      <w:tabs>
        <w:tab w:val="right" w:leader="dot" w:pos="8630"/>
      </w:tabs>
      <w:spacing w:after="100"/>
      <w:ind w:left="520"/>
    </w:pPr>
  </w:style>
  <w:style w:type="paragraph" w:styleId="TOC4">
    <w:name w:val="toc 4"/>
    <w:basedOn w:val="Normal"/>
    <w:next w:val="Normal"/>
    <w:autoRedefine/>
    <w:uiPriority w:val="39"/>
    <w:unhideWhenUsed/>
    <w:rsid w:val="00A90270"/>
    <w:pPr>
      <w:spacing w:after="100" w:line="259"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A90270"/>
    <w:pPr>
      <w:spacing w:after="100" w:line="259"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A90270"/>
    <w:pPr>
      <w:spacing w:after="100" w:line="259"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A90270"/>
    <w:pPr>
      <w:spacing w:after="100" w:line="259"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A90270"/>
    <w:pPr>
      <w:spacing w:after="100" w:line="259"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A90270"/>
    <w:pPr>
      <w:spacing w:after="100" w:line="259" w:lineRule="auto"/>
      <w:ind w:left="1760"/>
    </w:pPr>
    <w:rPr>
      <w:rFonts w:asciiTheme="minorHAnsi" w:eastAsiaTheme="minorEastAsia" w:hAnsiTheme="minorHAnsi" w:cstheme="minorBidi"/>
      <w:sz w:val="22"/>
      <w:szCs w:val="22"/>
      <w:lang w:eastAsia="en-IE"/>
    </w:rPr>
  </w:style>
  <w:style w:type="character" w:customStyle="1" w:styleId="TitleChar">
    <w:name w:val="Title Char"/>
    <w:basedOn w:val="DefaultParagraphFont"/>
    <w:link w:val="Title"/>
    <w:rsid w:val="0037628B"/>
    <w:rPr>
      <w:rFonts w:ascii="Gill Sans MT" w:eastAsia="Times New Roman" w:hAnsi="Gill Sans MT" w:cs="Arial"/>
      <w:b/>
      <w:bCs/>
      <w:kern w:val="28"/>
      <w:sz w:val="36"/>
      <w:szCs w:val="32"/>
      <w:lang w:eastAsia="en-US"/>
    </w:rPr>
  </w:style>
  <w:style w:type="character" w:customStyle="1" w:styleId="HeaderChar">
    <w:name w:val="Header Char"/>
    <w:basedOn w:val="DefaultParagraphFont"/>
    <w:link w:val="Header"/>
    <w:rsid w:val="0037628B"/>
    <w:rPr>
      <w:rFonts w:ascii="Gill Sans MT" w:eastAsia="Times New Roman" w:hAnsi="Gill Sans MT"/>
      <w:color w:val="333333"/>
      <w:sz w:val="22"/>
      <w:lang w:eastAsia="en-US"/>
    </w:rPr>
  </w:style>
  <w:style w:type="paragraph" w:styleId="Revision">
    <w:name w:val="Revision"/>
    <w:hidden/>
    <w:uiPriority w:val="99"/>
    <w:semiHidden/>
    <w:rsid w:val="0037628B"/>
    <w:rPr>
      <w:rFonts w:ascii="Gill Sans MT" w:eastAsia="Times New Roman" w:hAnsi="Gill Sans MT"/>
      <w:sz w:val="26"/>
      <w:szCs w:val="24"/>
      <w:lang w:eastAsia="en-US"/>
    </w:rPr>
  </w:style>
  <w:style w:type="table" w:styleId="TableGrid">
    <w:name w:val="Table Grid"/>
    <w:basedOn w:val="TableNormal"/>
    <w:rsid w:val="004E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9242F"/>
    <w:rPr>
      <w:rFonts w:ascii="Gill Sans MT" w:eastAsia="Times New Roman" w:hAnsi="Gill Sans MT"/>
      <w:sz w:val="22"/>
      <w:lang w:eastAsia="en-US"/>
    </w:rPr>
  </w:style>
  <w:style w:type="character" w:customStyle="1" w:styleId="Heading3Char">
    <w:name w:val="Heading 3 Char"/>
    <w:basedOn w:val="DefaultParagraphFont"/>
    <w:link w:val="Heading3"/>
    <w:rsid w:val="00864C77"/>
    <w:rPr>
      <w:rFonts w:ascii="Gill Sans MT" w:eastAsia="Times New Roman" w:hAnsi="Gill Sans MT" w:cs="Arial Bold"/>
      <w:b/>
      <w:bCs/>
      <w:sz w:val="26"/>
      <w:szCs w:val="24"/>
      <w:lang w:eastAsia="en-US"/>
    </w:rPr>
  </w:style>
  <w:style w:type="paragraph" w:customStyle="1" w:styleId="CM61">
    <w:name w:val="CM61"/>
    <w:basedOn w:val="Normal"/>
    <w:next w:val="Normal"/>
    <w:uiPriority w:val="99"/>
    <w:rsid w:val="00864C77"/>
    <w:pPr>
      <w:autoSpaceDE w:val="0"/>
      <w:autoSpaceDN w:val="0"/>
      <w:adjustRightInd w:val="0"/>
      <w:spacing w:after="0"/>
    </w:pPr>
    <w:rPr>
      <w:rFonts w:eastAsia="SimSun"/>
      <w:sz w:val="24"/>
      <w:lang w:eastAsia="en-IE"/>
    </w:rPr>
  </w:style>
  <w:style w:type="character" w:styleId="UnresolvedMention">
    <w:name w:val="Unresolved Mention"/>
    <w:basedOn w:val="DefaultParagraphFont"/>
    <w:uiPriority w:val="99"/>
    <w:semiHidden/>
    <w:unhideWhenUsed/>
    <w:rsid w:val="00D2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197">
      <w:bodyDiv w:val="1"/>
      <w:marLeft w:val="0"/>
      <w:marRight w:val="0"/>
      <w:marTop w:val="0"/>
      <w:marBottom w:val="0"/>
      <w:divBdr>
        <w:top w:val="none" w:sz="0" w:space="0" w:color="auto"/>
        <w:left w:val="none" w:sz="0" w:space="0" w:color="auto"/>
        <w:bottom w:val="none" w:sz="0" w:space="0" w:color="auto"/>
        <w:right w:val="none" w:sz="0" w:space="0" w:color="auto"/>
      </w:divBdr>
    </w:div>
    <w:div w:id="123819283">
      <w:bodyDiv w:val="1"/>
      <w:marLeft w:val="0"/>
      <w:marRight w:val="0"/>
      <w:marTop w:val="0"/>
      <w:marBottom w:val="0"/>
      <w:divBdr>
        <w:top w:val="none" w:sz="0" w:space="0" w:color="auto"/>
        <w:left w:val="none" w:sz="0" w:space="0" w:color="auto"/>
        <w:bottom w:val="none" w:sz="0" w:space="0" w:color="auto"/>
        <w:right w:val="none" w:sz="0" w:space="0" w:color="auto"/>
      </w:divBdr>
    </w:div>
    <w:div w:id="163010031">
      <w:bodyDiv w:val="1"/>
      <w:marLeft w:val="0"/>
      <w:marRight w:val="0"/>
      <w:marTop w:val="0"/>
      <w:marBottom w:val="0"/>
      <w:divBdr>
        <w:top w:val="none" w:sz="0" w:space="0" w:color="auto"/>
        <w:left w:val="none" w:sz="0" w:space="0" w:color="auto"/>
        <w:bottom w:val="none" w:sz="0" w:space="0" w:color="auto"/>
        <w:right w:val="none" w:sz="0" w:space="0" w:color="auto"/>
      </w:divBdr>
    </w:div>
    <w:div w:id="197358670">
      <w:bodyDiv w:val="1"/>
      <w:marLeft w:val="0"/>
      <w:marRight w:val="0"/>
      <w:marTop w:val="0"/>
      <w:marBottom w:val="0"/>
      <w:divBdr>
        <w:top w:val="none" w:sz="0" w:space="0" w:color="auto"/>
        <w:left w:val="none" w:sz="0" w:space="0" w:color="auto"/>
        <w:bottom w:val="none" w:sz="0" w:space="0" w:color="auto"/>
        <w:right w:val="none" w:sz="0" w:space="0" w:color="auto"/>
      </w:divBdr>
    </w:div>
    <w:div w:id="236014078">
      <w:bodyDiv w:val="1"/>
      <w:marLeft w:val="0"/>
      <w:marRight w:val="0"/>
      <w:marTop w:val="0"/>
      <w:marBottom w:val="0"/>
      <w:divBdr>
        <w:top w:val="none" w:sz="0" w:space="0" w:color="auto"/>
        <w:left w:val="none" w:sz="0" w:space="0" w:color="auto"/>
        <w:bottom w:val="none" w:sz="0" w:space="0" w:color="auto"/>
        <w:right w:val="none" w:sz="0" w:space="0" w:color="auto"/>
      </w:divBdr>
    </w:div>
    <w:div w:id="254823068">
      <w:bodyDiv w:val="1"/>
      <w:marLeft w:val="0"/>
      <w:marRight w:val="0"/>
      <w:marTop w:val="0"/>
      <w:marBottom w:val="0"/>
      <w:divBdr>
        <w:top w:val="none" w:sz="0" w:space="0" w:color="auto"/>
        <w:left w:val="none" w:sz="0" w:space="0" w:color="auto"/>
        <w:bottom w:val="none" w:sz="0" w:space="0" w:color="auto"/>
        <w:right w:val="none" w:sz="0" w:space="0" w:color="auto"/>
      </w:divBdr>
    </w:div>
    <w:div w:id="387729474">
      <w:bodyDiv w:val="1"/>
      <w:marLeft w:val="0"/>
      <w:marRight w:val="0"/>
      <w:marTop w:val="0"/>
      <w:marBottom w:val="0"/>
      <w:divBdr>
        <w:top w:val="none" w:sz="0" w:space="0" w:color="auto"/>
        <w:left w:val="none" w:sz="0" w:space="0" w:color="auto"/>
        <w:bottom w:val="none" w:sz="0" w:space="0" w:color="auto"/>
        <w:right w:val="none" w:sz="0" w:space="0" w:color="auto"/>
      </w:divBdr>
    </w:div>
    <w:div w:id="432752800">
      <w:bodyDiv w:val="1"/>
      <w:marLeft w:val="0"/>
      <w:marRight w:val="0"/>
      <w:marTop w:val="0"/>
      <w:marBottom w:val="0"/>
      <w:divBdr>
        <w:top w:val="none" w:sz="0" w:space="0" w:color="auto"/>
        <w:left w:val="none" w:sz="0" w:space="0" w:color="auto"/>
        <w:bottom w:val="none" w:sz="0" w:space="0" w:color="auto"/>
        <w:right w:val="none" w:sz="0" w:space="0" w:color="auto"/>
      </w:divBdr>
    </w:div>
    <w:div w:id="635839468">
      <w:bodyDiv w:val="1"/>
      <w:marLeft w:val="0"/>
      <w:marRight w:val="0"/>
      <w:marTop w:val="0"/>
      <w:marBottom w:val="0"/>
      <w:divBdr>
        <w:top w:val="none" w:sz="0" w:space="0" w:color="auto"/>
        <w:left w:val="none" w:sz="0" w:space="0" w:color="auto"/>
        <w:bottom w:val="none" w:sz="0" w:space="0" w:color="auto"/>
        <w:right w:val="none" w:sz="0" w:space="0" w:color="auto"/>
      </w:divBdr>
    </w:div>
    <w:div w:id="713234164">
      <w:bodyDiv w:val="1"/>
      <w:marLeft w:val="0"/>
      <w:marRight w:val="0"/>
      <w:marTop w:val="0"/>
      <w:marBottom w:val="0"/>
      <w:divBdr>
        <w:top w:val="none" w:sz="0" w:space="0" w:color="auto"/>
        <w:left w:val="none" w:sz="0" w:space="0" w:color="auto"/>
        <w:bottom w:val="none" w:sz="0" w:space="0" w:color="auto"/>
        <w:right w:val="none" w:sz="0" w:space="0" w:color="auto"/>
      </w:divBdr>
    </w:div>
    <w:div w:id="780106144">
      <w:bodyDiv w:val="1"/>
      <w:marLeft w:val="0"/>
      <w:marRight w:val="0"/>
      <w:marTop w:val="0"/>
      <w:marBottom w:val="0"/>
      <w:divBdr>
        <w:top w:val="none" w:sz="0" w:space="0" w:color="auto"/>
        <w:left w:val="none" w:sz="0" w:space="0" w:color="auto"/>
        <w:bottom w:val="none" w:sz="0" w:space="0" w:color="auto"/>
        <w:right w:val="none" w:sz="0" w:space="0" w:color="auto"/>
      </w:divBdr>
    </w:div>
    <w:div w:id="781609185">
      <w:bodyDiv w:val="1"/>
      <w:marLeft w:val="0"/>
      <w:marRight w:val="0"/>
      <w:marTop w:val="0"/>
      <w:marBottom w:val="0"/>
      <w:divBdr>
        <w:top w:val="none" w:sz="0" w:space="0" w:color="auto"/>
        <w:left w:val="none" w:sz="0" w:space="0" w:color="auto"/>
        <w:bottom w:val="none" w:sz="0" w:space="0" w:color="auto"/>
        <w:right w:val="none" w:sz="0" w:space="0" w:color="auto"/>
      </w:divBdr>
    </w:div>
    <w:div w:id="879443432">
      <w:bodyDiv w:val="1"/>
      <w:marLeft w:val="0"/>
      <w:marRight w:val="0"/>
      <w:marTop w:val="0"/>
      <w:marBottom w:val="0"/>
      <w:divBdr>
        <w:top w:val="none" w:sz="0" w:space="0" w:color="auto"/>
        <w:left w:val="none" w:sz="0" w:space="0" w:color="auto"/>
        <w:bottom w:val="none" w:sz="0" w:space="0" w:color="auto"/>
        <w:right w:val="none" w:sz="0" w:space="0" w:color="auto"/>
      </w:divBdr>
    </w:div>
    <w:div w:id="943414589">
      <w:bodyDiv w:val="1"/>
      <w:marLeft w:val="0"/>
      <w:marRight w:val="0"/>
      <w:marTop w:val="0"/>
      <w:marBottom w:val="0"/>
      <w:divBdr>
        <w:top w:val="none" w:sz="0" w:space="0" w:color="auto"/>
        <w:left w:val="none" w:sz="0" w:space="0" w:color="auto"/>
        <w:bottom w:val="none" w:sz="0" w:space="0" w:color="auto"/>
        <w:right w:val="none" w:sz="0" w:space="0" w:color="auto"/>
      </w:divBdr>
    </w:div>
    <w:div w:id="1024598523">
      <w:bodyDiv w:val="1"/>
      <w:marLeft w:val="0"/>
      <w:marRight w:val="0"/>
      <w:marTop w:val="0"/>
      <w:marBottom w:val="0"/>
      <w:divBdr>
        <w:top w:val="none" w:sz="0" w:space="0" w:color="auto"/>
        <w:left w:val="none" w:sz="0" w:space="0" w:color="auto"/>
        <w:bottom w:val="none" w:sz="0" w:space="0" w:color="auto"/>
        <w:right w:val="none" w:sz="0" w:space="0" w:color="auto"/>
      </w:divBdr>
    </w:div>
    <w:div w:id="1143237674">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8322300">
      <w:bodyDiv w:val="1"/>
      <w:marLeft w:val="0"/>
      <w:marRight w:val="0"/>
      <w:marTop w:val="0"/>
      <w:marBottom w:val="0"/>
      <w:divBdr>
        <w:top w:val="none" w:sz="0" w:space="0" w:color="auto"/>
        <w:left w:val="none" w:sz="0" w:space="0" w:color="auto"/>
        <w:bottom w:val="none" w:sz="0" w:space="0" w:color="auto"/>
        <w:right w:val="none" w:sz="0" w:space="0" w:color="auto"/>
      </w:divBdr>
    </w:div>
    <w:div w:id="1174105049">
      <w:bodyDiv w:val="1"/>
      <w:marLeft w:val="0"/>
      <w:marRight w:val="0"/>
      <w:marTop w:val="0"/>
      <w:marBottom w:val="0"/>
      <w:divBdr>
        <w:top w:val="none" w:sz="0" w:space="0" w:color="auto"/>
        <w:left w:val="none" w:sz="0" w:space="0" w:color="auto"/>
        <w:bottom w:val="none" w:sz="0" w:space="0" w:color="auto"/>
        <w:right w:val="none" w:sz="0" w:space="0" w:color="auto"/>
      </w:divBdr>
    </w:div>
    <w:div w:id="1270699565">
      <w:bodyDiv w:val="1"/>
      <w:marLeft w:val="0"/>
      <w:marRight w:val="0"/>
      <w:marTop w:val="0"/>
      <w:marBottom w:val="0"/>
      <w:divBdr>
        <w:top w:val="none" w:sz="0" w:space="0" w:color="auto"/>
        <w:left w:val="none" w:sz="0" w:space="0" w:color="auto"/>
        <w:bottom w:val="none" w:sz="0" w:space="0" w:color="auto"/>
        <w:right w:val="none" w:sz="0" w:space="0" w:color="auto"/>
      </w:divBdr>
    </w:div>
    <w:div w:id="1319577518">
      <w:bodyDiv w:val="1"/>
      <w:marLeft w:val="0"/>
      <w:marRight w:val="0"/>
      <w:marTop w:val="0"/>
      <w:marBottom w:val="0"/>
      <w:divBdr>
        <w:top w:val="none" w:sz="0" w:space="0" w:color="auto"/>
        <w:left w:val="none" w:sz="0" w:space="0" w:color="auto"/>
        <w:bottom w:val="none" w:sz="0" w:space="0" w:color="auto"/>
        <w:right w:val="none" w:sz="0" w:space="0" w:color="auto"/>
      </w:divBdr>
    </w:div>
    <w:div w:id="1386293263">
      <w:bodyDiv w:val="1"/>
      <w:marLeft w:val="0"/>
      <w:marRight w:val="0"/>
      <w:marTop w:val="0"/>
      <w:marBottom w:val="0"/>
      <w:divBdr>
        <w:top w:val="none" w:sz="0" w:space="0" w:color="auto"/>
        <w:left w:val="none" w:sz="0" w:space="0" w:color="auto"/>
        <w:bottom w:val="none" w:sz="0" w:space="0" w:color="auto"/>
        <w:right w:val="none" w:sz="0" w:space="0" w:color="auto"/>
      </w:divBdr>
    </w:div>
    <w:div w:id="1509710160">
      <w:bodyDiv w:val="1"/>
      <w:marLeft w:val="0"/>
      <w:marRight w:val="0"/>
      <w:marTop w:val="0"/>
      <w:marBottom w:val="0"/>
      <w:divBdr>
        <w:top w:val="none" w:sz="0" w:space="0" w:color="auto"/>
        <w:left w:val="none" w:sz="0" w:space="0" w:color="auto"/>
        <w:bottom w:val="none" w:sz="0" w:space="0" w:color="auto"/>
        <w:right w:val="none" w:sz="0" w:space="0" w:color="auto"/>
      </w:divBdr>
    </w:div>
    <w:div w:id="1554582474">
      <w:bodyDiv w:val="1"/>
      <w:marLeft w:val="0"/>
      <w:marRight w:val="0"/>
      <w:marTop w:val="0"/>
      <w:marBottom w:val="0"/>
      <w:divBdr>
        <w:top w:val="none" w:sz="0" w:space="0" w:color="auto"/>
        <w:left w:val="none" w:sz="0" w:space="0" w:color="auto"/>
        <w:bottom w:val="none" w:sz="0" w:space="0" w:color="auto"/>
        <w:right w:val="none" w:sz="0" w:space="0" w:color="auto"/>
      </w:divBdr>
    </w:div>
    <w:div w:id="1674918629">
      <w:bodyDiv w:val="1"/>
      <w:marLeft w:val="0"/>
      <w:marRight w:val="0"/>
      <w:marTop w:val="0"/>
      <w:marBottom w:val="0"/>
      <w:divBdr>
        <w:top w:val="none" w:sz="0" w:space="0" w:color="auto"/>
        <w:left w:val="none" w:sz="0" w:space="0" w:color="auto"/>
        <w:bottom w:val="none" w:sz="0" w:space="0" w:color="auto"/>
        <w:right w:val="none" w:sz="0" w:space="0" w:color="auto"/>
      </w:divBdr>
    </w:div>
    <w:div w:id="1726179159">
      <w:bodyDiv w:val="1"/>
      <w:marLeft w:val="0"/>
      <w:marRight w:val="0"/>
      <w:marTop w:val="0"/>
      <w:marBottom w:val="0"/>
      <w:divBdr>
        <w:top w:val="none" w:sz="0" w:space="0" w:color="auto"/>
        <w:left w:val="none" w:sz="0" w:space="0" w:color="auto"/>
        <w:bottom w:val="none" w:sz="0" w:space="0" w:color="auto"/>
        <w:right w:val="none" w:sz="0" w:space="0" w:color="auto"/>
      </w:divBdr>
    </w:div>
    <w:div w:id="1728068206">
      <w:bodyDiv w:val="1"/>
      <w:marLeft w:val="0"/>
      <w:marRight w:val="0"/>
      <w:marTop w:val="0"/>
      <w:marBottom w:val="0"/>
      <w:divBdr>
        <w:top w:val="none" w:sz="0" w:space="0" w:color="auto"/>
        <w:left w:val="none" w:sz="0" w:space="0" w:color="auto"/>
        <w:bottom w:val="none" w:sz="0" w:space="0" w:color="auto"/>
        <w:right w:val="none" w:sz="0" w:space="0" w:color="auto"/>
      </w:divBdr>
    </w:div>
    <w:div w:id="1730880197">
      <w:bodyDiv w:val="1"/>
      <w:marLeft w:val="0"/>
      <w:marRight w:val="0"/>
      <w:marTop w:val="0"/>
      <w:marBottom w:val="0"/>
      <w:divBdr>
        <w:top w:val="none" w:sz="0" w:space="0" w:color="auto"/>
        <w:left w:val="none" w:sz="0" w:space="0" w:color="auto"/>
        <w:bottom w:val="none" w:sz="0" w:space="0" w:color="auto"/>
        <w:right w:val="none" w:sz="0" w:space="0" w:color="auto"/>
      </w:divBdr>
    </w:div>
    <w:div w:id="1775663943">
      <w:bodyDiv w:val="1"/>
      <w:marLeft w:val="0"/>
      <w:marRight w:val="0"/>
      <w:marTop w:val="0"/>
      <w:marBottom w:val="0"/>
      <w:divBdr>
        <w:top w:val="none" w:sz="0" w:space="0" w:color="auto"/>
        <w:left w:val="none" w:sz="0" w:space="0" w:color="auto"/>
        <w:bottom w:val="none" w:sz="0" w:space="0" w:color="auto"/>
        <w:right w:val="none" w:sz="0" w:space="0" w:color="auto"/>
      </w:divBdr>
    </w:div>
    <w:div w:id="1790317793">
      <w:bodyDiv w:val="1"/>
      <w:marLeft w:val="0"/>
      <w:marRight w:val="0"/>
      <w:marTop w:val="0"/>
      <w:marBottom w:val="0"/>
      <w:divBdr>
        <w:top w:val="none" w:sz="0" w:space="0" w:color="auto"/>
        <w:left w:val="none" w:sz="0" w:space="0" w:color="auto"/>
        <w:bottom w:val="none" w:sz="0" w:space="0" w:color="auto"/>
        <w:right w:val="none" w:sz="0" w:space="0" w:color="auto"/>
      </w:divBdr>
    </w:div>
    <w:div w:id="1825120090">
      <w:bodyDiv w:val="1"/>
      <w:marLeft w:val="0"/>
      <w:marRight w:val="0"/>
      <w:marTop w:val="0"/>
      <w:marBottom w:val="0"/>
      <w:divBdr>
        <w:top w:val="none" w:sz="0" w:space="0" w:color="auto"/>
        <w:left w:val="none" w:sz="0" w:space="0" w:color="auto"/>
        <w:bottom w:val="none" w:sz="0" w:space="0" w:color="auto"/>
        <w:right w:val="none" w:sz="0" w:space="0" w:color="auto"/>
      </w:divBdr>
    </w:div>
    <w:div w:id="1883783497">
      <w:bodyDiv w:val="1"/>
      <w:marLeft w:val="0"/>
      <w:marRight w:val="0"/>
      <w:marTop w:val="0"/>
      <w:marBottom w:val="0"/>
      <w:divBdr>
        <w:top w:val="none" w:sz="0" w:space="0" w:color="auto"/>
        <w:left w:val="none" w:sz="0" w:space="0" w:color="auto"/>
        <w:bottom w:val="none" w:sz="0" w:space="0" w:color="auto"/>
        <w:right w:val="none" w:sz="0" w:space="0" w:color="auto"/>
      </w:divBdr>
    </w:div>
    <w:div w:id="2033189965">
      <w:bodyDiv w:val="1"/>
      <w:marLeft w:val="0"/>
      <w:marRight w:val="0"/>
      <w:marTop w:val="0"/>
      <w:marBottom w:val="0"/>
      <w:divBdr>
        <w:top w:val="none" w:sz="0" w:space="0" w:color="auto"/>
        <w:left w:val="none" w:sz="0" w:space="0" w:color="auto"/>
        <w:bottom w:val="none" w:sz="0" w:space="0" w:color="auto"/>
        <w:right w:val="none" w:sz="0" w:space="0" w:color="auto"/>
      </w:divBdr>
    </w:div>
    <w:div w:id="2131700372">
      <w:bodyDiv w:val="1"/>
      <w:marLeft w:val="0"/>
      <w:marRight w:val="0"/>
      <w:marTop w:val="0"/>
      <w:marBottom w:val="0"/>
      <w:divBdr>
        <w:top w:val="none" w:sz="0" w:space="0" w:color="auto"/>
        <w:left w:val="none" w:sz="0" w:space="0" w:color="auto"/>
        <w:bottom w:val="none" w:sz="0" w:space="0" w:color="auto"/>
        <w:right w:val="none" w:sz="0" w:space="0" w:color="auto"/>
      </w:divBdr>
    </w:div>
    <w:div w:id="21442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nda.ie/publications/access-officer-guidance-for-public-bodies"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s://nda.ie/publications/access-officer-guidance-for-public-bo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solidFill>
                <a:latin typeface="Gill Sans MT" panose="020B0502020104020203" pitchFamily="34" charset="0"/>
                <a:ea typeface="+mn-ea"/>
                <a:cs typeface="+mn-cs"/>
              </a:defRPr>
            </a:pPr>
            <a:r>
              <a:rPr lang="ga" b="0" i="0" u="none" baseline="0">
                <a:latin typeface="Gill Sans MT" panose="020B0502020104020203" pitchFamily="34" charset="0"/>
                <a:ea typeface="Gill Sans MT" panose="020B0502020104020203" pitchFamily="34" charset="0"/>
                <a:cs typeface="Gill Sans MT" panose="020B0502020104020203" pitchFamily="34" charset="0"/>
              </a:rPr>
              <a:t>Fionnachtana Tosaigh – Cuireadh Oifigeach Rochtana Chun Cinn ar an Suíomh Gréasáin </a:t>
            </a:r>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solidFill>
              <a:latin typeface="Gill Sans MT" panose="020B0502020104020203" pitchFamily="34" charset="0"/>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3374-4146-809E-4AAD0C8A798E}"/>
              </c:ext>
            </c:extLst>
          </c:dPt>
          <c:dPt>
            <c:idx val="1"/>
            <c:bubble3D val="0"/>
            <c:spPr>
              <a:solidFill>
                <a:schemeClr val="tx1"/>
              </a:solidFill>
              <a:ln w="19050">
                <a:solidFill>
                  <a:schemeClr val="bg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3374-4146-809E-4AAD0C8A798E}"/>
              </c:ext>
            </c:extLst>
          </c:dPt>
          <c:dLbls>
            <c:dLbl>
              <c:idx val="0"/>
              <c:layout>
                <c:manualLayout>
                  <c:x val="-4.3225458061761418E-4"/>
                  <c:y val="-0.15873576896135574"/>
                </c:manualLayout>
              </c:layout>
              <c:tx>
                <c:rich>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r>
                      <a:rPr lang="en-US" sz="900" b="0" i="0" u="none" strike="noStrike" baseline="0">
                        <a:effectLst/>
                        <a:latin typeface="Gill Sans MT" panose="020B0502020104020203" pitchFamily="34" charset="0"/>
                      </a:rPr>
                      <a:t>Cuireadh an tOifigeach Rochtana chun cinn</a:t>
                    </a:r>
                    <a:r>
                      <a:rPr lang="en-US" sz="1050" b="0" i="0" u="none" baseline="0">
                        <a:latin typeface="Gill Sans MT" panose="020B0502020104020203" pitchFamily="34" charset="0"/>
                        <a:ea typeface="Gill Sans MT" panose="020B0502020104020203" pitchFamily="34" charset="0"/>
                        <a:cs typeface="Gill Sans MT" panose="020B0502020104020203" pitchFamily="34" charset="0"/>
                      </a:rPr>
                      <a:t>  </a:t>
                    </a:r>
                  </a:p>
                  <a:p>
                    <a:pPr rtl="0">
                      <a:defRPr/>
                    </a:pPr>
                    <a:r>
                      <a:rPr lang="en-US" sz="1050" b="0" i="0" u="none" baseline="0">
                        <a:latin typeface="Gill Sans MT" panose="020B0502020104020203" pitchFamily="34" charset="0"/>
                        <a:ea typeface="Gill Sans MT" panose="020B0502020104020203" pitchFamily="34" charset="0"/>
                        <a:cs typeface="Gill Sans MT" panose="020B0502020104020203" pitchFamily="34" charset="0"/>
                      </a:rPr>
                      <a:t>47.7%</a:t>
                    </a:r>
                  </a:p>
                </c:rich>
              </c:tx>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showDataLabelsRange val="0"/>
                </c:ext>
                <c:ext xmlns:c16="http://schemas.microsoft.com/office/drawing/2014/chart" uri="{C3380CC4-5D6E-409C-BE32-E72D297353CC}">
                  <c16:uniqueId val="{00000001-3374-4146-809E-4AAD0C8A798E}"/>
                </c:ext>
              </c:extLst>
            </c:dLbl>
            <c:dLbl>
              <c:idx val="1"/>
              <c:layout>
                <c:manualLayout>
                  <c:x val="1.1868038026347168E-2"/>
                  <c:y val="0.17732688558624707"/>
                </c:manualLayout>
              </c:layout>
              <c:tx>
                <c:rich>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r>
                      <a:rPr lang="en-US" sz="900" b="0" i="0" u="none" strike="noStrike" baseline="0">
                        <a:effectLst/>
                        <a:latin typeface="Gill Sans MT" panose="020B0502020104020203" pitchFamily="34" charset="0"/>
                      </a:rPr>
                      <a:t>Níor cuireadh an tOifigeach Rochtana chun cinn</a:t>
                    </a:r>
                    <a:r>
                      <a:rPr lang="en-US" sz="1050" b="0" i="0" u="none" baseline="0">
                        <a:latin typeface="Gill Sans MT" panose="020B0502020104020203" pitchFamily="34" charset="0"/>
                        <a:ea typeface="Gill Sans MT" panose="020B0502020104020203" pitchFamily="34" charset="0"/>
                        <a:cs typeface="Gill Sans MT" panose="020B0502020104020203" pitchFamily="34" charset="0"/>
                      </a:rPr>
                      <a:t> </a:t>
                    </a:r>
                  </a:p>
                  <a:p>
                    <a:pPr rtl="0">
                      <a:defRPr/>
                    </a:pPr>
                    <a:r>
                      <a:rPr lang="en-US" sz="1050" b="0" i="0" u="none" baseline="0">
                        <a:solidFill>
                          <a:sysClr val="windowText" lastClr="000000"/>
                        </a:solidFill>
                        <a:latin typeface="Gill Sans MT" panose="020B0502020104020203" pitchFamily="34" charset="0"/>
                        <a:ea typeface="Gill Sans MT" panose="020B0502020104020203" pitchFamily="34" charset="0"/>
                        <a:cs typeface="Gill Sans MT" panose="020B0502020104020203" pitchFamily="34" charset="0"/>
                      </a:rPr>
                      <a:t>52.3%</a:t>
                    </a:r>
                  </a:p>
                </c:rich>
              </c:tx>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layout>
                    <c:manualLayout>
                      <c:w val="0.20173504627711009"/>
                      <c:h val="0.3290899730781241"/>
                    </c:manualLayout>
                  </c15:layout>
                  <c15:showDataLabelsRange val="0"/>
                </c:ext>
                <c:ext xmlns:c16="http://schemas.microsoft.com/office/drawing/2014/chart" uri="{C3380CC4-5D6E-409C-BE32-E72D297353CC}">
                  <c16:uniqueId val="{00000003-3374-4146-809E-4AAD0C8A798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ext>
            </c:extLst>
          </c:dLbls>
          <c:cat>
            <c:strRef>
              <c:f>'initial findings- adjusted'!$A$290:$A$291</c:f>
              <c:strCache>
                <c:ptCount val="2"/>
                <c:pt idx="0">
                  <c:v>Access Officer promoted </c:v>
                </c:pt>
                <c:pt idx="1">
                  <c:v>Access Officer not promoted</c:v>
                </c:pt>
              </c:strCache>
            </c:strRef>
          </c:cat>
          <c:val>
            <c:numRef>
              <c:f>'initial findings- adjusted'!$B$290:$B$291</c:f>
              <c:numCache>
                <c:formatCode>General</c:formatCode>
                <c:ptCount val="2"/>
                <c:pt idx="0">
                  <c:v>134</c:v>
                </c:pt>
                <c:pt idx="1">
                  <c:v>148</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3374-4146-809E-4AAD0C8A798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0">
              <a:defRPr sz="1400" b="1" i="0" u="none" strike="noStrike" kern="1200" spc="0" baseline="0">
                <a:solidFill>
                  <a:sysClr val="windowText" lastClr="000000"/>
                </a:solidFill>
                <a:latin typeface="+mn-lt"/>
                <a:ea typeface="+mn-ea"/>
                <a:cs typeface="+mn-cs"/>
              </a:defRPr>
            </a:pPr>
            <a:r>
              <a:rPr lang="ga" sz="1400" b="0" i="0" u="none" baseline="0">
                <a:solidFill>
                  <a:sysClr val="windowText" lastClr="000000"/>
                </a:solidFill>
                <a:latin typeface="Gill Sans MT" panose="020B0502020104020203" pitchFamily="34" charset="0"/>
                <a:ea typeface="Gill Sans MT" panose="020B0502020104020203" pitchFamily="34" charset="0"/>
                <a:cs typeface="Gill Sans MT" panose="020B0502020104020203" pitchFamily="34" charset="0"/>
              </a:rPr>
              <a:t>Fionnachtana Deiridh – Cuireadh Oifigeach Rochtana Chun Cinn ar an Suíomh Gréasáin </a:t>
            </a:r>
          </a:p>
        </c:rich>
      </c:tx>
      <c:layout>
        <c:manualLayout>
          <c:xMode val="edge"/>
          <c:yMode val="edge"/>
          <c:x val="0.15977610663835559"/>
          <c:y val="1.8669274620927163E-2"/>
        </c:manualLayout>
      </c:layout>
      <c:overlay val="0"/>
      <c:spPr>
        <a:solidFill>
          <a:sysClr val="window" lastClr="FFFFFF"/>
        </a:solidFill>
        <a:ln>
          <a:noFill/>
        </a:ln>
        <a:effectLst/>
      </c:spPr>
      <c:txPr>
        <a:bodyPr rot="0" spcFirstLastPara="1" vertOverflow="ellipsis" vert="horz" wrap="square" anchor="ctr" anchorCtr="1"/>
        <a:lstStyle/>
        <a:p>
          <a:pPr rtl="0">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8913116629652064"/>
          <c:y val="0.15313070322168279"/>
          <c:w val="0.46511407227942658"/>
          <c:h val="0.75189425156052381"/>
        </c:manualLayout>
      </c:layout>
      <c:pieChart>
        <c:varyColors val="1"/>
        <c:ser>
          <c:idx val="0"/>
          <c:order val="0"/>
          <c:dPt>
            <c:idx val="0"/>
            <c:bubble3D val="0"/>
            <c:spPr>
              <a:solidFill>
                <a:srgbClr val="E31DA1"/>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B9D1-43BA-AAB6-EE7839EA8279}"/>
              </c:ext>
            </c:extLst>
          </c:dPt>
          <c:dPt>
            <c:idx val="1"/>
            <c:bubble3D val="0"/>
            <c:spPr>
              <a:solidFill>
                <a:schemeClr val="accent2"/>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B9D1-43BA-AAB6-EE7839EA8279}"/>
              </c:ext>
            </c:extLst>
          </c:dPt>
          <c:dLbls>
            <c:dLbl>
              <c:idx val="0"/>
              <c:layout>
                <c:manualLayout>
                  <c:x val="9.7406586278837165E-2"/>
                  <c:y val="-0.10507349675138666"/>
                </c:manualLayout>
              </c:layout>
              <c:tx>
                <c:rich>
                  <a:bodyPr/>
                  <a:lstStyle/>
                  <a:p>
                    <a:r>
                      <a:rPr lang="en-US" sz="1050" b="0" i="0" u="none" strike="noStrike" baseline="0">
                        <a:effectLst/>
                      </a:rPr>
                      <a:t>Cuireadh an tOifigeach Rochtana chun cinn</a:t>
                    </a:r>
                    <a:r>
                      <a:rPr lang="en-US" sz="1000" b="0" i="0" u="none" baseline="0">
                        <a:solidFill>
                          <a:sysClr val="windowText" lastClr="000000"/>
                        </a:solidFill>
                        <a:latin typeface="Gill Sans MT" panose="020B0502020104020203" pitchFamily="34" charset="0"/>
                        <a:ea typeface="Gill Sans MT" panose="020B0502020104020203" pitchFamily="34" charset="0"/>
                        <a:cs typeface="Gill Sans MT" panose="020B0502020104020203" pitchFamily="34" charset="0"/>
                      </a:rPr>
                      <a:t>
68.3%</a:t>
                    </a:r>
                  </a:p>
                </c:rich>
              </c:tx>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0.16195396265122033"/>
                      <c:h val="0.38064027207866624"/>
                    </c:manualLayout>
                  </c15:layout>
                  <c15:showDataLabelsRange val="0"/>
                </c:ext>
                <c:ext xmlns:c16="http://schemas.microsoft.com/office/drawing/2014/chart" uri="{C3380CC4-5D6E-409C-BE32-E72D297353CC}">
                  <c16:uniqueId val="{00000001-B9D1-43BA-AAB6-EE7839EA8279}"/>
                </c:ext>
              </c:extLst>
            </c:dLbl>
            <c:dLbl>
              <c:idx val="1"/>
              <c:layout>
                <c:manualLayout>
                  <c:x val="-7.4786267128233871E-2"/>
                  <c:y val="0.10172362060069051"/>
                </c:manualLayout>
              </c:layout>
              <c:tx>
                <c:rich>
                  <a:bodyPr/>
                  <a:lstStyle/>
                  <a:p>
                    <a:r>
                      <a:rPr lang="en-US" sz="1050" b="0" i="0" u="none" strike="noStrike" baseline="0">
                        <a:effectLst/>
                      </a:rPr>
                      <a:t>Níor cuireadh an tOifigeach Rochtana chun cinn</a:t>
                    </a:r>
                    <a:r>
                      <a:rPr lang="en-US" sz="1000" b="0" i="0" u="none" baseline="0">
                        <a:solidFill>
                          <a:schemeClr val="dk1"/>
                        </a:solidFill>
                        <a:latin typeface="Gill Sans MT" panose="020B0502020104020203" pitchFamily="34" charset="0"/>
                        <a:ea typeface="+mn-ea"/>
                        <a:cs typeface="+mn-cs"/>
                      </a:rPr>
                      <a:t>
31.7%</a:t>
                    </a:r>
                  </a:p>
                </c:rich>
              </c:tx>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0.17823468695626529"/>
                      <c:h val="0.35209288329404687"/>
                    </c:manualLayout>
                  </c15:layout>
                  <c15:showDataLabelsRange val="0"/>
                </c:ext>
                <c:ext xmlns:c16="http://schemas.microsoft.com/office/drawing/2014/chart" uri="{C3380CC4-5D6E-409C-BE32-E72D297353CC}">
                  <c16:uniqueId val="{00000003-B9D1-43BA-AAB6-EE7839EA8279}"/>
                </c:ext>
              </c:extLst>
            </c:dLbl>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rtl="0">
                  <a:defRPr sz="1050" b="0" i="0" u="none" strike="noStrike" kern="1200" baseline="0">
                    <a:solidFill>
                      <a:schemeClr val="dk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'!$A$290:$A$291</c:f>
              <c:strCache>
                <c:ptCount val="2"/>
                <c:pt idx="0">
                  <c:v>Access Officer promoted </c:v>
                </c:pt>
                <c:pt idx="1">
                  <c:v>Access Officer not promoted</c:v>
                </c:pt>
              </c:strCache>
            </c:strRef>
          </c:cat>
          <c:val>
            <c:numRef>
              <c:f>'Final Monitoring Findings '!$B$290:$B$291</c:f>
              <c:numCache>
                <c:formatCode>General</c:formatCode>
                <c:ptCount val="2"/>
                <c:pt idx="0">
                  <c:v>192</c:v>
                </c:pt>
                <c:pt idx="1">
                  <c:v>90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B9D1-43BA-AAB6-EE7839EA8279}"/>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solidFill>
                <a:latin typeface="Gill Sans MT" panose="020B0502020104020203" pitchFamily="34" charset="0"/>
                <a:ea typeface="+mn-ea"/>
                <a:cs typeface="+mn-cs"/>
              </a:defRPr>
            </a:pPr>
            <a:r>
              <a:rPr lang="ga" b="0" i="0" u="none" baseline="0">
                <a:solidFill>
                  <a:schemeClr val="tx1"/>
                </a:solidFill>
                <a:latin typeface="Gill Sans MT" panose="020B0502020104020203" pitchFamily="34" charset="0"/>
                <a:ea typeface="Gill Sans MT" panose="020B0502020104020203" pitchFamily="34" charset="0"/>
                <a:cs typeface="Gill Sans MT" panose="020B0502020104020203" pitchFamily="34" charset="0"/>
              </a:rPr>
              <a:t>Fionnachtana Tosaigh – Comhlachtaí poiblí a chomhlíon critéir uile an táscaire</a:t>
            </a:r>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solidFill>
              <a:latin typeface="Gill Sans MT" panose="020B0502020104020203" pitchFamily="34" charset="0"/>
              <a:ea typeface="+mn-ea"/>
              <a:cs typeface="+mn-cs"/>
            </a:defRPr>
          </a:pPr>
          <a:endParaRPr lang="en-US"/>
        </a:p>
      </c:txPr>
    </c:title>
    <c:autoTitleDeleted val="0"/>
    <c:plotArea>
      <c:layout/>
      <c:pieChart>
        <c:varyColors val="1"/>
        <c:ser>
          <c:idx val="0"/>
          <c:order val="0"/>
          <c:spPr>
            <a:solidFill>
              <a:schemeClr val="tx1"/>
            </a:solidFill>
          </c:spPr>
          <c:dPt>
            <c:idx val="0"/>
            <c:bubble3D val="0"/>
            <c:spPr>
              <a:solidFill>
                <a:schemeClr val="tx1"/>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2A44-449D-AE4D-A7162B8CF75B}"/>
              </c:ext>
            </c:extLst>
          </c:dPt>
          <c:dPt>
            <c:idx val="1"/>
            <c:bubble3D val="0"/>
            <c:spPr>
              <a:solidFill>
                <a:schemeClr val="accent6"/>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2A44-449D-AE4D-A7162B8CF75B}"/>
              </c:ext>
            </c:extLst>
          </c:dPt>
          <c:dLbls>
            <c:dLbl>
              <c:idx val="0"/>
              <c:tx>
                <c:rich>
                  <a:bodyPr/>
                  <a:lstStyle/>
                  <a:p>
                    <a:r>
                      <a:rPr lang="en-US" sz="900" b="0" i="0" u="none" strike="noStrike" baseline="0">
                        <a:effectLst/>
                      </a:rPr>
                      <a:t>Níor comhlíonadh critéir uile an táscaire</a:t>
                    </a:r>
                    <a:r>
                      <a:rPr lang="en-US" sz="1000" b="0" i="0" u="none" baseline="0"/>
                      <a:t>
65.1%</a:t>
                    </a:r>
                  </a:p>
                </c:rich>
              </c:tx>
              <c:dLblPos val="outEnd"/>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1-2A44-449D-AE4D-A7162B8CF75B}"/>
                </c:ext>
              </c:extLst>
            </c:dLbl>
            <c:dLbl>
              <c:idx val="1"/>
              <c:layout>
                <c:manualLayout>
                  <c:x val="-2.551582678851606E-17"/>
                  <c:y val="4.1151787985519167E-17"/>
                </c:manualLayout>
              </c:layout>
              <c:tx>
                <c:rich>
                  <a:bodyPr/>
                  <a:lstStyle/>
                  <a:p>
                    <a:r>
                      <a:rPr lang="en-US" sz="900" b="0" i="0" u="none" strike="noStrike" baseline="0">
                        <a:effectLst/>
                      </a:rPr>
                      <a:t>Comhlíonadh critéir uile an táscaire</a:t>
                    </a:r>
                    <a:r>
                      <a:rPr lang="en-US" sz="1000" b="0" i="0" u="none" baseline="0"/>
                      <a:t>
34.9%</a:t>
                    </a:r>
                  </a:p>
                </c:rich>
              </c:tx>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3-2A44-449D-AE4D-A7162B8CF75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ext>
            </c:extLst>
          </c:dLbls>
          <c:cat>
            <c:strRef>
              <c:f>'initial findings- adjusted'!$J$308:$J$309</c:f>
              <c:strCache>
                <c:ptCount val="2"/>
                <c:pt idx="0">
                  <c:v>Did not meet all the criteria of the indicator</c:v>
                </c:pt>
                <c:pt idx="1">
                  <c:v>met all criteria of the indicator</c:v>
                </c:pt>
              </c:strCache>
            </c:strRef>
          </c:cat>
          <c:val>
            <c:numRef>
              <c:f>'initial findings- adjusted'!$K$308:$K$309</c:f>
              <c:numCache>
                <c:formatCode>General</c:formatCode>
                <c:ptCount val="2"/>
                <c:pt idx="0">
                  <c:v>184</c:v>
                </c:pt>
                <c:pt idx="1">
                  <c:v>98</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2A44-449D-AE4D-A7162B8CF75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0">
              <a:defRPr sz="1600" b="1" i="0" u="none" strike="noStrike" kern="1200" cap="all" baseline="0">
                <a:solidFill>
                  <a:schemeClr val="tx1">
                    <a:lumMod val="65000"/>
                    <a:lumOff val="35000"/>
                  </a:schemeClr>
                </a:solidFill>
                <a:latin typeface="+mn-lt"/>
                <a:ea typeface="+mn-ea"/>
                <a:cs typeface="+mn-cs"/>
              </a:defRPr>
            </a:pPr>
            <a:r>
              <a:rPr lang="ga" sz="1400" b="0" i="0" u="none" cap="none" spc="0" baseline="0">
                <a:ln w="0"/>
                <a:solidFill>
                  <a:schemeClr val="tx1"/>
                </a:solidFill>
                <a:effectLst/>
                <a:latin typeface="Gill Sans MT" panose="020B0502020104020203" pitchFamily="34" charset="0"/>
                <a:ea typeface="Gill Sans MT" panose="020B0502020104020203" pitchFamily="34" charset="0"/>
                <a:cs typeface="Gill Sans MT" panose="020B0502020104020203" pitchFamily="34" charset="0"/>
              </a:rPr>
              <a:t>Fionnachtana Deiridh – Comhlachtaí poiblí a chomhlíon critéir uile an táscaire</a:t>
            </a:r>
            <a:endParaRPr lang="ga" sz="1200" b="0" cap="none" spc="0">
              <a:ln w="0"/>
              <a:solidFill>
                <a:schemeClr val="tx1"/>
              </a:solidFill>
              <a:effectLst/>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rtl="0">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E31DA1"/>
              </a:solidFill>
              <a:ln>
                <a:noFill/>
              </a:ln>
              <a:effectLst>
                <a:outerShdw blurRad="63500" sx="102000" sy="102000" algn="ctr" rotWithShape="0">
                  <a:prstClr val="black">
                    <a:alpha val="20000"/>
                  </a:prstClr>
                </a:outerShdw>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BE93-4EF0-B1DE-DD35A7E095F0}"/>
              </c:ext>
            </c:extLst>
          </c:dPt>
          <c:dPt>
            <c:idx val="1"/>
            <c:bubble3D val="0"/>
            <c:spPr>
              <a:solidFill>
                <a:schemeClr val="accent2"/>
              </a:solidFill>
              <a:ln>
                <a:solidFill>
                  <a:sysClr val="window" lastClr="FFFFFF"/>
                </a:solidFill>
              </a:ln>
              <a:effectLst>
                <a:outerShdw blurRad="63500" sx="102000" sy="102000" algn="ctr" rotWithShape="0">
                  <a:prstClr val="black">
                    <a:alpha val="20000"/>
                  </a:prstClr>
                </a:outerShdw>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BE93-4EF0-B1DE-DD35A7E095F0}"/>
              </c:ext>
            </c:extLst>
          </c:dPt>
          <c:dLbls>
            <c:dLbl>
              <c:idx val="0"/>
              <c:layout>
                <c:manualLayout>
                  <c:x val="6.5462578494329543E-2"/>
                  <c:y val="-5.854817295098666E-2"/>
                </c:manualLayout>
              </c:layout>
              <c:tx>
                <c:rich>
                  <a:bodyPr rot="0" spcFirstLastPara="1" vertOverflow="clip" horzOverflow="clip" vert="horz" wrap="square" lIns="36576" tIns="18288" rIns="36576" bIns="18288" anchor="ctr" anchorCtr="1">
                    <a:spAutoFit/>
                  </a:bodyPr>
                  <a:lstStyle/>
                  <a:p>
                    <a:pPr rtl="0">
                      <a:defRPr sz="1000" b="1" i="0" u="none" strike="noStrike" kern="1200" baseline="0">
                        <a:solidFill>
                          <a:schemeClr val="dk1"/>
                        </a:solidFill>
                        <a:latin typeface="Gill Sans MT" panose="020B0502020104020203" pitchFamily="34" charset="0"/>
                        <a:ea typeface="+mn-ea"/>
                        <a:cs typeface="+mn-cs"/>
                      </a:defRPr>
                    </a:pPr>
                    <a:r>
                      <a:rPr lang="en-US" sz="1000" b="0" i="0" u="none" strike="noStrike" baseline="0">
                        <a:effectLst/>
                      </a:rPr>
                      <a:t>Comhlíonadh critéir uile an táscaire</a:t>
                    </a:r>
                    <a:r>
                      <a:rPr lang="en-US" sz="1000" b="0" i="0" u="none" baseline="0">
                        <a:solidFill>
                          <a:schemeClr val="dk1"/>
                        </a:solidFill>
                        <a:latin typeface="Gill Sans MT" panose="020B0502020104020203" pitchFamily="34" charset="0"/>
                        <a:ea typeface="+mn-ea"/>
                        <a:cs typeface="+mn-cs"/>
                      </a:rPr>
                      <a:t>
58.7%</a:t>
                    </a:r>
                  </a:p>
                </c:rich>
              </c:tx>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6576" tIns="18288" rIns="36576" bIns="18288" anchor="ctr" anchorCtr="1">
                  <a:spAutoFit/>
                </a:bodyPr>
                <a:lstStyle/>
                <a:p>
                  <a:pPr rtl="0">
                    <a:defRPr sz="1000" b="1"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layout>
                    <c:manualLayout>
                      <c:w val="0.21974260306517954"/>
                      <c:h val="0.32766609284891035"/>
                    </c:manualLayout>
                  </c15:layout>
                  <c15:showDataLabelsRange val="0"/>
                </c:ext>
                <c:ext xmlns:c16="http://schemas.microsoft.com/office/drawing/2014/chart" uri="{C3380CC4-5D6E-409C-BE32-E72D297353CC}">
                  <c16:uniqueId val="{00000001-BE93-4EF0-B1DE-DD35A7E095F0}"/>
                </c:ext>
              </c:extLst>
            </c:dLbl>
            <c:dLbl>
              <c:idx val="1"/>
              <c:layout>
                <c:manualLayout>
                  <c:x val="-7.0657500080362867E-2"/>
                  <c:y val="-0.11558307533539736"/>
                </c:manualLayout>
              </c:layout>
              <c:tx>
                <c:rich>
                  <a:bodyPr rot="0" spcFirstLastPara="1" vertOverflow="clip" horzOverflow="clip" vert="horz" wrap="square" lIns="36576" tIns="18288" rIns="36576" bIns="18288" anchor="ctr" anchorCtr="1">
                    <a:spAutoFit/>
                  </a:bodyPr>
                  <a:lstStyle/>
                  <a:p>
                    <a:pPr rtl="0">
                      <a:defRPr sz="1000" b="1" i="0" u="none" strike="noStrike" kern="1200" baseline="0">
                        <a:solidFill>
                          <a:schemeClr val="dk1"/>
                        </a:solidFill>
                        <a:latin typeface="+mn-lt"/>
                        <a:ea typeface="+mn-ea"/>
                        <a:cs typeface="+mn-cs"/>
                      </a:defRPr>
                    </a:pPr>
                    <a:r>
                      <a:rPr lang="en-US" sz="1000" b="0" i="0" u="none" strike="noStrike" baseline="0">
                        <a:effectLst/>
                        <a:latin typeface="Gill Sans MT" panose="020B0502020104020203" pitchFamily="34" charset="0"/>
                      </a:rPr>
                      <a:t>Níor comhlíonadh critéir uile an táscaire</a:t>
                    </a:r>
                    <a:r>
                      <a:rPr lang="en-US" sz="1000" b="0" i="0" u="none" baseline="0">
                        <a:latin typeface="Gill Sans MT" panose="020B0502020104020203" pitchFamily="34" charset="0"/>
                        <a:ea typeface="Gill Sans MT" panose="020B0502020104020203" pitchFamily="34" charset="0"/>
                        <a:cs typeface="Gill Sans MT" panose="020B0502020104020203" pitchFamily="34" charset="0"/>
                      </a:rPr>
                      <a:t>
41.3%</a:t>
                    </a:r>
                  </a:p>
                </c:rich>
              </c:tx>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rtl="0">
                    <a:defRPr sz="1000" b="1" i="0" u="none" strike="noStrike" kern="1200" baseline="0">
                      <a:solidFill>
                        <a:schemeClr val="dk1"/>
                      </a:solidFill>
                      <a:latin typeface="+mn-lt"/>
                      <a:ea typeface="+mn-ea"/>
                      <a:cs typeface="+mn-cs"/>
                    </a:defRPr>
                  </a:pPr>
                  <a:endParaRPr lang="en-US"/>
                </a:p>
              </c:txPr>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showDataLabelsRange val="0"/>
                </c:ext>
                <c:ext xmlns:c16="http://schemas.microsoft.com/office/drawing/2014/chart" uri="{C3380CC4-5D6E-409C-BE32-E72D297353CC}">
                  <c16:uniqueId val="{00000003-BE93-4EF0-B1DE-DD35A7E095F0}"/>
                </c:ext>
              </c:extLst>
            </c:dLbl>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rtl="0">
                  <a:defRPr sz="1000" b="1" i="0" u="none" strike="noStrike" kern="1200" baseline="0">
                    <a:solidFill>
                      <a:schemeClr val="dk1"/>
                    </a:solidFill>
                    <a:latin typeface="+mn-lt"/>
                    <a:ea typeface="+mn-ea"/>
                    <a:cs typeface="+mn-cs"/>
                  </a:defRPr>
                </a:pPr>
                <a:endParaRPr lang="en-US"/>
              </a:p>
            </c:txPr>
            <c:dLblPos val="outEnd"/>
            <c:showLegendKey val="0"/>
            <c:showVal val="0"/>
            <c:showCatName val="1"/>
            <c:showSerName val="0"/>
            <c:showPercent val="1"/>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'!$J$308:$J$309</c:f>
              <c:strCache>
                <c:ptCount val="2"/>
                <c:pt idx="0">
                  <c:v> Met the criteria of the indicator</c:v>
                </c:pt>
                <c:pt idx="1">
                  <c:v>Did not meet the criteria of the indicator</c:v>
                </c:pt>
              </c:strCache>
            </c:strRef>
          </c:cat>
          <c:val>
            <c:numRef>
              <c:f>'Final Monitoring Findings '!$K$308:$K$309</c:f>
              <c:numCache>
                <c:formatCode>General</c:formatCode>
                <c:ptCount val="2"/>
                <c:pt idx="0">
                  <c:v>165</c:v>
                </c:pt>
                <c:pt idx="1">
                  <c:v>117</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BE93-4EF0-B1DE-DD35A7E095F0}"/>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Word]Sheet1'!$B$1</c:f>
              <c:strCache>
                <c:ptCount val="1"/>
                <c:pt idx="0">
                  <c:v>Initial Findings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Word]Sheet1'!$B$3</c:f>
              <c:numCache>
                <c:formatCode>0.0%</c:formatCode>
                <c:ptCount val="1"/>
                <c:pt idx="0">
                  <c:v>0.47517730496453903</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3462-4450-B300-9F0A4C773FF3}"/>
            </c:ext>
          </c:extLst>
        </c:ser>
        <c:ser>
          <c:idx val="1"/>
          <c:order val="1"/>
          <c:tx>
            <c:strRef>
              <c:f>'[Chart in Microsoft Word]Sheet1'!$C$1</c:f>
              <c:strCache>
                <c:ptCount val="1"/>
                <c:pt idx="0">
                  <c:v>Final Findings</c:v>
                </c:pt>
              </c:strCache>
            </c:strRef>
          </c:tx>
          <c:spPr>
            <a:solidFill>
              <a:schemeClr val="accent2"/>
            </a:solidFill>
            <a:ln>
              <a:noFill/>
            </a:ln>
            <a:effectLst/>
          </c:spPr>
          <c:invertIfNegative val="0"/>
          <c:dLbls>
            <c:dLbl>
              <c:idx val="0"/>
              <c:tx>
                <c:rich>
                  <a:bodyPr/>
                  <a:lstStyle/>
                  <a:p>
                    <a:r>
                      <a:rPr lang="en-US" b="0" i="0" u="none" baseline="0"/>
                      <a:t>68.3%</a:t>
                    </a:r>
                  </a:p>
                </c:rich>
              </c:tx>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0-1E81-49D7-A87B-EE961F68361C}"/>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Word]Sheet1'!$C$3</c:f>
              <c:numCache>
                <c:formatCode>0.0%</c:formatCode>
                <c:ptCount val="1"/>
                <c:pt idx="0">
                  <c:v>0.68085106382978722</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3462-4450-B300-9F0A4C773FF3}"/>
            </c:ext>
          </c:extLst>
        </c:ser>
        <c:dLbls>
          <c:showLegendKey val="0"/>
          <c:showVal val="0"/>
          <c:showCatName val="0"/>
          <c:showSerName val="0"/>
          <c:showPercent val="0"/>
          <c:showBubbleSize val="0"/>
        </c:dLbls>
        <c:gapWidth val="219"/>
        <c:overlap val="-27"/>
        <c:axId val="475994312"/>
        <c:axId val="475992672"/>
      </c:barChart>
      <c:catAx>
        <c:axId val="475994312"/>
        <c:scaling>
          <c:orientation val="minMax"/>
        </c:scaling>
        <c:delete val="1"/>
        <c:axPos val="b"/>
        <c:majorTickMark val="none"/>
        <c:minorTickMark val="none"/>
        <c:tickLblPos val="nextTo"/>
        <c:crossAx val="475992672"/>
        <c:crosses val="autoZero"/>
        <c:auto val="1"/>
        <c:lblAlgn val="ctr"/>
        <c:lblOffset val="100"/>
        <c:noMultiLvlLbl val="0"/>
      </c:catAx>
      <c:valAx>
        <c:axId val="475992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75994312"/>
        <c:crosses val="autoZero"/>
        <c:crossBetween val="between"/>
      </c:valAx>
      <c:spPr>
        <a:noFill/>
        <a:ln>
          <a:noFill/>
        </a:ln>
        <a:effectLst/>
      </c:spPr>
    </c:plotArea>
    <c:plotVisOnly val="1"/>
    <c:dispBlanksAs val="gap"/>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v>Initial Findings</c:v>
          </c:tx>
          <c:spPr>
            <a:solidFill>
              <a:schemeClr val="accent4"/>
            </a:solidFill>
            <a:ln>
              <a:noFill/>
            </a:ln>
            <a:effectLst/>
          </c:spPr>
          <c:invertIfNegative val="0"/>
          <c:dLbls>
            <c:dLbl>
              <c:idx val="0"/>
              <c:tx>
                <c:rich>
                  <a:bodyPr/>
                  <a:lstStyle/>
                  <a:p>
                    <a:r>
                      <a:rPr lang="en-US" b="0" i="0" u="none" baseline="0"/>
                      <a:t>34.9%</a:t>
                    </a:r>
                  </a:p>
                </c:rich>
              </c:tx>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0-5657-4EE0-9B78-F891972E824F}"/>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Met all Criteria</c:v>
              </c:pt>
            </c:strLit>
          </c:cat>
          <c:val>
            <c:numRef>
              <c:f>'[Chart in Microsoft Word]Sheet1'!$B$3</c:f>
              <c:numCache>
                <c:formatCode>0.0%</c:formatCode>
                <c:ptCount val="1"/>
                <c:pt idx="0">
                  <c:v>0.3475177304964539</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8100-4FC5-A10A-9D736979FC1B}"/>
            </c:ext>
          </c:extLst>
        </c:ser>
        <c:ser>
          <c:idx val="4"/>
          <c:order val="4"/>
          <c:tx>
            <c:v>Final Findings</c:v>
          </c:tx>
          <c:spPr>
            <a:solidFill>
              <a:schemeClr val="accent5"/>
            </a:solidFill>
            <a:ln>
              <a:noFill/>
            </a:ln>
            <a:effectLst/>
          </c:spPr>
          <c:invertIfNegative val="0"/>
          <c:dLbls>
            <c:dLbl>
              <c:idx val="0"/>
              <c:tx>
                <c:rich>
                  <a:bodyPr/>
                  <a:lstStyle/>
                  <a:p>
                    <a:r>
                      <a:rPr lang="en-US" b="0" i="0" u="none" baseline="0"/>
                      <a:t>58.7%</a:t>
                    </a:r>
                  </a:p>
                </c:rich>
              </c:tx>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1-5657-4EE0-9B78-F891972E824F}"/>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Met all Criteria</c:v>
              </c:pt>
            </c:strLit>
          </c:cat>
          <c:val>
            <c:numRef>
              <c:f>'[Chart in Microsoft Word]Sheet1'!$C$3</c:f>
              <c:numCache>
                <c:formatCode>0.0%</c:formatCode>
                <c:ptCount val="1"/>
                <c:pt idx="0">
                  <c:v>0.58510638297872342</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8100-4FC5-A10A-9D736979FC1B}"/>
            </c:ext>
          </c:extLst>
        </c:ser>
        <c:dLbls>
          <c:showLegendKey val="0"/>
          <c:showVal val="0"/>
          <c:showCatName val="0"/>
          <c:showSerName val="0"/>
          <c:showPercent val="0"/>
          <c:showBubbleSize val="0"/>
        </c:dLbls>
        <c:gapWidth val="219"/>
        <c:overlap val="-27"/>
        <c:axId val="471417024"/>
        <c:axId val="471418664"/>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02D57815-91ED-43cb-92C2-25804820EDAC}">
            <c15:filteredBarSeries>
              <c15:ser>
                <c:idx val="0"/>
                <c:order val="0"/>
                <c:spPr>
                  <a:solidFill>
                    <a:schemeClr val="accent1"/>
                  </a:solidFill>
                  <a:ln>
                    <a:noFill/>
                  </a:ln>
                  <a:effectLst/>
                </c:spPr>
                <c:invertIfNegative val="0"/>
                <c:cat>
                  <c:strLit>
                    <c:ptCount val="1"/>
                    <c:pt idx="0">
                      <c:v>Met all Criteria</c:v>
                    </c:pt>
                  </c:strLit>
                </c:cat>
                <c:val>
                  <c:numRef>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uri="{02D57815-91ED-43cb-92C2-25804820EDAC}">
                        <c15:formulaRef>
                          <c15:sqref>'[Chart in Microsoft Word]Sheet1'!$B$1</c15:sqref>
                        </c15:formulaRef>
                      </c:ext>
                    </c:extLst>
                    <c:numCache>
                      <c:formatCode>General</c:formatCode>
                      <c:ptCount val="1"/>
                      <c:pt idx="0">
                        <c:v>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8100-4FC5-A10A-9D736979FC1B}"/>
                  </c:ext>
                </c:extLst>
              </c15:ser>
            </c15:filteredBarSeries>
            <c15:filteredBarSeries>
              <c15:ser>
                <c:idx val="1"/>
                <c:order val="1"/>
                <c:spPr>
                  <a:solidFill>
                    <a:schemeClr val="accent2"/>
                  </a:solidFill>
                  <a:ln>
                    <a:noFill/>
                  </a:ln>
                  <a:effectLst/>
                </c:spPr>
                <c:invertIfNegative val="0"/>
                <c:cat>
                  <c:strLit>
                    <c:ptCount val="1"/>
                    <c:pt idx="0">
                      <c:v>Met all Criteria</c:v>
                    </c:pt>
                  </c:strLit>
                </c:cat>
                <c:val>
                  <c:numRef>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c15="http://schemas.microsoft.com/office/drawing/2012/chart">
                      <c:ext xmlns:c15="http://schemas.microsoft.com/office/drawing/2012/chart" uri="{02D57815-91ED-43cb-92C2-25804820EDAC}">
                        <c15:formulaRef>
                          <c15:sqref>'[Chart in Microsoft Word]Sheet1'!$C$1</c15:sqref>
                        </c15:formulaRef>
                      </c:ext>
                    </c:extLst>
                    <c:numCache>
                      <c:formatCode>General</c:formatCode>
                      <c:ptCount val="1"/>
                      <c:pt idx="0">
                        <c:v>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c15="http://schemas.microsoft.com/office/drawing/2012/chart">
                  <c:ext xmlns:c16="http://schemas.microsoft.com/office/drawing/2014/chart" uri="{C3380CC4-5D6E-409C-BE32-E72D297353CC}">
                    <c16:uniqueId val="{00000003-8100-4FC5-A10A-9D736979FC1B}"/>
                  </c:ext>
                </c:extLst>
              </c15:ser>
            </c15:filteredBarSeries>
            <c15:filteredBarSeries>
              <c15:ser>
                <c:idx val="2"/>
                <c:order val="2"/>
                <c:spPr>
                  <a:solidFill>
                    <a:schemeClr val="accent3"/>
                  </a:solidFill>
                  <a:ln>
                    <a:noFill/>
                  </a:ln>
                  <a:effectLst/>
                </c:spPr>
                <c:invertIfNegative val="0"/>
                <c:cat>
                  <c:strLit>
                    <c:ptCount val="1"/>
                    <c:pt idx="0">
                      <c:v>Met all Criteria</c:v>
                    </c:pt>
                  </c:strLit>
                </c:cat>
                <c:val>
                  <c:numRef>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c15="http://schemas.microsoft.com/office/drawing/2012/chart">
                      <c:ext xmlns:c15="http://schemas.microsoft.com/office/drawing/2012/chart" uri="{02D57815-91ED-43cb-92C2-25804820EDAC}">
                        <c15:formulaRef>
                          <c15:sqref>'[Chart in Microsoft Word]Sheet1'!$A$2</c15:sqref>
                        </c15:formulaRef>
                      </c:ext>
                    </c:extLst>
                    <c:numCache>
                      <c:formatCode>General</c:formatCode>
                      <c:ptCount val="1"/>
                      <c:pt idx="0">
                        <c:v>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c15="http://schemas.microsoft.com/office/drawing/2012/chart">
                  <c:ext xmlns:c16="http://schemas.microsoft.com/office/drawing/2014/chart" uri="{C3380CC4-5D6E-409C-BE32-E72D297353CC}">
                    <c16:uniqueId val="{00000004-8100-4FC5-A10A-9D736979FC1B}"/>
                  </c:ext>
                </c:extLst>
              </c15:ser>
            </c15:filteredBarSeries>
          </c:ext>
        </c:extLst>
      </c:barChart>
      <c:catAx>
        <c:axId val="471417024"/>
        <c:scaling>
          <c:orientation val="minMax"/>
        </c:scaling>
        <c:delete val="1"/>
        <c:axPos val="b"/>
        <c:numFmt formatCode="General" sourceLinked="1"/>
        <c:majorTickMark val="none"/>
        <c:minorTickMark val="none"/>
        <c:tickLblPos val="nextTo"/>
        <c:crossAx val="471418664"/>
        <c:crosses val="autoZero"/>
        <c:auto val="1"/>
        <c:lblAlgn val="ctr"/>
        <c:lblOffset val="100"/>
        <c:noMultiLvlLbl val="0"/>
      </c:catAx>
      <c:valAx>
        <c:axId val="471418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471417024"/>
        <c:crosses val="autoZero"/>
        <c:crossBetween val="between"/>
      </c:valAx>
      <c:spPr>
        <a:noFill/>
        <a:ln>
          <a:noFill/>
        </a:ln>
        <a:effectLst/>
      </c:spPr>
    </c:plotArea>
    <c:plotVisOnly val="1"/>
    <c:dispBlanksAs val="gap"/>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E53786"/>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E9B2-D49E-4CA1-AA31-5FC29482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18</TotalTime>
  <Pages>9</Pages>
  <Words>1633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dc:description/>
  <cp:lastModifiedBy>Naomi Oldenburg (NDA)</cp:lastModifiedBy>
  <cp:revision>4</cp:revision>
  <dcterms:created xsi:type="dcterms:W3CDTF">2023-11-09T08:34:00Z</dcterms:created>
  <dcterms:modified xsi:type="dcterms:W3CDTF">2023-11-09T08:57:00Z</dcterms:modified>
</cp:coreProperties>
</file>