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A44E" w14:textId="77777777" w:rsidR="00E457C6" w:rsidRDefault="00E457C6" w:rsidP="00E457C6">
      <w:pPr>
        <w:spacing w:after="840"/>
      </w:pPr>
      <w:r>
        <w:rPr>
          <w:noProof/>
          <w:lang w:eastAsia="en-IE"/>
        </w:rPr>
        <w:drawing>
          <wp:inline distT="0" distB="0" distL="0" distR="0" wp14:anchorId="2B333CBF" wp14:editId="5C66929D">
            <wp:extent cx="2523490" cy="1799590"/>
            <wp:effectExtent l="0" t="0" r="0" b="0"/>
            <wp:docPr id="3" name="Picture 3"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CD25D22" w14:textId="0D3AEEEC" w:rsidR="004838F4" w:rsidRDefault="00AE0DE4" w:rsidP="00301CC9">
      <w:pPr>
        <w:pStyle w:val="Title"/>
        <w:spacing w:before="1440"/>
      </w:pPr>
      <w:r>
        <w:t>NDA</w:t>
      </w:r>
      <w:r w:rsidRPr="00AE0DE4">
        <w:t xml:space="preserve"> Submission to </w:t>
      </w:r>
      <w:bookmarkStart w:id="0" w:name="_Hlk195528083"/>
      <w:r w:rsidR="00880D31">
        <w:t xml:space="preserve">the Department of </w:t>
      </w:r>
      <w:r w:rsidR="001D0FB7">
        <w:t>Health</w:t>
      </w:r>
      <w:r w:rsidR="00880D31">
        <w:t xml:space="preserve"> to</w:t>
      </w:r>
      <w:r w:rsidR="00AC240B">
        <w:t xml:space="preserve"> inform its consultation on </w:t>
      </w:r>
      <w:bookmarkEnd w:id="0"/>
      <w:r w:rsidR="00880D31" w:rsidRPr="00880D31">
        <w:t xml:space="preserve">the development of </w:t>
      </w:r>
      <w:r w:rsidR="001D0FB7">
        <w:t>Protection of Liberty Safeguards legislation</w:t>
      </w:r>
    </w:p>
    <w:p w14:paraId="1FDC9B1B" w14:textId="247AC23C" w:rsidR="00E457C6" w:rsidRPr="00E457C6" w:rsidRDefault="00880D31" w:rsidP="00E457C6">
      <w:pPr>
        <w:spacing w:before="1200" w:after="600"/>
        <w:rPr>
          <w:b/>
          <w:bCs/>
        </w:rPr>
      </w:pPr>
      <w:r>
        <w:rPr>
          <w:b/>
          <w:bCs/>
        </w:rPr>
        <w:t>May</w:t>
      </w:r>
      <w:r w:rsidR="00AE0DE4">
        <w:rPr>
          <w:b/>
          <w:bCs/>
        </w:rPr>
        <w:t xml:space="preserve"> 2025</w:t>
      </w:r>
    </w:p>
    <w:p w14:paraId="11F922B1" w14:textId="77777777" w:rsidR="00E457C6" w:rsidRDefault="00E457C6" w:rsidP="00D748B3">
      <w:pPr>
        <w:pStyle w:val="Heading1"/>
        <w:sectPr w:rsidR="00E457C6" w:rsidSect="00E457C6">
          <w:footerReference w:type="default" r:id="rId9"/>
          <w:pgSz w:w="11906" w:h="16838"/>
          <w:pgMar w:top="1440" w:right="1440" w:bottom="1440" w:left="1440" w:header="708" w:footer="708" w:gutter="0"/>
          <w:cols w:space="708"/>
          <w:titlePg/>
          <w:docGrid w:linePitch="360"/>
        </w:sectPr>
      </w:pPr>
    </w:p>
    <w:p w14:paraId="55857DD9" w14:textId="77777777" w:rsidR="00AE0DE4" w:rsidRDefault="00AE0DE4" w:rsidP="00AE0DE4">
      <w:pPr>
        <w:pStyle w:val="Heading1"/>
      </w:pPr>
      <w:r>
        <w:lastRenderedPageBreak/>
        <w:t>Introduction</w:t>
      </w:r>
    </w:p>
    <w:p w14:paraId="3BC68C11" w14:textId="3B898CA2" w:rsidR="00AC240B" w:rsidRDefault="00AC240B" w:rsidP="00AC240B">
      <w:pPr>
        <w:rPr>
          <w:szCs w:val="24"/>
        </w:rPr>
      </w:pPr>
      <w:r w:rsidRPr="00992524">
        <w:rPr>
          <w:szCs w:val="24"/>
        </w:rPr>
        <w:t xml:space="preserve">The National Disability Authority (NDA) is the independent statutory body with a duty to provide information and advice to the Government on policy and practice relevant to the lives of persons with disabilities, and to promote the adoption and application of a Universal Design approach across all sectors. We thank </w:t>
      </w:r>
      <w:r w:rsidR="00880D31">
        <w:rPr>
          <w:szCs w:val="24"/>
        </w:rPr>
        <w:t xml:space="preserve">the Department of </w:t>
      </w:r>
      <w:r w:rsidR="001D0FB7">
        <w:rPr>
          <w:szCs w:val="24"/>
        </w:rPr>
        <w:t>Health</w:t>
      </w:r>
      <w:r>
        <w:rPr>
          <w:szCs w:val="24"/>
        </w:rPr>
        <w:t xml:space="preserve"> </w:t>
      </w:r>
      <w:r w:rsidRPr="00992524">
        <w:rPr>
          <w:szCs w:val="24"/>
        </w:rPr>
        <w:t xml:space="preserve">for the opportunity to contribute to </w:t>
      </w:r>
      <w:r w:rsidR="00FA1016">
        <w:rPr>
          <w:szCs w:val="24"/>
        </w:rPr>
        <w:t xml:space="preserve">its consultation on </w:t>
      </w:r>
      <w:r w:rsidR="00880D31" w:rsidRPr="00880D31">
        <w:rPr>
          <w:szCs w:val="24"/>
        </w:rPr>
        <w:t xml:space="preserve">the development of </w:t>
      </w:r>
      <w:r w:rsidR="001D0FB7">
        <w:rPr>
          <w:szCs w:val="24"/>
        </w:rPr>
        <w:t>Protection of Liberty Safeguards legislation</w:t>
      </w:r>
      <w:r w:rsidRPr="00992524">
        <w:rPr>
          <w:szCs w:val="24"/>
        </w:rPr>
        <w:t>.</w:t>
      </w:r>
    </w:p>
    <w:p w14:paraId="029AA347" w14:textId="6C308EA0" w:rsidR="009E241C" w:rsidRDefault="009E241C" w:rsidP="00AC240B">
      <w:pPr>
        <w:rPr>
          <w:szCs w:val="24"/>
        </w:rPr>
      </w:pPr>
      <w:r w:rsidRPr="009E241C">
        <w:rPr>
          <w:szCs w:val="24"/>
        </w:rPr>
        <w:t xml:space="preserve">The NDA </w:t>
      </w:r>
      <w:r w:rsidR="00E93D67">
        <w:rPr>
          <w:szCs w:val="24"/>
        </w:rPr>
        <w:t xml:space="preserve">broadly </w:t>
      </w:r>
      <w:r w:rsidRPr="009E241C">
        <w:rPr>
          <w:szCs w:val="24"/>
        </w:rPr>
        <w:t xml:space="preserve">welcomes the wide-ranging changes </w:t>
      </w:r>
      <w:r w:rsidR="00E93D67">
        <w:rPr>
          <w:szCs w:val="24"/>
        </w:rPr>
        <w:t xml:space="preserve">made by the Department to </w:t>
      </w:r>
      <w:r w:rsidR="001023A4">
        <w:rPr>
          <w:szCs w:val="24"/>
        </w:rPr>
        <w:t>its</w:t>
      </w:r>
      <w:r w:rsidR="00E93D67">
        <w:rPr>
          <w:szCs w:val="24"/>
        </w:rPr>
        <w:t xml:space="preserve"> initial </w:t>
      </w:r>
      <w:r w:rsidR="001023A4">
        <w:rPr>
          <w:szCs w:val="24"/>
        </w:rPr>
        <w:t xml:space="preserve">protection of liberty safeguards </w:t>
      </w:r>
      <w:r w:rsidR="00E93D67">
        <w:rPr>
          <w:szCs w:val="24"/>
        </w:rPr>
        <w:t>proposals</w:t>
      </w:r>
      <w:r w:rsidRPr="009E241C">
        <w:rPr>
          <w:szCs w:val="24"/>
        </w:rPr>
        <w:t xml:space="preserve"> </w:t>
      </w:r>
      <w:r w:rsidR="00F4045E">
        <w:rPr>
          <w:szCs w:val="24"/>
        </w:rPr>
        <w:t>outlined</w:t>
      </w:r>
      <w:r w:rsidR="00E93D67">
        <w:rPr>
          <w:szCs w:val="24"/>
        </w:rPr>
        <w:t xml:space="preserve"> in</w:t>
      </w:r>
      <w:r w:rsidRPr="009E241C">
        <w:rPr>
          <w:szCs w:val="24"/>
        </w:rPr>
        <w:t xml:space="preserve"> the draft General Scheme of </w:t>
      </w:r>
      <w:r w:rsidR="001023A4">
        <w:rPr>
          <w:szCs w:val="24"/>
        </w:rPr>
        <w:t>a</w:t>
      </w:r>
      <w:r w:rsidRPr="009E241C">
        <w:rPr>
          <w:szCs w:val="24"/>
        </w:rPr>
        <w:t xml:space="preserve"> Bill</w:t>
      </w:r>
      <w:r w:rsidR="00E93D67">
        <w:rPr>
          <w:szCs w:val="24"/>
        </w:rPr>
        <w:t xml:space="preserve"> subject to public consultation</w:t>
      </w:r>
      <w:r w:rsidRPr="009E241C">
        <w:rPr>
          <w:szCs w:val="24"/>
        </w:rPr>
        <w:t xml:space="preserve"> </w:t>
      </w:r>
      <w:r w:rsidR="00E93D67">
        <w:rPr>
          <w:szCs w:val="24"/>
        </w:rPr>
        <w:t>in 2018</w:t>
      </w:r>
      <w:r w:rsidR="00360B5D">
        <w:rPr>
          <w:szCs w:val="24"/>
        </w:rPr>
        <w:t xml:space="preserve"> and 2019</w:t>
      </w:r>
      <w:r w:rsidRPr="009E241C">
        <w:rPr>
          <w:szCs w:val="24"/>
        </w:rPr>
        <w:t xml:space="preserve">. The </w:t>
      </w:r>
      <w:r w:rsidR="00F4045E">
        <w:rPr>
          <w:szCs w:val="24"/>
        </w:rPr>
        <w:t xml:space="preserve">Department’s revised approach, detailed in its Discussion Paper, includes a welcome </w:t>
      </w:r>
      <w:r w:rsidRPr="009E241C">
        <w:rPr>
          <w:szCs w:val="24"/>
        </w:rPr>
        <w:t xml:space="preserve">move away from an overly courts-based system and greater alignment with the General Principles of the Assisted Decision-Making (Capacity) Act 2015 </w:t>
      </w:r>
      <w:r w:rsidR="00AB3661">
        <w:rPr>
          <w:szCs w:val="24"/>
        </w:rPr>
        <w:t>(</w:t>
      </w:r>
      <w:r w:rsidRPr="009E241C">
        <w:rPr>
          <w:szCs w:val="24"/>
        </w:rPr>
        <w:t>as amended</w:t>
      </w:r>
      <w:r w:rsidR="00AB3661">
        <w:rPr>
          <w:szCs w:val="24"/>
        </w:rPr>
        <w:t>)</w:t>
      </w:r>
      <w:r w:rsidR="001023A4">
        <w:rPr>
          <w:szCs w:val="24"/>
        </w:rPr>
        <w:t xml:space="preserve"> (ADMCA)</w:t>
      </w:r>
      <w:r w:rsidRPr="009E241C">
        <w:rPr>
          <w:szCs w:val="24"/>
        </w:rPr>
        <w:t xml:space="preserve">, including </w:t>
      </w:r>
      <w:r w:rsidR="00AB3661">
        <w:rPr>
          <w:szCs w:val="24"/>
        </w:rPr>
        <w:t xml:space="preserve">recognition of </w:t>
      </w:r>
      <w:r w:rsidRPr="009E241C">
        <w:rPr>
          <w:szCs w:val="24"/>
        </w:rPr>
        <w:t xml:space="preserve">the presumption of decision-making capacity and the requirement that </w:t>
      </w:r>
      <w:r w:rsidR="00DC77B6">
        <w:rPr>
          <w:szCs w:val="24"/>
        </w:rPr>
        <w:t>a</w:t>
      </w:r>
      <w:r w:rsidRPr="009E241C">
        <w:rPr>
          <w:szCs w:val="24"/>
        </w:rPr>
        <w:t xml:space="preserve"> care arrangement is the least restrictive option.</w:t>
      </w:r>
    </w:p>
    <w:p w14:paraId="07A2CA3A" w14:textId="613A84B7" w:rsidR="00245D2F" w:rsidRDefault="00245D2F" w:rsidP="00245D2F">
      <w:pPr>
        <w:rPr>
          <w:szCs w:val="24"/>
        </w:rPr>
      </w:pPr>
      <w:r>
        <w:rPr>
          <w:szCs w:val="24"/>
        </w:rPr>
        <w:t xml:space="preserve">The NDA is represented on the Department of Health’s </w:t>
      </w:r>
      <w:r w:rsidRPr="00245D2F">
        <w:rPr>
          <w:szCs w:val="24"/>
        </w:rPr>
        <w:t>Expert Advisory Group on Protection of Liberty Safeguards</w:t>
      </w:r>
      <w:r w:rsidR="003F0292">
        <w:rPr>
          <w:szCs w:val="24"/>
        </w:rPr>
        <w:t xml:space="preserve">, through which we </w:t>
      </w:r>
      <w:r w:rsidR="00F4045E">
        <w:rPr>
          <w:szCs w:val="24"/>
        </w:rPr>
        <w:t>continue to offer</w:t>
      </w:r>
      <w:r>
        <w:rPr>
          <w:szCs w:val="24"/>
        </w:rPr>
        <w:t xml:space="preserve"> ongoing advice and guidance in relation to the </w:t>
      </w:r>
      <w:r w:rsidR="003F0292">
        <w:rPr>
          <w:szCs w:val="24"/>
        </w:rPr>
        <w:t xml:space="preserve">development of the </w:t>
      </w:r>
      <w:r>
        <w:rPr>
          <w:szCs w:val="24"/>
        </w:rPr>
        <w:t xml:space="preserve">proposed legislation. </w:t>
      </w:r>
      <w:r w:rsidR="00E80E84">
        <w:rPr>
          <w:szCs w:val="24"/>
        </w:rPr>
        <w:t xml:space="preserve">We have therefore limited </w:t>
      </w:r>
      <w:r>
        <w:rPr>
          <w:szCs w:val="24"/>
        </w:rPr>
        <w:t xml:space="preserve">our input in relation to this consultation to </w:t>
      </w:r>
      <w:r w:rsidR="002F76DE">
        <w:rPr>
          <w:szCs w:val="24"/>
        </w:rPr>
        <w:t>some overarching considerations</w:t>
      </w:r>
      <w:r>
        <w:rPr>
          <w:szCs w:val="24"/>
        </w:rPr>
        <w:t xml:space="preserve">. </w:t>
      </w:r>
    </w:p>
    <w:p w14:paraId="44055AEC" w14:textId="1305E300" w:rsidR="00B960D6" w:rsidRDefault="00CA09FE" w:rsidP="00B960D6">
      <w:pPr>
        <w:pStyle w:val="Heading1"/>
      </w:pPr>
      <w:r>
        <w:t>Overarching considerations</w:t>
      </w:r>
    </w:p>
    <w:p w14:paraId="75E6431A" w14:textId="3E8434C9" w:rsidR="00CA09FE" w:rsidRDefault="00985C03" w:rsidP="00E26E58">
      <w:pPr>
        <w:pStyle w:val="Heading2"/>
      </w:pPr>
      <w:r>
        <w:t>Prioritis</w:t>
      </w:r>
      <w:r w:rsidR="00F86211">
        <w:t>ation of</w:t>
      </w:r>
      <w:r>
        <w:t xml:space="preserve"> the development of this legislation</w:t>
      </w:r>
    </w:p>
    <w:p w14:paraId="6C0B688F" w14:textId="16F63FEB" w:rsidR="003A782C" w:rsidRDefault="00011173" w:rsidP="00D66DD2">
      <w:r w:rsidRPr="00011173">
        <w:t>The NDA is currently undertaking research examining the process and the experiences of those leaving wardship.</w:t>
      </w:r>
      <w:r>
        <w:t xml:space="preserve"> Since t</w:t>
      </w:r>
      <w:r w:rsidR="00C83C6A" w:rsidRPr="00C83C6A">
        <w:t xml:space="preserve">he </w:t>
      </w:r>
      <w:r w:rsidR="00C83C6A">
        <w:t>commencement of the</w:t>
      </w:r>
      <w:r w:rsidR="00C83C6A" w:rsidRPr="00C83C6A">
        <w:t xml:space="preserve"> </w:t>
      </w:r>
      <w:r w:rsidR="001023A4">
        <w:t>ADMCA</w:t>
      </w:r>
      <w:r w:rsidR="00C83C6A">
        <w:t xml:space="preserve"> in April 2023</w:t>
      </w:r>
      <w:r>
        <w:t>,</w:t>
      </w:r>
      <w:r w:rsidR="00C83C6A">
        <w:t xml:space="preserve"> </w:t>
      </w:r>
      <w:r w:rsidR="003A782C">
        <w:t xml:space="preserve">the </w:t>
      </w:r>
      <w:r w:rsidR="003A782C" w:rsidRPr="003A782C">
        <w:t xml:space="preserve">High Court </w:t>
      </w:r>
      <w:r w:rsidR="003A782C">
        <w:t xml:space="preserve">no longer has </w:t>
      </w:r>
      <w:r w:rsidR="003A782C" w:rsidRPr="003A782C">
        <w:t>a statutory basis to make a new detention order in respect of a</w:t>
      </w:r>
      <w:r w:rsidR="003A782C">
        <w:t xml:space="preserve"> person under</w:t>
      </w:r>
      <w:r w:rsidR="003A782C" w:rsidRPr="003A782C">
        <w:t xml:space="preserve"> ward</w:t>
      </w:r>
      <w:r w:rsidR="003A782C">
        <w:t>ship</w:t>
      </w:r>
      <w:r w:rsidR="003A782C" w:rsidRPr="003A782C">
        <w:t xml:space="preserve">. In the absence of </w:t>
      </w:r>
      <w:r w:rsidR="004E4C04">
        <w:t xml:space="preserve">Protection of Liberty Safeguards legislation, which would provide </w:t>
      </w:r>
      <w:r w:rsidR="003A782C" w:rsidRPr="003A782C">
        <w:t>an alternative statutory framework, the High Court has been exercising its inherent jurisdiction to make new orders for the detention of persons who lack capacity but do not have a mental disorder as defined by s</w:t>
      </w:r>
      <w:r w:rsidR="003A782C">
        <w:t xml:space="preserve">ection </w:t>
      </w:r>
      <w:r w:rsidR="003A782C" w:rsidRPr="003A782C">
        <w:t xml:space="preserve">3 of the Mental Health Act 2001. Such persons include people in wardship and others who are not in wardship but lack </w:t>
      </w:r>
      <w:r w:rsidR="003A782C">
        <w:t xml:space="preserve">decision-making </w:t>
      </w:r>
      <w:r w:rsidR="003A782C" w:rsidRPr="003A782C">
        <w:t xml:space="preserve">capacity. </w:t>
      </w:r>
    </w:p>
    <w:p w14:paraId="6CA6A913" w14:textId="200C69E6" w:rsidR="003A782C" w:rsidRDefault="008E5F07" w:rsidP="003A782C">
      <w:r>
        <w:t>Research underway by the NDA on the discharge of Wards of Court</w:t>
      </w:r>
      <w:r w:rsidR="00D66DD2">
        <w:t xml:space="preserve"> has revealed that </w:t>
      </w:r>
      <w:r w:rsidR="00D66DD2" w:rsidRPr="00D66DD2">
        <w:t xml:space="preserve">the increase in applications under the High Court’s inherent jurisdiction connected to detention is absorbing a large amount of court </w:t>
      </w:r>
      <w:r w:rsidR="00D66DD2" w:rsidRPr="00D66DD2">
        <w:lastRenderedPageBreak/>
        <w:t>time and resources.</w:t>
      </w:r>
      <w:r w:rsidR="00D66DD2">
        <w:t xml:space="preserve"> </w:t>
      </w:r>
      <w:r w:rsidR="007B503F">
        <w:t>Concerns have also been raised about the appropriateness of reliance on the use of inherent jurisdiction, with t</w:t>
      </w:r>
      <w:r w:rsidR="009134CB" w:rsidRPr="009134CB">
        <w:t>he Law Reform Commission comment</w:t>
      </w:r>
      <w:r w:rsidR="007B503F">
        <w:t>ing</w:t>
      </w:r>
      <w:r w:rsidR="009134CB" w:rsidRPr="009134CB">
        <w:t xml:space="preserve"> that, unlike inherent jurisdiction, a statutory framework allows for clear thresholds and safeguards, ensuring that the rights of those who may be subject to an order are appropriately, and consistently, weighed and considered.</w:t>
      </w:r>
      <w:r w:rsidR="004E4C04">
        <w:rPr>
          <w:rStyle w:val="FootnoteReference"/>
        </w:rPr>
        <w:footnoteReference w:id="1"/>
      </w:r>
      <w:r w:rsidR="009134CB">
        <w:t xml:space="preserve"> </w:t>
      </w:r>
    </w:p>
    <w:p w14:paraId="4C29B319" w14:textId="78FD23D9" w:rsidR="00C10786" w:rsidRDefault="0011311E" w:rsidP="003A782C">
      <w:r>
        <w:t xml:space="preserve">The NDA is aware that, despite recent progress and momentum, work to develop Protection of Liberty Safeguards legislation has been ongoing </w:t>
      </w:r>
      <w:r w:rsidR="006F68B4">
        <w:t>for over ten years</w:t>
      </w:r>
      <w:r>
        <w:t xml:space="preserve">. </w:t>
      </w:r>
      <w:r w:rsidR="006F68B4">
        <w:t xml:space="preserve">In the absence of </w:t>
      </w:r>
      <w:r w:rsidR="002A614F">
        <w:t xml:space="preserve">such </w:t>
      </w:r>
      <w:r w:rsidR="006F68B4">
        <w:t>legislation</w:t>
      </w:r>
      <w:r>
        <w:t>, a</w:t>
      </w:r>
      <w:r w:rsidR="00C10786" w:rsidRPr="00C10786">
        <w:t xml:space="preserve">pplications under the inherent jurisdiction of the High Court will continue. </w:t>
      </w:r>
      <w:r w:rsidR="007B503F">
        <w:t>Accordingly, t</w:t>
      </w:r>
      <w:r w:rsidR="007B503F" w:rsidRPr="007B503F">
        <w:t>he NDA underscores the importance of progressing this legislation as a matter of priority.</w:t>
      </w:r>
    </w:p>
    <w:p w14:paraId="69D1B2A0" w14:textId="15C379FC" w:rsidR="0059607A" w:rsidRDefault="0059607A" w:rsidP="00CA09FE">
      <w:pPr>
        <w:pStyle w:val="Heading2"/>
      </w:pPr>
      <w:r>
        <w:t>Engagement</w:t>
      </w:r>
      <w:r w:rsidR="0018692E">
        <w:t xml:space="preserve"> with disabled people and their families</w:t>
      </w:r>
    </w:p>
    <w:p w14:paraId="34900F14" w14:textId="507D275A" w:rsidR="00FA5FC5" w:rsidRDefault="00FA5FC5" w:rsidP="00FA5FC5">
      <w:r>
        <w:t>The NDA acknowledges the preliminary stakeholder engagement undertaken</w:t>
      </w:r>
      <w:r w:rsidR="00AB3661">
        <w:t xml:space="preserve"> by the Department</w:t>
      </w:r>
      <w:r>
        <w:t xml:space="preserve"> to date and </w:t>
      </w:r>
      <w:r w:rsidR="00B5236A">
        <w:t>welcomes the ongoing</w:t>
      </w:r>
      <w:r>
        <w:t xml:space="preserve"> targeted stakeholder consultation. </w:t>
      </w:r>
      <w:r w:rsidR="00B5236A">
        <w:t>However, g</w:t>
      </w:r>
      <w:r w:rsidR="00502783">
        <w:t xml:space="preserve">iven that </w:t>
      </w:r>
      <w:r w:rsidR="00B5236A">
        <w:t>many of those who will avail of protection of liberty safeguards will be disabled people, the NDA advises the importance of ongoing engagement with people with disabilities and their representative organisations</w:t>
      </w:r>
      <w:r w:rsidR="000C0650">
        <w:t xml:space="preserve"> in the development of these legislative proposals</w:t>
      </w:r>
      <w:r w:rsidR="00B5236A">
        <w:t>.</w:t>
      </w:r>
    </w:p>
    <w:p w14:paraId="1F86C42B" w14:textId="246469C1" w:rsidR="00B5236A" w:rsidRDefault="0018692E" w:rsidP="00FA5FC5">
      <w:r w:rsidRPr="0018692E">
        <w:t xml:space="preserve">Article 4(3) of the </w:t>
      </w:r>
      <w:r>
        <w:t>UN Convention on the Rights of Persons with Disabilities (</w:t>
      </w:r>
      <w:r w:rsidRPr="0018692E">
        <w:t>UNCRPD</w:t>
      </w:r>
      <w:r>
        <w:t>)</w:t>
      </w:r>
      <w:r w:rsidRPr="0018692E">
        <w:t xml:space="preserve"> requires all government departments and statutory agencies to ensure the effective participation of persons with disabilities in the creation and implementation of policies and legislation that impact their lives.</w:t>
      </w:r>
      <w:r w:rsidR="002A614F">
        <w:rPr>
          <w:rStyle w:val="FootnoteReference"/>
        </w:rPr>
        <w:footnoteReference w:id="2"/>
      </w:r>
      <w:r w:rsidRPr="0018692E">
        <w:t xml:space="preserve"> The NDA </w:t>
      </w:r>
      <w:r w:rsidR="000C0650">
        <w:t>therefore</w:t>
      </w:r>
      <w:r w:rsidRPr="0018692E">
        <w:t xml:space="preserve"> encourages the Department to </w:t>
      </w:r>
      <w:r w:rsidR="00B5236A" w:rsidRPr="00B5236A">
        <w:t xml:space="preserve">consider </w:t>
      </w:r>
      <w:r w:rsidR="00B5236A">
        <w:t xml:space="preserve">establishing </w:t>
      </w:r>
      <w:r w:rsidR="00B5236A" w:rsidRPr="00B5236A">
        <w:t xml:space="preserve">a mechanism for ongoing engagement and consultation with disabled people </w:t>
      </w:r>
      <w:r w:rsidR="00B5236A">
        <w:t xml:space="preserve">and </w:t>
      </w:r>
      <w:r w:rsidR="00B5236A" w:rsidRPr="00B5236A">
        <w:t>Disabled Persons’ Organisations</w:t>
      </w:r>
      <w:r w:rsidR="008F097A">
        <w:t xml:space="preserve"> </w:t>
      </w:r>
      <w:r w:rsidR="005D1C59">
        <w:t>in relation to</w:t>
      </w:r>
      <w:r w:rsidR="008F097A">
        <w:t xml:space="preserve"> this draft legislation</w:t>
      </w:r>
      <w:r w:rsidR="00B5236A" w:rsidRPr="00B5236A">
        <w:t xml:space="preserve">, for example through the establishment of </w:t>
      </w:r>
      <w:r w:rsidR="00C33A79">
        <w:t>a disability</w:t>
      </w:r>
      <w:r w:rsidR="00B5236A" w:rsidRPr="00B5236A">
        <w:t xml:space="preserve"> advisory group.</w:t>
      </w:r>
    </w:p>
    <w:p w14:paraId="660BBBE9" w14:textId="7CB0A15D" w:rsidR="00AB3661" w:rsidRDefault="00AB3661" w:rsidP="003A782C">
      <w:r>
        <w:t>The NDA also advises that families and carers should be actively consulted and engaged with as part of th</w:t>
      </w:r>
      <w:r w:rsidR="007B503F">
        <w:t xml:space="preserve">e development of </w:t>
      </w:r>
      <w:r w:rsidR="000C0650">
        <w:t>this draft legislation</w:t>
      </w:r>
      <w:r>
        <w:t>.</w:t>
      </w:r>
      <w:r w:rsidR="007B503F">
        <w:t xml:space="preserve"> As noted in the Discussion Paper, families and caregivers </w:t>
      </w:r>
      <w:r w:rsidR="000C0650">
        <w:t>will have an important role in any future statutory framework, including engagement</w:t>
      </w:r>
      <w:r w:rsidR="007B503F">
        <w:t xml:space="preserve"> on possible alternatives to deprivation of liberty</w:t>
      </w:r>
      <w:r w:rsidR="007F5861">
        <w:t>. As such,</w:t>
      </w:r>
      <w:r w:rsidR="000C0650">
        <w:t xml:space="preserve"> their </w:t>
      </w:r>
      <w:r w:rsidR="007F5861">
        <w:t xml:space="preserve">views and </w:t>
      </w:r>
      <w:r w:rsidR="000C0650">
        <w:t>perspectives should be actively sought and considered</w:t>
      </w:r>
      <w:r w:rsidR="007F5861">
        <w:t>, though these are secondary to the will and preferences of the person</w:t>
      </w:r>
      <w:r w:rsidR="000C0650">
        <w:t>.</w:t>
      </w:r>
    </w:p>
    <w:p w14:paraId="3108634C" w14:textId="398A70FE" w:rsidR="0059607A" w:rsidRDefault="00CA09FE" w:rsidP="00CA09FE">
      <w:pPr>
        <w:pStyle w:val="Heading2"/>
      </w:pPr>
      <w:r>
        <w:lastRenderedPageBreak/>
        <w:t>Advance Place of Care Decisions</w:t>
      </w:r>
    </w:p>
    <w:p w14:paraId="139BBC22" w14:textId="6A17E195" w:rsidR="00CA09FE" w:rsidRDefault="00CA09FE" w:rsidP="003A782C">
      <w:r>
        <w:t xml:space="preserve">The NDA supports the proposal to introduce </w:t>
      </w:r>
      <w:r w:rsidRPr="00CA09FE">
        <w:t xml:space="preserve">Advance Place of Care Decisions </w:t>
      </w:r>
      <w:r>
        <w:t>which would provide a</w:t>
      </w:r>
      <w:r w:rsidRPr="00CA09FE">
        <w:t xml:space="preserve"> record </w:t>
      </w:r>
      <w:r>
        <w:t xml:space="preserve">of </w:t>
      </w:r>
      <w:r w:rsidRPr="00CA09FE">
        <w:t>a person’s wishes regarding ‘place of care’ decisions and to appoint a representative to make decisions on their behalf (either as part of A</w:t>
      </w:r>
      <w:r>
        <w:t xml:space="preserve">dvance </w:t>
      </w:r>
      <w:r w:rsidRPr="00CA09FE">
        <w:t>H</w:t>
      </w:r>
      <w:r>
        <w:t xml:space="preserve">ealthcare </w:t>
      </w:r>
      <w:r w:rsidRPr="00CA09FE">
        <w:t>D</w:t>
      </w:r>
      <w:r>
        <w:t>irective</w:t>
      </w:r>
      <w:r w:rsidRPr="00CA09FE">
        <w:t>s or a separate but similar instrument).</w:t>
      </w:r>
      <w:r>
        <w:t xml:space="preserve"> </w:t>
      </w:r>
      <w:r w:rsidR="0018692E">
        <w:t xml:space="preserve">While the Discussion Paper notes that these would be non-legally binding, the NDA advises that they </w:t>
      </w:r>
      <w:proofErr w:type="gramStart"/>
      <w:r w:rsidR="0018692E">
        <w:t>would provide</w:t>
      </w:r>
      <w:proofErr w:type="gramEnd"/>
      <w:r w:rsidR="0018692E">
        <w:t xml:space="preserve"> an important expression of the person’s </w:t>
      </w:r>
      <w:r w:rsidRPr="00CA09FE">
        <w:t>will and preference with regard to their place of care.</w:t>
      </w:r>
    </w:p>
    <w:p w14:paraId="5363E5A0" w14:textId="633E481D" w:rsidR="00CA09FE" w:rsidRDefault="00CA09FE" w:rsidP="00CA09FE">
      <w:pPr>
        <w:pStyle w:val="Heading2"/>
      </w:pPr>
      <w:r>
        <w:t>Review of existing care arrangements</w:t>
      </w:r>
    </w:p>
    <w:p w14:paraId="0D6BF815" w14:textId="1D0A0F2F" w:rsidR="003F0292" w:rsidRDefault="00E80E84" w:rsidP="003A782C">
      <w:r>
        <w:t>The consultation document acknowledges</w:t>
      </w:r>
      <w:r w:rsidR="003F0292" w:rsidRPr="003F0292">
        <w:t xml:space="preserve"> that</w:t>
      </w:r>
      <w:r w:rsidR="00232C10">
        <w:t xml:space="preserve"> on enactment of Protection of Liberty Safeguards legislation</w:t>
      </w:r>
      <w:r w:rsidR="003F0292" w:rsidRPr="003F0292">
        <w:t xml:space="preserve"> there may be a cohort of people that would </w:t>
      </w:r>
      <w:proofErr w:type="gramStart"/>
      <w:r w:rsidR="003F0292" w:rsidRPr="003F0292">
        <w:t>be considered to be</w:t>
      </w:r>
      <w:proofErr w:type="gramEnd"/>
      <w:r w:rsidR="003F0292" w:rsidRPr="003F0292">
        <w:t xml:space="preserve"> deprived of their liberty under the new legislation, but whose current care arrangement is not underpinned by a formal legal framework. To address this issue, it is proposed that, at the time of enactment, facilities will be given a set amount of time to review all existing care arrangements in the facility to identify possible cases of deprivation of liberty and to make applications to the authorising body for any identified cases of deprivation of liberty.</w:t>
      </w:r>
    </w:p>
    <w:p w14:paraId="68CEA7A4" w14:textId="77777777" w:rsidR="00D27193" w:rsidRDefault="009E5EF9" w:rsidP="003A782C">
      <w:r>
        <w:t>The NDA underscores the importance of such reviews</w:t>
      </w:r>
      <w:r w:rsidR="00C943D1">
        <w:t xml:space="preserve"> being carried out in a timely manner</w:t>
      </w:r>
      <w:r>
        <w:t xml:space="preserve">, while recognising that </w:t>
      </w:r>
      <w:r w:rsidR="00C943D1">
        <w:t>such work</w:t>
      </w:r>
      <w:r>
        <w:t xml:space="preserve"> will incur significant </w:t>
      </w:r>
      <w:r w:rsidR="005E1455">
        <w:t>expenditure and resources by</w:t>
      </w:r>
      <w:r>
        <w:t xml:space="preserve"> facilities</w:t>
      </w:r>
      <w:r w:rsidR="00DD5D1A">
        <w:t>,</w:t>
      </w:r>
      <w:r>
        <w:t xml:space="preserve"> providers</w:t>
      </w:r>
      <w:r w:rsidR="00DD5D1A">
        <w:t xml:space="preserve"> and the authorising body</w:t>
      </w:r>
      <w:r w:rsidR="008F097A">
        <w:t xml:space="preserve"> (a</w:t>
      </w:r>
      <w:r w:rsidR="00C33A79">
        <w:t xml:space="preserve"> proposed</w:t>
      </w:r>
      <w:r w:rsidR="008F097A">
        <w:t xml:space="preserve"> new Protection of Liberty Office situated within the Mental Health Commission)</w:t>
      </w:r>
      <w:r>
        <w:t xml:space="preserve">. </w:t>
      </w:r>
      <w:r w:rsidR="00894807">
        <w:t>We also advise the importance of communicating with</w:t>
      </w:r>
      <w:r w:rsidR="00747E37">
        <w:t xml:space="preserve"> affected</w:t>
      </w:r>
      <w:r w:rsidR="00894807">
        <w:t xml:space="preserve"> individuals and their families from an early stage to allay any concerns they may have, with our ongoing research </w:t>
      </w:r>
      <w:r w:rsidR="00747E37">
        <w:t>on wardship revealing concerns and fears amongst family members about</w:t>
      </w:r>
      <w:r w:rsidR="00894807">
        <w:t xml:space="preserve"> the </w:t>
      </w:r>
      <w:r w:rsidR="00747E37">
        <w:t xml:space="preserve">implications of the </w:t>
      </w:r>
      <w:r w:rsidR="00894807">
        <w:t xml:space="preserve">ending of the wardship system. </w:t>
      </w:r>
      <w:r w:rsidR="00747E37">
        <w:t xml:space="preserve">Similar issues may arise in this respect for people whose care arrangements are being reviewed and where a possible deprivation of liberty is identified. </w:t>
      </w:r>
    </w:p>
    <w:p w14:paraId="4F5D27A3" w14:textId="24799ED2" w:rsidR="00232C10" w:rsidRDefault="005E1455" w:rsidP="003A782C">
      <w:r>
        <w:t xml:space="preserve">Supports to assist with transitional arrangements </w:t>
      </w:r>
      <w:r w:rsidR="005C5995">
        <w:t>should be factored into the Regulatory Impact Assessment and costings which will accompany the draft legislation.</w:t>
      </w:r>
    </w:p>
    <w:p w14:paraId="0756F6B6" w14:textId="058F6E83" w:rsidR="003C1272" w:rsidRDefault="003C1272" w:rsidP="003C1272">
      <w:pPr>
        <w:pStyle w:val="Heading2"/>
      </w:pPr>
      <w:r>
        <w:t>Independent advocacy</w:t>
      </w:r>
    </w:p>
    <w:p w14:paraId="33D2AC74" w14:textId="4A714E49" w:rsidR="003C1272" w:rsidRDefault="003C1272" w:rsidP="003A782C">
      <w:r>
        <w:t>The consultation document notes that w</w:t>
      </w:r>
      <w:r w:rsidRPr="003C1272">
        <w:t xml:space="preserve">hen it is determined that </w:t>
      </w:r>
      <w:r>
        <w:t>a</w:t>
      </w:r>
      <w:r w:rsidRPr="003C1272">
        <w:t xml:space="preserve"> proposed care arrangement may involve a deprivation of liberty and an authorisation will be required, the responsible person should ensure the person has someone from their network of support to assist them during the process</w:t>
      </w:r>
      <w:r>
        <w:t>, such as an independent advocate (w</w:t>
      </w:r>
      <w:r w:rsidRPr="003C1272">
        <w:t xml:space="preserve">here no relative or friend is available or </w:t>
      </w:r>
      <w:r>
        <w:t>there are</w:t>
      </w:r>
      <w:r w:rsidRPr="003C1272">
        <w:t xml:space="preserve"> concerns around their suitabilit</w:t>
      </w:r>
      <w:r>
        <w:t>y).</w:t>
      </w:r>
    </w:p>
    <w:p w14:paraId="14E98045" w14:textId="4773C4A3" w:rsidR="005C5995" w:rsidRDefault="005C5995" w:rsidP="005C5995">
      <w:r>
        <w:lastRenderedPageBreak/>
        <w:t xml:space="preserve">The NDA underscores the importance of access to an independent advocate as early as possible in the authorisation process. </w:t>
      </w:r>
      <w:r w:rsidR="00C37548">
        <w:t>A</w:t>
      </w:r>
      <w:r>
        <w:t xml:space="preserve">ccess </w:t>
      </w:r>
      <w:r w:rsidR="00366469">
        <w:t xml:space="preserve">to </w:t>
      </w:r>
      <w:r>
        <w:t xml:space="preserve">independent advocacy support </w:t>
      </w:r>
      <w:r w:rsidR="00366469">
        <w:t>can be</w:t>
      </w:r>
      <w:r>
        <w:t xml:space="preserve"> essential </w:t>
      </w:r>
      <w:r w:rsidR="00366469">
        <w:t>in ensuring</w:t>
      </w:r>
      <w:r>
        <w:t xml:space="preserve"> that decisions </w:t>
      </w:r>
      <w:r w:rsidR="00C37548">
        <w:t xml:space="preserve">concerning a possible deprivation of liberty </w:t>
      </w:r>
      <w:r>
        <w:t>take sufficient account of the will and preference of the person.</w:t>
      </w:r>
    </w:p>
    <w:p w14:paraId="6D66C043" w14:textId="54DF542F" w:rsidR="003C1272" w:rsidRDefault="003C1272" w:rsidP="003A782C">
      <w:r w:rsidRPr="003C1272">
        <w:t xml:space="preserve">The NDA acknowledges </w:t>
      </w:r>
      <w:r w:rsidR="00C33A79">
        <w:t>the ongoing work of the</w:t>
      </w:r>
      <w:r w:rsidRPr="003C1272">
        <w:t xml:space="preserve"> National Advocacy </w:t>
      </w:r>
      <w:proofErr w:type="gramStart"/>
      <w:r w:rsidRPr="003C1272">
        <w:t>Service</w:t>
      </w:r>
      <w:r w:rsidR="00C33A79">
        <w:t>,</w:t>
      </w:r>
      <w:proofErr w:type="gramEnd"/>
      <w:r w:rsidR="00C33A79">
        <w:t xml:space="preserve"> however</w:t>
      </w:r>
      <w:r w:rsidRPr="003C1272">
        <w:t xml:space="preserve"> </w:t>
      </w:r>
      <w:r w:rsidR="00C33A79">
        <w:t>its resources are</w:t>
      </w:r>
      <w:r w:rsidRPr="003C1272">
        <w:t xml:space="preserve"> limited </w:t>
      </w:r>
      <w:r w:rsidR="00C33A79">
        <w:t xml:space="preserve">and it would likely encounter significant challenges </w:t>
      </w:r>
      <w:r w:rsidRPr="003C1272">
        <w:t xml:space="preserve">providing </w:t>
      </w:r>
      <w:r w:rsidR="00C33A79">
        <w:t xml:space="preserve">independent </w:t>
      </w:r>
      <w:r w:rsidRPr="003C1272">
        <w:t>advocacy</w:t>
      </w:r>
      <w:r w:rsidR="00C33A79">
        <w:t xml:space="preserve"> services</w:t>
      </w:r>
      <w:r w:rsidRPr="003C1272">
        <w:t xml:space="preserve"> to the number of people potentially affected by the </w:t>
      </w:r>
      <w:r w:rsidR="00C37548">
        <w:t>legislation</w:t>
      </w:r>
      <w:r w:rsidR="00C33A79">
        <w:t xml:space="preserve"> without significant additional investment</w:t>
      </w:r>
      <w:r w:rsidRPr="003C1272">
        <w:t xml:space="preserve">. The Citizens Information Act 2007 </w:t>
      </w:r>
      <w:r w:rsidR="00C37548">
        <w:t>affords</w:t>
      </w:r>
      <w:r w:rsidRPr="003C1272">
        <w:t xml:space="preserve"> legislative powers to an independent advocacy </w:t>
      </w:r>
      <w:r w:rsidR="00366469" w:rsidRPr="003C1272">
        <w:t>service,</w:t>
      </w:r>
      <w:r w:rsidRPr="003C1272">
        <w:t xml:space="preserve"> but it has not been commenced.</w:t>
      </w:r>
      <w:r w:rsidR="00C37548">
        <w:t xml:space="preserve"> The additional resourcing implications for independent advocacy services should </w:t>
      </w:r>
      <w:r w:rsidR="00366469">
        <w:t xml:space="preserve">be factored into the </w:t>
      </w:r>
      <w:r w:rsidR="00C33A79">
        <w:t>R</w:t>
      </w:r>
      <w:r w:rsidR="00366469">
        <w:t xml:space="preserve">egulatory </w:t>
      </w:r>
      <w:r w:rsidR="00C33A79">
        <w:t>I</w:t>
      </w:r>
      <w:r w:rsidR="00366469">
        <w:t xml:space="preserve">mpact </w:t>
      </w:r>
      <w:r w:rsidR="00C33A79">
        <w:t>A</w:t>
      </w:r>
      <w:r w:rsidR="00366469">
        <w:t xml:space="preserve">ssessment. </w:t>
      </w:r>
    </w:p>
    <w:p w14:paraId="24AE84A1" w14:textId="13CDF54F" w:rsidR="00AF0F94" w:rsidRDefault="007A022A" w:rsidP="00AF0F94">
      <w:pPr>
        <w:pStyle w:val="Heading2"/>
      </w:pPr>
      <w:r>
        <w:t>Meaningful alternative</w:t>
      </w:r>
      <w:r w:rsidR="005B3035">
        <w:t xml:space="preserve">s </w:t>
      </w:r>
      <w:r>
        <w:t>to detention</w:t>
      </w:r>
    </w:p>
    <w:p w14:paraId="6278C77B" w14:textId="3300ABDD" w:rsidR="00AF0F94" w:rsidRDefault="00AF0F94" w:rsidP="00AF0F94">
      <w:r>
        <w:t xml:space="preserve">The </w:t>
      </w:r>
      <w:r w:rsidR="00127854">
        <w:t xml:space="preserve">Guidance Document notes that </w:t>
      </w:r>
      <w:r w:rsidR="00127854" w:rsidRPr="00127854">
        <w:t>a lawful deprivation of liberty</w:t>
      </w:r>
      <w:r w:rsidR="00127854">
        <w:t xml:space="preserve"> may include a situation where</w:t>
      </w:r>
      <w:r w:rsidR="00550640">
        <w:t>by</w:t>
      </w:r>
      <w:r w:rsidR="00127854">
        <w:t xml:space="preserve"> a person </w:t>
      </w:r>
      <w:r w:rsidR="00550640">
        <w:t>lacking</w:t>
      </w:r>
      <w:r w:rsidR="00127854">
        <w:t xml:space="preserve"> decision-making capacity </w:t>
      </w:r>
      <w:r w:rsidR="00127854" w:rsidRPr="00127854">
        <w:t xml:space="preserve">is ready to be discharged from hospital, and is requesting to leave, but the hospital is not </w:t>
      </w:r>
      <w:proofErr w:type="gramStart"/>
      <w:r w:rsidR="00127854" w:rsidRPr="00127854">
        <w:t>in a position</w:t>
      </w:r>
      <w:proofErr w:type="gramEnd"/>
      <w:r w:rsidR="00127854" w:rsidRPr="00127854">
        <w:t xml:space="preserve"> to discharge them due to a lack of suitable home care package</w:t>
      </w:r>
      <w:r w:rsidR="00127854">
        <w:t xml:space="preserve">, </w:t>
      </w:r>
      <w:r w:rsidR="00127854" w:rsidRPr="00127854">
        <w:t>home modification</w:t>
      </w:r>
      <w:r w:rsidR="00127854">
        <w:t xml:space="preserve"> or </w:t>
      </w:r>
      <w:r w:rsidR="00127854" w:rsidRPr="00127854">
        <w:t>residential care place.</w:t>
      </w:r>
      <w:r w:rsidR="00A7475D" w:rsidRPr="00A7475D">
        <w:t xml:space="preserve"> </w:t>
      </w:r>
      <w:r w:rsidR="00550640">
        <w:t>In effect</w:t>
      </w:r>
      <w:r w:rsidR="00A7475D">
        <w:t>,</w:t>
      </w:r>
      <w:r w:rsidR="00550640">
        <w:t xml:space="preserve"> this means that the new statutory framework </w:t>
      </w:r>
      <w:r w:rsidR="007020D3">
        <w:t>may</w:t>
      </w:r>
      <w:r w:rsidR="00550640">
        <w:t xml:space="preserve"> permit the detention of</w:t>
      </w:r>
      <w:r w:rsidR="00A7475D">
        <w:t xml:space="preserve"> a</w:t>
      </w:r>
      <w:r w:rsidR="00A7475D" w:rsidRPr="00A7475D">
        <w:t xml:space="preserve"> person </w:t>
      </w:r>
      <w:r w:rsidR="00A7475D">
        <w:t xml:space="preserve">lacking decision-making capacity </w:t>
      </w:r>
      <w:r w:rsidR="00A7475D" w:rsidRPr="00A7475D">
        <w:t xml:space="preserve">because of a lack of </w:t>
      </w:r>
      <w:r w:rsidR="00A7475D">
        <w:t xml:space="preserve">availability of necessary </w:t>
      </w:r>
      <w:r w:rsidR="00A7475D" w:rsidRPr="00A7475D">
        <w:t>services</w:t>
      </w:r>
      <w:r w:rsidR="00A7475D">
        <w:t>, including home care or community-based services</w:t>
      </w:r>
      <w:r w:rsidR="00A7475D" w:rsidRPr="00A7475D">
        <w:t>.</w:t>
      </w:r>
      <w:r w:rsidR="00550640">
        <w:t xml:space="preserve"> This is a cause for concern and underscores the importance of </w:t>
      </w:r>
      <w:r w:rsidR="007A022A">
        <w:t>meaningful alternatives</w:t>
      </w:r>
      <w:r w:rsidR="00844689">
        <w:t xml:space="preserve"> to detention</w:t>
      </w:r>
      <w:r w:rsidR="007A022A">
        <w:t xml:space="preserve">, </w:t>
      </w:r>
      <w:r w:rsidR="007020D3">
        <w:t xml:space="preserve">other lesser intrusive care options and </w:t>
      </w:r>
      <w:r w:rsidR="00550640">
        <w:t>the resourcing of relevant health and social care services</w:t>
      </w:r>
      <w:r w:rsidR="00660C3F">
        <w:t xml:space="preserve">. The NDA advises that </w:t>
      </w:r>
      <w:r w:rsidR="00550640">
        <w:t xml:space="preserve">such </w:t>
      </w:r>
      <w:r w:rsidR="00A7475D">
        <w:t xml:space="preserve">considerations </w:t>
      </w:r>
      <w:r w:rsidR="00550640">
        <w:t xml:space="preserve">should </w:t>
      </w:r>
      <w:r w:rsidR="00A7475D">
        <w:t xml:space="preserve">be </w:t>
      </w:r>
      <w:r w:rsidR="00853E35">
        <w:t>considered</w:t>
      </w:r>
      <w:r w:rsidR="00A7475D">
        <w:t xml:space="preserve"> in the </w:t>
      </w:r>
      <w:r w:rsidR="00844689">
        <w:t>R</w:t>
      </w:r>
      <w:r>
        <w:t xml:space="preserve">egulatory </w:t>
      </w:r>
      <w:r w:rsidR="00844689">
        <w:t>I</w:t>
      </w:r>
      <w:r>
        <w:t xml:space="preserve">mpact </w:t>
      </w:r>
      <w:r w:rsidR="00844689">
        <w:t>A</w:t>
      </w:r>
      <w:r>
        <w:t>ssessment.</w:t>
      </w:r>
    </w:p>
    <w:p w14:paraId="54040A09" w14:textId="0253F9C8" w:rsidR="00160427" w:rsidRDefault="00160427" w:rsidP="00160427">
      <w:pPr>
        <w:pStyle w:val="Heading2"/>
      </w:pPr>
      <w:r>
        <w:t>Optional Protocol to the Convention against Torture</w:t>
      </w:r>
    </w:p>
    <w:p w14:paraId="14A76B61" w14:textId="23811CEE" w:rsidR="00160427" w:rsidRPr="00160427" w:rsidRDefault="00160427" w:rsidP="00160427">
      <w:r w:rsidRPr="00160427">
        <w:t xml:space="preserve">The new Programme for Government commits to enact the Inspection of Places of Detention Bill, enabling ratification of the UN Optional Protocol to UN Convention on Torture (OPCAT). OPCAT is an international human rights treaty designed to prevent torture and ill-treatment in all places of detention. It requires Governments to establish or designate a body – or a group of bodies – to monitor the treatment of and conditions of people deprived of their liberty (known as ‘National Preventative Mechanisms’ or ‘NPMs’). </w:t>
      </w:r>
    </w:p>
    <w:p w14:paraId="664BA4A4" w14:textId="15976F63" w:rsidR="00160427" w:rsidRDefault="00160427" w:rsidP="00160427">
      <w:r w:rsidRPr="00160427">
        <w:t xml:space="preserve">The Inspection of Places of Detention Bill proposes to expand the role and remit of the Office of Inspector of Prisons, transforming it into the Inspectorate of Places of Detention and designating it as the NPM for the justice sector. The Bill also provides that the Minister for Justice will designate NPMs for other sectors, such as health or social care (the expectation </w:t>
      </w:r>
      <w:r w:rsidR="00BA1BDF">
        <w:t>being</w:t>
      </w:r>
      <w:r w:rsidRPr="00160427">
        <w:t xml:space="preserve"> that HIQA and the Mental Health Commission will also </w:t>
      </w:r>
      <w:r w:rsidRPr="00160427">
        <w:lastRenderedPageBreak/>
        <w:t>be designated as NPMs). The Bill further proposes to designate IHREC as an overarching ‘NPM coordinator’ that effectively coordinates the activities of the individual NPMs and liaises with international bodies in relation to visits to Irish places of detention.</w:t>
      </w:r>
    </w:p>
    <w:p w14:paraId="1E7B53A3" w14:textId="3BCE1686" w:rsidR="00BA1BDF" w:rsidRDefault="00BA1BDF" w:rsidP="00160427">
      <w:r>
        <w:t>The Department’s Discussion Paper notes that regulators, including HIQA and the Mental Health Commission, will have a role in inspecting compliance with requirements under the Protection of Liberty Safeguards legislation, specifically requirements in relation to policies and procedures, as well as the maintenance of documentation and records. The NDA advises that</w:t>
      </w:r>
      <w:r w:rsidR="00F86211">
        <w:t xml:space="preserve"> the Department engages with the Department of Justice to ensure alignment between both pieces of legislation and ensure regulators such as HIQA and the Mental Health Commission are afforded the necessary powers to monitor places of detention and meet the requirements of OPCAT. </w:t>
      </w:r>
    </w:p>
    <w:p w14:paraId="49FC5D39" w14:textId="27DB0EF2" w:rsidR="00066042" w:rsidRDefault="00066042" w:rsidP="00066042">
      <w:pPr>
        <w:pStyle w:val="Heading1"/>
      </w:pPr>
      <w:r>
        <w:t>Conclusion</w:t>
      </w:r>
    </w:p>
    <w:p w14:paraId="3A9AFC32" w14:textId="45BC2047" w:rsidR="00066042" w:rsidRPr="00066042" w:rsidRDefault="00066042" w:rsidP="00066042">
      <w:r w:rsidRPr="00066042">
        <w:t>The NDA</w:t>
      </w:r>
      <w:r w:rsidR="00C60B75">
        <w:t xml:space="preserve"> welcomes the opportunity to contribute to this consultation and</w:t>
      </w:r>
      <w:r w:rsidRPr="00066042">
        <w:t xml:space="preserve"> is available to engage further</w:t>
      </w:r>
      <w:r w:rsidR="00995428">
        <w:t xml:space="preserve"> with the Department</w:t>
      </w:r>
      <w:r w:rsidRPr="00066042">
        <w:t xml:space="preserve"> on any of the issues raised in this submission. </w:t>
      </w:r>
      <w:r w:rsidR="00FD7AE3">
        <w:t xml:space="preserve">We also look forward to continued engagement on these proposals through </w:t>
      </w:r>
      <w:r w:rsidR="00F86211">
        <w:t xml:space="preserve">our representation on </w:t>
      </w:r>
      <w:r w:rsidR="00FD7AE3">
        <w:t xml:space="preserve">the </w:t>
      </w:r>
      <w:r w:rsidR="00FD7AE3" w:rsidRPr="00FD7AE3">
        <w:t>Department of Health’s Expert Advisory Group on Protection of Liberty Safeguards</w:t>
      </w:r>
      <w:r w:rsidR="00FD7AE3">
        <w:t>.</w:t>
      </w:r>
    </w:p>
    <w:p w14:paraId="6CD73286" w14:textId="77777777" w:rsidR="00647485" w:rsidRDefault="00647485" w:rsidP="00647485"/>
    <w:sectPr w:rsidR="006474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DFE3" w14:textId="77777777" w:rsidR="0039189C" w:rsidRDefault="0039189C" w:rsidP="00917FAC">
      <w:pPr>
        <w:spacing w:after="0"/>
      </w:pPr>
      <w:r>
        <w:separator/>
      </w:r>
    </w:p>
  </w:endnote>
  <w:endnote w:type="continuationSeparator" w:id="0">
    <w:p w14:paraId="4AC0EC20" w14:textId="77777777" w:rsidR="0039189C" w:rsidRDefault="0039189C"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CAC4" w14:textId="5029F0AA" w:rsidR="00917FAC" w:rsidRDefault="00AE0DE4" w:rsidP="00E457C6">
    <w:pPr>
      <w:pStyle w:val="Footer"/>
    </w:pPr>
    <w:r w:rsidRPr="00301CC9">
      <w:t xml:space="preserve">NDA Submission to </w:t>
    </w:r>
    <w:r w:rsidR="00547409">
      <w:t xml:space="preserve">the Department of </w:t>
    </w:r>
    <w:r w:rsidR="000C20D6">
      <w:t>Health</w:t>
    </w:r>
    <w:r w:rsidR="00FA1016" w:rsidRPr="00FA1016">
      <w:t xml:space="preserve"> to inform its consultation </w:t>
    </w:r>
    <w:r w:rsidR="00547409" w:rsidRPr="00547409">
      <w:t xml:space="preserve">on the development of </w:t>
    </w:r>
    <w:r w:rsidR="000C20D6">
      <w:t>Protection of Liberty Safeguards legislation</w:t>
    </w:r>
    <w:r w:rsidR="00547409" w:rsidRPr="00547409">
      <w:t xml:space="preserve"> </w:t>
    </w:r>
    <w:r w:rsidRPr="00A34B11">
      <w:t>(</w:t>
    </w:r>
    <w:r w:rsidR="00547409">
      <w:t>May</w:t>
    </w:r>
    <w:r w:rsidRPr="00A34B11">
      <w:t xml:space="preserve"> 2025)</w:t>
    </w:r>
    <w:r w:rsidR="001538BD">
      <w:tab/>
    </w:r>
    <w:sdt>
      <w:sdtPr>
        <w:id w:val="-724988138"/>
        <w:docPartObj>
          <w:docPartGallery w:val="Page Numbers (Bottom of Page)"/>
          <w:docPartUnique/>
        </w:docPartObj>
      </w:sdtPr>
      <w:sdtEndPr/>
      <w:sdtContent>
        <w:r w:rsidR="00E457C6">
          <w:tab/>
        </w:r>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08440" w14:textId="77777777" w:rsidR="0039189C" w:rsidRDefault="0039189C" w:rsidP="00917FAC">
      <w:pPr>
        <w:spacing w:after="0"/>
      </w:pPr>
      <w:r>
        <w:separator/>
      </w:r>
    </w:p>
  </w:footnote>
  <w:footnote w:type="continuationSeparator" w:id="0">
    <w:p w14:paraId="490D5470" w14:textId="77777777" w:rsidR="0039189C" w:rsidRDefault="0039189C" w:rsidP="00917FAC">
      <w:pPr>
        <w:spacing w:after="0"/>
      </w:pPr>
      <w:r>
        <w:continuationSeparator/>
      </w:r>
    </w:p>
  </w:footnote>
  <w:footnote w:id="1">
    <w:p w14:paraId="6C799785" w14:textId="4CABA605" w:rsidR="004E4C04" w:rsidRDefault="004E4C04">
      <w:pPr>
        <w:pStyle w:val="FootnoteText"/>
      </w:pPr>
      <w:r>
        <w:rPr>
          <w:rStyle w:val="FootnoteReference"/>
        </w:rPr>
        <w:footnoteRef/>
      </w:r>
      <w:r>
        <w:t xml:space="preserve"> Law Reform Commission (2024)</w:t>
      </w:r>
      <w:r w:rsidRPr="004E4C04">
        <w:t xml:space="preserve"> A regulatory framework for adult safeguarding:</w:t>
      </w:r>
      <w:r w:rsidR="00D27193">
        <w:t xml:space="preserve"> </w:t>
      </w:r>
      <w:r w:rsidRPr="004E4C04">
        <w:t>Volume 1</w:t>
      </w:r>
      <w:r>
        <w:t>.</w:t>
      </w:r>
    </w:p>
  </w:footnote>
  <w:footnote w:id="2">
    <w:p w14:paraId="3A269502" w14:textId="205317D0" w:rsidR="002A614F" w:rsidRDefault="002A614F">
      <w:pPr>
        <w:pStyle w:val="FootnoteText"/>
      </w:pPr>
      <w:r>
        <w:rPr>
          <w:rStyle w:val="FootnoteReference"/>
        </w:rPr>
        <w:footnoteRef/>
      </w:r>
      <w:r>
        <w:t xml:space="preserve"> The NDA has developed guidance, entitled </w:t>
      </w:r>
      <w:hyperlink r:id="rId1" w:history="1">
        <w:r w:rsidRPr="002A614F">
          <w:rPr>
            <w:rStyle w:val="Hyperlink"/>
          </w:rPr>
          <w:t>Participation Matters</w:t>
        </w:r>
      </w:hyperlink>
      <w:r>
        <w:t xml:space="preserve">, for public officials on </w:t>
      </w:r>
      <w:r w:rsidRPr="002A614F">
        <w:t>implementing the obligation to meaningfully engage with disabled people in public decision making</w:t>
      </w:r>
      <w:r>
        <w:t>, which may also be of assistance to the Department in this regard.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1"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395B35"/>
    <w:multiLevelType w:val="hybridMultilevel"/>
    <w:tmpl w:val="8C66B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77146BF"/>
    <w:multiLevelType w:val="hybridMultilevel"/>
    <w:tmpl w:val="B066A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AC84302"/>
    <w:multiLevelType w:val="hybridMultilevel"/>
    <w:tmpl w:val="C4A8D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D654A7"/>
    <w:multiLevelType w:val="multilevel"/>
    <w:tmpl w:val="B1F2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F20BD"/>
    <w:multiLevelType w:val="hybridMultilevel"/>
    <w:tmpl w:val="66BEF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25B2D88"/>
    <w:multiLevelType w:val="hybridMultilevel"/>
    <w:tmpl w:val="04F80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9E96A00"/>
    <w:multiLevelType w:val="hybridMultilevel"/>
    <w:tmpl w:val="8F9860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2C70090"/>
    <w:multiLevelType w:val="hybridMultilevel"/>
    <w:tmpl w:val="8FA07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AC234E"/>
    <w:multiLevelType w:val="hybridMultilevel"/>
    <w:tmpl w:val="36C6D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1"/>
  </w:num>
  <w:num w:numId="2" w16cid:durableId="1208221761">
    <w:abstractNumId w:val="15"/>
  </w:num>
  <w:num w:numId="3" w16cid:durableId="323360036">
    <w:abstractNumId w:val="8"/>
  </w:num>
  <w:num w:numId="4" w16cid:durableId="1675497173">
    <w:abstractNumId w:val="5"/>
  </w:num>
  <w:num w:numId="5" w16cid:durableId="572157237">
    <w:abstractNumId w:val="6"/>
  </w:num>
  <w:num w:numId="6" w16cid:durableId="1523394075">
    <w:abstractNumId w:val="3"/>
  </w:num>
  <w:num w:numId="7" w16cid:durableId="912929873">
    <w:abstractNumId w:val="12"/>
  </w:num>
  <w:num w:numId="8" w16cid:durableId="977608658">
    <w:abstractNumId w:val="14"/>
  </w:num>
  <w:num w:numId="9" w16cid:durableId="1233278352">
    <w:abstractNumId w:val="0"/>
  </w:num>
  <w:num w:numId="10" w16cid:durableId="1202548908">
    <w:abstractNumId w:val="9"/>
  </w:num>
  <w:num w:numId="11" w16cid:durableId="1838809369">
    <w:abstractNumId w:val="10"/>
  </w:num>
  <w:num w:numId="12" w16cid:durableId="962426233">
    <w:abstractNumId w:val="16"/>
  </w:num>
  <w:num w:numId="13" w16cid:durableId="1544638239">
    <w:abstractNumId w:val="2"/>
  </w:num>
  <w:num w:numId="14" w16cid:durableId="309359884">
    <w:abstractNumId w:val="13"/>
  </w:num>
  <w:num w:numId="15" w16cid:durableId="1971476450">
    <w:abstractNumId w:val="7"/>
  </w:num>
  <w:num w:numId="16" w16cid:durableId="192159277">
    <w:abstractNumId w:val="11"/>
  </w:num>
  <w:num w:numId="17" w16cid:durableId="1993561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C6"/>
    <w:rsid w:val="000009D2"/>
    <w:rsid w:val="000049C4"/>
    <w:rsid w:val="0001011C"/>
    <w:rsid w:val="00011173"/>
    <w:rsid w:val="00031D17"/>
    <w:rsid w:val="0003510A"/>
    <w:rsid w:val="00051561"/>
    <w:rsid w:val="00055494"/>
    <w:rsid w:val="00066042"/>
    <w:rsid w:val="0006646C"/>
    <w:rsid w:val="00070E52"/>
    <w:rsid w:val="0007514C"/>
    <w:rsid w:val="000779D8"/>
    <w:rsid w:val="00077BE4"/>
    <w:rsid w:val="0008118F"/>
    <w:rsid w:val="00095890"/>
    <w:rsid w:val="000A143B"/>
    <w:rsid w:val="000C0650"/>
    <w:rsid w:val="000C20D6"/>
    <w:rsid w:val="000C43CE"/>
    <w:rsid w:val="000D2A1B"/>
    <w:rsid w:val="000D61AB"/>
    <w:rsid w:val="000D713B"/>
    <w:rsid w:val="000F3A31"/>
    <w:rsid w:val="000F44A5"/>
    <w:rsid w:val="001023A4"/>
    <w:rsid w:val="0010419F"/>
    <w:rsid w:val="00104ABC"/>
    <w:rsid w:val="0011311E"/>
    <w:rsid w:val="00127854"/>
    <w:rsid w:val="00130160"/>
    <w:rsid w:val="00132E18"/>
    <w:rsid w:val="00133D43"/>
    <w:rsid w:val="00140685"/>
    <w:rsid w:val="00142F67"/>
    <w:rsid w:val="0014365F"/>
    <w:rsid w:val="001538BD"/>
    <w:rsid w:val="00153DE1"/>
    <w:rsid w:val="00157808"/>
    <w:rsid w:val="00160427"/>
    <w:rsid w:val="001620CF"/>
    <w:rsid w:val="00167867"/>
    <w:rsid w:val="00184F10"/>
    <w:rsid w:val="0018692E"/>
    <w:rsid w:val="0019071C"/>
    <w:rsid w:val="001B681B"/>
    <w:rsid w:val="001C3486"/>
    <w:rsid w:val="001D099B"/>
    <w:rsid w:val="001D0FB7"/>
    <w:rsid w:val="001F06F3"/>
    <w:rsid w:val="00205C4D"/>
    <w:rsid w:val="002139FB"/>
    <w:rsid w:val="002173FE"/>
    <w:rsid w:val="00224B98"/>
    <w:rsid w:val="00227F11"/>
    <w:rsid w:val="00232C10"/>
    <w:rsid w:val="002458D0"/>
    <w:rsid w:val="00245D2F"/>
    <w:rsid w:val="0025707C"/>
    <w:rsid w:val="0026368F"/>
    <w:rsid w:val="002715C7"/>
    <w:rsid w:val="00284FE5"/>
    <w:rsid w:val="00286405"/>
    <w:rsid w:val="0028705D"/>
    <w:rsid w:val="0029034A"/>
    <w:rsid w:val="002A614F"/>
    <w:rsid w:val="002C0D07"/>
    <w:rsid w:val="002C2846"/>
    <w:rsid w:val="002C5131"/>
    <w:rsid w:val="002C7DA3"/>
    <w:rsid w:val="002D3416"/>
    <w:rsid w:val="002F76DE"/>
    <w:rsid w:val="00301CC9"/>
    <w:rsid w:val="0031069F"/>
    <w:rsid w:val="00315C18"/>
    <w:rsid w:val="00322F35"/>
    <w:rsid w:val="003262A7"/>
    <w:rsid w:val="0033147F"/>
    <w:rsid w:val="00335B67"/>
    <w:rsid w:val="003416F1"/>
    <w:rsid w:val="00345902"/>
    <w:rsid w:val="00360A55"/>
    <w:rsid w:val="00360B5D"/>
    <w:rsid w:val="003620F9"/>
    <w:rsid w:val="00366469"/>
    <w:rsid w:val="0039189C"/>
    <w:rsid w:val="0039218B"/>
    <w:rsid w:val="003A0A5D"/>
    <w:rsid w:val="003A3379"/>
    <w:rsid w:val="003A782C"/>
    <w:rsid w:val="003B156B"/>
    <w:rsid w:val="003C0595"/>
    <w:rsid w:val="003C1272"/>
    <w:rsid w:val="003C21D8"/>
    <w:rsid w:val="003D1195"/>
    <w:rsid w:val="003F0292"/>
    <w:rsid w:val="003F2DE3"/>
    <w:rsid w:val="0041150E"/>
    <w:rsid w:val="00426948"/>
    <w:rsid w:val="004337D5"/>
    <w:rsid w:val="0044139C"/>
    <w:rsid w:val="00442050"/>
    <w:rsid w:val="0044212C"/>
    <w:rsid w:val="0044497D"/>
    <w:rsid w:val="00473168"/>
    <w:rsid w:val="004838F4"/>
    <w:rsid w:val="0049346C"/>
    <w:rsid w:val="00493852"/>
    <w:rsid w:val="004A0893"/>
    <w:rsid w:val="004B4461"/>
    <w:rsid w:val="004C5C5B"/>
    <w:rsid w:val="004D6F54"/>
    <w:rsid w:val="004D70E4"/>
    <w:rsid w:val="004E4260"/>
    <w:rsid w:val="004E47ED"/>
    <w:rsid w:val="004E482D"/>
    <w:rsid w:val="004E4C04"/>
    <w:rsid w:val="004E4E8E"/>
    <w:rsid w:val="004E52B5"/>
    <w:rsid w:val="00502783"/>
    <w:rsid w:val="0050665D"/>
    <w:rsid w:val="005137D5"/>
    <w:rsid w:val="00523C3F"/>
    <w:rsid w:val="00523EB2"/>
    <w:rsid w:val="00526A59"/>
    <w:rsid w:val="00534EEF"/>
    <w:rsid w:val="00537B5B"/>
    <w:rsid w:val="005428AB"/>
    <w:rsid w:val="00547409"/>
    <w:rsid w:val="00550640"/>
    <w:rsid w:val="0055429D"/>
    <w:rsid w:val="0057353C"/>
    <w:rsid w:val="00574132"/>
    <w:rsid w:val="005753BC"/>
    <w:rsid w:val="0057773C"/>
    <w:rsid w:val="0058651E"/>
    <w:rsid w:val="0058742C"/>
    <w:rsid w:val="0059607A"/>
    <w:rsid w:val="005A394E"/>
    <w:rsid w:val="005A7D3B"/>
    <w:rsid w:val="005B3035"/>
    <w:rsid w:val="005C5995"/>
    <w:rsid w:val="005D1C59"/>
    <w:rsid w:val="005D7081"/>
    <w:rsid w:val="005E1455"/>
    <w:rsid w:val="006040C7"/>
    <w:rsid w:val="00610919"/>
    <w:rsid w:val="00612B9F"/>
    <w:rsid w:val="00617350"/>
    <w:rsid w:val="00620460"/>
    <w:rsid w:val="00623CA7"/>
    <w:rsid w:val="00625EB3"/>
    <w:rsid w:val="00647485"/>
    <w:rsid w:val="00650BC4"/>
    <w:rsid w:val="00651B83"/>
    <w:rsid w:val="006544B6"/>
    <w:rsid w:val="00655696"/>
    <w:rsid w:val="00660C3F"/>
    <w:rsid w:val="00662F6C"/>
    <w:rsid w:val="00664A4E"/>
    <w:rsid w:val="00683DA8"/>
    <w:rsid w:val="006874E0"/>
    <w:rsid w:val="00693E19"/>
    <w:rsid w:val="006A62D9"/>
    <w:rsid w:val="006A6CDE"/>
    <w:rsid w:val="006C1CFB"/>
    <w:rsid w:val="006C39A2"/>
    <w:rsid w:val="006C7362"/>
    <w:rsid w:val="006E093E"/>
    <w:rsid w:val="006F0DFE"/>
    <w:rsid w:val="006F507A"/>
    <w:rsid w:val="006F5644"/>
    <w:rsid w:val="006F68B4"/>
    <w:rsid w:val="006F763F"/>
    <w:rsid w:val="006F7C4F"/>
    <w:rsid w:val="00700946"/>
    <w:rsid w:val="007020D3"/>
    <w:rsid w:val="00710378"/>
    <w:rsid w:val="0071053D"/>
    <w:rsid w:val="00715D09"/>
    <w:rsid w:val="00731BA8"/>
    <w:rsid w:val="007401B7"/>
    <w:rsid w:val="00743BBE"/>
    <w:rsid w:val="00745B19"/>
    <w:rsid w:val="00745ED5"/>
    <w:rsid w:val="00747E37"/>
    <w:rsid w:val="00751AF4"/>
    <w:rsid w:val="00762ED5"/>
    <w:rsid w:val="00777B8F"/>
    <w:rsid w:val="00781DB6"/>
    <w:rsid w:val="007959B2"/>
    <w:rsid w:val="007A022A"/>
    <w:rsid w:val="007B2A4A"/>
    <w:rsid w:val="007B30B4"/>
    <w:rsid w:val="007B503F"/>
    <w:rsid w:val="007C06F0"/>
    <w:rsid w:val="007C63B4"/>
    <w:rsid w:val="007C66D0"/>
    <w:rsid w:val="007D67D0"/>
    <w:rsid w:val="007F0ACF"/>
    <w:rsid w:val="007F2995"/>
    <w:rsid w:val="007F5861"/>
    <w:rsid w:val="008002BA"/>
    <w:rsid w:val="008008FF"/>
    <w:rsid w:val="00816EE6"/>
    <w:rsid w:val="00830FFA"/>
    <w:rsid w:val="00834B9E"/>
    <w:rsid w:val="00844689"/>
    <w:rsid w:val="00847E0F"/>
    <w:rsid w:val="00851596"/>
    <w:rsid w:val="008524B5"/>
    <w:rsid w:val="00853E35"/>
    <w:rsid w:val="00880D31"/>
    <w:rsid w:val="00894807"/>
    <w:rsid w:val="008B3CF0"/>
    <w:rsid w:val="008B4593"/>
    <w:rsid w:val="008C3230"/>
    <w:rsid w:val="008D14BC"/>
    <w:rsid w:val="008D6474"/>
    <w:rsid w:val="008E5F07"/>
    <w:rsid w:val="008E79C7"/>
    <w:rsid w:val="008F097A"/>
    <w:rsid w:val="008F2F4F"/>
    <w:rsid w:val="009134CB"/>
    <w:rsid w:val="00917FAC"/>
    <w:rsid w:val="00920097"/>
    <w:rsid w:val="009323EF"/>
    <w:rsid w:val="0095172A"/>
    <w:rsid w:val="00963CBD"/>
    <w:rsid w:val="00973DEB"/>
    <w:rsid w:val="009740B3"/>
    <w:rsid w:val="00980120"/>
    <w:rsid w:val="009821F6"/>
    <w:rsid w:val="00985C03"/>
    <w:rsid w:val="00990BB6"/>
    <w:rsid w:val="00993359"/>
    <w:rsid w:val="00993ADE"/>
    <w:rsid w:val="00995428"/>
    <w:rsid w:val="009962D2"/>
    <w:rsid w:val="009A6DB0"/>
    <w:rsid w:val="009A7478"/>
    <w:rsid w:val="009B2485"/>
    <w:rsid w:val="009B29E0"/>
    <w:rsid w:val="009C7640"/>
    <w:rsid w:val="009E241C"/>
    <w:rsid w:val="009E573E"/>
    <w:rsid w:val="009E5EF9"/>
    <w:rsid w:val="009F4396"/>
    <w:rsid w:val="00A15B73"/>
    <w:rsid w:val="00A34896"/>
    <w:rsid w:val="00A34B11"/>
    <w:rsid w:val="00A4429A"/>
    <w:rsid w:val="00A65359"/>
    <w:rsid w:val="00A7475D"/>
    <w:rsid w:val="00A75664"/>
    <w:rsid w:val="00A76EED"/>
    <w:rsid w:val="00A801C5"/>
    <w:rsid w:val="00A8162C"/>
    <w:rsid w:val="00A866B4"/>
    <w:rsid w:val="00AA023E"/>
    <w:rsid w:val="00AB04E2"/>
    <w:rsid w:val="00AB2100"/>
    <w:rsid w:val="00AB3661"/>
    <w:rsid w:val="00AB5DC7"/>
    <w:rsid w:val="00AC240B"/>
    <w:rsid w:val="00AD44E2"/>
    <w:rsid w:val="00AE0DE4"/>
    <w:rsid w:val="00AF0F94"/>
    <w:rsid w:val="00B1050C"/>
    <w:rsid w:val="00B2031C"/>
    <w:rsid w:val="00B22B0E"/>
    <w:rsid w:val="00B23B21"/>
    <w:rsid w:val="00B24EAF"/>
    <w:rsid w:val="00B27A71"/>
    <w:rsid w:val="00B353CF"/>
    <w:rsid w:val="00B42114"/>
    <w:rsid w:val="00B442A5"/>
    <w:rsid w:val="00B442CD"/>
    <w:rsid w:val="00B504B5"/>
    <w:rsid w:val="00B5236A"/>
    <w:rsid w:val="00B53A64"/>
    <w:rsid w:val="00B64733"/>
    <w:rsid w:val="00B6526E"/>
    <w:rsid w:val="00B7381A"/>
    <w:rsid w:val="00B7450C"/>
    <w:rsid w:val="00B817F1"/>
    <w:rsid w:val="00B81FF1"/>
    <w:rsid w:val="00B8382B"/>
    <w:rsid w:val="00B870ED"/>
    <w:rsid w:val="00B921ED"/>
    <w:rsid w:val="00B960D6"/>
    <w:rsid w:val="00BA1BDF"/>
    <w:rsid w:val="00BA393F"/>
    <w:rsid w:val="00BA4BE7"/>
    <w:rsid w:val="00BB03D4"/>
    <w:rsid w:val="00BB2217"/>
    <w:rsid w:val="00BB23F7"/>
    <w:rsid w:val="00BB3756"/>
    <w:rsid w:val="00BB3FA7"/>
    <w:rsid w:val="00BD30C3"/>
    <w:rsid w:val="00BD5F4D"/>
    <w:rsid w:val="00BE2387"/>
    <w:rsid w:val="00BF0F62"/>
    <w:rsid w:val="00BF338F"/>
    <w:rsid w:val="00BF4CA1"/>
    <w:rsid w:val="00C02555"/>
    <w:rsid w:val="00C07920"/>
    <w:rsid w:val="00C10786"/>
    <w:rsid w:val="00C15849"/>
    <w:rsid w:val="00C2085D"/>
    <w:rsid w:val="00C212AB"/>
    <w:rsid w:val="00C3351A"/>
    <w:rsid w:val="00C3394C"/>
    <w:rsid w:val="00C33A79"/>
    <w:rsid w:val="00C37548"/>
    <w:rsid w:val="00C403C1"/>
    <w:rsid w:val="00C465D7"/>
    <w:rsid w:val="00C54A86"/>
    <w:rsid w:val="00C60B75"/>
    <w:rsid w:val="00C66BB5"/>
    <w:rsid w:val="00C76F4F"/>
    <w:rsid w:val="00C83C6A"/>
    <w:rsid w:val="00C86F8E"/>
    <w:rsid w:val="00C943D1"/>
    <w:rsid w:val="00C95C6A"/>
    <w:rsid w:val="00C964C3"/>
    <w:rsid w:val="00CA09FE"/>
    <w:rsid w:val="00CC0CD2"/>
    <w:rsid w:val="00CF0735"/>
    <w:rsid w:val="00CF3415"/>
    <w:rsid w:val="00D1407E"/>
    <w:rsid w:val="00D16BD7"/>
    <w:rsid w:val="00D22B57"/>
    <w:rsid w:val="00D27193"/>
    <w:rsid w:val="00D40D54"/>
    <w:rsid w:val="00D442BE"/>
    <w:rsid w:val="00D53F0F"/>
    <w:rsid w:val="00D66DD2"/>
    <w:rsid w:val="00D6705D"/>
    <w:rsid w:val="00D748B3"/>
    <w:rsid w:val="00D83D85"/>
    <w:rsid w:val="00DA1D77"/>
    <w:rsid w:val="00DA39FC"/>
    <w:rsid w:val="00DB4796"/>
    <w:rsid w:val="00DC7236"/>
    <w:rsid w:val="00DC77B6"/>
    <w:rsid w:val="00DD5D1A"/>
    <w:rsid w:val="00DE47FF"/>
    <w:rsid w:val="00DF5E2E"/>
    <w:rsid w:val="00E019C9"/>
    <w:rsid w:val="00E03383"/>
    <w:rsid w:val="00E0371B"/>
    <w:rsid w:val="00E03DB8"/>
    <w:rsid w:val="00E237B6"/>
    <w:rsid w:val="00E26E58"/>
    <w:rsid w:val="00E3343B"/>
    <w:rsid w:val="00E349E4"/>
    <w:rsid w:val="00E41900"/>
    <w:rsid w:val="00E4537B"/>
    <w:rsid w:val="00E457C6"/>
    <w:rsid w:val="00E80E84"/>
    <w:rsid w:val="00E84944"/>
    <w:rsid w:val="00E85F90"/>
    <w:rsid w:val="00E871C4"/>
    <w:rsid w:val="00E90284"/>
    <w:rsid w:val="00E90500"/>
    <w:rsid w:val="00E90FD5"/>
    <w:rsid w:val="00E93D67"/>
    <w:rsid w:val="00E9550A"/>
    <w:rsid w:val="00E97A63"/>
    <w:rsid w:val="00EA59EA"/>
    <w:rsid w:val="00EA694F"/>
    <w:rsid w:val="00EA69CB"/>
    <w:rsid w:val="00EB11CF"/>
    <w:rsid w:val="00EB27BF"/>
    <w:rsid w:val="00EB7ACC"/>
    <w:rsid w:val="00EC5E6B"/>
    <w:rsid w:val="00EC7BBF"/>
    <w:rsid w:val="00EF1C7D"/>
    <w:rsid w:val="00EF6B03"/>
    <w:rsid w:val="00F1268C"/>
    <w:rsid w:val="00F20E0D"/>
    <w:rsid w:val="00F33AB0"/>
    <w:rsid w:val="00F4045E"/>
    <w:rsid w:val="00F470BA"/>
    <w:rsid w:val="00F47BB0"/>
    <w:rsid w:val="00F548C1"/>
    <w:rsid w:val="00F62B70"/>
    <w:rsid w:val="00F70650"/>
    <w:rsid w:val="00F73200"/>
    <w:rsid w:val="00F76D1A"/>
    <w:rsid w:val="00F80590"/>
    <w:rsid w:val="00F86211"/>
    <w:rsid w:val="00F90379"/>
    <w:rsid w:val="00F9218D"/>
    <w:rsid w:val="00F9726E"/>
    <w:rsid w:val="00FA1016"/>
    <w:rsid w:val="00FA5FC5"/>
    <w:rsid w:val="00FC09EC"/>
    <w:rsid w:val="00FC1962"/>
    <w:rsid w:val="00FD6D08"/>
    <w:rsid w:val="00FD7AE3"/>
    <w:rsid w:val="00FE0059"/>
    <w:rsid w:val="00FE28C8"/>
    <w:rsid w:val="00FE3F97"/>
    <w:rsid w:val="00FF04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53B4"/>
  <w15:chartTrackingRefBased/>
  <w15:docId w15:val="{86FFE63E-4CB0-43FB-BDE5-DDFFA527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23"/>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CommentReference">
    <w:name w:val="annotation reference"/>
    <w:basedOn w:val="DefaultParagraphFont"/>
    <w:uiPriority w:val="99"/>
    <w:semiHidden/>
    <w:unhideWhenUsed/>
    <w:rsid w:val="00E457C6"/>
    <w:rPr>
      <w:sz w:val="16"/>
      <w:szCs w:val="16"/>
    </w:rPr>
  </w:style>
  <w:style w:type="paragraph" w:styleId="CommentText">
    <w:name w:val="annotation text"/>
    <w:basedOn w:val="Normal"/>
    <w:link w:val="CommentTextChar"/>
    <w:uiPriority w:val="99"/>
    <w:unhideWhenUsed/>
    <w:rsid w:val="00E457C6"/>
    <w:rPr>
      <w:sz w:val="20"/>
      <w:szCs w:val="20"/>
    </w:rPr>
  </w:style>
  <w:style w:type="character" w:customStyle="1" w:styleId="CommentTextChar">
    <w:name w:val="Comment Text Char"/>
    <w:basedOn w:val="DefaultParagraphFont"/>
    <w:link w:val="CommentText"/>
    <w:uiPriority w:val="99"/>
    <w:rsid w:val="00E457C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457C6"/>
    <w:rPr>
      <w:b/>
      <w:bCs/>
    </w:rPr>
  </w:style>
  <w:style w:type="character" w:customStyle="1" w:styleId="CommentSubjectChar">
    <w:name w:val="Comment Subject Char"/>
    <w:basedOn w:val="CommentTextChar"/>
    <w:link w:val="CommentSubject"/>
    <w:uiPriority w:val="99"/>
    <w:semiHidden/>
    <w:rsid w:val="00E457C6"/>
    <w:rPr>
      <w:rFonts w:ascii="Verdana" w:hAnsi="Verdana"/>
      <w:b/>
      <w:bCs/>
      <w:sz w:val="20"/>
      <w:szCs w:val="20"/>
    </w:rPr>
  </w:style>
  <w:style w:type="paragraph" w:styleId="ListBullet2">
    <w:name w:val="List Bullet 2"/>
    <w:basedOn w:val="Normal"/>
    <w:rsid w:val="00AE0DE4"/>
    <w:pPr>
      <w:numPr>
        <w:numId w:val="9"/>
      </w:numPr>
      <w:tabs>
        <w:tab w:val="clear" w:pos="717"/>
        <w:tab w:val="left" w:pos="357"/>
      </w:tabs>
      <w:spacing w:before="60" w:after="60"/>
      <w:ind w:left="641" w:hanging="357"/>
    </w:pPr>
    <w:rPr>
      <w:rFonts w:ascii="Gill Sans" w:eastAsia="Times New Roman" w:hAnsi="Gill Sans" w:cs="Times New Roman"/>
      <w:kern w:val="0"/>
      <w:sz w:val="26"/>
      <w:szCs w:val="24"/>
      <w14:ligatures w14:val="none"/>
    </w:rPr>
  </w:style>
  <w:style w:type="character" w:styleId="UnresolvedMention">
    <w:name w:val="Unresolved Mention"/>
    <w:basedOn w:val="DefaultParagraphFont"/>
    <w:uiPriority w:val="99"/>
    <w:semiHidden/>
    <w:unhideWhenUsed/>
    <w:rsid w:val="00BB03D4"/>
    <w:rPr>
      <w:color w:val="605E5C"/>
      <w:shd w:val="clear" w:color="auto" w:fill="E1DFDD"/>
    </w:rPr>
  </w:style>
  <w:style w:type="paragraph" w:styleId="Revision">
    <w:name w:val="Revision"/>
    <w:hidden/>
    <w:uiPriority w:val="99"/>
    <w:semiHidden/>
    <w:rsid w:val="00990BB6"/>
    <w:pPr>
      <w:spacing w:after="0"/>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65726">
      <w:bodyDiv w:val="1"/>
      <w:marLeft w:val="0"/>
      <w:marRight w:val="0"/>
      <w:marTop w:val="0"/>
      <w:marBottom w:val="0"/>
      <w:divBdr>
        <w:top w:val="none" w:sz="0" w:space="0" w:color="auto"/>
        <w:left w:val="none" w:sz="0" w:space="0" w:color="auto"/>
        <w:bottom w:val="none" w:sz="0" w:space="0" w:color="auto"/>
        <w:right w:val="none" w:sz="0" w:space="0" w:color="auto"/>
      </w:divBdr>
    </w:div>
    <w:div w:id="946078195">
      <w:bodyDiv w:val="1"/>
      <w:marLeft w:val="0"/>
      <w:marRight w:val="0"/>
      <w:marTop w:val="0"/>
      <w:marBottom w:val="0"/>
      <w:divBdr>
        <w:top w:val="none" w:sz="0" w:space="0" w:color="auto"/>
        <w:left w:val="none" w:sz="0" w:space="0" w:color="auto"/>
        <w:bottom w:val="none" w:sz="0" w:space="0" w:color="auto"/>
        <w:right w:val="none" w:sz="0" w:space="0" w:color="auto"/>
      </w:divBdr>
    </w:div>
    <w:div w:id="15968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da.ie/publications/participation-matters-guidelines-on-implementing-the-obligation-to-meaningfully-engage-with-disabled-people-in-public-decision-ma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TotalTime>
  <Pages>6</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 (NDA)</dc:creator>
  <cp:keywords/>
  <dc:description/>
  <cp:lastModifiedBy>Heather O'Leary (NDA)</cp:lastModifiedBy>
  <cp:revision>2</cp:revision>
  <dcterms:created xsi:type="dcterms:W3CDTF">2025-08-05T15:16:00Z</dcterms:created>
  <dcterms:modified xsi:type="dcterms:W3CDTF">2025-08-05T15:16:00Z</dcterms:modified>
</cp:coreProperties>
</file>