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14DC" w14:textId="1015EB49" w:rsidR="003520E8" w:rsidRPr="002E2D08" w:rsidRDefault="00E46EA6" w:rsidP="003520E8">
      <w:pPr>
        <w:pStyle w:val="Title"/>
        <w:spacing w:before="960" w:after="5760"/>
        <w:rPr>
          <w:sz w:val="96"/>
          <w:szCs w:val="96"/>
        </w:rPr>
      </w:pPr>
      <w:r>
        <w:rPr>
          <w:sz w:val="96"/>
          <w:szCs w:val="96"/>
        </w:rPr>
        <w:t>Briefing Report</w:t>
      </w:r>
      <w:r w:rsidR="00943389">
        <w:rPr>
          <w:sz w:val="96"/>
          <w:szCs w:val="96"/>
        </w:rPr>
        <w:t xml:space="preserve">: </w:t>
      </w:r>
      <w:r w:rsidR="003520E8" w:rsidRPr="002E2D08">
        <w:rPr>
          <w:sz w:val="96"/>
          <w:szCs w:val="96"/>
        </w:rPr>
        <w:t>NDA Factsheet 2: Employment</w:t>
      </w:r>
      <w:r>
        <w:rPr>
          <w:sz w:val="96"/>
          <w:szCs w:val="96"/>
        </w:rPr>
        <w:t xml:space="preserve"> </w:t>
      </w:r>
    </w:p>
    <w:p w14:paraId="48F8F4DE" w14:textId="7EB229BA" w:rsidR="003520E8" w:rsidRPr="002E2D08" w:rsidRDefault="00BC7A64" w:rsidP="003520E8">
      <w:pPr>
        <w:spacing w:after="600"/>
        <w:rPr>
          <w:b/>
          <w:sz w:val="32"/>
          <w:szCs w:val="32"/>
        </w:rPr>
      </w:pPr>
      <w:r>
        <w:rPr>
          <w:b/>
          <w:sz w:val="32"/>
          <w:szCs w:val="32"/>
        </w:rPr>
        <w:t>November</w:t>
      </w:r>
      <w:r w:rsidR="004942A6">
        <w:rPr>
          <w:b/>
          <w:sz w:val="32"/>
          <w:szCs w:val="32"/>
        </w:rPr>
        <w:t xml:space="preserve"> 2024</w:t>
      </w:r>
    </w:p>
    <w:p w14:paraId="11D6C44A" w14:textId="77777777" w:rsidR="003520E8" w:rsidRPr="002E2D08" w:rsidRDefault="003520E8" w:rsidP="003520E8">
      <w:pPr>
        <w:pStyle w:val="Title"/>
        <w:jc w:val="left"/>
        <w:rPr>
          <w:highlight w:val="yellow"/>
        </w:rPr>
      </w:pPr>
      <w:r w:rsidRPr="002E2D08">
        <w:rPr>
          <w:noProof/>
          <w:lang w:eastAsia="en-IE"/>
        </w:rPr>
        <w:drawing>
          <wp:inline distT="0" distB="0" distL="0" distR="0" wp14:anchorId="051DFBA3" wp14:editId="6A4B4580">
            <wp:extent cx="2520696" cy="1801368"/>
            <wp:effectExtent l="0" t="0" r="0" b="8890"/>
            <wp:docPr id="5" name="Picture 5" descr="NDA Logo" title="N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DA_LOGO_2010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1801368"/>
                    </a:xfrm>
                    <a:prstGeom prst="rect">
                      <a:avLst/>
                    </a:prstGeom>
                  </pic:spPr>
                </pic:pic>
              </a:graphicData>
            </a:graphic>
          </wp:inline>
        </w:drawing>
      </w:r>
      <w:r w:rsidRPr="002E2D08">
        <w:rPr>
          <w:highlight w:val="yellow"/>
        </w:rPr>
        <w:br w:type="page"/>
      </w:r>
    </w:p>
    <w:p w14:paraId="773503FA" w14:textId="77777777" w:rsidR="009C4D62" w:rsidRPr="002E2D08" w:rsidRDefault="00B84452" w:rsidP="009C3BD7">
      <w:pPr>
        <w:pStyle w:val="Title"/>
      </w:pPr>
      <w:r w:rsidRPr="002E2D08">
        <w:lastRenderedPageBreak/>
        <w:t>NDA</w:t>
      </w:r>
      <w:r w:rsidR="004F0EC1" w:rsidRPr="002E2D08">
        <w:t xml:space="preserve"> </w:t>
      </w:r>
      <w:r w:rsidR="00BE3889" w:rsidRPr="002E2D08">
        <w:t>Factsheet 2</w:t>
      </w:r>
      <w:r w:rsidR="000E564B" w:rsidRPr="002E2D08">
        <w:t xml:space="preserve">: </w:t>
      </w:r>
      <w:r w:rsidRPr="002E2D08">
        <w:t>E</w:t>
      </w:r>
      <w:r w:rsidR="00F954A9" w:rsidRPr="002E2D08">
        <w:t>mployment</w:t>
      </w:r>
      <w:r w:rsidR="000E564B" w:rsidRPr="002E2D08">
        <w:t xml:space="preserve"> </w:t>
      </w:r>
      <w:r w:rsidRPr="002E2D08">
        <w:t>and Disability</w:t>
      </w:r>
    </w:p>
    <w:p w14:paraId="47E67765" w14:textId="77777777" w:rsidR="00B20DDC" w:rsidRPr="002E2D08" w:rsidRDefault="008354B1" w:rsidP="00B84452">
      <w:pPr>
        <w:pStyle w:val="Heading1"/>
      </w:pPr>
      <w:r w:rsidRPr="002E2D08">
        <w:t>I</w:t>
      </w:r>
      <w:r w:rsidR="001C496B" w:rsidRPr="002E2D08">
        <w:t>ntroduction</w:t>
      </w:r>
    </w:p>
    <w:p w14:paraId="2EACB342" w14:textId="4648B9C1" w:rsidR="0098718E" w:rsidRPr="00D43799" w:rsidRDefault="0098718E" w:rsidP="0098718E">
      <w:pPr>
        <w:rPr>
          <w:rFonts w:ascii="Gill Sans" w:hAnsi="Gill Sans"/>
        </w:rPr>
      </w:pPr>
      <w:bookmarkStart w:id="0" w:name="_Hlk151038141"/>
      <w:r w:rsidRPr="00D43799">
        <w:rPr>
          <w:rFonts w:ascii="Gill Sans" w:hAnsi="Gill Sans"/>
        </w:rPr>
        <w:t xml:space="preserve">This factsheet is part of a series produced by the National Disability Authority (NDA) on different aspects of the lives of people with disabilities in Ireland. The goal of the series is to </w:t>
      </w:r>
      <w:r w:rsidR="009137F5">
        <w:rPr>
          <w:rFonts w:ascii="Gill Sans" w:hAnsi="Gill Sans"/>
        </w:rPr>
        <w:t>bring together</w:t>
      </w:r>
      <w:r w:rsidRPr="00D43799">
        <w:rPr>
          <w:rFonts w:ascii="Gill Sans" w:hAnsi="Gill Sans"/>
        </w:rPr>
        <w:t xml:space="preserve"> </w:t>
      </w:r>
      <w:r w:rsidR="009137F5">
        <w:rPr>
          <w:rFonts w:ascii="Gill Sans" w:hAnsi="Gill Sans"/>
        </w:rPr>
        <w:t>up-to-date</w:t>
      </w:r>
      <w:r w:rsidRPr="00D43799">
        <w:rPr>
          <w:rFonts w:ascii="Gill Sans" w:hAnsi="Gill Sans"/>
        </w:rPr>
        <w:t xml:space="preserve"> and accurate statistical information across different themes that may be useful to a range of stakeholders. Interested readers may include individuals with disabilities, </w:t>
      </w:r>
      <w:r>
        <w:rPr>
          <w:rFonts w:ascii="Gill Sans" w:hAnsi="Gill Sans"/>
        </w:rPr>
        <w:t>Disabled</w:t>
      </w:r>
      <w:r w:rsidRPr="00D43799">
        <w:rPr>
          <w:rFonts w:ascii="Gill Sans" w:hAnsi="Gill Sans"/>
        </w:rPr>
        <w:t xml:space="preserve"> </w:t>
      </w:r>
      <w:r>
        <w:rPr>
          <w:rFonts w:ascii="Gill Sans" w:hAnsi="Gill Sans"/>
        </w:rPr>
        <w:t>P</w:t>
      </w:r>
      <w:r w:rsidRPr="00D43799">
        <w:rPr>
          <w:rFonts w:ascii="Gill Sans" w:hAnsi="Gill Sans"/>
        </w:rPr>
        <w:t xml:space="preserve">ersons </w:t>
      </w:r>
      <w:r>
        <w:rPr>
          <w:rFonts w:ascii="Gill Sans" w:hAnsi="Gill Sans"/>
        </w:rPr>
        <w:t>O</w:t>
      </w:r>
      <w:r w:rsidRPr="00D43799">
        <w:rPr>
          <w:rFonts w:ascii="Gill Sans" w:hAnsi="Gill Sans"/>
        </w:rPr>
        <w:t xml:space="preserve">rganisations, service providers, policy makers, researchers, and the </w:t>
      </w:r>
      <w:proofErr w:type="gramStart"/>
      <w:r w:rsidRPr="00D43799">
        <w:rPr>
          <w:rFonts w:ascii="Gill Sans" w:hAnsi="Gill Sans"/>
        </w:rPr>
        <w:t>general public</w:t>
      </w:r>
      <w:proofErr w:type="gramEnd"/>
      <w:r w:rsidRPr="00D43799">
        <w:rPr>
          <w:rFonts w:ascii="Gill Sans" w:hAnsi="Gill Sans"/>
        </w:rPr>
        <w:t>.</w:t>
      </w:r>
    </w:p>
    <w:p w14:paraId="3265BD19" w14:textId="11CE1754" w:rsidR="0098718E" w:rsidRPr="00D43799" w:rsidRDefault="0098718E" w:rsidP="0098718E">
      <w:pPr>
        <w:rPr>
          <w:rFonts w:ascii="Gill Sans" w:hAnsi="Gill Sans"/>
        </w:rPr>
      </w:pPr>
      <w:r w:rsidRPr="00D43799">
        <w:rPr>
          <w:rFonts w:ascii="Gill Sans" w:hAnsi="Gill Sans"/>
        </w:rPr>
        <w:t>This factsheet p</w:t>
      </w:r>
      <w:r w:rsidR="00827993">
        <w:rPr>
          <w:rFonts w:ascii="Gill Sans" w:hAnsi="Gill Sans"/>
        </w:rPr>
        <w:t>resents</w:t>
      </w:r>
      <w:r w:rsidRPr="00D43799">
        <w:rPr>
          <w:rFonts w:ascii="Gill Sans" w:hAnsi="Gill Sans"/>
        </w:rPr>
        <w:t xml:space="preserve"> information on </w:t>
      </w:r>
      <w:r>
        <w:rPr>
          <w:rFonts w:ascii="Gill Sans" w:hAnsi="Gill Sans"/>
        </w:rPr>
        <w:t>the employment of people with disabilities in Ireland</w:t>
      </w:r>
      <w:r w:rsidRPr="00D43799">
        <w:rPr>
          <w:rFonts w:ascii="Gill Sans" w:hAnsi="Gill Sans"/>
        </w:rPr>
        <w:t xml:space="preserve">. </w:t>
      </w:r>
      <w:r w:rsidR="00B17151">
        <w:rPr>
          <w:rFonts w:ascii="Gill Sans" w:hAnsi="Gill Sans"/>
        </w:rPr>
        <w:t xml:space="preserve">First, key labour statistics </w:t>
      </w:r>
      <w:r w:rsidR="003E60E0">
        <w:rPr>
          <w:rFonts w:ascii="Gill Sans" w:hAnsi="Gill Sans"/>
        </w:rPr>
        <w:t xml:space="preserve">terms </w:t>
      </w:r>
      <w:r w:rsidR="009137F5">
        <w:rPr>
          <w:rFonts w:ascii="Gill Sans" w:hAnsi="Gill Sans"/>
        </w:rPr>
        <w:t xml:space="preserve">are </w:t>
      </w:r>
      <w:r w:rsidR="00827993">
        <w:rPr>
          <w:rFonts w:ascii="Gill Sans" w:hAnsi="Gill Sans"/>
        </w:rPr>
        <w:t>defined</w:t>
      </w:r>
      <w:r w:rsidR="00F00474">
        <w:rPr>
          <w:rFonts w:ascii="Gill Sans" w:hAnsi="Gill Sans"/>
        </w:rPr>
        <w:t xml:space="preserve">. </w:t>
      </w:r>
      <w:r w:rsidR="00B17151">
        <w:rPr>
          <w:rFonts w:ascii="Gill Sans" w:hAnsi="Gill Sans"/>
        </w:rPr>
        <w:t>Next</w:t>
      </w:r>
      <w:r>
        <w:rPr>
          <w:rFonts w:ascii="Gill Sans" w:hAnsi="Gill Sans"/>
        </w:rPr>
        <w:t xml:space="preserve">, information is given on the employment and unemployment of people with disabilities </w:t>
      </w:r>
      <w:r w:rsidR="009137F5">
        <w:rPr>
          <w:rFonts w:ascii="Gill Sans" w:hAnsi="Gill Sans"/>
        </w:rPr>
        <w:t>in relation</w:t>
      </w:r>
      <w:r>
        <w:rPr>
          <w:rFonts w:ascii="Gill Sans" w:hAnsi="Gill Sans"/>
        </w:rPr>
        <w:t xml:space="preserve"> to </w:t>
      </w:r>
      <w:r w:rsidR="002952DA">
        <w:rPr>
          <w:rFonts w:ascii="Gill Sans" w:hAnsi="Gill Sans"/>
        </w:rPr>
        <w:t xml:space="preserve">that of the </w:t>
      </w:r>
      <w:r>
        <w:rPr>
          <w:rFonts w:ascii="Gill Sans" w:hAnsi="Gill Sans"/>
        </w:rPr>
        <w:t>p</w:t>
      </w:r>
      <w:r w:rsidR="002952DA">
        <w:rPr>
          <w:rFonts w:ascii="Gill Sans" w:hAnsi="Gill Sans"/>
        </w:rPr>
        <w:t>opulation</w:t>
      </w:r>
      <w:r>
        <w:rPr>
          <w:rFonts w:ascii="Gill Sans" w:hAnsi="Gill Sans"/>
        </w:rPr>
        <w:t xml:space="preserve"> without disabilities.</w:t>
      </w:r>
      <w:r w:rsidR="00B17151">
        <w:rPr>
          <w:rFonts w:ascii="Gill Sans" w:hAnsi="Gill Sans"/>
        </w:rPr>
        <w:t xml:space="preserve"> Employment levels </w:t>
      </w:r>
      <w:r w:rsidR="002952DA">
        <w:rPr>
          <w:rFonts w:ascii="Gill Sans" w:hAnsi="Gill Sans"/>
        </w:rPr>
        <w:t xml:space="preserve">and pay </w:t>
      </w:r>
      <w:r w:rsidR="00B17151">
        <w:rPr>
          <w:rFonts w:ascii="Gill Sans" w:hAnsi="Gill Sans"/>
        </w:rPr>
        <w:t xml:space="preserve">of disabled </w:t>
      </w:r>
      <w:r w:rsidR="00827993">
        <w:rPr>
          <w:rFonts w:ascii="Gill Sans" w:hAnsi="Gill Sans"/>
        </w:rPr>
        <w:t xml:space="preserve">people </w:t>
      </w:r>
      <w:r w:rsidR="00B17151">
        <w:rPr>
          <w:rFonts w:ascii="Gill Sans" w:hAnsi="Gill Sans"/>
        </w:rPr>
        <w:t>in Ireland are then compared with those in other countries.</w:t>
      </w:r>
    </w:p>
    <w:p w14:paraId="041444EC" w14:textId="437003A3" w:rsidR="0098718E" w:rsidRDefault="0098718E" w:rsidP="0098718E">
      <w:bookmarkStart w:id="1" w:name="_Hlk149746020"/>
      <w:r w:rsidRPr="00D43799">
        <w:rPr>
          <w:rFonts w:ascii="Gill Sans" w:hAnsi="Gill Sans"/>
        </w:rPr>
        <w:t xml:space="preserve">This document draws much of its information from the Census of Population 2022 carried out by the Central Statistics Office (CSO). </w:t>
      </w:r>
      <w:r w:rsidR="009137F5">
        <w:rPr>
          <w:rFonts w:ascii="Gill Sans" w:hAnsi="Gill Sans"/>
        </w:rPr>
        <w:t xml:space="preserve">In Census </w:t>
      </w:r>
      <w:r w:rsidRPr="00D43799">
        <w:rPr>
          <w:rFonts w:ascii="Gill Sans" w:hAnsi="Gill Sans"/>
        </w:rPr>
        <w:t>2022</w:t>
      </w:r>
      <w:r w:rsidR="009137F5">
        <w:rPr>
          <w:rFonts w:ascii="Gill Sans" w:hAnsi="Gill Sans"/>
        </w:rPr>
        <w:t>, people</w:t>
      </w:r>
      <w:r w:rsidRPr="00D43799">
        <w:rPr>
          <w:rFonts w:ascii="Gill Sans" w:hAnsi="Gill Sans"/>
        </w:rPr>
        <w:t xml:space="preserve"> were asked to </w:t>
      </w:r>
      <w:r w:rsidR="009137F5">
        <w:rPr>
          <w:rFonts w:ascii="Gill Sans" w:hAnsi="Gill Sans"/>
        </w:rPr>
        <w:t>report</w:t>
      </w:r>
      <w:r w:rsidRPr="00D43799">
        <w:rPr>
          <w:rFonts w:ascii="Gill Sans" w:hAnsi="Gill Sans"/>
        </w:rPr>
        <w:t xml:space="preserve"> whether they experienced each of a series of long-lasting conditions or difficulties. </w:t>
      </w:r>
      <w:r w:rsidR="007030F7">
        <w:rPr>
          <w:rFonts w:ascii="Gill Sans" w:hAnsi="Gill Sans"/>
        </w:rPr>
        <w:t>People who re</w:t>
      </w:r>
      <w:r w:rsidR="009137F5">
        <w:rPr>
          <w:rFonts w:ascii="Gill Sans" w:hAnsi="Gill Sans"/>
        </w:rPr>
        <w:t>sponded</w:t>
      </w:r>
      <w:r w:rsidRPr="00D43799">
        <w:rPr>
          <w:rFonts w:ascii="Gill Sans" w:hAnsi="Gill Sans"/>
        </w:rPr>
        <w:t xml:space="preserve"> that they experienced a condition ‘to some extent’ or ‘to a great extent’ and </w:t>
      </w:r>
      <w:r w:rsidR="007030F7">
        <w:rPr>
          <w:rFonts w:ascii="Gill Sans" w:hAnsi="Gill Sans"/>
        </w:rPr>
        <w:t>people</w:t>
      </w:r>
      <w:r w:rsidRPr="00D43799">
        <w:rPr>
          <w:rFonts w:ascii="Gill Sans" w:hAnsi="Gill Sans"/>
        </w:rPr>
        <w:t xml:space="preserve"> </w:t>
      </w:r>
      <w:r w:rsidR="007030F7">
        <w:rPr>
          <w:rFonts w:ascii="Gill Sans" w:hAnsi="Gill Sans"/>
        </w:rPr>
        <w:t xml:space="preserve">who reported </w:t>
      </w:r>
      <w:r w:rsidRPr="00D43799">
        <w:rPr>
          <w:rFonts w:ascii="Gill Sans" w:hAnsi="Gill Sans"/>
        </w:rPr>
        <w:t xml:space="preserve">that they experienced a difficulty ‘a little’ or ‘a lot’ were classified as having a disability. The Disability and Difficulties questions included in the census were changed substantially in 2022, meaning Census 2022 results </w:t>
      </w:r>
      <w:r w:rsidR="007030F7">
        <w:rPr>
          <w:rFonts w:ascii="Gill Sans" w:hAnsi="Gill Sans"/>
        </w:rPr>
        <w:t>cannot be compared directly</w:t>
      </w:r>
      <w:r w:rsidRPr="00D43799">
        <w:rPr>
          <w:rFonts w:ascii="Gill Sans" w:hAnsi="Gill Sans"/>
        </w:rPr>
        <w:t xml:space="preserve"> </w:t>
      </w:r>
      <w:r w:rsidR="00827993">
        <w:rPr>
          <w:rFonts w:ascii="Gill Sans" w:hAnsi="Gill Sans"/>
        </w:rPr>
        <w:t xml:space="preserve">with </w:t>
      </w:r>
      <w:r w:rsidRPr="00D43799">
        <w:rPr>
          <w:rFonts w:ascii="Gill Sans" w:hAnsi="Gill Sans"/>
        </w:rPr>
        <w:t>those from previous censuses</w:t>
      </w:r>
      <w:r>
        <w:rPr>
          <w:rFonts w:ascii="Gill Sans" w:hAnsi="Gill Sans"/>
        </w:rPr>
        <w:t xml:space="preserve"> </w:t>
      </w:r>
      <w:r w:rsidRPr="00E25147">
        <w:rPr>
          <w:rFonts w:ascii="Gill Sans" w:hAnsi="Gill Sans"/>
        </w:rPr>
        <w:t>(see Appendix A for more information)</w:t>
      </w:r>
      <w:bookmarkEnd w:id="1"/>
      <w:r w:rsidRPr="00E25147">
        <w:rPr>
          <w:rFonts w:ascii="Gill Sans" w:hAnsi="Gill Sans"/>
        </w:rPr>
        <w:t>.</w:t>
      </w:r>
      <w:r w:rsidRPr="00E25147" w:rsidDel="00E25147">
        <w:rPr>
          <w:rStyle w:val="FootnoteReference"/>
        </w:rPr>
        <w:t xml:space="preserve"> </w:t>
      </w:r>
    </w:p>
    <w:p w14:paraId="2B9B782E" w14:textId="77777777" w:rsidR="00A2105B" w:rsidRPr="006962D2" w:rsidRDefault="0098718E" w:rsidP="00A2105B">
      <w:pPr>
        <w:pStyle w:val="pf0"/>
        <w:rPr>
          <w:rFonts w:ascii="Gill Sans MT" w:hAnsi="Gill Sans MT" w:cs="Arial"/>
          <w:sz w:val="26"/>
          <w:szCs w:val="26"/>
        </w:rPr>
      </w:pPr>
      <w:r w:rsidRPr="002578CC">
        <w:rPr>
          <w:rFonts w:ascii="Gill Sans MT" w:hAnsi="Gill Sans MT"/>
          <w:sz w:val="26"/>
          <w:szCs w:val="26"/>
        </w:rPr>
        <w:t>Throughout this document, the terms ‘persons with disabilities’ and ‘disabled people’ are used interchangeably. The term ‘disabled people’ is recognised by many within the disability rights movement in Ireland to align with the social and model of disability, as it is considered to acknowledge the fact that people with an impairment are disabled by environmental and societal barriers. However, we recognise that other people prefer the term “persons with disabilities” because of the inherent understanding in the term that they are first and foremost human beings entitled to human rights.</w:t>
      </w:r>
      <w:r w:rsidRPr="00886C1A">
        <w:rPr>
          <w:rFonts w:ascii="Gill Sans" w:hAnsi="Gill Sans"/>
        </w:rPr>
        <w:t xml:space="preserve"> </w:t>
      </w:r>
      <w:r w:rsidR="00A2105B" w:rsidRPr="006962D2">
        <w:rPr>
          <w:rStyle w:val="cf01"/>
          <w:rFonts w:ascii="Gill Sans MT" w:hAnsi="Gill Sans MT"/>
          <w:sz w:val="26"/>
          <w:szCs w:val="26"/>
        </w:rPr>
        <w:t>This reflects the language used in the UNCRPD. Finally, we recognise that some people do not identify as being disabled.</w:t>
      </w:r>
    </w:p>
    <w:bookmarkEnd w:id="0"/>
    <w:p w14:paraId="61B31800" w14:textId="77777777" w:rsidR="0098718E" w:rsidRDefault="0098718E" w:rsidP="00A808C0">
      <w:pPr>
        <w:rPr>
          <w:highlight w:val="yellow"/>
        </w:rPr>
      </w:pPr>
    </w:p>
    <w:p w14:paraId="1C00EA71" w14:textId="77777777" w:rsidR="004F16A7" w:rsidRPr="0063186F" w:rsidRDefault="004F16A7" w:rsidP="0098718E">
      <w:pPr>
        <w:pStyle w:val="Heading1"/>
        <w:ind w:left="0"/>
      </w:pPr>
      <w:r w:rsidRPr="0063186F">
        <w:lastRenderedPageBreak/>
        <w:t>Definitions</w:t>
      </w:r>
    </w:p>
    <w:p w14:paraId="6A2EA20D" w14:textId="72CD48AF" w:rsidR="004F16A7" w:rsidRDefault="0063186F" w:rsidP="00E774C6">
      <w:pPr>
        <w:pStyle w:val="Heading2"/>
      </w:pPr>
      <w:r w:rsidRPr="0063186F">
        <w:t xml:space="preserve">Working </w:t>
      </w:r>
      <w:r w:rsidR="004F16A7" w:rsidRPr="0063186F">
        <w:t xml:space="preserve">Age </w:t>
      </w:r>
    </w:p>
    <w:p w14:paraId="0814082D" w14:textId="4C3874AA" w:rsidR="000471EE" w:rsidRDefault="00F07F1B" w:rsidP="00F07F1B">
      <w:r>
        <w:t>Different</w:t>
      </w:r>
      <w:r w:rsidRPr="00F07F1B">
        <w:t xml:space="preserve"> age </w:t>
      </w:r>
      <w:r w:rsidR="00A10ADD">
        <w:t>brackets</w:t>
      </w:r>
      <w:r w:rsidRPr="00F07F1B">
        <w:t xml:space="preserve"> </w:t>
      </w:r>
      <w:r>
        <w:t xml:space="preserve">can be used </w:t>
      </w:r>
      <w:r w:rsidRPr="00F07F1B">
        <w:t xml:space="preserve">when </w:t>
      </w:r>
      <w:r w:rsidR="00B17151">
        <w:t>examining</w:t>
      </w:r>
      <w:r w:rsidRPr="00F07F1B">
        <w:t xml:space="preserve"> </w:t>
      </w:r>
      <w:r w:rsidR="000471EE">
        <w:t xml:space="preserve">the </w:t>
      </w:r>
      <w:r w:rsidRPr="00F07F1B">
        <w:t>employment</w:t>
      </w:r>
      <w:r w:rsidR="00C13F85">
        <w:t xml:space="preserve"> levels of a population or group</w:t>
      </w:r>
      <w:r w:rsidRPr="00F07F1B">
        <w:t xml:space="preserve">. </w:t>
      </w:r>
      <w:r w:rsidR="009A6175">
        <w:t xml:space="preserve">In </w:t>
      </w:r>
      <w:r w:rsidR="00B17151">
        <w:t>Ireland</w:t>
      </w:r>
      <w:r w:rsidR="009A6175">
        <w:t>,</w:t>
      </w:r>
      <w:r>
        <w:t xml:space="preserve"> </w:t>
      </w:r>
      <w:r w:rsidR="00C12564">
        <w:t xml:space="preserve">the </w:t>
      </w:r>
      <w:r>
        <w:t>20-64-years age group</w:t>
      </w:r>
      <w:r w:rsidR="0047420C">
        <w:t xml:space="preserve"> has </w:t>
      </w:r>
      <w:r w:rsidR="00827993">
        <w:t xml:space="preserve">sometimes </w:t>
      </w:r>
      <w:r w:rsidR="0047420C">
        <w:t>been used</w:t>
      </w:r>
      <w:r w:rsidR="00B17151">
        <w:t xml:space="preserve"> to look at the employment of disabled people</w:t>
      </w:r>
      <w:r w:rsidR="00C12564">
        <w:t>;</w:t>
      </w:r>
      <w:r w:rsidR="00C13F85">
        <w:t xml:space="preserve"> </w:t>
      </w:r>
      <w:r w:rsidR="0047420C">
        <w:t xml:space="preserve">other times, </w:t>
      </w:r>
      <w:r w:rsidR="00B17151">
        <w:t>employment levels for</w:t>
      </w:r>
      <w:r w:rsidR="0047420C">
        <w:t xml:space="preserve"> the population with disabilities aged</w:t>
      </w:r>
      <w:r w:rsidR="00C13F85">
        <w:t xml:space="preserve"> </w:t>
      </w:r>
      <w:r>
        <w:t>15 years and over</w:t>
      </w:r>
      <w:r w:rsidR="005F37E3">
        <w:t xml:space="preserve"> </w:t>
      </w:r>
      <w:r w:rsidR="00B17151">
        <w:t>have been of focus</w:t>
      </w:r>
      <w:r>
        <w:t xml:space="preserve">. </w:t>
      </w:r>
    </w:p>
    <w:p w14:paraId="2146E152" w14:textId="56899049" w:rsidR="00F07F1B" w:rsidRDefault="00F07F1B" w:rsidP="00F07F1B">
      <w:r w:rsidRPr="00F07F1B">
        <w:t xml:space="preserve">International organisations </w:t>
      </w:r>
      <w:r w:rsidR="00C13F85">
        <w:t>like</w:t>
      </w:r>
      <w:r w:rsidRPr="00F07F1B">
        <w:t xml:space="preserve"> the International Labour Organization (ILO) and the O</w:t>
      </w:r>
      <w:r>
        <w:t>rganisation for Economic Cooperation and Development (O</w:t>
      </w:r>
      <w:r w:rsidRPr="00F07F1B">
        <w:t>ECD</w:t>
      </w:r>
      <w:r>
        <w:t xml:space="preserve">) </w:t>
      </w:r>
      <w:r w:rsidRPr="00F07F1B">
        <w:t xml:space="preserve">define the </w:t>
      </w:r>
      <w:r w:rsidR="000471EE">
        <w:t>‘</w:t>
      </w:r>
      <w:r w:rsidRPr="00F07F1B">
        <w:t>working age population</w:t>
      </w:r>
      <w:r w:rsidR="000471EE">
        <w:t>’</w:t>
      </w:r>
      <w:r>
        <w:t xml:space="preserve"> as </w:t>
      </w:r>
      <w:r w:rsidRPr="00F07F1B">
        <w:t>15-64 years of age</w:t>
      </w:r>
      <w:r>
        <w:t xml:space="preserve">. </w:t>
      </w:r>
      <w:r w:rsidR="00C12564">
        <w:t>The</w:t>
      </w:r>
      <w:r w:rsidRPr="00F07F1B">
        <w:t xml:space="preserve"> </w:t>
      </w:r>
      <w:r>
        <w:t>Central Statistics Office (</w:t>
      </w:r>
      <w:r w:rsidRPr="00F07F1B">
        <w:t>CSO</w:t>
      </w:r>
      <w:r>
        <w:t>)</w:t>
      </w:r>
      <w:r w:rsidRPr="00F07F1B">
        <w:t xml:space="preserve"> also </w:t>
      </w:r>
      <w:r>
        <w:t xml:space="preserve">uses the 15-64 years age </w:t>
      </w:r>
      <w:r w:rsidR="00B17151">
        <w:t>bracket</w:t>
      </w:r>
      <w:r>
        <w:t xml:space="preserve"> when reporting the </w:t>
      </w:r>
      <w:r w:rsidR="00B17151">
        <w:t>o</w:t>
      </w:r>
      <w:r w:rsidR="00A40725">
        <w:t>fficial</w:t>
      </w:r>
      <w:r w:rsidR="00B17151">
        <w:t xml:space="preserve"> </w:t>
      </w:r>
      <w:r>
        <w:t xml:space="preserve">employment rate for </w:t>
      </w:r>
      <w:r w:rsidR="00C12564">
        <w:t>Ireland</w:t>
      </w:r>
      <w:r>
        <w:t xml:space="preserve">. </w:t>
      </w:r>
    </w:p>
    <w:p w14:paraId="6A530854" w14:textId="0ADECA73" w:rsidR="00480407" w:rsidRPr="00B17151" w:rsidRDefault="00C12564" w:rsidP="00B17151">
      <w:r>
        <w:t>Here</w:t>
      </w:r>
      <w:r w:rsidR="00F07F1B">
        <w:t xml:space="preserve">, we use the age grouping of 15-64 years of age to look at </w:t>
      </w:r>
      <w:r w:rsidR="000471EE">
        <w:t xml:space="preserve">the </w:t>
      </w:r>
      <w:r w:rsidR="00F07F1B">
        <w:t xml:space="preserve">employment of </w:t>
      </w:r>
      <w:r w:rsidR="00A40725">
        <w:t>disabled people</w:t>
      </w:r>
      <w:r w:rsidR="00A10ADD">
        <w:t>,</w:t>
      </w:r>
      <w:r w:rsidR="00B17151">
        <w:t xml:space="preserve"> where possible.</w:t>
      </w:r>
      <w:r w:rsidR="00F07F1B">
        <w:t xml:space="preserve"> </w:t>
      </w:r>
      <w:r w:rsidR="00B17151">
        <w:t>Where a set of figures relate to a different age group</w:t>
      </w:r>
      <w:r w:rsidR="002952DA">
        <w:t xml:space="preserve"> (mostly </w:t>
      </w:r>
      <w:r w:rsidR="00A10ADD">
        <w:t>due to data availability issues</w:t>
      </w:r>
      <w:r w:rsidR="002952DA">
        <w:t>)</w:t>
      </w:r>
      <w:r w:rsidR="00A10ADD">
        <w:t xml:space="preserve">, </w:t>
      </w:r>
      <w:r w:rsidR="00B17151">
        <w:t>we state this in the text or in a footnote.</w:t>
      </w:r>
    </w:p>
    <w:p w14:paraId="30F0CA13" w14:textId="5685E946" w:rsidR="004F16A7" w:rsidRPr="00C13F85" w:rsidRDefault="004F16A7" w:rsidP="00E774C6">
      <w:pPr>
        <w:pStyle w:val="Heading2"/>
      </w:pPr>
      <w:r w:rsidRPr="00C13F85">
        <w:t xml:space="preserve">Employment </w:t>
      </w:r>
    </w:p>
    <w:p w14:paraId="07537954" w14:textId="38267891" w:rsidR="00A80AC9" w:rsidRDefault="00F07F1B" w:rsidP="00A80AC9">
      <w:r w:rsidRPr="00F07F1B">
        <w:t>The</w:t>
      </w:r>
      <w:r w:rsidR="00A808C0" w:rsidRPr="00F07F1B">
        <w:t xml:space="preserve"> </w:t>
      </w:r>
      <w:r w:rsidRPr="00F07F1B">
        <w:t>working age population</w:t>
      </w:r>
      <w:r w:rsidR="00A808C0" w:rsidRPr="00F07F1B">
        <w:t xml:space="preserve"> in a country can be divided into three separate groups</w:t>
      </w:r>
      <w:r w:rsidR="005319A6">
        <w:t xml:space="preserve"> (Figure 1)</w:t>
      </w:r>
      <w:r w:rsidR="00A808C0" w:rsidRPr="00F07F1B">
        <w:t xml:space="preserve">: </w:t>
      </w:r>
      <w:r w:rsidR="005319A6">
        <w:t xml:space="preserve">1) </w:t>
      </w:r>
      <w:r w:rsidR="00A808C0" w:rsidRPr="00F07F1B">
        <w:t xml:space="preserve">people </w:t>
      </w:r>
      <w:r w:rsidR="00551439">
        <w:t>employed</w:t>
      </w:r>
      <w:r w:rsidR="005319A6">
        <w:t xml:space="preserve">, 2) </w:t>
      </w:r>
      <w:r w:rsidR="00A808C0" w:rsidRPr="00F07F1B">
        <w:t xml:space="preserve">people </w:t>
      </w:r>
      <w:r w:rsidR="00551439">
        <w:t>unemployed</w:t>
      </w:r>
      <w:r w:rsidR="005319A6">
        <w:t xml:space="preserve">, and 3) </w:t>
      </w:r>
      <w:r w:rsidR="00A808C0" w:rsidRPr="00F07F1B">
        <w:t>people outside the labour force</w:t>
      </w:r>
      <w:r w:rsidR="00B22D66">
        <w:t>.</w:t>
      </w:r>
    </w:p>
    <w:p w14:paraId="339F109F" w14:textId="4067F20C" w:rsidR="00A80AC9" w:rsidRDefault="00A80AC9" w:rsidP="00A80AC9">
      <w:pPr>
        <w:pStyle w:val="Caption"/>
        <w:keepNext/>
        <w:jc w:val="left"/>
      </w:pPr>
      <w:r>
        <w:t xml:space="preserve">Figure </w:t>
      </w:r>
      <w:r w:rsidR="008D0D04">
        <w:fldChar w:fldCharType="begin"/>
      </w:r>
      <w:r w:rsidR="008D0D04">
        <w:instrText xml:space="preserve"> SEQ Figure \* ARABIC </w:instrText>
      </w:r>
      <w:r w:rsidR="008D0D04">
        <w:fldChar w:fldCharType="separate"/>
      </w:r>
      <w:r w:rsidR="00CB377C">
        <w:rPr>
          <w:noProof/>
        </w:rPr>
        <w:t>1</w:t>
      </w:r>
      <w:r w:rsidR="008D0D04">
        <w:rPr>
          <w:noProof/>
        </w:rPr>
        <w:fldChar w:fldCharType="end"/>
      </w:r>
      <w:r>
        <w:t>: Labour force categories</w:t>
      </w:r>
    </w:p>
    <w:p w14:paraId="26A016AC" w14:textId="69CFAAFA" w:rsidR="00A80AC9" w:rsidRDefault="0037647E" w:rsidP="00A80AC9">
      <w:r>
        <w:rPr>
          <w:noProof/>
        </w:rPr>
        <w:drawing>
          <wp:inline distT="0" distB="0" distL="0" distR="0" wp14:anchorId="1AD7C2E9" wp14:editId="44679A3F">
            <wp:extent cx="4808220" cy="3109057"/>
            <wp:effectExtent l="0" t="0" r="0" b="0"/>
            <wp:docPr id="6" name="Picture 6" descr="This picture shows a flow chart that breaks the total working age population into the labour force and the population outside the labour force. The labour force is then further divided into those employed and those unemplo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picture shows a flow chart that breaks the total working age population into the labour force and the population outside the labour force. The labour force is then further divided into those employed and those unemploy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4728" cy="3126198"/>
                    </a:xfrm>
                    <a:prstGeom prst="rect">
                      <a:avLst/>
                    </a:prstGeom>
                    <a:noFill/>
                  </pic:spPr>
                </pic:pic>
              </a:graphicData>
            </a:graphic>
          </wp:inline>
        </w:drawing>
      </w:r>
    </w:p>
    <w:p w14:paraId="478CC7F9" w14:textId="77777777" w:rsidR="006F2BAF" w:rsidRDefault="006F2BAF" w:rsidP="006F2BAF">
      <w:pPr>
        <w:pStyle w:val="Heading3"/>
      </w:pPr>
      <w:r>
        <w:lastRenderedPageBreak/>
        <w:t>Labour force participation rate</w:t>
      </w:r>
    </w:p>
    <w:p w14:paraId="72F68518" w14:textId="76E0165E" w:rsidR="00551439" w:rsidRDefault="006F2BAF" w:rsidP="006F2BAF">
      <w:r>
        <w:t xml:space="preserve">The labour force participation rate is a </w:t>
      </w:r>
      <w:r w:rsidR="001F26D1">
        <w:t xml:space="preserve">way to measure how many people in a country are actively involved in the workforce. It shows the percentage of the working age population </w:t>
      </w:r>
      <w:r w:rsidR="00A8602E">
        <w:t xml:space="preserve">that are either </w:t>
      </w:r>
      <w:r w:rsidR="001F26D1">
        <w:t>working or actively looking for a job. This rate helps us to understand how many people are available to work compared to the total working age population.</w:t>
      </w:r>
      <w:r>
        <w:t xml:space="preserve"> </w:t>
      </w:r>
    </w:p>
    <w:p w14:paraId="63F46696" w14:textId="17EC3E7C" w:rsidR="00551439" w:rsidRDefault="00551439" w:rsidP="00551439">
      <w:pPr>
        <w:pStyle w:val="Heading3"/>
      </w:pPr>
      <w:r>
        <w:t>Outside the labour force</w:t>
      </w:r>
    </w:p>
    <w:p w14:paraId="7EE08960" w14:textId="408F85D7" w:rsidR="006F2BAF" w:rsidRDefault="002D2D56" w:rsidP="006F2BAF">
      <w:r>
        <w:t>P</w:t>
      </w:r>
      <w:r w:rsidR="001F26D1">
        <w:t xml:space="preserve">eople who are not considered part of the labour force </w:t>
      </w:r>
      <w:r>
        <w:t>are</w:t>
      </w:r>
      <w:r w:rsidR="001F26D1">
        <w:t xml:space="preserve"> people</w:t>
      </w:r>
      <w:r>
        <w:t xml:space="preserve"> of working age</w:t>
      </w:r>
      <w:r w:rsidR="001F26D1">
        <w:t xml:space="preserve"> who are not working </w:t>
      </w:r>
      <w:r w:rsidR="00A01072">
        <w:t>and</w:t>
      </w:r>
      <w:r w:rsidR="00A8602E">
        <w:t xml:space="preserve"> are</w:t>
      </w:r>
      <w:r w:rsidR="00A01072">
        <w:t xml:space="preserve"> also</w:t>
      </w:r>
      <w:r w:rsidR="00A8602E">
        <w:t xml:space="preserve"> </w:t>
      </w:r>
      <w:r w:rsidR="001F26D1">
        <w:t>not looking for work because they are</w:t>
      </w:r>
      <w:r w:rsidR="00B17151">
        <w:t>, for example,</w:t>
      </w:r>
      <w:r w:rsidR="001F26D1">
        <w:t xml:space="preserve"> retired,</w:t>
      </w:r>
      <w:r w:rsidR="00551439">
        <w:t xml:space="preserve"> studying,</w:t>
      </w:r>
      <w:r w:rsidR="001F26D1">
        <w:t xml:space="preserve"> looking after their home or family, or</w:t>
      </w:r>
      <w:r w:rsidR="00551439">
        <w:t xml:space="preserve"> because they</w:t>
      </w:r>
      <w:r w:rsidR="001F26D1">
        <w:t xml:space="preserve"> cannot work due to disability</w:t>
      </w:r>
      <w:r>
        <w:t xml:space="preserve"> or illness</w:t>
      </w:r>
      <w:r w:rsidR="001F26D1">
        <w:t>.</w:t>
      </w:r>
    </w:p>
    <w:p w14:paraId="070313A0" w14:textId="77777777" w:rsidR="006F2BAF" w:rsidRDefault="006F2BAF" w:rsidP="006F2BAF">
      <w:pPr>
        <w:pStyle w:val="Heading3"/>
      </w:pPr>
      <w:r>
        <w:t>Unemployment rate</w:t>
      </w:r>
    </w:p>
    <w:p w14:paraId="1C149C65" w14:textId="4F862793" w:rsidR="006F2BAF" w:rsidRDefault="006F2BAF" w:rsidP="006F2BAF">
      <w:r>
        <w:t xml:space="preserve">The unemployment rate is </w:t>
      </w:r>
      <w:r w:rsidR="00927790">
        <w:t>a measure that tells us the percentage of people in the labour force who are actively looking for a job but cannot find one.</w:t>
      </w:r>
      <w:r w:rsidR="00B85B98">
        <w:t xml:space="preserve"> </w:t>
      </w:r>
    </w:p>
    <w:p w14:paraId="5DC09C2A" w14:textId="77777777" w:rsidR="006F2BAF" w:rsidRPr="00927790" w:rsidRDefault="006F2BAF" w:rsidP="00927790">
      <w:pPr>
        <w:pStyle w:val="Heading3"/>
      </w:pPr>
      <w:r w:rsidRPr="00927790">
        <w:t>Employment rate</w:t>
      </w:r>
    </w:p>
    <w:p w14:paraId="4133F06B" w14:textId="79A9356B" w:rsidR="006F2BAF" w:rsidRDefault="006F2BAF" w:rsidP="006F2BAF">
      <w:bookmarkStart w:id="2" w:name="_Hlk150261637"/>
      <w:r>
        <w:t xml:space="preserve">The employment rate is </w:t>
      </w:r>
      <w:r w:rsidR="00927790">
        <w:t>a measure that tells us the percentage of people of working age who have jobs and are currently working.</w:t>
      </w:r>
    </w:p>
    <w:bookmarkEnd w:id="2"/>
    <w:p w14:paraId="009B07B3" w14:textId="77777777" w:rsidR="006F2BAF" w:rsidRDefault="006F2BAF" w:rsidP="00927790">
      <w:pPr>
        <w:pStyle w:val="Heading3"/>
      </w:pPr>
      <w:r>
        <w:t>Disability employment gap</w:t>
      </w:r>
    </w:p>
    <w:p w14:paraId="0E54E041" w14:textId="2CB16866" w:rsidR="006F2BAF" w:rsidRDefault="006F2BAF" w:rsidP="006F2BAF">
      <w:r>
        <w:t xml:space="preserve">The disability employment gap </w:t>
      </w:r>
      <w:r w:rsidR="00927790">
        <w:t xml:space="preserve">is the difference in employment rates between people with disabilities and those without disabilities. </w:t>
      </w:r>
    </w:p>
    <w:p w14:paraId="3441A707" w14:textId="77777777" w:rsidR="003F3247" w:rsidRPr="00983AC7" w:rsidRDefault="003F3247" w:rsidP="003B5651">
      <w:pPr>
        <w:pStyle w:val="Heading1"/>
      </w:pPr>
      <w:r w:rsidRPr="00983AC7">
        <w:t>Measuring Unemployment</w:t>
      </w:r>
    </w:p>
    <w:p w14:paraId="55B18218" w14:textId="79847CB2" w:rsidR="00D000DE" w:rsidRPr="00983AC7" w:rsidRDefault="00D000DE" w:rsidP="00D000DE">
      <w:r w:rsidRPr="00983AC7">
        <w:t xml:space="preserve">When the ‘unemployment rate’ is discussed in Ireland, it can be based on three different sources of </w:t>
      </w:r>
      <w:r w:rsidR="00206F96">
        <w:t>data</w:t>
      </w:r>
      <w:r w:rsidR="007153CF">
        <w:t>:</w:t>
      </w:r>
    </w:p>
    <w:p w14:paraId="15D8C8A9" w14:textId="0A371DE5" w:rsidR="00D000DE" w:rsidRPr="00983AC7" w:rsidRDefault="00D000DE" w:rsidP="00D000DE">
      <w:pPr>
        <w:pStyle w:val="ListNumber"/>
        <w:numPr>
          <w:ilvl w:val="0"/>
          <w:numId w:val="7"/>
        </w:numPr>
        <w:tabs>
          <w:tab w:val="clear" w:pos="360"/>
        </w:tabs>
      </w:pPr>
      <w:r w:rsidRPr="00983AC7">
        <w:t>The Live Register</w:t>
      </w:r>
    </w:p>
    <w:p w14:paraId="3896AB20" w14:textId="7F828186" w:rsidR="00D000DE" w:rsidRPr="00983AC7" w:rsidRDefault="00D000DE" w:rsidP="00D000DE">
      <w:pPr>
        <w:pStyle w:val="ListNumber"/>
        <w:numPr>
          <w:ilvl w:val="0"/>
          <w:numId w:val="7"/>
        </w:numPr>
        <w:tabs>
          <w:tab w:val="clear" w:pos="360"/>
        </w:tabs>
      </w:pPr>
      <w:r w:rsidRPr="00983AC7">
        <w:t>The Labour Force Survey</w:t>
      </w:r>
    </w:p>
    <w:p w14:paraId="072FB927" w14:textId="4CAFFFBE" w:rsidR="00D000DE" w:rsidRPr="00983AC7" w:rsidRDefault="00D000DE" w:rsidP="00D000DE">
      <w:pPr>
        <w:pStyle w:val="ListNumber"/>
        <w:numPr>
          <w:ilvl w:val="0"/>
          <w:numId w:val="7"/>
        </w:numPr>
        <w:tabs>
          <w:tab w:val="clear" w:pos="360"/>
        </w:tabs>
      </w:pPr>
      <w:r w:rsidRPr="00983AC7">
        <w:t>The Census</w:t>
      </w:r>
    </w:p>
    <w:p w14:paraId="4CDECE6E" w14:textId="210E36BD" w:rsidR="00D000DE" w:rsidRPr="00983AC7" w:rsidRDefault="00D000DE" w:rsidP="00D000DE">
      <w:r w:rsidRPr="00983AC7">
        <w:t xml:space="preserve">Each </w:t>
      </w:r>
      <w:r w:rsidR="00212E5C" w:rsidRPr="00983AC7">
        <w:t xml:space="preserve">of these </w:t>
      </w:r>
      <w:r w:rsidR="007153CF">
        <w:t>data sources captures</w:t>
      </w:r>
      <w:r w:rsidRPr="00983AC7">
        <w:t xml:space="preserve"> unemployment in different ways. This can cause confusion</w:t>
      </w:r>
      <w:r w:rsidR="00212E5C" w:rsidRPr="00983AC7">
        <w:t>,</w:t>
      </w:r>
      <w:r w:rsidRPr="00983AC7">
        <w:t xml:space="preserve"> so it is important to understand the differences.</w:t>
      </w:r>
    </w:p>
    <w:p w14:paraId="1AA233D2" w14:textId="4A170E30" w:rsidR="00D000DE" w:rsidRPr="00983AC7" w:rsidRDefault="00E774C6" w:rsidP="00D000DE">
      <w:r w:rsidRPr="00983AC7">
        <w:t>The ‘</w:t>
      </w:r>
      <w:r w:rsidR="00D000DE" w:rsidRPr="00983AC7">
        <w:rPr>
          <w:b/>
        </w:rPr>
        <w:t>Live Register</w:t>
      </w:r>
      <w:r w:rsidR="00D000DE" w:rsidRPr="00983AC7">
        <w:t>’ is a count of the number of people claiming unemployment benefits. It is often called the claimant count</w:t>
      </w:r>
      <w:r w:rsidR="00003874" w:rsidRPr="00983AC7">
        <w:t xml:space="preserve">. </w:t>
      </w:r>
      <w:r w:rsidR="00D000DE" w:rsidRPr="00983AC7">
        <w:t>The Live Register counts the number of people currently registered for Jobseekers Benefit (JB), Jobseekers Allowance (JA) or for various other statutory entitlements at local offices of the Department of Social Protection</w:t>
      </w:r>
      <w:r w:rsidR="00003874" w:rsidRPr="00983AC7">
        <w:t xml:space="preserve">. </w:t>
      </w:r>
      <w:r w:rsidR="00D000DE" w:rsidRPr="00983AC7">
        <w:t xml:space="preserve">The Department provides this </w:t>
      </w:r>
      <w:r w:rsidR="00992398">
        <w:t>information</w:t>
      </w:r>
      <w:r w:rsidR="00D000DE" w:rsidRPr="00983AC7">
        <w:t xml:space="preserve"> to the CSO. </w:t>
      </w:r>
    </w:p>
    <w:p w14:paraId="5BAABB4E" w14:textId="37CB9E08" w:rsidR="00D000DE" w:rsidRPr="00983AC7" w:rsidRDefault="00D000DE" w:rsidP="00D000DE">
      <w:r w:rsidRPr="00983AC7">
        <w:t xml:space="preserve">The Live Register is updated monthly. Because not all unemployed people claim benefits, </w:t>
      </w:r>
      <w:r w:rsidR="00992398">
        <w:t xml:space="preserve">however, </w:t>
      </w:r>
      <w:r w:rsidRPr="00983AC7">
        <w:t xml:space="preserve">the Live Register may not reflect the true level of </w:t>
      </w:r>
      <w:r w:rsidRPr="00983AC7">
        <w:lastRenderedPageBreak/>
        <w:t>unemployment in Ireland</w:t>
      </w:r>
      <w:r w:rsidR="00003874" w:rsidRPr="00983AC7">
        <w:t xml:space="preserve">. </w:t>
      </w:r>
      <w:r w:rsidRPr="00983AC7">
        <w:t>This is particularly true for people married to someone who is working</w:t>
      </w:r>
      <w:r w:rsidR="00992398">
        <w:t>; b</w:t>
      </w:r>
      <w:r w:rsidRPr="00983AC7">
        <w:t xml:space="preserve">ecause they may have no entitlements to welfare, they may not register as unemployed. In addition, some people are put off </w:t>
      </w:r>
      <w:r w:rsidR="00003874" w:rsidRPr="00983AC7">
        <w:t>registering,</w:t>
      </w:r>
      <w:r w:rsidRPr="00983AC7">
        <w:t xml:space="preserve"> as they cannot prove they are looking for work. </w:t>
      </w:r>
      <w:r w:rsidR="001E48A1">
        <w:t>It</w:t>
      </w:r>
      <w:r w:rsidRPr="00983AC7">
        <w:t xml:space="preserve"> is generally recognised that the Live Register underestimates actual unemployment levels</w:t>
      </w:r>
      <w:r w:rsidR="00003874" w:rsidRPr="00983AC7">
        <w:t xml:space="preserve">. </w:t>
      </w:r>
    </w:p>
    <w:p w14:paraId="3FE08C22" w14:textId="026DEF91" w:rsidR="00D000DE" w:rsidRPr="00983AC7" w:rsidRDefault="00D000DE" w:rsidP="00D000DE">
      <w:r w:rsidRPr="00983AC7">
        <w:t xml:space="preserve">The second </w:t>
      </w:r>
      <w:r w:rsidR="00992398">
        <w:t>source of</w:t>
      </w:r>
      <w:r w:rsidRPr="00983AC7">
        <w:t xml:space="preserve"> unemployment</w:t>
      </w:r>
      <w:r w:rsidR="00992398">
        <w:t xml:space="preserve"> data</w:t>
      </w:r>
      <w:r w:rsidRPr="00983AC7">
        <w:t xml:space="preserve"> is the </w:t>
      </w:r>
      <w:r w:rsidRPr="00983AC7">
        <w:rPr>
          <w:b/>
        </w:rPr>
        <w:t>Labour Force Survey (LFS)</w:t>
      </w:r>
      <w:r w:rsidRPr="00983AC7">
        <w:rPr>
          <w:rStyle w:val="FootnoteReference"/>
        </w:rPr>
        <w:footnoteReference w:id="1"/>
      </w:r>
      <w:r w:rsidRPr="00983AC7">
        <w:t>. The CSO surveys a sample of 25,000 households and measures the unemployment rate based on the International Labour Organisation (ILO) definitions (employed, unemployed, outside the labour force). The survey of households and individuals in those households is taken every three months (quarterly). All members of the EU must use the ILO standardised measure of unemployment.</w:t>
      </w:r>
    </w:p>
    <w:p w14:paraId="246CC44D" w14:textId="2702BD4A" w:rsidR="00D000DE" w:rsidRPr="00983AC7" w:rsidRDefault="00D000DE" w:rsidP="00D000DE">
      <w:r w:rsidRPr="00983AC7">
        <w:t>For a person to count as unemployed in this survey</w:t>
      </w:r>
      <w:r w:rsidR="003B0ED8">
        <w:t>,</w:t>
      </w:r>
      <w:r w:rsidRPr="00983AC7">
        <w:t xml:space="preserve"> </w:t>
      </w:r>
      <w:r w:rsidR="003B0ED8">
        <w:t>there are three conditions that must be met</w:t>
      </w:r>
      <w:r w:rsidRPr="00983AC7">
        <w:t xml:space="preserve">: </w:t>
      </w:r>
    </w:p>
    <w:p w14:paraId="7BB3908A" w14:textId="77777777" w:rsidR="00D000DE" w:rsidRPr="00983AC7" w:rsidRDefault="00D000DE" w:rsidP="00D000DE">
      <w:pPr>
        <w:pStyle w:val="ListNumber"/>
        <w:numPr>
          <w:ilvl w:val="0"/>
          <w:numId w:val="21"/>
        </w:numPr>
      </w:pPr>
      <w:r w:rsidRPr="00983AC7">
        <w:t>The person has been out of work for 4 weeks.</w:t>
      </w:r>
    </w:p>
    <w:p w14:paraId="32BD04C8" w14:textId="77777777" w:rsidR="00D000DE" w:rsidRPr="00983AC7" w:rsidRDefault="00D000DE" w:rsidP="00D000DE">
      <w:pPr>
        <w:pStyle w:val="ListNumber"/>
        <w:numPr>
          <w:ilvl w:val="0"/>
          <w:numId w:val="21"/>
        </w:numPr>
      </w:pPr>
      <w:r w:rsidRPr="00983AC7">
        <w:t xml:space="preserve">The person </w:t>
      </w:r>
      <w:proofErr w:type="gramStart"/>
      <w:r w:rsidRPr="00983AC7">
        <w:t>is able to</w:t>
      </w:r>
      <w:proofErr w:type="gramEnd"/>
      <w:r w:rsidRPr="00983AC7">
        <w:t xml:space="preserve"> start work in the next 2 weeks - they must be readily available for work.</w:t>
      </w:r>
    </w:p>
    <w:p w14:paraId="186D2FDF" w14:textId="06960EEA" w:rsidR="00D000DE" w:rsidRPr="00983AC7" w:rsidRDefault="00D000DE" w:rsidP="00D000DE">
      <w:pPr>
        <w:pStyle w:val="ListNumber"/>
        <w:numPr>
          <w:ilvl w:val="0"/>
          <w:numId w:val="21"/>
        </w:numPr>
      </w:pPr>
      <w:r w:rsidRPr="00983AC7">
        <w:t>The person is</w:t>
      </w:r>
      <w:r w:rsidR="00003874" w:rsidRPr="00983AC7">
        <w:t xml:space="preserve"> available and looking for work</w:t>
      </w:r>
      <w:r w:rsidRPr="00983AC7">
        <w:t xml:space="preserve"> for one hour per week</w:t>
      </w:r>
      <w:r w:rsidR="00003874" w:rsidRPr="00983AC7">
        <w:t xml:space="preserve">. </w:t>
      </w:r>
    </w:p>
    <w:p w14:paraId="2FD22EDE" w14:textId="5C82ED01" w:rsidR="00D000DE" w:rsidRPr="00983AC7" w:rsidRDefault="000E35B7" w:rsidP="00D000DE">
      <w:r>
        <w:t>Unemployment numbers in the LFS tend to be much higher than the Live Register, as t</w:t>
      </w:r>
      <w:r w:rsidR="00D000DE" w:rsidRPr="00983AC7">
        <w:t xml:space="preserve">he Labour Force Survey is a direct assessment of unemployment, </w:t>
      </w:r>
      <w:r w:rsidR="00EB2842">
        <w:t>while the Live Register is just a count of</w:t>
      </w:r>
      <w:r w:rsidR="00D000DE" w:rsidRPr="00983AC7">
        <w:t xml:space="preserve"> those who claim benefits. </w:t>
      </w:r>
    </w:p>
    <w:p w14:paraId="2D5CBE9C" w14:textId="3BC9E727" w:rsidR="00D000DE" w:rsidRPr="00983AC7" w:rsidRDefault="00D000DE" w:rsidP="00D000DE">
      <w:r w:rsidRPr="00983AC7">
        <w:t xml:space="preserve">The final source of information we have on unemployment is the five-yearly </w:t>
      </w:r>
      <w:r w:rsidRPr="00983AC7">
        <w:rPr>
          <w:b/>
        </w:rPr>
        <w:t>Census</w:t>
      </w:r>
      <w:r w:rsidR="00003874" w:rsidRPr="00983AC7">
        <w:t xml:space="preserve">. </w:t>
      </w:r>
      <w:r w:rsidRPr="00983AC7">
        <w:t>In the Census</w:t>
      </w:r>
      <w:r w:rsidR="00003874" w:rsidRPr="00983AC7">
        <w:t>,</w:t>
      </w:r>
      <w:r w:rsidRPr="00983AC7">
        <w:t xml:space="preserve"> people self-declare their status as</w:t>
      </w:r>
      <w:r w:rsidR="00DC5466">
        <w:t xml:space="preserve"> </w:t>
      </w:r>
      <w:r w:rsidRPr="00983AC7">
        <w:t xml:space="preserve">employed or unemployed or other. This means that they </w:t>
      </w:r>
      <w:r w:rsidR="00CC7399">
        <w:t>do not</w:t>
      </w:r>
      <w:r w:rsidRPr="00983AC7">
        <w:t xml:space="preserve"> have to be on the Live Register</w:t>
      </w:r>
      <w:r w:rsidR="00B85B98">
        <w:t xml:space="preserve"> </w:t>
      </w:r>
      <w:r w:rsidRPr="00983AC7">
        <w:t xml:space="preserve">or meet the three ILO criteria to be considered unemployed. The Census records how people think about their own status. </w:t>
      </w:r>
    </w:p>
    <w:p w14:paraId="5A0936D8" w14:textId="62010E1F" w:rsidR="00D000DE" w:rsidRPr="00983AC7" w:rsidRDefault="00D000DE" w:rsidP="00D000DE">
      <w:r w:rsidRPr="00983AC7">
        <w:t>All three sources of data are interesting</w:t>
      </w:r>
      <w:r w:rsidR="00DC5466">
        <w:t>,</w:t>
      </w:r>
      <w:r w:rsidRPr="00983AC7">
        <w:t xml:space="preserve"> and </w:t>
      </w:r>
      <w:r w:rsidR="00DC5466">
        <w:t xml:space="preserve">each </w:t>
      </w:r>
      <w:r w:rsidRPr="00983AC7">
        <w:t>tell</w:t>
      </w:r>
      <w:r w:rsidR="00DC5466">
        <w:t>s</w:t>
      </w:r>
      <w:r w:rsidRPr="00983AC7">
        <w:t xml:space="preserve"> us </w:t>
      </w:r>
      <w:r w:rsidR="00DC5466">
        <w:t>something</w:t>
      </w:r>
      <w:r w:rsidRPr="00983AC7">
        <w:t xml:space="preserve"> about the numbers of people unemployed. However, we would not expect the three sources of data to give </w:t>
      </w:r>
      <w:proofErr w:type="gramStart"/>
      <w:r w:rsidRPr="00983AC7">
        <w:t>exactly the same</w:t>
      </w:r>
      <w:proofErr w:type="gramEnd"/>
      <w:r w:rsidRPr="00983AC7">
        <w:t xml:space="preserve"> numbers. Text box 1 illustrates how the three different surveys might treat the same case differently.</w:t>
      </w:r>
    </w:p>
    <w:p w14:paraId="68B8E0D5" w14:textId="77777777" w:rsidR="00983AC7" w:rsidRPr="00983AC7" w:rsidRDefault="00E774C6" w:rsidP="00B756A1">
      <w:pPr>
        <w:pStyle w:val="Caption"/>
        <w:keepNext/>
      </w:pPr>
      <w:r w:rsidRPr="00983AC7">
        <w:rPr>
          <w:noProof/>
          <w:lang w:eastAsia="en-IE"/>
        </w:rPr>
        <w:lastRenderedPageBreak/>
        <mc:AlternateContent>
          <mc:Choice Requires="wps">
            <w:drawing>
              <wp:inline distT="0" distB="0" distL="0" distR="0" wp14:anchorId="7A40767A" wp14:editId="160E2B05">
                <wp:extent cx="5229225" cy="1404620"/>
                <wp:effectExtent l="0" t="0" r="28575" b="22860"/>
                <wp:docPr id="217" name="Text Box 2" descr="Mark is a 40-year-old married man who works for 5 hours a week doing accounts for a semi-state firm. The rest of the time, he minds his 2 children and studies for accountancy exams. He would like to work full time but is waiting for the right job to come along. Mark’s wife is a high earner so Mark is not entitled to any state benefits. &#10;Live register: Mark is not registered for benefits so is not counted as unemployed.&#10;LFS: as Mark works 5 hours a week and is not actively looking for more work he is considered employed.&#10;Census: when filling in the census Mark answered the question ‘How would you describe your present principal status?’ as ‘Looking after home/family’ so he is counted as being outside the labour force. However, he could have ticked the employed or student boxes instead." title="Text box 1: the different ways employment is treated under the live register, LFS and Censu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25400">
                          <a:solidFill>
                            <a:srgbClr val="BF2296"/>
                          </a:solidFill>
                          <a:miter lim="800000"/>
                          <a:headEnd/>
                          <a:tailEnd/>
                        </a:ln>
                        <a:effectLst/>
                      </wps:spPr>
                      <wps:txbx>
                        <w:txbxContent>
                          <w:p w14:paraId="2B6DFEE8" w14:textId="4A22A19F" w:rsidR="00E774C6" w:rsidRDefault="00E774C6" w:rsidP="00E774C6">
                            <w:r>
                              <w:t xml:space="preserve">Mark is a 40-year-old married man who works for 5 hours a week doing accounts for a semi-state firm. The rest of the time, he minds his </w:t>
                            </w:r>
                            <w:r w:rsidR="00983AC7">
                              <w:t>two</w:t>
                            </w:r>
                            <w:r>
                              <w:t xml:space="preserve"> children and studies for accountancy exams. He would like to work full time but is waiting for the right job to come along. Mark’s wife is a high earner</w:t>
                            </w:r>
                            <w:r w:rsidR="00FD401A">
                              <w:t xml:space="preserve">, </w:t>
                            </w:r>
                            <w:r>
                              <w:t xml:space="preserve">so Mark is not entitled to any state benefits. </w:t>
                            </w:r>
                          </w:p>
                          <w:p w14:paraId="35D8D283" w14:textId="77777777" w:rsidR="00E774C6" w:rsidRDefault="00E774C6" w:rsidP="00E774C6">
                            <w:r>
                              <w:t>Live register: Mark is not registered for benefits so is not counted as unemployed.</w:t>
                            </w:r>
                          </w:p>
                          <w:p w14:paraId="5A10C953" w14:textId="6E08E2C2" w:rsidR="00E774C6" w:rsidRDefault="00E774C6" w:rsidP="00E774C6">
                            <w:r>
                              <w:t xml:space="preserve">LFS: as Mark works 5 hours a week and is not actively looking for more </w:t>
                            </w:r>
                            <w:r w:rsidR="001A4FFB">
                              <w:t>work,</w:t>
                            </w:r>
                            <w:r>
                              <w:t xml:space="preserve"> he is considered employed.</w:t>
                            </w:r>
                          </w:p>
                          <w:p w14:paraId="510857E8" w14:textId="77777777" w:rsidR="00E774C6" w:rsidRDefault="00E774C6" w:rsidP="00E774C6">
                            <w:r>
                              <w:t>Census: when filling in the census Mark answered the question ‘How would you describe your present principal status?’ as ‘</w:t>
                            </w:r>
                            <w:r w:rsidRPr="0025597A">
                              <w:t>Looking after home/famil</w:t>
                            </w:r>
                            <w:r>
                              <w:t>y’ so he is counted as being outside the labour force. However, he could have ticked the employed or student boxes instead.</w:t>
                            </w:r>
                          </w:p>
                        </w:txbxContent>
                      </wps:txbx>
                      <wps:bodyPr rot="0" vert="horz" wrap="square" lIns="91440" tIns="45720" rIns="91440" bIns="45720" anchor="t" anchorCtr="0">
                        <a:spAutoFit/>
                      </wps:bodyPr>
                    </wps:wsp>
                  </a:graphicData>
                </a:graphic>
              </wp:inline>
            </w:drawing>
          </mc:Choice>
          <mc:Fallback>
            <w:pict>
              <v:shapetype w14:anchorId="7A40767A" id="_x0000_t202" coordsize="21600,21600" o:spt="202" path="m,l,21600r21600,l21600,xe">
                <v:stroke joinstyle="miter"/>
                <v:path gradientshapeok="t" o:connecttype="rect"/>
              </v:shapetype>
              <v:shape id="Text Box 2" o:spid="_x0000_s1026" type="#_x0000_t202" alt="Title: Text box 1: the different ways employment is treated under the live register, LFS and Census - Description: Mark is a 40-year-old married man who works for 5 hours a week doing accounts for a semi-state firm. The rest of the time, he minds his 2 children and studies for accountancy exams. He would like to work full time but is waiting for the right job to come along. Mark’s wife is a high earner so Mark is not entitled to any state benefits. &#10;Live register: Mark is not registered for benefits so is not counted as unemployed.&#10;LFS: as Mark works 5 hours a week and is not actively looking for more work he is considered employed.&#10;Census: when filling in the census Mark answered the question ‘How would you describe your present principal status?’ as ‘Looking after home/family’ so he is counted as being outside the labour force. However, he could have ticked the employed or student boxes instead." style="width:41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" strokecolor="#bf2296" strokeweight="2pt">
                <v:textbox style="mso-fit-shape-to-text:t">
                  <w:txbxContent>
                    <w:p w14:paraId="2B6DFEE8" w14:textId="4A22A19F" w:rsidR="00E774C6" w:rsidRDefault="00E774C6" w:rsidP="00E774C6">
                      <w:r>
                        <w:t xml:space="preserve">Mark is a 40-year-old married man who works for 5 hours a week doing accounts for a semi-state firm. The rest of the time, he minds his </w:t>
                      </w:r>
                      <w:r w:rsidR="00983AC7">
                        <w:t>two</w:t>
                      </w:r>
                      <w:r>
                        <w:t xml:space="preserve"> children and studies for accountancy exams. He would like to work full time but is waiting for the right job to come along. Mark’s wife is a high earner</w:t>
                      </w:r>
                      <w:r w:rsidR="00FD401A">
                        <w:t xml:space="preserve">, </w:t>
                      </w:r>
                      <w:r>
                        <w:t xml:space="preserve">so Mark is not entitled to any state benefits. </w:t>
                      </w:r>
                    </w:p>
                    <w:p w14:paraId="35D8D283" w14:textId="77777777" w:rsidR="00E774C6" w:rsidRDefault="00E774C6" w:rsidP="00E774C6">
                      <w:r>
                        <w:t>Live register: Mark is not registered for benefits so is not counted as unemployed.</w:t>
                      </w:r>
                    </w:p>
                    <w:p w14:paraId="5A10C953" w14:textId="6E08E2C2" w:rsidR="00E774C6" w:rsidRDefault="00E774C6" w:rsidP="00E774C6">
                      <w:r>
                        <w:t xml:space="preserve">LFS: as Mark works 5 hours a week and is not actively looking for more </w:t>
                      </w:r>
                      <w:r w:rsidR="001A4FFB">
                        <w:t>work,</w:t>
                      </w:r>
                      <w:r>
                        <w:t xml:space="preserve"> he is considered employed.</w:t>
                      </w:r>
                    </w:p>
                    <w:p w14:paraId="510857E8" w14:textId="77777777" w:rsidR="00E774C6" w:rsidRDefault="00E774C6" w:rsidP="00E774C6">
                      <w:r>
                        <w:t>Census: when filling in the census Mark answered the question ‘How would you describe your present principal status?’ as ‘</w:t>
                      </w:r>
                      <w:r w:rsidRPr="0025597A">
                        <w:t>Looking after home/famil</w:t>
                      </w:r>
                      <w:r>
                        <w:t>y’ so he is counted as being outside the labour force. However, he could have ticked the employed or student boxes instead.</w:t>
                      </w:r>
                    </w:p>
                  </w:txbxContent>
                </v:textbox>
                <w10:anchorlock/>
              </v:shape>
            </w:pict>
          </mc:Fallback>
        </mc:AlternateContent>
      </w:r>
    </w:p>
    <w:p w14:paraId="13E6E76F" w14:textId="7519702C" w:rsidR="00F00474" w:rsidRDefault="00B756A1" w:rsidP="00797CF7">
      <w:pPr>
        <w:pStyle w:val="Caption"/>
        <w:keepNext/>
      </w:pPr>
      <w:r w:rsidRPr="00A73B2F">
        <w:t xml:space="preserve">Text box 1: the different ways employment </w:t>
      </w:r>
      <w:r w:rsidR="00715800" w:rsidRPr="00A73B2F">
        <w:t>is</w:t>
      </w:r>
      <w:r w:rsidRPr="00A73B2F">
        <w:t xml:space="preserve"> treated under the live register, LFS and Census</w:t>
      </w:r>
    </w:p>
    <w:p w14:paraId="7AFA8ED5" w14:textId="5A78BC86" w:rsidR="00D000DE" w:rsidRPr="00A73B2F" w:rsidRDefault="00D000DE" w:rsidP="00D000DE">
      <w:pPr>
        <w:spacing w:before="240" w:after="360"/>
      </w:pPr>
      <w:r w:rsidRPr="00A73B2F">
        <w:t xml:space="preserve">Another </w:t>
      </w:r>
      <w:r w:rsidR="00797CF7">
        <w:t>issue</w:t>
      </w:r>
      <w:r w:rsidRPr="00A73B2F">
        <w:t xml:space="preserve"> is that the Live Register </w:t>
      </w:r>
      <w:r w:rsidR="00056ABD">
        <w:t>data does not allow comparisons of</w:t>
      </w:r>
      <w:r w:rsidRPr="00A73B2F">
        <w:t xml:space="preserve"> people with and without a disability</w:t>
      </w:r>
      <w:r w:rsidR="00003874" w:rsidRPr="00A73B2F">
        <w:t xml:space="preserve">. </w:t>
      </w:r>
      <w:r w:rsidRPr="00A73B2F">
        <w:t xml:space="preserve">Therefore, the only sources of data we have for the employment and unemployment of people with a disability </w:t>
      </w:r>
      <w:r w:rsidR="00056ABD">
        <w:t>are</w:t>
      </w:r>
      <w:r w:rsidRPr="00A73B2F">
        <w:t xml:space="preserve"> the Census and the LFS.</w:t>
      </w:r>
    </w:p>
    <w:p w14:paraId="79466C00" w14:textId="345A9C6C" w:rsidR="00D000DE" w:rsidRPr="00A73B2F" w:rsidRDefault="00D000DE" w:rsidP="00D000DE">
      <w:r w:rsidRPr="00A73B2F">
        <w:t xml:space="preserve">Because the Census gives us the fullest </w:t>
      </w:r>
      <w:r w:rsidR="00056ABD">
        <w:t>information</w:t>
      </w:r>
      <w:r w:rsidRPr="00A73B2F">
        <w:t xml:space="preserve">, this </w:t>
      </w:r>
      <w:r w:rsidR="00A73B2F">
        <w:t>paper draws mainly on census data on employment and unemployment. Where other data sources are used, this is highlighted in the text.</w:t>
      </w:r>
    </w:p>
    <w:p w14:paraId="1DAA2820" w14:textId="0A238CCC" w:rsidR="00552DAE" w:rsidRPr="009F241A" w:rsidRDefault="009F241A" w:rsidP="009F241A">
      <w:pPr>
        <w:pStyle w:val="Heading1"/>
      </w:pPr>
      <w:r w:rsidRPr="009F241A">
        <w:t>Disability preval</w:t>
      </w:r>
      <w:r>
        <w:t>e</w:t>
      </w:r>
      <w:r w:rsidRPr="009F241A">
        <w:t>nce</w:t>
      </w:r>
    </w:p>
    <w:p w14:paraId="23D20B4C" w14:textId="28E14EDA" w:rsidR="0094028F" w:rsidRPr="002E2D08" w:rsidRDefault="0073504B" w:rsidP="0094028F">
      <w:pPr>
        <w:rPr>
          <w:highlight w:val="yellow"/>
        </w:rPr>
      </w:pPr>
      <w:r w:rsidRPr="009F241A">
        <w:t>The 20</w:t>
      </w:r>
      <w:r w:rsidR="00A40EDF">
        <w:t>2</w:t>
      </w:r>
      <w:r w:rsidR="009F241A" w:rsidRPr="009F241A">
        <w:t>2</w:t>
      </w:r>
      <w:r w:rsidRPr="009F241A">
        <w:t xml:space="preserve"> C</w:t>
      </w:r>
      <w:r w:rsidR="0094028F" w:rsidRPr="009F241A">
        <w:t>ensus shows that</w:t>
      </w:r>
      <w:r w:rsidR="00FF129D">
        <w:t xml:space="preserve"> </w:t>
      </w:r>
      <w:r w:rsidR="00A40EDF" w:rsidRPr="00A40EDF">
        <w:t xml:space="preserve">1,109,557 </w:t>
      </w:r>
      <w:r w:rsidR="0094028F" w:rsidRPr="009F241A">
        <w:t xml:space="preserve">people </w:t>
      </w:r>
      <w:r w:rsidR="00FF129D">
        <w:t>in Ireland experiences a long-standing condition or difficulty</w:t>
      </w:r>
      <w:r w:rsidR="00A40EDF">
        <w:t xml:space="preserve">. This means that </w:t>
      </w:r>
      <w:r w:rsidR="009F241A" w:rsidRPr="009F241A">
        <w:t>21</w:t>
      </w:r>
      <w:r w:rsidR="0094028F" w:rsidRPr="009F241A">
        <w:t>.5% of the population</w:t>
      </w:r>
      <w:r w:rsidR="00A40EDF">
        <w:t>, or</w:t>
      </w:r>
      <w:r w:rsidR="0094028F" w:rsidRPr="009F241A">
        <w:t xml:space="preserve"> more than one in every </w:t>
      </w:r>
      <w:r w:rsidR="009F241A" w:rsidRPr="009F241A">
        <w:t xml:space="preserve">five </w:t>
      </w:r>
      <w:r w:rsidR="0094028F" w:rsidRPr="009F241A">
        <w:t>people in Ireland</w:t>
      </w:r>
      <w:r w:rsidR="00A40EDF">
        <w:t>,</w:t>
      </w:r>
      <w:r w:rsidR="0094028F" w:rsidRPr="009F241A">
        <w:t xml:space="preserve"> has a disability</w:t>
      </w:r>
      <w:r w:rsidR="00003874" w:rsidRPr="009F241A">
        <w:t xml:space="preserve">. </w:t>
      </w:r>
    </w:p>
    <w:p w14:paraId="4C083AE0" w14:textId="2063CD7D" w:rsidR="001C496B" w:rsidRPr="00A50627" w:rsidRDefault="00A40EDF" w:rsidP="003556BA">
      <w:r>
        <w:t>Looking</w:t>
      </w:r>
      <w:r w:rsidR="00A50627">
        <w:t xml:space="preserve"> just</w:t>
      </w:r>
      <w:r w:rsidR="0094028F" w:rsidRPr="00A50627">
        <w:t xml:space="preserve"> at people aged </w:t>
      </w:r>
      <w:r w:rsidR="00A50627">
        <w:t>15</w:t>
      </w:r>
      <w:r w:rsidR="0094028F" w:rsidRPr="00A50627">
        <w:t>-64 (</w:t>
      </w:r>
      <w:r w:rsidR="00056ABD">
        <w:t xml:space="preserve">those </w:t>
      </w:r>
      <w:r w:rsidR="0094028F" w:rsidRPr="00A50627">
        <w:t xml:space="preserve">approximately of working age), there are </w:t>
      </w:r>
      <w:r w:rsidRPr="00A40EDF">
        <w:t>661</w:t>
      </w:r>
      <w:r>
        <w:t>,</w:t>
      </w:r>
      <w:r w:rsidRPr="00A40EDF">
        <w:t>083</w:t>
      </w:r>
      <w:r>
        <w:t xml:space="preserve"> persons </w:t>
      </w:r>
      <w:r w:rsidR="0094028F" w:rsidRPr="00A40EDF">
        <w:t>with a disability</w:t>
      </w:r>
      <w:r>
        <w:t xml:space="preserve">, which </w:t>
      </w:r>
      <w:r w:rsidR="00FF129D">
        <w:t xml:space="preserve">represents </w:t>
      </w:r>
      <w:r w:rsidRPr="00A40EDF">
        <w:t>19.</w:t>
      </w:r>
      <w:r>
        <w:t>7</w:t>
      </w:r>
      <w:r w:rsidR="0094028F" w:rsidRPr="00A40EDF">
        <w:t>% of that age group</w:t>
      </w:r>
      <w:r>
        <w:t>.</w:t>
      </w:r>
    </w:p>
    <w:p w14:paraId="72C77C2A" w14:textId="1604A334" w:rsidR="00072E94" w:rsidRPr="006F7A58" w:rsidRDefault="00737515" w:rsidP="00072E94">
      <w:pPr>
        <w:pStyle w:val="Heading1"/>
      </w:pPr>
      <w:r>
        <w:t>Overall employment picture</w:t>
      </w:r>
    </w:p>
    <w:p w14:paraId="1DFA38EE" w14:textId="77777777" w:rsidR="00115FA9" w:rsidRDefault="00115FA9" w:rsidP="00115FA9">
      <w:pPr>
        <w:pStyle w:val="Heading2"/>
      </w:pPr>
      <w:r>
        <w:t>Employment</w:t>
      </w:r>
    </w:p>
    <w:p w14:paraId="2366CF0A" w14:textId="2FB99078" w:rsidR="00115FA9" w:rsidRDefault="00115FA9" w:rsidP="00115FA9">
      <w:r>
        <w:t xml:space="preserve">Almost half (49.3%) of people with disabilities of working age in Ireland are at work, compared to 70.8% of people without disabilities. This means that the </w:t>
      </w:r>
      <w:r>
        <w:lastRenderedPageBreak/>
        <w:t>difference in employment rates between people with and without disabilities, i.e., the disability employment gap, is 21.5 percentage points.</w:t>
      </w:r>
      <w:r w:rsidR="000E35B7">
        <w:t xml:space="preserve"> Available cross-country data indicate that the gap in Ireland is considerably </w:t>
      </w:r>
      <w:r w:rsidR="002272FC">
        <w:t>larger</w:t>
      </w:r>
      <w:r w:rsidR="000E35B7">
        <w:t xml:space="preserve"> than the average gap across the European Union.</w:t>
      </w:r>
      <w:r w:rsidR="000E35B7">
        <w:rPr>
          <w:rStyle w:val="FootnoteReference"/>
        </w:rPr>
        <w:footnoteReference w:id="2"/>
      </w:r>
      <w:r w:rsidR="0088320D">
        <w:t xml:space="preserve"> </w:t>
      </w:r>
      <w:r w:rsidR="002272FC">
        <w:t xml:space="preserve">The link between employment and social inclusion is well established, and </w:t>
      </w:r>
      <w:r w:rsidR="0088320D">
        <w:t xml:space="preserve">Ireland also ranks </w:t>
      </w:r>
      <w:r w:rsidR="0088320D" w:rsidRPr="0088320D">
        <w:t xml:space="preserve">near the bottom of all 27 EU Member States on </w:t>
      </w:r>
      <w:proofErr w:type="gramStart"/>
      <w:r w:rsidR="0088320D" w:rsidRPr="0088320D">
        <w:t>a number of</w:t>
      </w:r>
      <w:proofErr w:type="gramEnd"/>
      <w:r w:rsidR="0088320D" w:rsidRPr="0088320D">
        <w:t xml:space="preserve"> social inclusion indicators for people with disabilities, including severe material deprivation</w:t>
      </w:r>
      <w:r w:rsidR="0088320D">
        <w:t xml:space="preserve"> and being at risk of povert</w:t>
      </w:r>
      <w:r w:rsidR="009C5B9D">
        <w:t>y</w:t>
      </w:r>
      <w:r w:rsidR="009C5B9D">
        <w:rPr>
          <w:rStyle w:val="FootnoteReference"/>
        </w:rPr>
        <w:footnoteReference w:id="3"/>
      </w:r>
      <w:r w:rsidR="002272FC">
        <w:t xml:space="preserve">. </w:t>
      </w:r>
    </w:p>
    <w:p w14:paraId="6955DC88" w14:textId="5900397C" w:rsidR="00115FA9" w:rsidRDefault="009C5B9D" w:rsidP="00937571">
      <w:r>
        <w:t>Employment</w:t>
      </w:r>
      <w:r w:rsidR="00115FA9">
        <w:t xml:space="preserve"> levels also vary considerably depending on the extent of disability reported, with the employment rate of people with a disability to some extent (60.3%), more than double that of people with a disability to a great extent (27</w:t>
      </w:r>
      <w:r w:rsidR="001B40FA">
        <w:t>.</w:t>
      </w:r>
      <w:r w:rsidR="00797CF7">
        <w:t>3</w:t>
      </w:r>
      <w:r w:rsidR="00115FA9">
        <w:t>%).</w:t>
      </w:r>
    </w:p>
    <w:p w14:paraId="1CD0D1AA" w14:textId="77777777" w:rsidR="00737515" w:rsidRDefault="00737515" w:rsidP="00737515">
      <w:pPr>
        <w:pStyle w:val="Heading2"/>
      </w:pPr>
      <w:r>
        <w:t>Labour force participation</w:t>
      </w:r>
    </w:p>
    <w:p w14:paraId="12083702" w14:textId="09A70504" w:rsidR="00737515" w:rsidRDefault="00737515" w:rsidP="00737515">
      <w:r>
        <w:t>Based on Census 2022, the labour force participation rate of people with disabilities is 68.3%</w:t>
      </w:r>
      <w:r w:rsidR="001B40FA">
        <w:t xml:space="preserve"> in Ireland</w:t>
      </w:r>
      <w:r>
        <w:t xml:space="preserve">, compared to 76.5% of people without disabilities. However, the participation rate of people with disabilities to a great extent (35.2%) is less than half that of people without disabilities. </w:t>
      </w:r>
    </w:p>
    <w:p w14:paraId="7AD37232" w14:textId="21F24800" w:rsidR="00737515" w:rsidRDefault="00737515" w:rsidP="00937571">
      <w:r>
        <w:t xml:space="preserve">The labour force participation rate of people with disabilities to some extent (68.3%) is closer to the participation rate of people with no disabilities than to that of people with disabilities to a great extent (Table 1). </w:t>
      </w:r>
    </w:p>
    <w:p w14:paraId="3F6CB63D" w14:textId="2966FC1E" w:rsidR="00115FA9" w:rsidRDefault="00115FA9" w:rsidP="00115FA9">
      <w:pPr>
        <w:pStyle w:val="Heading2"/>
      </w:pPr>
      <w:r>
        <w:t>Unemployment</w:t>
      </w:r>
    </w:p>
    <w:p w14:paraId="2F24632E" w14:textId="5FAD7521" w:rsidR="004F169C" w:rsidRDefault="001B40FA" w:rsidP="004F169C">
      <w:r>
        <w:t>Not only are p</w:t>
      </w:r>
      <w:r w:rsidR="004F169C" w:rsidRPr="00915DFA">
        <w:t>eople with a disability less likely to be in the labour force</w:t>
      </w:r>
      <w:r>
        <w:t xml:space="preserve">, but </w:t>
      </w:r>
      <w:r w:rsidR="004F169C" w:rsidRPr="00915DFA">
        <w:t xml:space="preserve">once in the labour force, they are </w:t>
      </w:r>
      <w:r>
        <w:t xml:space="preserve">also </w:t>
      </w:r>
      <w:r w:rsidR="004F169C" w:rsidRPr="00915DFA">
        <w:t>more likely to be unemployed than people who do not have a disability.</w:t>
      </w:r>
    </w:p>
    <w:p w14:paraId="7632C648" w14:textId="391C0D11" w:rsidR="00937571" w:rsidRDefault="00B05AE8" w:rsidP="0010774D">
      <w:r w:rsidRPr="0010774D">
        <w:t xml:space="preserve">There </w:t>
      </w:r>
      <w:r w:rsidR="0010774D">
        <w:t>were</w:t>
      </w:r>
      <w:r w:rsidRPr="0010774D">
        <w:t xml:space="preserve"> </w:t>
      </w:r>
      <w:r w:rsidR="0010774D" w:rsidRPr="0010774D">
        <w:t>52,509</w:t>
      </w:r>
      <w:r w:rsidRPr="0010774D">
        <w:t xml:space="preserve"> unemployed people with a disability (including those looking for their first regular job)</w:t>
      </w:r>
      <w:r w:rsidR="0010774D">
        <w:t xml:space="preserve"> according to Census 2022</w:t>
      </w:r>
      <w:r w:rsidRPr="0010774D">
        <w:t xml:space="preserve">. Therefore, the unemployment rate for people with a disability is </w:t>
      </w:r>
      <w:r w:rsidR="0010774D" w:rsidRPr="0010774D">
        <w:t>13.9</w:t>
      </w:r>
      <w:r w:rsidRPr="0010774D">
        <w:t xml:space="preserve">% compared to </w:t>
      </w:r>
      <w:r w:rsidR="0010774D" w:rsidRPr="0010774D">
        <w:t>7</w:t>
      </w:r>
      <w:r w:rsidRPr="0010774D">
        <w:t>.5% for people who do not have a disability.</w:t>
      </w:r>
      <w:r w:rsidR="0010774D">
        <w:t xml:space="preserve"> The unemployment rate of people with a disability to some extent is 11.7%, around half that of people with a disability to a great extent.</w:t>
      </w:r>
    </w:p>
    <w:p w14:paraId="6EDCBE3E" w14:textId="77777777" w:rsidR="00F82841" w:rsidRDefault="00F82841" w:rsidP="0010774D">
      <w:pPr>
        <w:rPr>
          <w:highlight w:val="yellow"/>
        </w:rPr>
        <w:sectPr w:rsidR="00F82841" w:rsidSect="00A808C0">
          <w:footerReference w:type="default" r:id="rId10"/>
          <w:pgSz w:w="11906" w:h="16838" w:code="9"/>
          <w:pgMar w:top="1440" w:right="1800" w:bottom="1440" w:left="1800" w:header="708" w:footer="708" w:gutter="0"/>
          <w:cols w:space="708"/>
          <w:docGrid w:linePitch="360"/>
        </w:sectPr>
      </w:pPr>
    </w:p>
    <w:p w14:paraId="042E077E" w14:textId="77777777" w:rsidR="00915DFA" w:rsidRPr="0010774D" w:rsidRDefault="00915DFA" w:rsidP="0010774D">
      <w:pPr>
        <w:rPr>
          <w:highlight w:val="yellow"/>
        </w:rPr>
      </w:pPr>
    </w:p>
    <w:p w14:paraId="3A80D3F5" w14:textId="25CB1888" w:rsidR="00A9026F" w:rsidRDefault="00A9026F" w:rsidP="00A9026F">
      <w:pPr>
        <w:pStyle w:val="Caption"/>
        <w:keepNext/>
      </w:pPr>
      <w:r>
        <w:t xml:space="preserve">Table </w:t>
      </w:r>
      <w:r w:rsidR="008D0D04">
        <w:fldChar w:fldCharType="begin"/>
      </w:r>
      <w:r w:rsidR="008D0D04">
        <w:instrText xml:space="preserve"> SEQ Table \* ARABIC </w:instrText>
      </w:r>
      <w:r w:rsidR="008D0D04">
        <w:fldChar w:fldCharType="separate"/>
      </w:r>
      <w:r w:rsidR="008B1958">
        <w:rPr>
          <w:noProof/>
        </w:rPr>
        <w:t>1</w:t>
      </w:r>
      <w:r w:rsidR="008D0D04">
        <w:rPr>
          <w:noProof/>
        </w:rPr>
        <w:fldChar w:fldCharType="end"/>
      </w:r>
      <w:r>
        <w:t xml:space="preserve">: </w:t>
      </w:r>
      <w:r w:rsidRPr="006F7A58">
        <w:t>Labour force participation and unemployment rates</w:t>
      </w:r>
      <w:r>
        <w:t xml:space="preserve"> by disability status</w:t>
      </w:r>
      <w:r w:rsidR="000E35B7">
        <w:rPr>
          <w:rStyle w:val="FootnoteReference"/>
        </w:rPr>
        <w:footnoteReference w:id="4"/>
      </w:r>
    </w:p>
    <w:tbl>
      <w:tblPr>
        <w:tblStyle w:val="TableGrid"/>
        <w:tblW w:w="5123" w:type="pct"/>
        <w:tblLayout w:type="fixed"/>
        <w:tblLook w:val="04A0" w:firstRow="1" w:lastRow="0" w:firstColumn="1" w:lastColumn="0" w:noHBand="0" w:noVBand="1"/>
        <w:tblCaption w:val="Table 1: Labour force participation and unemployment rate by disability"/>
        <w:tblDescription w:val="Labour force participation rate of All, 78. 4%; Labour force participation rate of people with a disability, 49. 7%; Labour force participation rate of people without a disability, 82. 3%. &#10;Unemployment rate of All, 12. 7%; Unemployment rate of  people with a disability, 26. 6%; Unemployment rate of people without a disability, 11. 5%.&#10;"/>
      </w:tblPr>
      <w:tblGrid>
        <w:gridCol w:w="2179"/>
        <w:gridCol w:w="1225"/>
        <w:gridCol w:w="1222"/>
        <w:gridCol w:w="1224"/>
        <w:gridCol w:w="1222"/>
        <w:gridCol w:w="1428"/>
      </w:tblGrid>
      <w:tr w:rsidR="006F7A58" w:rsidRPr="002E2D08" w14:paraId="2395F6FF" w14:textId="77777777" w:rsidTr="001B40FA">
        <w:trPr>
          <w:trHeight w:val="300"/>
          <w:tblHeader/>
        </w:trPr>
        <w:tc>
          <w:tcPr>
            <w:tcW w:w="1281" w:type="pct"/>
            <w:noWrap/>
            <w:hideMark/>
          </w:tcPr>
          <w:p w14:paraId="080E42D7" w14:textId="77777777" w:rsidR="006F7A58" w:rsidRPr="002E2D08" w:rsidRDefault="006F7A58" w:rsidP="006F7A58">
            <w:pPr>
              <w:pStyle w:val="TableCell"/>
              <w:rPr>
                <w:highlight w:val="yellow"/>
                <w:lang w:eastAsia="en-IE"/>
              </w:rPr>
            </w:pPr>
          </w:p>
        </w:tc>
        <w:tc>
          <w:tcPr>
            <w:tcW w:w="720" w:type="pct"/>
            <w:shd w:val="clear" w:color="auto" w:fill="auto"/>
            <w:noWrap/>
            <w:hideMark/>
          </w:tcPr>
          <w:p w14:paraId="2626E270" w14:textId="77777777" w:rsidR="006F7A58" w:rsidRPr="001B40FA" w:rsidRDefault="006F7A58" w:rsidP="006F7A58">
            <w:pPr>
              <w:pStyle w:val="TableHead"/>
              <w:rPr>
                <w:color w:val="000000"/>
                <w:sz w:val="24"/>
                <w:highlight w:val="yellow"/>
                <w:lang w:eastAsia="en-IE"/>
              </w:rPr>
            </w:pPr>
            <w:r w:rsidRPr="001B40FA">
              <w:rPr>
                <w:color w:val="000000"/>
                <w:sz w:val="24"/>
                <w:lang w:eastAsia="en-IE"/>
              </w:rPr>
              <w:t>All</w:t>
            </w:r>
          </w:p>
        </w:tc>
        <w:tc>
          <w:tcPr>
            <w:tcW w:w="719" w:type="pct"/>
            <w:noWrap/>
            <w:hideMark/>
          </w:tcPr>
          <w:p w14:paraId="3CC99C3C" w14:textId="06B5288E" w:rsidR="006F7A58" w:rsidRPr="001B40FA" w:rsidRDefault="006F7A58" w:rsidP="006F7A58">
            <w:pPr>
              <w:pStyle w:val="TableHead"/>
              <w:rPr>
                <w:color w:val="000000"/>
                <w:sz w:val="24"/>
                <w:highlight w:val="yellow"/>
                <w:lang w:eastAsia="en-IE"/>
              </w:rPr>
            </w:pPr>
            <w:r w:rsidRPr="001B40FA">
              <w:rPr>
                <w:color w:val="000000"/>
                <w:sz w:val="24"/>
                <w:lang w:eastAsia="en-IE"/>
              </w:rPr>
              <w:t>People with a disability to any extent</w:t>
            </w:r>
          </w:p>
        </w:tc>
        <w:tc>
          <w:tcPr>
            <w:tcW w:w="720" w:type="pct"/>
          </w:tcPr>
          <w:p w14:paraId="7D845A26" w14:textId="7E6A92B7" w:rsidR="006F7A58" w:rsidRPr="001B40FA" w:rsidRDefault="006F7A58" w:rsidP="006F7A58">
            <w:pPr>
              <w:pStyle w:val="TableHead"/>
              <w:rPr>
                <w:color w:val="000000"/>
                <w:sz w:val="24"/>
                <w:highlight w:val="yellow"/>
                <w:lang w:eastAsia="en-IE"/>
              </w:rPr>
            </w:pPr>
            <w:r w:rsidRPr="001B40FA">
              <w:rPr>
                <w:color w:val="000000"/>
                <w:sz w:val="24"/>
                <w:lang w:eastAsia="en-IE"/>
              </w:rPr>
              <w:t>People with a disability to some extent</w:t>
            </w:r>
          </w:p>
        </w:tc>
        <w:tc>
          <w:tcPr>
            <w:tcW w:w="719" w:type="pct"/>
          </w:tcPr>
          <w:p w14:paraId="55CFD649" w14:textId="34887F75" w:rsidR="006F7A58" w:rsidRPr="001B40FA" w:rsidRDefault="006F7A58" w:rsidP="006F7A58">
            <w:pPr>
              <w:pStyle w:val="TableHead"/>
              <w:rPr>
                <w:color w:val="000000"/>
                <w:sz w:val="24"/>
                <w:highlight w:val="yellow"/>
                <w:lang w:eastAsia="en-IE"/>
              </w:rPr>
            </w:pPr>
            <w:r w:rsidRPr="001B40FA">
              <w:rPr>
                <w:color w:val="000000"/>
                <w:sz w:val="24"/>
                <w:lang w:eastAsia="en-IE"/>
              </w:rPr>
              <w:t>People with a disability to a great extent</w:t>
            </w:r>
          </w:p>
        </w:tc>
        <w:tc>
          <w:tcPr>
            <w:tcW w:w="840" w:type="pct"/>
            <w:noWrap/>
            <w:hideMark/>
          </w:tcPr>
          <w:p w14:paraId="1D7B7075" w14:textId="31383ED9" w:rsidR="006F7A58" w:rsidRPr="001B40FA" w:rsidRDefault="006F7A58" w:rsidP="006F7A58">
            <w:pPr>
              <w:pStyle w:val="TableHead"/>
              <w:rPr>
                <w:color w:val="000000"/>
                <w:sz w:val="24"/>
                <w:highlight w:val="yellow"/>
                <w:lang w:eastAsia="en-IE"/>
              </w:rPr>
            </w:pPr>
            <w:r w:rsidRPr="001B40FA">
              <w:rPr>
                <w:color w:val="000000"/>
                <w:sz w:val="24"/>
                <w:lang w:eastAsia="en-IE"/>
              </w:rPr>
              <w:t>People without a disability</w:t>
            </w:r>
          </w:p>
        </w:tc>
      </w:tr>
      <w:tr w:rsidR="006F7A58" w:rsidRPr="002E2D08" w14:paraId="1AC62BA0" w14:textId="77777777" w:rsidTr="001B40FA">
        <w:trPr>
          <w:trHeight w:val="300"/>
        </w:trPr>
        <w:tc>
          <w:tcPr>
            <w:tcW w:w="1281" w:type="pct"/>
            <w:shd w:val="clear" w:color="auto" w:fill="auto"/>
            <w:noWrap/>
            <w:hideMark/>
          </w:tcPr>
          <w:p w14:paraId="4B315AD8" w14:textId="5B8DB9BA" w:rsidR="006F7A58" w:rsidRPr="006F7A58" w:rsidRDefault="006F7A58" w:rsidP="006F7A58">
            <w:pPr>
              <w:pStyle w:val="TableCell"/>
              <w:rPr>
                <w:lang w:eastAsia="en-IE"/>
              </w:rPr>
            </w:pPr>
            <w:r w:rsidRPr="006F7A58">
              <w:rPr>
                <w:lang w:eastAsia="en-IE"/>
              </w:rPr>
              <w:t>Total population aged 15-64</w:t>
            </w:r>
            <w:r w:rsidR="00253DB7">
              <w:rPr>
                <w:lang w:eastAsia="en-IE"/>
              </w:rPr>
              <w:t xml:space="preserve"> (number)</w:t>
            </w:r>
          </w:p>
        </w:tc>
        <w:tc>
          <w:tcPr>
            <w:tcW w:w="720" w:type="pct"/>
            <w:noWrap/>
            <w:hideMark/>
          </w:tcPr>
          <w:p w14:paraId="3F76F1E0" w14:textId="1149DBA4" w:rsidR="006F7A58" w:rsidRPr="00253DB7" w:rsidRDefault="006F7A58" w:rsidP="006F7A58">
            <w:pPr>
              <w:spacing w:after="0"/>
              <w:jc w:val="right"/>
              <w:rPr>
                <w:color w:val="000000"/>
                <w:sz w:val="24"/>
                <w:highlight w:val="yellow"/>
                <w:lang w:eastAsia="en-IE"/>
              </w:rPr>
            </w:pPr>
            <w:r w:rsidRPr="00253DB7">
              <w:rPr>
                <w:color w:val="000000"/>
                <w:sz w:val="24"/>
                <w:lang w:eastAsia="en-IE"/>
              </w:rPr>
              <w:t>3,360,537</w:t>
            </w:r>
          </w:p>
        </w:tc>
        <w:tc>
          <w:tcPr>
            <w:tcW w:w="719" w:type="pct"/>
            <w:noWrap/>
            <w:hideMark/>
          </w:tcPr>
          <w:p w14:paraId="5129FD4F" w14:textId="01FE64AB" w:rsidR="006F7A58" w:rsidRPr="00253DB7" w:rsidRDefault="006F7A58" w:rsidP="006F7A58">
            <w:pPr>
              <w:spacing w:after="0"/>
              <w:jc w:val="right"/>
              <w:rPr>
                <w:color w:val="000000"/>
                <w:sz w:val="24"/>
                <w:highlight w:val="yellow"/>
                <w:lang w:eastAsia="en-IE"/>
              </w:rPr>
            </w:pPr>
            <w:r w:rsidRPr="00253DB7">
              <w:rPr>
                <w:sz w:val="24"/>
              </w:rPr>
              <w:t>661,083</w:t>
            </w:r>
          </w:p>
        </w:tc>
        <w:tc>
          <w:tcPr>
            <w:tcW w:w="720" w:type="pct"/>
          </w:tcPr>
          <w:p w14:paraId="1DDA7258" w14:textId="536D9B4F" w:rsidR="006F7A58" w:rsidRPr="00253DB7" w:rsidRDefault="00253DB7" w:rsidP="006F7A58">
            <w:pPr>
              <w:spacing w:after="0"/>
              <w:jc w:val="right"/>
              <w:rPr>
                <w:color w:val="000000"/>
                <w:sz w:val="24"/>
                <w:highlight w:val="yellow"/>
                <w:lang w:eastAsia="en-IE"/>
              </w:rPr>
            </w:pPr>
            <w:r w:rsidRPr="00253DB7">
              <w:rPr>
                <w:color w:val="000000"/>
                <w:sz w:val="24"/>
                <w:lang w:eastAsia="en-IE"/>
              </w:rPr>
              <w:t>440</w:t>
            </w:r>
            <w:r w:rsidR="00B33E2F">
              <w:rPr>
                <w:color w:val="000000"/>
                <w:sz w:val="24"/>
                <w:lang w:eastAsia="en-IE"/>
              </w:rPr>
              <w:t>,</w:t>
            </w:r>
            <w:r w:rsidRPr="00253DB7">
              <w:rPr>
                <w:color w:val="000000"/>
                <w:sz w:val="24"/>
                <w:lang w:eastAsia="en-IE"/>
              </w:rPr>
              <w:t>794</w:t>
            </w:r>
          </w:p>
        </w:tc>
        <w:tc>
          <w:tcPr>
            <w:tcW w:w="719" w:type="pct"/>
          </w:tcPr>
          <w:p w14:paraId="7566A8E9" w14:textId="2133A8DE" w:rsidR="006F7A58" w:rsidRPr="00253DB7" w:rsidRDefault="00253DB7" w:rsidP="006F7A58">
            <w:pPr>
              <w:spacing w:after="0"/>
              <w:jc w:val="right"/>
              <w:rPr>
                <w:color w:val="000000"/>
                <w:sz w:val="24"/>
                <w:highlight w:val="yellow"/>
                <w:lang w:eastAsia="en-IE"/>
              </w:rPr>
            </w:pPr>
            <w:r w:rsidRPr="00253DB7">
              <w:rPr>
                <w:color w:val="000000"/>
                <w:sz w:val="24"/>
                <w:lang w:eastAsia="en-IE"/>
              </w:rPr>
              <w:t>220</w:t>
            </w:r>
            <w:r w:rsidR="00761E29">
              <w:rPr>
                <w:color w:val="000000"/>
                <w:sz w:val="24"/>
                <w:lang w:eastAsia="en-IE"/>
              </w:rPr>
              <w:t>,</w:t>
            </w:r>
            <w:r w:rsidRPr="00253DB7">
              <w:rPr>
                <w:color w:val="000000"/>
                <w:sz w:val="24"/>
                <w:lang w:eastAsia="en-IE"/>
              </w:rPr>
              <w:t>289</w:t>
            </w:r>
          </w:p>
        </w:tc>
        <w:tc>
          <w:tcPr>
            <w:tcW w:w="840" w:type="pct"/>
            <w:noWrap/>
            <w:hideMark/>
          </w:tcPr>
          <w:p w14:paraId="52E79EDB" w14:textId="38A96DCD" w:rsidR="006F7A58" w:rsidRPr="00253DB7" w:rsidRDefault="00253DB7" w:rsidP="006F7A58">
            <w:pPr>
              <w:spacing w:after="0"/>
              <w:jc w:val="right"/>
              <w:rPr>
                <w:color w:val="000000"/>
                <w:sz w:val="24"/>
                <w:highlight w:val="yellow"/>
                <w:lang w:eastAsia="en-IE"/>
              </w:rPr>
            </w:pPr>
            <w:r w:rsidRPr="00253DB7">
              <w:rPr>
                <w:color w:val="000000"/>
                <w:sz w:val="24"/>
                <w:lang w:eastAsia="en-IE"/>
              </w:rPr>
              <w:t>2,699,454</w:t>
            </w:r>
          </w:p>
        </w:tc>
      </w:tr>
      <w:tr w:rsidR="006F7A58" w:rsidRPr="002E2D08" w14:paraId="50A471B0" w14:textId="77777777" w:rsidTr="001B40FA">
        <w:trPr>
          <w:trHeight w:val="300"/>
        </w:trPr>
        <w:tc>
          <w:tcPr>
            <w:tcW w:w="1281" w:type="pct"/>
            <w:noWrap/>
            <w:hideMark/>
          </w:tcPr>
          <w:p w14:paraId="3F845A76" w14:textId="12975D06" w:rsidR="006F7A58" w:rsidRPr="002E2D08" w:rsidRDefault="006F7A58" w:rsidP="006F7A58">
            <w:pPr>
              <w:pStyle w:val="TableCell"/>
              <w:rPr>
                <w:rFonts w:cs="Arial"/>
                <w:highlight w:val="yellow"/>
                <w:lang w:eastAsia="en-IE"/>
              </w:rPr>
            </w:pPr>
            <w:r w:rsidRPr="006F0774">
              <w:rPr>
                <w:rFonts w:cs="Arial"/>
                <w:lang w:eastAsia="en-IE"/>
              </w:rPr>
              <w:t>At work (</w:t>
            </w:r>
            <w:r w:rsidR="00253DB7" w:rsidRPr="006F0774">
              <w:rPr>
                <w:rFonts w:cs="Arial"/>
                <w:lang w:eastAsia="en-IE"/>
              </w:rPr>
              <w:t>n</w:t>
            </w:r>
            <w:r w:rsidRPr="006F0774">
              <w:rPr>
                <w:rFonts w:cs="Arial"/>
                <w:lang w:eastAsia="en-IE"/>
              </w:rPr>
              <w:t>umber)</w:t>
            </w:r>
          </w:p>
        </w:tc>
        <w:tc>
          <w:tcPr>
            <w:tcW w:w="720" w:type="pct"/>
            <w:noWrap/>
            <w:hideMark/>
          </w:tcPr>
          <w:p w14:paraId="538F49B1" w14:textId="159D9A8E" w:rsidR="006F7A58" w:rsidRPr="002E2D08" w:rsidRDefault="006F0774" w:rsidP="006F7A58">
            <w:pPr>
              <w:spacing w:after="0"/>
              <w:jc w:val="right"/>
              <w:rPr>
                <w:color w:val="000000"/>
                <w:sz w:val="24"/>
                <w:highlight w:val="yellow"/>
                <w:lang w:eastAsia="en-IE"/>
              </w:rPr>
            </w:pPr>
            <w:r w:rsidRPr="006F0774">
              <w:rPr>
                <w:color w:val="000000"/>
                <w:sz w:val="24"/>
                <w:lang w:eastAsia="en-IE"/>
              </w:rPr>
              <w:t>2</w:t>
            </w:r>
            <w:r>
              <w:rPr>
                <w:color w:val="000000"/>
                <w:sz w:val="24"/>
                <w:lang w:eastAsia="en-IE"/>
              </w:rPr>
              <w:t>,</w:t>
            </w:r>
            <w:r w:rsidRPr="006F0774">
              <w:rPr>
                <w:color w:val="000000"/>
                <w:sz w:val="24"/>
                <w:lang w:eastAsia="en-IE"/>
              </w:rPr>
              <w:t>236</w:t>
            </w:r>
            <w:r>
              <w:rPr>
                <w:color w:val="000000"/>
                <w:sz w:val="24"/>
                <w:lang w:eastAsia="en-IE"/>
              </w:rPr>
              <w:t>,</w:t>
            </w:r>
            <w:r w:rsidRPr="006F0774">
              <w:rPr>
                <w:color w:val="000000"/>
                <w:sz w:val="24"/>
                <w:lang w:eastAsia="en-IE"/>
              </w:rPr>
              <w:t>811</w:t>
            </w:r>
          </w:p>
        </w:tc>
        <w:tc>
          <w:tcPr>
            <w:tcW w:w="719" w:type="pct"/>
            <w:noWrap/>
            <w:hideMark/>
          </w:tcPr>
          <w:p w14:paraId="3B0AE990" w14:textId="1F641E35" w:rsidR="006F7A58" w:rsidRPr="002E2D08" w:rsidRDefault="003A1391" w:rsidP="006F7A58">
            <w:pPr>
              <w:spacing w:after="0"/>
              <w:jc w:val="right"/>
              <w:rPr>
                <w:color w:val="000000"/>
                <w:sz w:val="24"/>
                <w:highlight w:val="yellow"/>
                <w:lang w:eastAsia="en-IE"/>
              </w:rPr>
            </w:pPr>
            <w:r w:rsidRPr="003A1391">
              <w:rPr>
                <w:color w:val="000000"/>
                <w:sz w:val="24"/>
                <w:lang w:eastAsia="en-IE"/>
              </w:rPr>
              <w:t>325</w:t>
            </w:r>
            <w:r>
              <w:rPr>
                <w:color w:val="000000"/>
                <w:sz w:val="24"/>
                <w:lang w:eastAsia="en-IE"/>
              </w:rPr>
              <w:t>,</w:t>
            </w:r>
            <w:r w:rsidRPr="003A1391">
              <w:rPr>
                <w:color w:val="000000"/>
                <w:sz w:val="24"/>
                <w:lang w:eastAsia="en-IE"/>
              </w:rPr>
              <w:t>981</w:t>
            </w:r>
          </w:p>
        </w:tc>
        <w:tc>
          <w:tcPr>
            <w:tcW w:w="720" w:type="pct"/>
          </w:tcPr>
          <w:p w14:paraId="12E45D8F" w14:textId="6E827812" w:rsidR="006F7A58" w:rsidRPr="002E2D08" w:rsidRDefault="00D731C5" w:rsidP="006F7A58">
            <w:pPr>
              <w:spacing w:after="0"/>
              <w:jc w:val="right"/>
              <w:rPr>
                <w:color w:val="000000"/>
                <w:sz w:val="24"/>
                <w:highlight w:val="yellow"/>
                <w:lang w:eastAsia="en-IE"/>
              </w:rPr>
            </w:pPr>
            <w:r w:rsidRPr="00D731C5">
              <w:rPr>
                <w:color w:val="000000"/>
                <w:sz w:val="24"/>
                <w:lang w:eastAsia="en-IE"/>
              </w:rPr>
              <w:t>265</w:t>
            </w:r>
            <w:r>
              <w:rPr>
                <w:color w:val="000000"/>
                <w:sz w:val="24"/>
                <w:lang w:eastAsia="en-IE"/>
              </w:rPr>
              <w:t>,</w:t>
            </w:r>
            <w:r w:rsidRPr="00D731C5">
              <w:rPr>
                <w:color w:val="000000"/>
                <w:sz w:val="24"/>
                <w:lang w:eastAsia="en-IE"/>
              </w:rPr>
              <w:t>894</w:t>
            </w:r>
          </w:p>
        </w:tc>
        <w:tc>
          <w:tcPr>
            <w:tcW w:w="719" w:type="pct"/>
          </w:tcPr>
          <w:p w14:paraId="66EDAC45" w14:textId="3A2FA454" w:rsidR="006F7A58" w:rsidRPr="002E2D08" w:rsidRDefault="003A1391" w:rsidP="006F7A58">
            <w:pPr>
              <w:spacing w:after="0"/>
              <w:jc w:val="right"/>
              <w:rPr>
                <w:color w:val="000000"/>
                <w:sz w:val="24"/>
                <w:highlight w:val="yellow"/>
                <w:lang w:eastAsia="en-IE"/>
              </w:rPr>
            </w:pPr>
            <w:r w:rsidRPr="003A1391">
              <w:rPr>
                <w:color w:val="000000"/>
                <w:sz w:val="24"/>
                <w:lang w:eastAsia="en-IE"/>
              </w:rPr>
              <w:t>60</w:t>
            </w:r>
            <w:r>
              <w:rPr>
                <w:color w:val="000000"/>
                <w:sz w:val="24"/>
                <w:lang w:eastAsia="en-IE"/>
              </w:rPr>
              <w:t>,</w:t>
            </w:r>
            <w:r w:rsidRPr="003A1391">
              <w:rPr>
                <w:color w:val="000000"/>
                <w:sz w:val="24"/>
                <w:lang w:eastAsia="en-IE"/>
              </w:rPr>
              <w:t>087</w:t>
            </w:r>
          </w:p>
        </w:tc>
        <w:tc>
          <w:tcPr>
            <w:tcW w:w="840" w:type="pct"/>
            <w:noWrap/>
            <w:hideMark/>
          </w:tcPr>
          <w:p w14:paraId="2CAF001F" w14:textId="6EA18CFF" w:rsidR="006F7A58" w:rsidRPr="002E2D08" w:rsidRDefault="00D731C5" w:rsidP="006F7A58">
            <w:pPr>
              <w:spacing w:after="0"/>
              <w:jc w:val="right"/>
              <w:rPr>
                <w:color w:val="000000"/>
                <w:sz w:val="24"/>
                <w:highlight w:val="yellow"/>
                <w:lang w:eastAsia="en-IE"/>
              </w:rPr>
            </w:pPr>
            <w:r w:rsidRPr="00D731C5">
              <w:rPr>
                <w:color w:val="000000"/>
                <w:sz w:val="24"/>
                <w:lang w:eastAsia="en-IE"/>
              </w:rPr>
              <w:t>1</w:t>
            </w:r>
            <w:r>
              <w:rPr>
                <w:color w:val="000000"/>
                <w:sz w:val="24"/>
                <w:lang w:eastAsia="en-IE"/>
              </w:rPr>
              <w:t>,</w:t>
            </w:r>
            <w:r w:rsidRPr="00D731C5">
              <w:rPr>
                <w:color w:val="000000"/>
                <w:sz w:val="24"/>
                <w:lang w:eastAsia="en-IE"/>
              </w:rPr>
              <w:t>910</w:t>
            </w:r>
            <w:r>
              <w:rPr>
                <w:color w:val="000000"/>
                <w:sz w:val="24"/>
                <w:lang w:eastAsia="en-IE"/>
              </w:rPr>
              <w:t>,</w:t>
            </w:r>
            <w:r w:rsidRPr="00D731C5">
              <w:rPr>
                <w:color w:val="000000"/>
                <w:sz w:val="24"/>
                <w:lang w:eastAsia="en-IE"/>
              </w:rPr>
              <w:t>830</w:t>
            </w:r>
          </w:p>
        </w:tc>
      </w:tr>
      <w:tr w:rsidR="00937571" w:rsidRPr="002E2D08" w14:paraId="270FFFD0" w14:textId="77777777" w:rsidTr="001B40FA">
        <w:trPr>
          <w:trHeight w:val="300"/>
        </w:trPr>
        <w:tc>
          <w:tcPr>
            <w:tcW w:w="1281" w:type="pct"/>
            <w:noWrap/>
          </w:tcPr>
          <w:p w14:paraId="0C60248F" w14:textId="036D4331" w:rsidR="00937571" w:rsidRPr="006F0774" w:rsidRDefault="00937571" w:rsidP="006F7A58">
            <w:pPr>
              <w:pStyle w:val="TableCell"/>
              <w:rPr>
                <w:rFonts w:cs="Arial"/>
                <w:lang w:eastAsia="en-IE"/>
              </w:rPr>
            </w:pPr>
            <w:r>
              <w:rPr>
                <w:rFonts w:cs="Arial"/>
                <w:lang w:eastAsia="en-IE"/>
              </w:rPr>
              <w:t>Employment rate (%)</w:t>
            </w:r>
          </w:p>
        </w:tc>
        <w:tc>
          <w:tcPr>
            <w:tcW w:w="720" w:type="pct"/>
            <w:noWrap/>
          </w:tcPr>
          <w:p w14:paraId="5F6730B4" w14:textId="5EE678A6" w:rsidR="00937571" w:rsidRPr="006F0774" w:rsidRDefault="00937571" w:rsidP="006F7A58">
            <w:pPr>
              <w:spacing w:after="0"/>
              <w:jc w:val="right"/>
              <w:rPr>
                <w:color w:val="000000"/>
                <w:sz w:val="24"/>
                <w:lang w:eastAsia="en-IE"/>
              </w:rPr>
            </w:pPr>
            <w:r>
              <w:rPr>
                <w:color w:val="000000"/>
                <w:sz w:val="24"/>
                <w:lang w:eastAsia="en-IE"/>
              </w:rPr>
              <w:t>66.6</w:t>
            </w:r>
          </w:p>
        </w:tc>
        <w:tc>
          <w:tcPr>
            <w:tcW w:w="719" w:type="pct"/>
            <w:noWrap/>
          </w:tcPr>
          <w:p w14:paraId="14C4506C" w14:textId="6E9E28FB" w:rsidR="00937571" w:rsidRPr="003A1391" w:rsidRDefault="00937571" w:rsidP="006F7A58">
            <w:pPr>
              <w:spacing w:after="0"/>
              <w:jc w:val="right"/>
              <w:rPr>
                <w:color w:val="000000"/>
                <w:sz w:val="24"/>
                <w:lang w:eastAsia="en-IE"/>
              </w:rPr>
            </w:pPr>
            <w:r>
              <w:rPr>
                <w:color w:val="000000"/>
                <w:sz w:val="24"/>
                <w:lang w:eastAsia="en-IE"/>
              </w:rPr>
              <w:t>49.3</w:t>
            </w:r>
          </w:p>
        </w:tc>
        <w:tc>
          <w:tcPr>
            <w:tcW w:w="720" w:type="pct"/>
          </w:tcPr>
          <w:p w14:paraId="4A4DE958" w14:textId="68355F06" w:rsidR="00937571" w:rsidRPr="00D731C5" w:rsidRDefault="00937571" w:rsidP="006F7A58">
            <w:pPr>
              <w:spacing w:after="0"/>
              <w:jc w:val="right"/>
              <w:rPr>
                <w:color w:val="000000"/>
                <w:sz w:val="24"/>
                <w:lang w:eastAsia="en-IE"/>
              </w:rPr>
            </w:pPr>
            <w:r>
              <w:rPr>
                <w:color w:val="000000"/>
                <w:sz w:val="24"/>
                <w:lang w:eastAsia="en-IE"/>
              </w:rPr>
              <w:t>60.3</w:t>
            </w:r>
          </w:p>
        </w:tc>
        <w:tc>
          <w:tcPr>
            <w:tcW w:w="719" w:type="pct"/>
          </w:tcPr>
          <w:p w14:paraId="29FDB1F5" w14:textId="298AA149" w:rsidR="00937571" w:rsidRPr="003A1391" w:rsidRDefault="00937571" w:rsidP="006F7A58">
            <w:pPr>
              <w:spacing w:after="0"/>
              <w:jc w:val="right"/>
              <w:rPr>
                <w:color w:val="000000"/>
                <w:sz w:val="24"/>
                <w:lang w:eastAsia="en-IE"/>
              </w:rPr>
            </w:pPr>
            <w:r>
              <w:rPr>
                <w:color w:val="000000"/>
                <w:sz w:val="24"/>
                <w:lang w:eastAsia="en-IE"/>
              </w:rPr>
              <w:t>27.3</w:t>
            </w:r>
          </w:p>
        </w:tc>
        <w:tc>
          <w:tcPr>
            <w:tcW w:w="840" w:type="pct"/>
            <w:noWrap/>
          </w:tcPr>
          <w:p w14:paraId="04A0C771" w14:textId="1DA38B99" w:rsidR="00937571" w:rsidRPr="00D731C5" w:rsidRDefault="00937571" w:rsidP="006F7A58">
            <w:pPr>
              <w:spacing w:after="0"/>
              <w:jc w:val="right"/>
              <w:rPr>
                <w:color w:val="000000"/>
                <w:sz w:val="24"/>
                <w:lang w:eastAsia="en-IE"/>
              </w:rPr>
            </w:pPr>
            <w:r>
              <w:rPr>
                <w:color w:val="000000"/>
                <w:sz w:val="24"/>
                <w:lang w:eastAsia="en-IE"/>
              </w:rPr>
              <w:t>70.8</w:t>
            </w:r>
          </w:p>
        </w:tc>
      </w:tr>
      <w:tr w:rsidR="006F7A58" w:rsidRPr="002E2D08" w14:paraId="64283623" w14:textId="77777777" w:rsidTr="001B40FA">
        <w:trPr>
          <w:trHeight w:val="300"/>
        </w:trPr>
        <w:tc>
          <w:tcPr>
            <w:tcW w:w="1281" w:type="pct"/>
            <w:tcBorders>
              <w:bottom w:val="single" w:sz="4" w:space="0" w:color="auto"/>
            </w:tcBorders>
            <w:noWrap/>
            <w:hideMark/>
          </w:tcPr>
          <w:p w14:paraId="4FAA5144" w14:textId="5BBD4E77" w:rsidR="006F7A58" w:rsidRPr="00D731C5" w:rsidRDefault="006F7A58" w:rsidP="006F7A58">
            <w:pPr>
              <w:pStyle w:val="TableCell"/>
              <w:rPr>
                <w:rFonts w:cs="Arial"/>
                <w:lang w:eastAsia="en-IE"/>
              </w:rPr>
            </w:pPr>
            <w:r w:rsidRPr="00D731C5">
              <w:rPr>
                <w:rFonts w:cs="Arial"/>
                <w:lang w:eastAsia="en-IE"/>
              </w:rPr>
              <w:t>Unemployed</w:t>
            </w:r>
            <w:r w:rsidR="00D731C5" w:rsidRPr="00D731C5">
              <w:rPr>
                <w:rFonts w:cs="Arial"/>
                <w:lang w:eastAsia="en-IE"/>
              </w:rPr>
              <w:t>,</w:t>
            </w:r>
            <w:r w:rsidRPr="00D731C5">
              <w:rPr>
                <w:rFonts w:cs="Arial"/>
                <w:lang w:eastAsia="en-IE"/>
              </w:rPr>
              <w:t xml:space="preserve"> including looking </w:t>
            </w:r>
          </w:p>
          <w:p w14:paraId="53FC7FDC" w14:textId="024CF3D9" w:rsidR="006F7A58" w:rsidRPr="00D731C5" w:rsidRDefault="006F7A58" w:rsidP="006F7A58">
            <w:pPr>
              <w:pStyle w:val="TableCell"/>
              <w:rPr>
                <w:rFonts w:cs="Arial"/>
                <w:lang w:eastAsia="en-IE"/>
              </w:rPr>
            </w:pPr>
            <w:r w:rsidRPr="00D731C5">
              <w:rPr>
                <w:rFonts w:cs="Arial"/>
                <w:lang w:eastAsia="en-IE"/>
              </w:rPr>
              <w:t>for first regular job (</w:t>
            </w:r>
            <w:r w:rsidR="00D731C5" w:rsidRPr="00D731C5">
              <w:rPr>
                <w:rFonts w:cs="Arial"/>
                <w:lang w:eastAsia="en-IE"/>
              </w:rPr>
              <w:t>n</w:t>
            </w:r>
            <w:r w:rsidRPr="00D731C5">
              <w:rPr>
                <w:rFonts w:cs="Arial"/>
                <w:lang w:eastAsia="en-IE"/>
              </w:rPr>
              <w:t>umber)</w:t>
            </w:r>
          </w:p>
        </w:tc>
        <w:tc>
          <w:tcPr>
            <w:tcW w:w="720" w:type="pct"/>
            <w:tcBorders>
              <w:bottom w:val="single" w:sz="4" w:space="0" w:color="auto"/>
            </w:tcBorders>
            <w:noWrap/>
            <w:hideMark/>
          </w:tcPr>
          <w:p w14:paraId="18C1F2D1" w14:textId="6CC26D36" w:rsidR="006F7A58" w:rsidRPr="002E2D08" w:rsidRDefault="003A1F83" w:rsidP="006F7A58">
            <w:pPr>
              <w:spacing w:after="0"/>
              <w:jc w:val="right"/>
              <w:rPr>
                <w:color w:val="000000"/>
                <w:sz w:val="24"/>
                <w:highlight w:val="yellow"/>
                <w:lang w:eastAsia="en-IE"/>
              </w:rPr>
            </w:pPr>
            <w:r w:rsidRPr="003A1F83">
              <w:rPr>
                <w:color w:val="000000"/>
                <w:sz w:val="24"/>
                <w:lang w:eastAsia="en-IE"/>
              </w:rPr>
              <w:t>207</w:t>
            </w:r>
            <w:r>
              <w:rPr>
                <w:color w:val="000000"/>
                <w:sz w:val="24"/>
                <w:lang w:eastAsia="en-IE"/>
              </w:rPr>
              <w:t>,</w:t>
            </w:r>
            <w:r w:rsidRPr="003A1F83">
              <w:rPr>
                <w:color w:val="000000"/>
                <w:sz w:val="24"/>
                <w:lang w:eastAsia="en-IE"/>
              </w:rPr>
              <w:t>512</w:t>
            </w:r>
          </w:p>
        </w:tc>
        <w:tc>
          <w:tcPr>
            <w:tcW w:w="719" w:type="pct"/>
            <w:tcBorders>
              <w:bottom w:val="single" w:sz="4" w:space="0" w:color="auto"/>
            </w:tcBorders>
            <w:noWrap/>
            <w:hideMark/>
          </w:tcPr>
          <w:p w14:paraId="638CF1DF" w14:textId="36F9F044" w:rsidR="006F7A58" w:rsidRPr="002E2D08" w:rsidRDefault="0044536A" w:rsidP="006F7A58">
            <w:pPr>
              <w:spacing w:after="0"/>
              <w:jc w:val="right"/>
              <w:rPr>
                <w:color w:val="000000"/>
                <w:sz w:val="24"/>
                <w:highlight w:val="yellow"/>
                <w:lang w:eastAsia="en-IE"/>
              </w:rPr>
            </w:pPr>
            <w:r w:rsidRPr="0044536A">
              <w:rPr>
                <w:color w:val="000000"/>
                <w:sz w:val="24"/>
                <w:lang w:eastAsia="en-IE"/>
              </w:rPr>
              <w:t>52</w:t>
            </w:r>
            <w:r>
              <w:rPr>
                <w:color w:val="000000"/>
                <w:sz w:val="24"/>
                <w:lang w:eastAsia="en-IE"/>
              </w:rPr>
              <w:t>,</w:t>
            </w:r>
            <w:r w:rsidRPr="0044536A">
              <w:rPr>
                <w:color w:val="000000"/>
                <w:sz w:val="24"/>
                <w:lang w:eastAsia="en-IE"/>
              </w:rPr>
              <w:t>509</w:t>
            </w:r>
          </w:p>
        </w:tc>
        <w:tc>
          <w:tcPr>
            <w:tcW w:w="720" w:type="pct"/>
            <w:tcBorders>
              <w:bottom w:val="single" w:sz="4" w:space="0" w:color="auto"/>
            </w:tcBorders>
          </w:tcPr>
          <w:p w14:paraId="5A2274F7" w14:textId="5575D157" w:rsidR="006F7A58" w:rsidRPr="002E2D08" w:rsidRDefault="0044536A" w:rsidP="006F7A58">
            <w:pPr>
              <w:spacing w:after="0"/>
              <w:jc w:val="right"/>
              <w:rPr>
                <w:color w:val="000000"/>
                <w:sz w:val="24"/>
                <w:highlight w:val="yellow"/>
                <w:lang w:eastAsia="en-IE"/>
              </w:rPr>
            </w:pPr>
            <w:r w:rsidRPr="0044536A">
              <w:rPr>
                <w:color w:val="000000"/>
                <w:sz w:val="24"/>
                <w:lang w:eastAsia="en-IE"/>
              </w:rPr>
              <w:t>35</w:t>
            </w:r>
            <w:r>
              <w:rPr>
                <w:color w:val="000000"/>
                <w:sz w:val="24"/>
                <w:lang w:eastAsia="en-IE"/>
              </w:rPr>
              <w:t>,</w:t>
            </w:r>
            <w:r w:rsidRPr="0044536A">
              <w:rPr>
                <w:color w:val="000000"/>
                <w:sz w:val="24"/>
                <w:lang w:eastAsia="en-IE"/>
              </w:rPr>
              <w:t>070</w:t>
            </w:r>
          </w:p>
        </w:tc>
        <w:tc>
          <w:tcPr>
            <w:tcW w:w="719" w:type="pct"/>
            <w:tcBorders>
              <w:bottom w:val="single" w:sz="4" w:space="0" w:color="auto"/>
            </w:tcBorders>
          </w:tcPr>
          <w:p w14:paraId="04BADF43" w14:textId="12AEE8F7" w:rsidR="006F7A58" w:rsidRPr="002E2D08" w:rsidRDefault="0044536A" w:rsidP="006F7A58">
            <w:pPr>
              <w:spacing w:after="0"/>
              <w:jc w:val="right"/>
              <w:rPr>
                <w:color w:val="000000"/>
                <w:sz w:val="24"/>
                <w:highlight w:val="yellow"/>
                <w:lang w:eastAsia="en-IE"/>
              </w:rPr>
            </w:pPr>
            <w:r w:rsidRPr="0044536A">
              <w:rPr>
                <w:color w:val="000000"/>
                <w:sz w:val="24"/>
                <w:lang w:eastAsia="en-IE"/>
              </w:rPr>
              <w:t>17</w:t>
            </w:r>
            <w:r>
              <w:rPr>
                <w:color w:val="000000"/>
                <w:sz w:val="24"/>
                <w:lang w:eastAsia="en-IE"/>
              </w:rPr>
              <w:t>,</w:t>
            </w:r>
            <w:r w:rsidRPr="0044536A">
              <w:rPr>
                <w:color w:val="000000"/>
                <w:sz w:val="24"/>
                <w:lang w:eastAsia="en-IE"/>
              </w:rPr>
              <w:t>439</w:t>
            </w:r>
          </w:p>
        </w:tc>
        <w:tc>
          <w:tcPr>
            <w:tcW w:w="840" w:type="pct"/>
            <w:tcBorders>
              <w:bottom w:val="single" w:sz="4" w:space="0" w:color="auto"/>
            </w:tcBorders>
            <w:noWrap/>
            <w:hideMark/>
          </w:tcPr>
          <w:p w14:paraId="3127EFD3" w14:textId="4E92E7A3" w:rsidR="006F7A58" w:rsidRPr="002E2D08" w:rsidRDefault="003A1F83" w:rsidP="006F7A58">
            <w:pPr>
              <w:spacing w:after="0"/>
              <w:jc w:val="right"/>
              <w:rPr>
                <w:color w:val="000000"/>
                <w:sz w:val="24"/>
                <w:highlight w:val="yellow"/>
                <w:lang w:eastAsia="en-IE"/>
              </w:rPr>
            </w:pPr>
            <w:r w:rsidRPr="003A1F83">
              <w:rPr>
                <w:color w:val="000000"/>
                <w:sz w:val="24"/>
                <w:lang w:eastAsia="en-IE"/>
              </w:rPr>
              <w:t>155</w:t>
            </w:r>
            <w:r>
              <w:rPr>
                <w:color w:val="000000"/>
                <w:sz w:val="24"/>
                <w:lang w:eastAsia="en-IE"/>
              </w:rPr>
              <w:t>,</w:t>
            </w:r>
            <w:r w:rsidRPr="003A1F83">
              <w:rPr>
                <w:color w:val="000000"/>
                <w:sz w:val="24"/>
                <w:lang w:eastAsia="en-IE"/>
              </w:rPr>
              <w:t>003</w:t>
            </w:r>
          </w:p>
        </w:tc>
      </w:tr>
      <w:tr w:rsidR="006F7A58" w:rsidRPr="002E2D08" w14:paraId="61E5E451" w14:textId="77777777" w:rsidTr="001B40FA">
        <w:trPr>
          <w:trHeight w:val="300"/>
        </w:trPr>
        <w:tc>
          <w:tcPr>
            <w:tcW w:w="1281" w:type="pct"/>
            <w:tcBorders>
              <w:top w:val="single" w:sz="4" w:space="0" w:color="auto"/>
              <w:bottom w:val="single" w:sz="4" w:space="0" w:color="auto"/>
              <w:right w:val="single" w:sz="4" w:space="0" w:color="auto"/>
            </w:tcBorders>
            <w:noWrap/>
          </w:tcPr>
          <w:p w14:paraId="75B1B74D" w14:textId="735B4A1D" w:rsidR="006F7A58" w:rsidRPr="002E2D08" w:rsidRDefault="006F7A58" w:rsidP="006F7A58">
            <w:pPr>
              <w:pStyle w:val="TableCell"/>
              <w:rPr>
                <w:rFonts w:cs="Arial"/>
                <w:highlight w:val="yellow"/>
                <w:lang w:eastAsia="en-IE"/>
              </w:rPr>
            </w:pPr>
            <w:r w:rsidRPr="0044536A">
              <w:rPr>
                <w:rFonts w:cs="Arial"/>
                <w:lang w:eastAsia="en-IE"/>
              </w:rPr>
              <w:t xml:space="preserve">Total in the </w:t>
            </w:r>
            <w:r w:rsidR="00B33E2F" w:rsidRPr="0044536A">
              <w:rPr>
                <w:rFonts w:cs="Arial"/>
                <w:lang w:eastAsia="en-IE"/>
              </w:rPr>
              <w:t>l</w:t>
            </w:r>
            <w:r w:rsidRPr="0044536A">
              <w:rPr>
                <w:rFonts w:cs="Arial"/>
                <w:lang w:eastAsia="en-IE"/>
              </w:rPr>
              <w:t xml:space="preserve">abour </w:t>
            </w:r>
            <w:r w:rsidR="00B33E2F" w:rsidRPr="0044536A">
              <w:rPr>
                <w:rFonts w:cs="Arial"/>
                <w:lang w:eastAsia="en-IE"/>
              </w:rPr>
              <w:t>f</w:t>
            </w:r>
            <w:r w:rsidRPr="0044536A">
              <w:rPr>
                <w:rFonts w:cs="Arial"/>
                <w:lang w:eastAsia="en-IE"/>
              </w:rPr>
              <w:t>orce</w:t>
            </w:r>
            <w:r w:rsidR="00B33E2F" w:rsidRPr="0044536A">
              <w:rPr>
                <w:rFonts w:cs="Arial"/>
                <w:lang w:eastAsia="en-IE"/>
              </w:rPr>
              <w:t xml:space="preserve"> (</w:t>
            </w:r>
            <w:r w:rsidR="0044536A">
              <w:rPr>
                <w:rFonts w:cs="Arial"/>
                <w:lang w:eastAsia="en-IE"/>
              </w:rPr>
              <w:t>number</w:t>
            </w:r>
            <w:r w:rsidR="00B33E2F" w:rsidRPr="0044536A">
              <w:rPr>
                <w:rFonts w:cs="Arial"/>
                <w:lang w:eastAsia="en-IE"/>
              </w:rPr>
              <w:t>)</w:t>
            </w:r>
          </w:p>
        </w:tc>
        <w:tc>
          <w:tcPr>
            <w:tcW w:w="720" w:type="pct"/>
            <w:tcBorders>
              <w:top w:val="single" w:sz="4" w:space="0" w:color="auto"/>
              <w:left w:val="single" w:sz="4" w:space="0" w:color="auto"/>
              <w:bottom w:val="single" w:sz="4" w:space="0" w:color="auto"/>
              <w:right w:val="single" w:sz="4" w:space="0" w:color="auto"/>
            </w:tcBorders>
            <w:shd w:val="clear" w:color="auto" w:fill="auto"/>
            <w:noWrap/>
          </w:tcPr>
          <w:p w14:paraId="3DD1F5F7" w14:textId="0B948A34" w:rsidR="006F7A58" w:rsidRPr="002E2D08" w:rsidRDefault="00761E29" w:rsidP="00761E29">
            <w:pPr>
              <w:spacing w:after="0"/>
              <w:jc w:val="right"/>
              <w:rPr>
                <w:color w:val="000000"/>
                <w:sz w:val="24"/>
                <w:highlight w:val="yellow"/>
                <w:lang w:eastAsia="en-IE"/>
              </w:rPr>
            </w:pPr>
            <w:r w:rsidRPr="00761E29">
              <w:rPr>
                <w:color w:val="000000"/>
                <w:sz w:val="24"/>
                <w:lang w:eastAsia="en-IE"/>
              </w:rPr>
              <w:t>2</w:t>
            </w:r>
            <w:r>
              <w:rPr>
                <w:color w:val="000000"/>
                <w:sz w:val="24"/>
                <w:lang w:eastAsia="en-IE"/>
              </w:rPr>
              <w:t>,</w:t>
            </w:r>
            <w:r w:rsidRPr="00761E29">
              <w:rPr>
                <w:color w:val="000000"/>
                <w:sz w:val="24"/>
                <w:lang w:eastAsia="en-IE"/>
              </w:rPr>
              <w:t>444</w:t>
            </w:r>
            <w:r>
              <w:rPr>
                <w:color w:val="000000"/>
                <w:sz w:val="24"/>
                <w:lang w:eastAsia="en-IE"/>
              </w:rPr>
              <w:t>,</w:t>
            </w:r>
            <w:r w:rsidRPr="00761E29">
              <w:rPr>
                <w:color w:val="000000"/>
                <w:sz w:val="24"/>
                <w:lang w:eastAsia="en-IE"/>
              </w:rPr>
              <w:t>323</w:t>
            </w:r>
          </w:p>
        </w:tc>
        <w:tc>
          <w:tcPr>
            <w:tcW w:w="719" w:type="pct"/>
            <w:tcBorders>
              <w:top w:val="single" w:sz="4" w:space="0" w:color="auto"/>
              <w:left w:val="single" w:sz="4" w:space="0" w:color="auto"/>
              <w:bottom w:val="single" w:sz="4" w:space="0" w:color="auto"/>
              <w:right w:val="single" w:sz="4" w:space="0" w:color="auto"/>
            </w:tcBorders>
            <w:shd w:val="clear" w:color="auto" w:fill="auto"/>
            <w:noWrap/>
          </w:tcPr>
          <w:p w14:paraId="3AD5DB46" w14:textId="438FFA6F" w:rsidR="006F7A58" w:rsidRPr="002E2D08" w:rsidRDefault="00761E29" w:rsidP="00761E29">
            <w:pPr>
              <w:spacing w:after="0"/>
              <w:jc w:val="right"/>
              <w:rPr>
                <w:color w:val="000000"/>
                <w:sz w:val="24"/>
                <w:highlight w:val="yellow"/>
                <w:lang w:eastAsia="en-IE"/>
              </w:rPr>
            </w:pPr>
            <w:r w:rsidRPr="00761E29">
              <w:rPr>
                <w:color w:val="000000"/>
                <w:sz w:val="24"/>
                <w:lang w:eastAsia="en-IE"/>
              </w:rPr>
              <w:t>378</w:t>
            </w:r>
            <w:r>
              <w:rPr>
                <w:color w:val="000000"/>
                <w:sz w:val="24"/>
                <w:lang w:eastAsia="en-IE"/>
              </w:rPr>
              <w:t>,</w:t>
            </w:r>
            <w:r w:rsidRPr="00761E29">
              <w:rPr>
                <w:color w:val="000000"/>
                <w:sz w:val="24"/>
                <w:lang w:eastAsia="en-IE"/>
              </w:rPr>
              <w:t>490</w:t>
            </w:r>
          </w:p>
        </w:tc>
        <w:tc>
          <w:tcPr>
            <w:tcW w:w="720" w:type="pct"/>
            <w:tcBorders>
              <w:top w:val="single" w:sz="4" w:space="0" w:color="auto"/>
              <w:left w:val="single" w:sz="4" w:space="0" w:color="auto"/>
              <w:bottom w:val="single" w:sz="4" w:space="0" w:color="auto"/>
              <w:right w:val="single" w:sz="4" w:space="0" w:color="auto"/>
            </w:tcBorders>
          </w:tcPr>
          <w:p w14:paraId="24742791" w14:textId="18B5399E" w:rsidR="006F7A58" w:rsidRPr="00761E29" w:rsidRDefault="00761E29" w:rsidP="00761E29">
            <w:pPr>
              <w:spacing w:after="0"/>
              <w:jc w:val="right"/>
              <w:rPr>
                <w:color w:val="000000"/>
                <w:sz w:val="24"/>
                <w:lang w:eastAsia="en-IE"/>
              </w:rPr>
            </w:pPr>
            <w:r w:rsidRPr="00761E29">
              <w:rPr>
                <w:color w:val="000000"/>
                <w:sz w:val="24"/>
                <w:lang w:eastAsia="en-IE"/>
              </w:rPr>
              <w:t>300,694</w:t>
            </w:r>
          </w:p>
        </w:tc>
        <w:tc>
          <w:tcPr>
            <w:tcW w:w="719" w:type="pct"/>
            <w:tcBorders>
              <w:top w:val="single" w:sz="4" w:space="0" w:color="auto"/>
              <w:left w:val="single" w:sz="4" w:space="0" w:color="auto"/>
              <w:bottom w:val="single" w:sz="4" w:space="0" w:color="auto"/>
              <w:right w:val="single" w:sz="4" w:space="0" w:color="auto"/>
            </w:tcBorders>
          </w:tcPr>
          <w:p w14:paraId="6026AB9D" w14:textId="50F5F830" w:rsidR="006F7A58" w:rsidRPr="002E2D08" w:rsidRDefault="00761E29" w:rsidP="00761E29">
            <w:pPr>
              <w:spacing w:after="0"/>
              <w:jc w:val="right"/>
              <w:rPr>
                <w:color w:val="000000"/>
                <w:sz w:val="24"/>
                <w:highlight w:val="yellow"/>
                <w:lang w:eastAsia="en-IE"/>
              </w:rPr>
            </w:pPr>
            <w:r w:rsidRPr="00761E29">
              <w:rPr>
                <w:color w:val="000000"/>
                <w:sz w:val="24"/>
                <w:lang w:eastAsia="en-IE"/>
              </w:rPr>
              <w:t>77,526</w:t>
            </w:r>
          </w:p>
        </w:tc>
        <w:tc>
          <w:tcPr>
            <w:tcW w:w="840" w:type="pct"/>
            <w:tcBorders>
              <w:top w:val="single" w:sz="4" w:space="0" w:color="auto"/>
              <w:left w:val="single" w:sz="4" w:space="0" w:color="auto"/>
              <w:bottom w:val="single" w:sz="4" w:space="0" w:color="auto"/>
              <w:right w:val="single" w:sz="4" w:space="0" w:color="auto"/>
            </w:tcBorders>
            <w:shd w:val="clear" w:color="auto" w:fill="auto"/>
            <w:noWrap/>
          </w:tcPr>
          <w:p w14:paraId="3949DE67" w14:textId="38238154" w:rsidR="006F7A58" w:rsidRPr="002E2D08" w:rsidRDefault="00761E29" w:rsidP="00761E29">
            <w:pPr>
              <w:spacing w:after="0"/>
              <w:jc w:val="right"/>
              <w:rPr>
                <w:color w:val="000000"/>
                <w:sz w:val="24"/>
                <w:highlight w:val="yellow"/>
                <w:lang w:eastAsia="en-IE"/>
              </w:rPr>
            </w:pPr>
            <w:r w:rsidRPr="00761E29">
              <w:rPr>
                <w:color w:val="000000"/>
                <w:sz w:val="24"/>
                <w:lang w:eastAsia="en-IE"/>
              </w:rPr>
              <w:t>2</w:t>
            </w:r>
            <w:r>
              <w:rPr>
                <w:color w:val="000000"/>
                <w:sz w:val="24"/>
                <w:lang w:eastAsia="en-IE"/>
              </w:rPr>
              <w:t>,</w:t>
            </w:r>
            <w:r w:rsidRPr="00761E29">
              <w:rPr>
                <w:color w:val="000000"/>
                <w:sz w:val="24"/>
                <w:lang w:eastAsia="en-IE"/>
              </w:rPr>
              <w:t>065</w:t>
            </w:r>
            <w:r>
              <w:rPr>
                <w:color w:val="000000"/>
                <w:sz w:val="24"/>
                <w:lang w:eastAsia="en-IE"/>
              </w:rPr>
              <w:t>,</w:t>
            </w:r>
            <w:r w:rsidRPr="00761E29">
              <w:rPr>
                <w:color w:val="000000"/>
                <w:sz w:val="24"/>
                <w:lang w:eastAsia="en-IE"/>
              </w:rPr>
              <w:t>833</w:t>
            </w:r>
          </w:p>
        </w:tc>
      </w:tr>
      <w:tr w:rsidR="006F7A58" w:rsidRPr="002E2D08" w14:paraId="41216F25" w14:textId="77777777" w:rsidTr="001B40FA">
        <w:trPr>
          <w:trHeight w:val="300"/>
        </w:trPr>
        <w:tc>
          <w:tcPr>
            <w:tcW w:w="1281" w:type="pct"/>
            <w:tcBorders>
              <w:top w:val="single" w:sz="4" w:space="0" w:color="auto"/>
            </w:tcBorders>
            <w:noWrap/>
            <w:hideMark/>
          </w:tcPr>
          <w:p w14:paraId="4B74DB88" w14:textId="42E4ECB8" w:rsidR="00761E29" w:rsidRPr="00761E29" w:rsidRDefault="006F7A58" w:rsidP="00761E29">
            <w:pPr>
              <w:pStyle w:val="TableCell"/>
              <w:rPr>
                <w:rFonts w:cs="Arial"/>
                <w:lang w:eastAsia="en-IE"/>
              </w:rPr>
            </w:pPr>
            <w:r w:rsidRPr="00761E29">
              <w:rPr>
                <w:rFonts w:cs="Arial"/>
                <w:lang w:eastAsia="en-IE"/>
              </w:rPr>
              <w:t xml:space="preserve">Not in labour force </w:t>
            </w:r>
          </w:p>
          <w:p w14:paraId="5D16BDA8" w14:textId="79A59867" w:rsidR="006F7A58" w:rsidRPr="002E2D08" w:rsidRDefault="006F7A58" w:rsidP="006F7A58">
            <w:pPr>
              <w:pStyle w:val="TableCell"/>
              <w:rPr>
                <w:rFonts w:cs="Arial"/>
                <w:highlight w:val="yellow"/>
                <w:lang w:eastAsia="en-IE"/>
              </w:rPr>
            </w:pPr>
            <w:r w:rsidRPr="00761E29">
              <w:rPr>
                <w:rFonts w:cs="Arial"/>
                <w:lang w:eastAsia="en-IE"/>
              </w:rPr>
              <w:t>(Number)</w:t>
            </w:r>
          </w:p>
        </w:tc>
        <w:tc>
          <w:tcPr>
            <w:tcW w:w="720" w:type="pct"/>
            <w:tcBorders>
              <w:top w:val="single" w:sz="4" w:space="0" w:color="auto"/>
            </w:tcBorders>
            <w:noWrap/>
            <w:hideMark/>
          </w:tcPr>
          <w:p w14:paraId="4C76BA49" w14:textId="1E3EDB22" w:rsidR="006F7A58" w:rsidRPr="002E2D08" w:rsidRDefault="00761E29" w:rsidP="006F7A58">
            <w:pPr>
              <w:spacing w:after="0"/>
              <w:jc w:val="right"/>
              <w:rPr>
                <w:color w:val="000000"/>
                <w:sz w:val="24"/>
                <w:highlight w:val="yellow"/>
                <w:lang w:eastAsia="en-IE"/>
              </w:rPr>
            </w:pPr>
            <w:r w:rsidRPr="00761E29">
              <w:rPr>
                <w:color w:val="000000"/>
                <w:sz w:val="24"/>
                <w:lang w:eastAsia="en-IE"/>
              </w:rPr>
              <w:t>916</w:t>
            </w:r>
            <w:r>
              <w:rPr>
                <w:color w:val="000000"/>
                <w:sz w:val="24"/>
                <w:lang w:eastAsia="en-IE"/>
              </w:rPr>
              <w:t>,</w:t>
            </w:r>
            <w:r w:rsidRPr="00761E29">
              <w:rPr>
                <w:color w:val="000000"/>
                <w:sz w:val="24"/>
                <w:lang w:eastAsia="en-IE"/>
              </w:rPr>
              <w:t>214</w:t>
            </w:r>
          </w:p>
        </w:tc>
        <w:tc>
          <w:tcPr>
            <w:tcW w:w="719" w:type="pct"/>
            <w:tcBorders>
              <w:top w:val="single" w:sz="4" w:space="0" w:color="auto"/>
            </w:tcBorders>
            <w:noWrap/>
            <w:hideMark/>
          </w:tcPr>
          <w:p w14:paraId="01D55DB6" w14:textId="76A7D308" w:rsidR="006F7A58" w:rsidRPr="002E2D08" w:rsidRDefault="00761E29" w:rsidP="006F7A58">
            <w:pPr>
              <w:spacing w:after="0"/>
              <w:jc w:val="right"/>
              <w:rPr>
                <w:color w:val="000000"/>
                <w:sz w:val="24"/>
                <w:highlight w:val="yellow"/>
                <w:lang w:eastAsia="en-IE"/>
              </w:rPr>
            </w:pPr>
            <w:r w:rsidRPr="00761E29">
              <w:rPr>
                <w:color w:val="000000"/>
                <w:sz w:val="24"/>
                <w:lang w:eastAsia="en-IE"/>
              </w:rPr>
              <w:t>282</w:t>
            </w:r>
            <w:r>
              <w:rPr>
                <w:color w:val="000000"/>
                <w:sz w:val="24"/>
                <w:lang w:eastAsia="en-IE"/>
              </w:rPr>
              <w:t>,</w:t>
            </w:r>
            <w:r w:rsidRPr="00761E29">
              <w:rPr>
                <w:color w:val="000000"/>
                <w:sz w:val="24"/>
                <w:lang w:eastAsia="en-IE"/>
              </w:rPr>
              <w:t>593</w:t>
            </w:r>
          </w:p>
        </w:tc>
        <w:tc>
          <w:tcPr>
            <w:tcW w:w="720" w:type="pct"/>
            <w:tcBorders>
              <w:top w:val="single" w:sz="4" w:space="0" w:color="auto"/>
            </w:tcBorders>
          </w:tcPr>
          <w:p w14:paraId="0D2DF01A" w14:textId="5546FCDA" w:rsidR="006F7A58" w:rsidRPr="002E2D08" w:rsidRDefault="00761E29" w:rsidP="006F7A58">
            <w:pPr>
              <w:spacing w:after="0"/>
              <w:jc w:val="right"/>
              <w:rPr>
                <w:color w:val="000000"/>
                <w:sz w:val="24"/>
                <w:highlight w:val="yellow"/>
                <w:lang w:eastAsia="en-IE"/>
              </w:rPr>
            </w:pPr>
            <w:r w:rsidRPr="00761E29">
              <w:rPr>
                <w:color w:val="000000"/>
                <w:sz w:val="24"/>
                <w:lang w:eastAsia="en-IE"/>
              </w:rPr>
              <w:t>140,100</w:t>
            </w:r>
          </w:p>
        </w:tc>
        <w:tc>
          <w:tcPr>
            <w:tcW w:w="719" w:type="pct"/>
            <w:tcBorders>
              <w:top w:val="single" w:sz="4" w:space="0" w:color="auto"/>
            </w:tcBorders>
          </w:tcPr>
          <w:p w14:paraId="00FADB1D" w14:textId="066BD180" w:rsidR="006F7A58" w:rsidRPr="002E2D08" w:rsidRDefault="00761E29" w:rsidP="006F7A58">
            <w:pPr>
              <w:spacing w:after="0"/>
              <w:jc w:val="right"/>
              <w:rPr>
                <w:color w:val="000000"/>
                <w:sz w:val="24"/>
                <w:highlight w:val="yellow"/>
                <w:lang w:eastAsia="en-IE"/>
              </w:rPr>
            </w:pPr>
            <w:r w:rsidRPr="00761E29">
              <w:rPr>
                <w:color w:val="000000"/>
                <w:sz w:val="24"/>
                <w:lang w:eastAsia="en-IE"/>
              </w:rPr>
              <w:t>142,763</w:t>
            </w:r>
          </w:p>
        </w:tc>
        <w:tc>
          <w:tcPr>
            <w:tcW w:w="840" w:type="pct"/>
            <w:tcBorders>
              <w:top w:val="single" w:sz="4" w:space="0" w:color="auto"/>
            </w:tcBorders>
            <w:noWrap/>
            <w:hideMark/>
          </w:tcPr>
          <w:p w14:paraId="7178C4C3" w14:textId="76D4BB4E" w:rsidR="006F7A58" w:rsidRPr="002E2D08" w:rsidRDefault="00761E29" w:rsidP="006F7A58">
            <w:pPr>
              <w:spacing w:after="0"/>
              <w:jc w:val="right"/>
              <w:rPr>
                <w:color w:val="000000"/>
                <w:sz w:val="24"/>
                <w:highlight w:val="yellow"/>
                <w:lang w:eastAsia="en-IE"/>
              </w:rPr>
            </w:pPr>
            <w:r w:rsidRPr="00761E29">
              <w:rPr>
                <w:color w:val="000000"/>
                <w:sz w:val="24"/>
                <w:lang w:eastAsia="en-IE"/>
              </w:rPr>
              <w:t>633,621</w:t>
            </w:r>
          </w:p>
        </w:tc>
      </w:tr>
      <w:tr w:rsidR="006F7A58" w:rsidRPr="002E2D08" w14:paraId="7BED93D9" w14:textId="77777777" w:rsidTr="001B40FA">
        <w:trPr>
          <w:trHeight w:val="300"/>
        </w:trPr>
        <w:tc>
          <w:tcPr>
            <w:tcW w:w="1281" w:type="pct"/>
            <w:noWrap/>
            <w:hideMark/>
          </w:tcPr>
          <w:p w14:paraId="3AB1A40D" w14:textId="406BEC1E" w:rsidR="006F7A58" w:rsidRPr="002E2D08" w:rsidRDefault="006F7A58" w:rsidP="006F7A58">
            <w:pPr>
              <w:pStyle w:val="TableCell"/>
              <w:rPr>
                <w:highlight w:val="yellow"/>
              </w:rPr>
            </w:pPr>
            <w:r w:rsidRPr="00761E29">
              <w:rPr>
                <w:rFonts w:cs="Arial"/>
                <w:lang w:eastAsia="en-IE"/>
              </w:rPr>
              <w:t>Labour force participation rate (%</w:t>
            </w:r>
            <w:r w:rsidRPr="00761E29">
              <w:t>)</w:t>
            </w:r>
          </w:p>
        </w:tc>
        <w:tc>
          <w:tcPr>
            <w:tcW w:w="720" w:type="pct"/>
            <w:noWrap/>
            <w:hideMark/>
          </w:tcPr>
          <w:p w14:paraId="4BEF56BF" w14:textId="3FDB912A" w:rsidR="006F7A58" w:rsidRPr="00212438" w:rsidRDefault="00212438" w:rsidP="006F7A58">
            <w:pPr>
              <w:spacing w:after="0"/>
              <w:jc w:val="right"/>
              <w:rPr>
                <w:color w:val="000000"/>
                <w:sz w:val="24"/>
                <w:lang w:eastAsia="en-IE"/>
              </w:rPr>
            </w:pPr>
            <w:r w:rsidRPr="00212438">
              <w:rPr>
                <w:color w:val="000000"/>
                <w:sz w:val="24"/>
                <w:lang w:eastAsia="en-IE"/>
              </w:rPr>
              <w:t>72.7</w:t>
            </w:r>
          </w:p>
        </w:tc>
        <w:tc>
          <w:tcPr>
            <w:tcW w:w="719" w:type="pct"/>
            <w:noWrap/>
            <w:hideMark/>
          </w:tcPr>
          <w:p w14:paraId="37DFB6ED" w14:textId="454F420A" w:rsidR="006F7A58" w:rsidRPr="002E2D08" w:rsidRDefault="00212438" w:rsidP="006F7A58">
            <w:pPr>
              <w:spacing w:after="0"/>
              <w:jc w:val="right"/>
              <w:rPr>
                <w:color w:val="000000"/>
                <w:sz w:val="24"/>
                <w:highlight w:val="yellow"/>
                <w:lang w:eastAsia="en-IE"/>
              </w:rPr>
            </w:pPr>
            <w:r w:rsidRPr="00212438">
              <w:rPr>
                <w:color w:val="000000"/>
                <w:sz w:val="24"/>
                <w:lang w:eastAsia="en-IE"/>
              </w:rPr>
              <w:t>57.3</w:t>
            </w:r>
          </w:p>
        </w:tc>
        <w:tc>
          <w:tcPr>
            <w:tcW w:w="720" w:type="pct"/>
          </w:tcPr>
          <w:p w14:paraId="388D687A" w14:textId="3DF4A482" w:rsidR="006F7A58" w:rsidRPr="002E2D08" w:rsidRDefault="00212438" w:rsidP="006F7A58">
            <w:pPr>
              <w:spacing w:after="0"/>
              <w:jc w:val="right"/>
              <w:rPr>
                <w:color w:val="000000"/>
                <w:sz w:val="24"/>
                <w:highlight w:val="yellow"/>
                <w:lang w:eastAsia="en-IE"/>
              </w:rPr>
            </w:pPr>
            <w:r w:rsidRPr="00212438">
              <w:rPr>
                <w:color w:val="000000"/>
                <w:sz w:val="24"/>
                <w:lang w:eastAsia="en-IE"/>
              </w:rPr>
              <w:t>68.3</w:t>
            </w:r>
          </w:p>
        </w:tc>
        <w:tc>
          <w:tcPr>
            <w:tcW w:w="719" w:type="pct"/>
          </w:tcPr>
          <w:p w14:paraId="5788BE4B" w14:textId="77F7B849" w:rsidR="006F7A58" w:rsidRPr="002E2D08" w:rsidRDefault="00212438" w:rsidP="006F7A58">
            <w:pPr>
              <w:spacing w:after="0"/>
              <w:jc w:val="right"/>
              <w:rPr>
                <w:color w:val="000000"/>
                <w:sz w:val="24"/>
                <w:highlight w:val="yellow"/>
                <w:lang w:eastAsia="en-IE"/>
              </w:rPr>
            </w:pPr>
            <w:r>
              <w:rPr>
                <w:color w:val="000000"/>
                <w:sz w:val="24"/>
                <w:lang w:eastAsia="en-IE"/>
              </w:rPr>
              <w:t>35.2</w:t>
            </w:r>
          </w:p>
        </w:tc>
        <w:tc>
          <w:tcPr>
            <w:tcW w:w="840" w:type="pct"/>
            <w:noWrap/>
            <w:hideMark/>
          </w:tcPr>
          <w:p w14:paraId="1C797E43" w14:textId="0C08CC0E" w:rsidR="006F7A58" w:rsidRPr="002E2D08" w:rsidRDefault="00212438" w:rsidP="006F7A58">
            <w:pPr>
              <w:spacing w:after="0"/>
              <w:jc w:val="right"/>
              <w:rPr>
                <w:color w:val="000000"/>
                <w:sz w:val="24"/>
                <w:highlight w:val="yellow"/>
                <w:lang w:eastAsia="en-IE"/>
              </w:rPr>
            </w:pPr>
            <w:r>
              <w:rPr>
                <w:color w:val="000000"/>
                <w:sz w:val="24"/>
                <w:lang w:eastAsia="en-IE"/>
              </w:rPr>
              <w:t>7</w:t>
            </w:r>
            <w:r w:rsidRPr="00212438">
              <w:rPr>
                <w:color w:val="000000"/>
                <w:sz w:val="24"/>
                <w:lang w:eastAsia="en-IE"/>
              </w:rPr>
              <w:t>6.5</w:t>
            </w:r>
          </w:p>
        </w:tc>
      </w:tr>
      <w:tr w:rsidR="006F7A58" w:rsidRPr="002E2D08" w14:paraId="33966779" w14:textId="77777777" w:rsidTr="001B40FA">
        <w:trPr>
          <w:trHeight w:val="285"/>
        </w:trPr>
        <w:tc>
          <w:tcPr>
            <w:tcW w:w="1281" w:type="pct"/>
            <w:noWrap/>
            <w:hideMark/>
          </w:tcPr>
          <w:p w14:paraId="644DDEEC" w14:textId="074E23BA" w:rsidR="006F7A58" w:rsidRPr="002E2D08" w:rsidRDefault="006F7A58" w:rsidP="006F7A58">
            <w:pPr>
              <w:pStyle w:val="TableCell"/>
              <w:rPr>
                <w:rFonts w:cs="Arial"/>
                <w:highlight w:val="yellow"/>
                <w:lang w:eastAsia="en-IE"/>
              </w:rPr>
            </w:pPr>
            <w:r w:rsidRPr="00761E29">
              <w:rPr>
                <w:rFonts w:cs="Arial"/>
                <w:lang w:eastAsia="en-IE"/>
              </w:rPr>
              <w:t>Unemployment rate (%)</w:t>
            </w:r>
          </w:p>
        </w:tc>
        <w:tc>
          <w:tcPr>
            <w:tcW w:w="720" w:type="pct"/>
            <w:noWrap/>
            <w:hideMark/>
          </w:tcPr>
          <w:p w14:paraId="1A6DDD93" w14:textId="5E66A0BB" w:rsidR="006F7A58" w:rsidRPr="002E2D08" w:rsidRDefault="00212438" w:rsidP="006F7A58">
            <w:pPr>
              <w:spacing w:after="0"/>
              <w:jc w:val="right"/>
              <w:rPr>
                <w:color w:val="000000"/>
                <w:sz w:val="24"/>
                <w:highlight w:val="yellow"/>
                <w:lang w:eastAsia="en-IE"/>
              </w:rPr>
            </w:pPr>
            <w:r w:rsidRPr="00212438">
              <w:rPr>
                <w:color w:val="000000"/>
                <w:sz w:val="24"/>
                <w:lang w:eastAsia="en-IE"/>
              </w:rPr>
              <w:t>8.5</w:t>
            </w:r>
          </w:p>
        </w:tc>
        <w:tc>
          <w:tcPr>
            <w:tcW w:w="719" w:type="pct"/>
            <w:noWrap/>
            <w:hideMark/>
          </w:tcPr>
          <w:p w14:paraId="03DA2214" w14:textId="0CEBF548" w:rsidR="006F7A58" w:rsidRPr="002E2D08" w:rsidRDefault="003959CD" w:rsidP="006F7A58">
            <w:pPr>
              <w:spacing w:after="0"/>
              <w:jc w:val="right"/>
              <w:rPr>
                <w:color w:val="000000"/>
                <w:sz w:val="24"/>
                <w:highlight w:val="yellow"/>
                <w:lang w:eastAsia="en-IE"/>
              </w:rPr>
            </w:pPr>
            <w:r w:rsidRPr="003959CD">
              <w:rPr>
                <w:color w:val="000000"/>
                <w:sz w:val="24"/>
                <w:lang w:eastAsia="en-IE"/>
              </w:rPr>
              <w:t>13.9</w:t>
            </w:r>
          </w:p>
        </w:tc>
        <w:tc>
          <w:tcPr>
            <w:tcW w:w="720" w:type="pct"/>
          </w:tcPr>
          <w:p w14:paraId="7A342D71" w14:textId="6FBD8723" w:rsidR="006F7A58" w:rsidRPr="002E2D08" w:rsidRDefault="003959CD" w:rsidP="006F7A58">
            <w:pPr>
              <w:spacing w:after="0"/>
              <w:jc w:val="right"/>
              <w:rPr>
                <w:color w:val="000000"/>
                <w:sz w:val="24"/>
                <w:highlight w:val="yellow"/>
                <w:lang w:eastAsia="en-IE"/>
              </w:rPr>
            </w:pPr>
            <w:r>
              <w:rPr>
                <w:color w:val="000000"/>
                <w:sz w:val="24"/>
                <w:lang w:eastAsia="en-IE"/>
              </w:rPr>
              <w:t>22.5</w:t>
            </w:r>
          </w:p>
        </w:tc>
        <w:tc>
          <w:tcPr>
            <w:tcW w:w="719" w:type="pct"/>
          </w:tcPr>
          <w:p w14:paraId="797CD880" w14:textId="5DCD5189" w:rsidR="006F7A58" w:rsidRPr="002E2D08" w:rsidRDefault="003959CD" w:rsidP="006F7A58">
            <w:pPr>
              <w:spacing w:after="0"/>
              <w:jc w:val="right"/>
              <w:rPr>
                <w:color w:val="000000"/>
                <w:sz w:val="24"/>
                <w:highlight w:val="yellow"/>
                <w:lang w:eastAsia="en-IE"/>
              </w:rPr>
            </w:pPr>
            <w:r w:rsidRPr="003959CD">
              <w:rPr>
                <w:color w:val="000000"/>
                <w:sz w:val="24"/>
                <w:lang w:eastAsia="en-IE"/>
              </w:rPr>
              <w:t>11.7</w:t>
            </w:r>
          </w:p>
        </w:tc>
        <w:tc>
          <w:tcPr>
            <w:tcW w:w="840" w:type="pct"/>
            <w:noWrap/>
            <w:hideMark/>
          </w:tcPr>
          <w:p w14:paraId="625A0C4A" w14:textId="28B84169" w:rsidR="006F7A58" w:rsidRPr="002E2D08" w:rsidRDefault="00212438" w:rsidP="006F7A58">
            <w:pPr>
              <w:spacing w:after="0"/>
              <w:jc w:val="right"/>
              <w:rPr>
                <w:color w:val="000000"/>
                <w:sz w:val="24"/>
                <w:highlight w:val="yellow"/>
                <w:lang w:eastAsia="en-IE"/>
              </w:rPr>
            </w:pPr>
            <w:r w:rsidRPr="00212438">
              <w:rPr>
                <w:color w:val="000000"/>
                <w:sz w:val="24"/>
                <w:lang w:eastAsia="en-IE"/>
              </w:rPr>
              <w:t>7.5</w:t>
            </w:r>
          </w:p>
        </w:tc>
      </w:tr>
    </w:tbl>
    <w:p w14:paraId="2C0C58B6" w14:textId="42173450" w:rsidR="00BC066C" w:rsidRPr="000D6D50" w:rsidRDefault="00BC066C" w:rsidP="00BC066C">
      <w:pPr>
        <w:pStyle w:val="TableNote"/>
      </w:pPr>
      <w:r w:rsidRPr="000D6D50">
        <w:t xml:space="preserve"> </w:t>
      </w:r>
      <w:r w:rsidR="007419E5" w:rsidRPr="000D6D50">
        <w:t>Source: C</w:t>
      </w:r>
      <w:r w:rsidRPr="000D6D50">
        <w:t xml:space="preserve">ensus </w:t>
      </w:r>
      <w:r w:rsidR="0073504B" w:rsidRPr="000D6D50">
        <w:t>20</w:t>
      </w:r>
      <w:r w:rsidR="000D6D50" w:rsidRPr="000D6D50">
        <w:t>22</w:t>
      </w:r>
    </w:p>
    <w:p w14:paraId="46BDF06B" w14:textId="77777777" w:rsidR="00F82841" w:rsidRDefault="00F82841" w:rsidP="00E774C6">
      <w:pPr>
        <w:pStyle w:val="Heading2"/>
      </w:pPr>
      <w:r>
        <w:br w:type="page"/>
      </w:r>
    </w:p>
    <w:p w14:paraId="2A2C62ED" w14:textId="662223A2" w:rsidR="00021584" w:rsidRPr="001A4FFB" w:rsidRDefault="007F16CD" w:rsidP="00E774C6">
      <w:pPr>
        <w:pStyle w:val="Heading2"/>
      </w:pPr>
      <w:r w:rsidRPr="001A4FFB">
        <w:lastRenderedPageBreak/>
        <w:t>Gender</w:t>
      </w:r>
    </w:p>
    <w:p w14:paraId="03DBF744" w14:textId="6C9E1486" w:rsidR="00A71048" w:rsidRPr="002B4987" w:rsidRDefault="0094028F" w:rsidP="00A71048">
      <w:r w:rsidRPr="002B4987">
        <w:t>Both m</w:t>
      </w:r>
      <w:r w:rsidR="00BE123D">
        <w:t>ales</w:t>
      </w:r>
      <w:r w:rsidRPr="002B4987">
        <w:t xml:space="preserve"> and </w:t>
      </w:r>
      <w:r w:rsidR="00BE123D">
        <w:t xml:space="preserve">females </w:t>
      </w:r>
      <w:r w:rsidRPr="002B4987">
        <w:t xml:space="preserve">with a disability are </w:t>
      </w:r>
      <w:r w:rsidR="002B4987">
        <w:t>less</w:t>
      </w:r>
      <w:r w:rsidRPr="002B4987">
        <w:t xml:space="preserve"> likely to be working </w:t>
      </w:r>
      <w:r w:rsidR="001151ED">
        <w:t>than</w:t>
      </w:r>
      <w:r w:rsidRPr="002B4987">
        <w:t xml:space="preserve"> people without a disability of the same gender (</w:t>
      </w:r>
      <w:r w:rsidR="002B4987">
        <w:t>T</w:t>
      </w:r>
      <w:r w:rsidRPr="002B4987">
        <w:t xml:space="preserve">able 3). </w:t>
      </w:r>
      <w:r w:rsidR="002B4987">
        <w:t>Just over half (52.8</w:t>
      </w:r>
      <w:r w:rsidRPr="002B4987">
        <w:t>%</w:t>
      </w:r>
      <w:r w:rsidR="002B4987">
        <w:t>)</w:t>
      </w:r>
      <w:r w:rsidRPr="002B4987">
        <w:t xml:space="preserve"> of m</w:t>
      </w:r>
      <w:r w:rsidR="00BE123D">
        <w:t>ales</w:t>
      </w:r>
      <w:r w:rsidRPr="002B4987">
        <w:t xml:space="preserve"> with a disability </w:t>
      </w:r>
      <w:r w:rsidR="002B4987">
        <w:t xml:space="preserve">to any extent </w:t>
      </w:r>
      <w:r w:rsidRPr="002B4987">
        <w:t xml:space="preserve">are </w:t>
      </w:r>
      <w:r w:rsidR="000A416A">
        <w:t>at work,</w:t>
      </w:r>
      <w:r w:rsidRPr="002B4987">
        <w:t xml:space="preserve"> compared to</w:t>
      </w:r>
      <w:r w:rsidR="002B4987">
        <w:t xml:space="preserve"> just over three quarters</w:t>
      </w:r>
      <w:r w:rsidRPr="002B4987">
        <w:t xml:space="preserve"> </w:t>
      </w:r>
      <w:r w:rsidR="002B4987">
        <w:t>(75.6</w:t>
      </w:r>
      <w:r w:rsidRPr="002B4987">
        <w:t>%</w:t>
      </w:r>
      <w:r w:rsidR="002B4987">
        <w:t>)</w:t>
      </w:r>
      <w:r w:rsidRPr="002B4987">
        <w:t xml:space="preserve"> of </w:t>
      </w:r>
      <w:r w:rsidR="00BE123D">
        <w:t>males</w:t>
      </w:r>
      <w:r w:rsidRPr="002B4987">
        <w:t xml:space="preserve"> without a disability. </w:t>
      </w:r>
      <w:r w:rsidR="002B4987">
        <w:t>Similarly, 46.3</w:t>
      </w:r>
      <w:r w:rsidRPr="002B4987">
        <w:t xml:space="preserve">% of </w:t>
      </w:r>
      <w:r w:rsidR="00BE123D">
        <w:t>females</w:t>
      </w:r>
      <w:r w:rsidRPr="002B4987">
        <w:t xml:space="preserve"> with a disability </w:t>
      </w:r>
      <w:r w:rsidR="002B4987">
        <w:t xml:space="preserve">to any extent </w:t>
      </w:r>
      <w:r w:rsidRPr="002B4987">
        <w:t>are employed</w:t>
      </w:r>
      <w:r w:rsidR="000A416A">
        <w:t>,</w:t>
      </w:r>
      <w:r w:rsidRPr="002B4987">
        <w:t xml:space="preserve"> compared to 6</w:t>
      </w:r>
      <w:r w:rsidR="002B4987">
        <w:t>6</w:t>
      </w:r>
      <w:r w:rsidRPr="002B4987">
        <w:t xml:space="preserve">% of </w:t>
      </w:r>
      <w:r w:rsidR="00BE123D">
        <w:t xml:space="preserve">females </w:t>
      </w:r>
      <w:r w:rsidRPr="002B4987">
        <w:t>without a disability.</w:t>
      </w:r>
      <w:r w:rsidR="00BE123D">
        <w:t xml:space="preserve"> The lowest employment rate is </w:t>
      </w:r>
      <w:r w:rsidR="000A416A">
        <w:t xml:space="preserve">that </w:t>
      </w:r>
      <w:r w:rsidR="00BE123D">
        <w:t xml:space="preserve">of females with a disability </w:t>
      </w:r>
      <w:proofErr w:type="gramStart"/>
      <w:r w:rsidR="00BE123D">
        <w:t>to a great extent,</w:t>
      </w:r>
      <w:proofErr w:type="gramEnd"/>
      <w:r w:rsidR="00BE123D">
        <w:t xml:space="preserve"> at 26.4%.</w:t>
      </w:r>
    </w:p>
    <w:p w14:paraId="03170B45" w14:textId="5B213155" w:rsidR="00A9026F" w:rsidRDefault="00A9026F" w:rsidP="00A9026F">
      <w:pPr>
        <w:pStyle w:val="Caption"/>
        <w:keepNext/>
      </w:pPr>
      <w:r>
        <w:t xml:space="preserve">Table </w:t>
      </w:r>
      <w:r w:rsidR="008D0D04">
        <w:fldChar w:fldCharType="begin"/>
      </w:r>
      <w:r w:rsidR="008D0D04">
        <w:instrText xml:space="preserve"> SEQ Table \* ARABIC </w:instrText>
      </w:r>
      <w:r w:rsidR="008D0D04">
        <w:fldChar w:fldCharType="separate"/>
      </w:r>
      <w:r w:rsidR="008B1958">
        <w:rPr>
          <w:noProof/>
        </w:rPr>
        <w:t>2</w:t>
      </w:r>
      <w:r w:rsidR="008D0D04">
        <w:rPr>
          <w:noProof/>
        </w:rPr>
        <w:fldChar w:fldCharType="end"/>
      </w:r>
      <w:r>
        <w:t xml:space="preserve">: Employment </w:t>
      </w:r>
      <w:r w:rsidRPr="001A4FFB">
        <w:t>rate by gender and disability status</w:t>
      </w:r>
    </w:p>
    <w:tbl>
      <w:tblPr>
        <w:tblStyle w:val="TableGrid"/>
        <w:tblW w:w="5000" w:type="pct"/>
        <w:tblLook w:val="04A0" w:firstRow="1" w:lastRow="0" w:firstColumn="1" w:lastColumn="0" w:noHBand="0" w:noVBand="1"/>
        <w:tblCaption w:val="Table 3: employment rate by gender and disability status"/>
        <w:tblDescription w:val="Figures for Male and Female people with a disability.  Figures for Male and Female people without a disability"/>
      </w:tblPr>
      <w:tblGrid>
        <w:gridCol w:w="4725"/>
        <w:gridCol w:w="1785"/>
        <w:gridCol w:w="1786"/>
      </w:tblGrid>
      <w:tr w:rsidR="00A71048" w:rsidRPr="002E2D08" w14:paraId="639C6408" w14:textId="77777777" w:rsidTr="00A9026F">
        <w:trPr>
          <w:trHeight w:val="300"/>
          <w:tblHeader/>
        </w:trPr>
        <w:tc>
          <w:tcPr>
            <w:tcW w:w="2692" w:type="pct"/>
            <w:noWrap/>
            <w:hideMark/>
          </w:tcPr>
          <w:p w14:paraId="0F2CAF4C" w14:textId="77777777" w:rsidR="00A71048" w:rsidRPr="002E2D08" w:rsidRDefault="00A71048" w:rsidP="00E967B5">
            <w:pPr>
              <w:rPr>
                <w:highlight w:val="yellow"/>
              </w:rPr>
            </w:pPr>
          </w:p>
        </w:tc>
        <w:tc>
          <w:tcPr>
            <w:tcW w:w="1154" w:type="pct"/>
            <w:noWrap/>
            <w:hideMark/>
          </w:tcPr>
          <w:p w14:paraId="404DC177" w14:textId="510F5BFD" w:rsidR="00A71048" w:rsidRPr="001A4FFB" w:rsidRDefault="001A4FFB" w:rsidP="00E967B5">
            <w:r w:rsidRPr="001A4FFB">
              <w:t>Male</w:t>
            </w:r>
          </w:p>
        </w:tc>
        <w:tc>
          <w:tcPr>
            <w:tcW w:w="1154" w:type="pct"/>
            <w:noWrap/>
            <w:hideMark/>
          </w:tcPr>
          <w:p w14:paraId="0203B752" w14:textId="79A7AFD0" w:rsidR="00A71048" w:rsidRPr="001A4FFB" w:rsidRDefault="001A4FFB" w:rsidP="00E967B5">
            <w:r w:rsidRPr="001A4FFB">
              <w:t>Female</w:t>
            </w:r>
          </w:p>
        </w:tc>
      </w:tr>
      <w:tr w:rsidR="00A71048" w:rsidRPr="002E2D08" w14:paraId="32C3C806" w14:textId="77777777" w:rsidTr="00A9026F">
        <w:trPr>
          <w:trHeight w:val="300"/>
        </w:trPr>
        <w:tc>
          <w:tcPr>
            <w:tcW w:w="2692" w:type="pct"/>
            <w:noWrap/>
            <w:hideMark/>
          </w:tcPr>
          <w:p w14:paraId="01B67D4D" w14:textId="259BEFCC" w:rsidR="00A71048" w:rsidRPr="001A4FFB" w:rsidRDefault="001A4FFB" w:rsidP="00E967B5">
            <w:r w:rsidRPr="001A4FFB">
              <w:t>P</w:t>
            </w:r>
            <w:r w:rsidR="001B40FA">
              <w:t>opulation</w:t>
            </w:r>
            <w:r w:rsidRPr="001A4FFB">
              <w:t xml:space="preserve"> with a disability to any extent</w:t>
            </w:r>
            <w:r w:rsidR="00A9026F">
              <w:t xml:space="preserve"> </w:t>
            </w:r>
          </w:p>
        </w:tc>
        <w:tc>
          <w:tcPr>
            <w:tcW w:w="1154" w:type="pct"/>
            <w:noWrap/>
            <w:hideMark/>
          </w:tcPr>
          <w:p w14:paraId="50F196CA" w14:textId="169A0CAB" w:rsidR="00A71048" w:rsidRPr="002E2D08" w:rsidRDefault="00F131D2" w:rsidP="002916EE">
            <w:pPr>
              <w:jc w:val="right"/>
              <w:rPr>
                <w:highlight w:val="yellow"/>
              </w:rPr>
            </w:pPr>
            <w:r w:rsidRPr="00F131D2">
              <w:t>52.8</w:t>
            </w:r>
          </w:p>
        </w:tc>
        <w:tc>
          <w:tcPr>
            <w:tcW w:w="1154" w:type="pct"/>
            <w:noWrap/>
            <w:hideMark/>
          </w:tcPr>
          <w:p w14:paraId="5F32967B" w14:textId="5B892D65" w:rsidR="00A71048" w:rsidRPr="002E2D08" w:rsidRDefault="00F131D2" w:rsidP="002916EE">
            <w:pPr>
              <w:jc w:val="right"/>
              <w:rPr>
                <w:highlight w:val="yellow"/>
              </w:rPr>
            </w:pPr>
            <w:r w:rsidRPr="00F131D2">
              <w:t>46.3</w:t>
            </w:r>
          </w:p>
        </w:tc>
      </w:tr>
      <w:tr w:rsidR="00A71048" w:rsidRPr="002E2D08" w14:paraId="7F5A1F79" w14:textId="77777777" w:rsidTr="00A9026F">
        <w:trPr>
          <w:trHeight w:val="300"/>
        </w:trPr>
        <w:tc>
          <w:tcPr>
            <w:tcW w:w="2692" w:type="pct"/>
            <w:noWrap/>
            <w:hideMark/>
          </w:tcPr>
          <w:p w14:paraId="1BDD51C4" w14:textId="629D062A" w:rsidR="00A71048" w:rsidRPr="001A4FFB" w:rsidRDefault="001B40FA" w:rsidP="00E967B5">
            <w:r w:rsidRPr="001A4FFB">
              <w:t>P</w:t>
            </w:r>
            <w:r>
              <w:t>opulation</w:t>
            </w:r>
            <w:r w:rsidRPr="001A4FFB">
              <w:t xml:space="preserve"> </w:t>
            </w:r>
            <w:r>
              <w:t xml:space="preserve">with </w:t>
            </w:r>
            <w:r w:rsidR="001A4FFB" w:rsidRPr="001A4FFB">
              <w:t>a disability to some extent</w:t>
            </w:r>
            <w:r w:rsidR="00A9026F">
              <w:t xml:space="preserve"> </w:t>
            </w:r>
          </w:p>
        </w:tc>
        <w:tc>
          <w:tcPr>
            <w:tcW w:w="1154" w:type="pct"/>
            <w:noWrap/>
            <w:hideMark/>
          </w:tcPr>
          <w:p w14:paraId="14969FE7" w14:textId="54371F88" w:rsidR="00A71048" w:rsidRPr="002E2D08" w:rsidRDefault="00F131D2" w:rsidP="002916EE">
            <w:pPr>
              <w:jc w:val="right"/>
              <w:rPr>
                <w:highlight w:val="yellow"/>
              </w:rPr>
            </w:pPr>
            <w:r w:rsidRPr="00F131D2">
              <w:t>65.1</w:t>
            </w:r>
          </w:p>
        </w:tc>
        <w:tc>
          <w:tcPr>
            <w:tcW w:w="1154" w:type="pct"/>
            <w:noWrap/>
            <w:hideMark/>
          </w:tcPr>
          <w:p w14:paraId="71811045" w14:textId="65810DED" w:rsidR="00A71048" w:rsidRPr="002E2D08" w:rsidRDefault="00F07DEB" w:rsidP="002916EE">
            <w:pPr>
              <w:jc w:val="right"/>
              <w:rPr>
                <w:highlight w:val="yellow"/>
              </w:rPr>
            </w:pPr>
            <w:r>
              <w:t xml:space="preserve"> </w:t>
            </w:r>
            <w:r w:rsidR="002916EE">
              <w:t>51.9</w:t>
            </w:r>
          </w:p>
        </w:tc>
      </w:tr>
      <w:tr w:rsidR="001A4FFB" w:rsidRPr="002E2D08" w14:paraId="1E4C5CF1" w14:textId="77777777" w:rsidTr="00A9026F">
        <w:trPr>
          <w:trHeight w:val="300"/>
        </w:trPr>
        <w:tc>
          <w:tcPr>
            <w:tcW w:w="2692" w:type="pct"/>
            <w:noWrap/>
          </w:tcPr>
          <w:p w14:paraId="3CBEEF68" w14:textId="4D351449" w:rsidR="001A4FFB" w:rsidRPr="001A4FFB" w:rsidRDefault="001B40FA" w:rsidP="00E967B5">
            <w:r w:rsidRPr="001A4FFB">
              <w:t>P</w:t>
            </w:r>
            <w:r>
              <w:t>opulation</w:t>
            </w:r>
            <w:r w:rsidRPr="001A4FFB">
              <w:t xml:space="preserve"> </w:t>
            </w:r>
            <w:r w:rsidR="001A4FFB" w:rsidRPr="001A4FFB">
              <w:t>a disability to a great extent</w:t>
            </w:r>
          </w:p>
        </w:tc>
        <w:tc>
          <w:tcPr>
            <w:tcW w:w="1154" w:type="pct"/>
            <w:noWrap/>
          </w:tcPr>
          <w:p w14:paraId="03F34C11" w14:textId="0DF998B9" w:rsidR="001A4FFB" w:rsidRPr="002E2D08" w:rsidRDefault="002916EE" w:rsidP="002916EE">
            <w:pPr>
              <w:jc w:val="right"/>
              <w:rPr>
                <w:highlight w:val="yellow"/>
              </w:rPr>
            </w:pPr>
            <w:r w:rsidRPr="002916EE">
              <w:t>28.3</w:t>
            </w:r>
          </w:p>
        </w:tc>
        <w:tc>
          <w:tcPr>
            <w:tcW w:w="1154" w:type="pct"/>
            <w:noWrap/>
          </w:tcPr>
          <w:p w14:paraId="27B9CF24" w14:textId="1AD2C7F8" w:rsidR="001A4FFB" w:rsidRPr="002E2D08" w:rsidRDefault="00F07DEB" w:rsidP="002916EE">
            <w:pPr>
              <w:jc w:val="right"/>
              <w:rPr>
                <w:highlight w:val="yellow"/>
              </w:rPr>
            </w:pPr>
            <w:r w:rsidRPr="00F07DEB">
              <w:t>26.4</w:t>
            </w:r>
          </w:p>
        </w:tc>
      </w:tr>
      <w:tr w:rsidR="001A4FFB" w:rsidRPr="002B4987" w14:paraId="4C4EAC78" w14:textId="77777777" w:rsidTr="00A9026F">
        <w:trPr>
          <w:trHeight w:val="300"/>
        </w:trPr>
        <w:tc>
          <w:tcPr>
            <w:tcW w:w="2692" w:type="pct"/>
            <w:noWrap/>
          </w:tcPr>
          <w:p w14:paraId="5A75C663" w14:textId="1F031D4F" w:rsidR="001A4FFB" w:rsidRPr="001A4FFB" w:rsidRDefault="001B40FA" w:rsidP="00E967B5">
            <w:r w:rsidRPr="001A4FFB">
              <w:t>P</w:t>
            </w:r>
            <w:r>
              <w:t>opulation</w:t>
            </w:r>
            <w:r w:rsidRPr="001A4FFB">
              <w:t xml:space="preserve"> </w:t>
            </w:r>
            <w:r>
              <w:t xml:space="preserve">with </w:t>
            </w:r>
            <w:r w:rsidR="001A4FFB" w:rsidRPr="001A4FFB">
              <w:t>no disability</w:t>
            </w:r>
          </w:p>
        </w:tc>
        <w:tc>
          <w:tcPr>
            <w:tcW w:w="1154" w:type="pct"/>
            <w:noWrap/>
          </w:tcPr>
          <w:p w14:paraId="7348AF09" w14:textId="126B0EB0" w:rsidR="001A4FFB" w:rsidRPr="002E2D08" w:rsidRDefault="007C0B10" w:rsidP="007C0B10">
            <w:pPr>
              <w:jc w:val="right"/>
              <w:rPr>
                <w:highlight w:val="yellow"/>
              </w:rPr>
            </w:pPr>
            <w:r w:rsidRPr="007C0B10">
              <w:t>75.6</w:t>
            </w:r>
          </w:p>
        </w:tc>
        <w:tc>
          <w:tcPr>
            <w:tcW w:w="1154" w:type="pct"/>
            <w:noWrap/>
          </w:tcPr>
          <w:p w14:paraId="466FDBC3" w14:textId="5FE16D5C" w:rsidR="001A4FFB" w:rsidRPr="002B4987" w:rsidRDefault="002B4987" w:rsidP="002B4987">
            <w:pPr>
              <w:jc w:val="right"/>
            </w:pPr>
            <w:r w:rsidRPr="002B4987">
              <w:t>66.0</w:t>
            </w:r>
          </w:p>
        </w:tc>
      </w:tr>
    </w:tbl>
    <w:p w14:paraId="3F766143" w14:textId="0AE150C0" w:rsidR="00BC066C" w:rsidRDefault="00BC066C" w:rsidP="00BC066C">
      <w:pPr>
        <w:pStyle w:val="TableNote"/>
      </w:pPr>
      <w:r w:rsidRPr="001A4FFB">
        <w:t xml:space="preserve">Source: </w:t>
      </w:r>
      <w:r w:rsidR="0094028F" w:rsidRPr="001A4FFB">
        <w:t xml:space="preserve">Census </w:t>
      </w:r>
      <w:r w:rsidR="0073504B" w:rsidRPr="001A4FFB">
        <w:t>20</w:t>
      </w:r>
      <w:r w:rsidR="001A4FFB" w:rsidRPr="001A4FFB">
        <w:t>22</w:t>
      </w:r>
    </w:p>
    <w:p w14:paraId="00E39C87" w14:textId="0CCE072F" w:rsidR="00A9026F" w:rsidRDefault="001B40FA" w:rsidP="00A9026F">
      <w:r>
        <w:t xml:space="preserve">However, in terms of unemployment, females with a disability are less likely to be unemployed (that is, not working </w:t>
      </w:r>
      <w:r w:rsidR="007459EF">
        <w:t>but</w:t>
      </w:r>
      <w:r>
        <w:t xml:space="preserve"> seeking employment) than their male counterparts (Table 3). The unemployment gap between males and females is larger among disabled people (ranging from 2-4% depending on the extent of disability report) than among people without disabilities (a 0.5% gender difference)</w:t>
      </w:r>
    </w:p>
    <w:p w14:paraId="355401F9" w14:textId="514291D8" w:rsidR="00A9026F" w:rsidRDefault="00A9026F" w:rsidP="00A9026F">
      <w:pPr>
        <w:pStyle w:val="Caption"/>
        <w:keepNext/>
      </w:pPr>
      <w:r>
        <w:t xml:space="preserve">Table </w:t>
      </w:r>
      <w:r w:rsidR="008D0D04">
        <w:fldChar w:fldCharType="begin"/>
      </w:r>
      <w:r w:rsidR="008D0D04">
        <w:instrText xml:space="preserve"> SEQ Table \* ARABIC </w:instrText>
      </w:r>
      <w:r w:rsidR="008D0D04">
        <w:fldChar w:fldCharType="separate"/>
      </w:r>
      <w:r w:rsidR="008B1958">
        <w:rPr>
          <w:noProof/>
        </w:rPr>
        <w:t>3</w:t>
      </w:r>
      <w:r w:rsidR="008D0D04">
        <w:rPr>
          <w:noProof/>
        </w:rPr>
        <w:fldChar w:fldCharType="end"/>
      </w:r>
      <w:r>
        <w:t>: Unemployment rate by gender and disability status</w:t>
      </w:r>
    </w:p>
    <w:tbl>
      <w:tblPr>
        <w:tblStyle w:val="TableGrid"/>
        <w:tblW w:w="5000" w:type="pct"/>
        <w:tblLook w:val="04A0" w:firstRow="1" w:lastRow="0" w:firstColumn="1" w:lastColumn="0" w:noHBand="0" w:noVBand="1"/>
        <w:tblCaption w:val="Table 3: employment rate by gender and disability status"/>
        <w:tblDescription w:val="Figures for Male and Female people with a disability.  Figures for Male and Female people without a disability"/>
      </w:tblPr>
      <w:tblGrid>
        <w:gridCol w:w="4725"/>
        <w:gridCol w:w="1785"/>
        <w:gridCol w:w="1786"/>
      </w:tblGrid>
      <w:tr w:rsidR="00A9026F" w:rsidRPr="002E2D08" w14:paraId="79540111" w14:textId="77777777" w:rsidTr="00A9026F">
        <w:trPr>
          <w:trHeight w:val="300"/>
          <w:tblHeader/>
        </w:trPr>
        <w:tc>
          <w:tcPr>
            <w:tcW w:w="2692" w:type="pct"/>
            <w:noWrap/>
            <w:hideMark/>
          </w:tcPr>
          <w:p w14:paraId="3868262A" w14:textId="77777777" w:rsidR="00A9026F" w:rsidRPr="002E2D08" w:rsidRDefault="00A9026F" w:rsidP="008C6B29">
            <w:pPr>
              <w:rPr>
                <w:highlight w:val="yellow"/>
              </w:rPr>
            </w:pPr>
          </w:p>
        </w:tc>
        <w:tc>
          <w:tcPr>
            <w:tcW w:w="1154" w:type="pct"/>
            <w:noWrap/>
            <w:hideMark/>
          </w:tcPr>
          <w:p w14:paraId="0E8CF832" w14:textId="77777777" w:rsidR="00A9026F" w:rsidRPr="001A4FFB" w:rsidRDefault="00A9026F" w:rsidP="008C6B29">
            <w:r w:rsidRPr="001A4FFB">
              <w:t>Male</w:t>
            </w:r>
          </w:p>
        </w:tc>
        <w:tc>
          <w:tcPr>
            <w:tcW w:w="1154" w:type="pct"/>
            <w:noWrap/>
            <w:hideMark/>
          </w:tcPr>
          <w:p w14:paraId="511A4EF6" w14:textId="77777777" w:rsidR="00A9026F" w:rsidRPr="001A4FFB" w:rsidRDefault="00A9026F" w:rsidP="008C6B29">
            <w:r w:rsidRPr="001A4FFB">
              <w:t>Female</w:t>
            </w:r>
          </w:p>
        </w:tc>
      </w:tr>
      <w:tr w:rsidR="001B40FA" w:rsidRPr="002E2D08" w14:paraId="069B2032" w14:textId="77777777" w:rsidTr="00A9026F">
        <w:trPr>
          <w:trHeight w:val="300"/>
        </w:trPr>
        <w:tc>
          <w:tcPr>
            <w:tcW w:w="2692" w:type="pct"/>
            <w:noWrap/>
            <w:hideMark/>
          </w:tcPr>
          <w:p w14:paraId="26B9D0E1" w14:textId="0F7AF2FB" w:rsidR="001B40FA" w:rsidRPr="001A4FFB" w:rsidRDefault="001B40FA" w:rsidP="001B40FA">
            <w:r w:rsidRPr="001A4FFB">
              <w:t>P</w:t>
            </w:r>
            <w:r>
              <w:t>opulation</w:t>
            </w:r>
            <w:r w:rsidRPr="001A4FFB">
              <w:t xml:space="preserve"> with a disability to any extent</w:t>
            </w:r>
            <w:r>
              <w:t xml:space="preserve"> </w:t>
            </w:r>
          </w:p>
        </w:tc>
        <w:tc>
          <w:tcPr>
            <w:tcW w:w="1154" w:type="pct"/>
            <w:noWrap/>
          </w:tcPr>
          <w:p w14:paraId="418F0A33" w14:textId="4AB3E792" w:rsidR="001B40FA" w:rsidRPr="00136CB9" w:rsidRDefault="001B40FA" w:rsidP="001B40FA">
            <w:pPr>
              <w:jc w:val="right"/>
            </w:pPr>
            <w:r w:rsidRPr="00136CB9">
              <w:t>15.1</w:t>
            </w:r>
          </w:p>
        </w:tc>
        <w:tc>
          <w:tcPr>
            <w:tcW w:w="1154" w:type="pct"/>
            <w:noWrap/>
          </w:tcPr>
          <w:p w14:paraId="278724CA" w14:textId="67CBA9E1" w:rsidR="001B40FA" w:rsidRPr="00136CB9" w:rsidRDefault="001B40FA" w:rsidP="001B40FA">
            <w:pPr>
              <w:jc w:val="right"/>
            </w:pPr>
            <w:r w:rsidRPr="00136CB9">
              <w:t>12.6</w:t>
            </w:r>
          </w:p>
        </w:tc>
      </w:tr>
      <w:tr w:rsidR="001B40FA" w:rsidRPr="002E2D08" w14:paraId="3EAF5F82" w14:textId="77777777" w:rsidTr="00A9026F">
        <w:trPr>
          <w:trHeight w:val="300"/>
        </w:trPr>
        <w:tc>
          <w:tcPr>
            <w:tcW w:w="2692" w:type="pct"/>
            <w:noWrap/>
            <w:hideMark/>
          </w:tcPr>
          <w:p w14:paraId="082EC43B" w14:textId="7198935F" w:rsidR="001B40FA" w:rsidRPr="001A4FFB" w:rsidRDefault="001B40FA" w:rsidP="001B40FA">
            <w:r w:rsidRPr="001A4FFB">
              <w:t>P</w:t>
            </w:r>
            <w:r>
              <w:t>opulation</w:t>
            </w:r>
            <w:r w:rsidRPr="001A4FFB">
              <w:t xml:space="preserve"> </w:t>
            </w:r>
            <w:r>
              <w:t xml:space="preserve">with </w:t>
            </w:r>
            <w:r w:rsidRPr="001A4FFB">
              <w:t>a disability to some extent</w:t>
            </w:r>
            <w:r>
              <w:t xml:space="preserve"> </w:t>
            </w:r>
          </w:p>
        </w:tc>
        <w:tc>
          <w:tcPr>
            <w:tcW w:w="1154" w:type="pct"/>
            <w:noWrap/>
          </w:tcPr>
          <w:p w14:paraId="052AC967" w14:textId="6FEA71F0" w:rsidR="001B40FA" w:rsidRPr="00136CB9" w:rsidRDefault="001B40FA" w:rsidP="001B40FA">
            <w:pPr>
              <w:jc w:val="right"/>
            </w:pPr>
            <w:r>
              <w:t>12.6</w:t>
            </w:r>
          </w:p>
        </w:tc>
        <w:tc>
          <w:tcPr>
            <w:tcW w:w="1154" w:type="pct"/>
            <w:noWrap/>
          </w:tcPr>
          <w:p w14:paraId="557D3036" w14:textId="7EA6C135" w:rsidR="001B40FA" w:rsidRPr="00136CB9" w:rsidRDefault="001B40FA" w:rsidP="001B40FA">
            <w:pPr>
              <w:jc w:val="right"/>
            </w:pPr>
            <w:r>
              <w:t>10.7</w:t>
            </w:r>
          </w:p>
        </w:tc>
      </w:tr>
      <w:tr w:rsidR="001B40FA" w:rsidRPr="002E2D08" w14:paraId="128312A0" w14:textId="77777777" w:rsidTr="00A9026F">
        <w:trPr>
          <w:trHeight w:val="300"/>
        </w:trPr>
        <w:tc>
          <w:tcPr>
            <w:tcW w:w="2692" w:type="pct"/>
            <w:noWrap/>
          </w:tcPr>
          <w:p w14:paraId="68EFDA89" w14:textId="7D81A0AD" w:rsidR="001B40FA" w:rsidRPr="001A4FFB" w:rsidRDefault="001B40FA" w:rsidP="001B40FA">
            <w:r w:rsidRPr="001A4FFB">
              <w:t>P</w:t>
            </w:r>
            <w:r>
              <w:t>opulation</w:t>
            </w:r>
            <w:r w:rsidRPr="001A4FFB">
              <w:t xml:space="preserve"> a disability to a great extent</w:t>
            </w:r>
          </w:p>
        </w:tc>
        <w:tc>
          <w:tcPr>
            <w:tcW w:w="1154" w:type="pct"/>
            <w:noWrap/>
          </w:tcPr>
          <w:p w14:paraId="549FB194" w14:textId="0FE3861A" w:rsidR="001B40FA" w:rsidRPr="00136CB9" w:rsidRDefault="001B40FA" w:rsidP="001B40FA">
            <w:pPr>
              <w:jc w:val="right"/>
            </w:pPr>
            <w:r>
              <w:t>24.8</w:t>
            </w:r>
          </w:p>
        </w:tc>
        <w:tc>
          <w:tcPr>
            <w:tcW w:w="1154" w:type="pct"/>
            <w:noWrap/>
          </w:tcPr>
          <w:p w14:paraId="0D6C659E" w14:textId="4DFE7F13" w:rsidR="001B40FA" w:rsidRPr="00136CB9" w:rsidRDefault="001B40FA" w:rsidP="001B40FA">
            <w:pPr>
              <w:jc w:val="right"/>
            </w:pPr>
            <w:r>
              <w:t>20.2</w:t>
            </w:r>
          </w:p>
        </w:tc>
      </w:tr>
      <w:tr w:rsidR="001B40FA" w:rsidRPr="002B4987" w14:paraId="67CF7043" w14:textId="77777777" w:rsidTr="00A9026F">
        <w:trPr>
          <w:trHeight w:val="300"/>
        </w:trPr>
        <w:tc>
          <w:tcPr>
            <w:tcW w:w="2692" w:type="pct"/>
            <w:noWrap/>
          </w:tcPr>
          <w:p w14:paraId="496E4EC1" w14:textId="5ECB8C15" w:rsidR="001B40FA" w:rsidRPr="001A4FFB" w:rsidRDefault="001B40FA" w:rsidP="001B40FA">
            <w:r w:rsidRPr="001A4FFB">
              <w:t>P</w:t>
            </w:r>
            <w:r>
              <w:t>opulation</w:t>
            </w:r>
            <w:r w:rsidRPr="001A4FFB">
              <w:t xml:space="preserve"> </w:t>
            </w:r>
            <w:r>
              <w:t xml:space="preserve">with </w:t>
            </w:r>
            <w:r w:rsidRPr="001A4FFB">
              <w:t>no disability</w:t>
            </w:r>
          </w:p>
        </w:tc>
        <w:tc>
          <w:tcPr>
            <w:tcW w:w="1154" w:type="pct"/>
            <w:noWrap/>
          </w:tcPr>
          <w:p w14:paraId="27D018A8" w14:textId="3DAAD420" w:rsidR="001B40FA" w:rsidRPr="00136CB9" w:rsidRDefault="001B40FA" w:rsidP="001B40FA">
            <w:pPr>
              <w:jc w:val="right"/>
            </w:pPr>
            <w:r>
              <w:t>7.7</w:t>
            </w:r>
          </w:p>
        </w:tc>
        <w:tc>
          <w:tcPr>
            <w:tcW w:w="1154" w:type="pct"/>
            <w:noWrap/>
          </w:tcPr>
          <w:p w14:paraId="754EB700" w14:textId="2D93A4EC" w:rsidR="001B40FA" w:rsidRPr="00136CB9" w:rsidRDefault="001B40FA" w:rsidP="001B40FA">
            <w:pPr>
              <w:jc w:val="right"/>
            </w:pPr>
            <w:r>
              <w:t>7.2</w:t>
            </w:r>
          </w:p>
        </w:tc>
      </w:tr>
    </w:tbl>
    <w:p w14:paraId="315956AC" w14:textId="7A8DC49D" w:rsidR="008B1958" w:rsidRDefault="0055293B" w:rsidP="008B1958">
      <w:pPr>
        <w:pStyle w:val="TableNote"/>
      </w:pPr>
      <w:r w:rsidRPr="001A4FFB">
        <w:t>Source: Census 2022</w:t>
      </w:r>
    </w:p>
    <w:p w14:paraId="11363392" w14:textId="77777777" w:rsidR="00A40725" w:rsidRDefault="00A40725" w:rsidP="008B1958"/>
    <w:p w14:paraId="2D534353" w14:textId="77777777" w:rsidR="00A40725" w:rsidRDefault="00A40725" w:rsidP="008B1958"/>
    <w:p w14:paraId="2BBCB971" w14:textId="67651E96" w:rsidR="008B1958" w:rsidRDefault="008B1958" w:rsidP="008B1958">
      <w:r>
        <w:lastRenderedPageBreak/>
        <w:t xml:space="preserve">The lower employment rate but also the lower unemployment rate of females than males with a disability is explained by the fact that more females than males are outside the labour force (Table 4). </w:t>
      </w:r>
    </w:p>
    <w:p w14:paraId="4805442F" w14:textId="6A650940" w:rsidR="00A40725" w:rsidRDefault="00A40725" w:rsidP="00A40725">
      <w:r>
        <w:t>The gap between the labour force participation rate between males and females is 10.8 percentage points, which is identical to the gap between males and females without disabilities.</w:t>
      </w:r>
    </w:p>
    <w:p w14:paraId="0F0E0DAE" w14:textId="03C21752" w:rsidR="008B1958" w:rsidRDefault="008B1958" w:rsidP="008B1958">
      <w:pPr>
        <w:pStyle w:val="Caption"/>
        <w:keepNext/>
      </w:pPr>
      <w:r>
        <w:t xml:space="preserve">Table </w:t>
      </w:r>
      <w:r w:rsidR="008D0D04">
        <w:fldChar w:fldCharType="begin"/>
      </w:r>
      <w:r w:rsidR="008D0D04">
        <w:instrText xml:space="preserve"> SEQ Table \* ARABIC </w:instrText>
      </w:r>
      <w:r w:rsidR="008D0D04">
        <w:fldChar w:fldCharType="separate"/>
      </w:r>
      <w:r>
        <w:rPr>
          <w:noProof/>
        </w:rPr>
        <w:t>4</w:t>
      </w:r>
      <w:r w:rsidR="008D0D04">
        <w:rPr>
          <w:noProof/>
        </w:rPr>
        <w:fldChar w:fldCharType="end"/>
      </w:r>
      <w:r>
        <w:t>: Proportion of males and females outside the labour force, by disability status</w:t>
      </w:r>
    </w:p>
    <w:tbl>
      <w:tblPr>
        <w:tblStyle w:val="TableGrid"/>
        <w:tblW w:w="5000" w:type="pct"/>
        <w:tblLook w:val="04A0" w:firstRow="1" w:lastRow="0" w:firstColumn="1" w:lastColumn="0" w:noHBand="0" w:noVBand="1"/>
        <w:tblCaption w:val="Table 3: employment rate by gender and disability status"/>
        <w:tblDescription w:val="Figures for Male and Female people with a disability.  Figures for Male and Female people without a disability"/>
      </w:tblPr>
      <w:tblGrid>
        <w:gridCol w:w="4726"/>
        <w:gridCol w:w="1785"/>
        <w:gridCol w:w="1785"/>
      </w:tblGrid>
      <w:tr w:rsidR="008B1958" w:rsidRPr="002E2D08" w14:paraId="19AAE992" w14:textId="77777777" w:rsidTr="008B1958">
        <w:trPr>
          <w:trHeight w:val="300"/>
          <w:tblHeader/>
        </w:trPr>
        <w:tc>
          <w:tcPr>
            <w:tcW w:w="2848" w:type="pct"/>
            <w:noWrap/>
            <w:hideMark/>
          </w:tcPr>
          <w:p w14:paraId="5473E012" w14:textId="77777777" w:rsidR="008B1958" w:rsidRPr="002E2D08" w:rsidRDefault="008B1958" w:rsidP="005D733F">
            <w:pPr>
              <w:rPr>
                <w:highlight w:val="yellow"/>
              </w:rPr>
            </w:pPr>
          </w:p>
        </w:tc>
        <w:tc>
          <w:tcPr>
            <w:tcW w:w="1076" w:type="pct"/>
            <w:noWrap/>
            <w:hideMark/>
          </w:tcPr>
          <w:p w14:paraId="7C67F4EB" w14:textId="77777777" w:rsidR="008B1958" w:rsidRPr="001A4FFB" w:rsidRDefault="008B1958" w:rsidP="005D733F">
            <w:r w:rsidRPr="001A4FFB">
              <w:t>Male</w:t>
            </w:r>
          </w:p>
        </w:tc>
        <w:tc>
          <w:tcPr>
            <w:tcW w:w="1076" w:type="pct"/>
            <w:noWrap/>
            <w:hideMark/>
          </w:tcPr>
          <w:p w14:paraId="3B2BC82B" w14:textId="77777777" w:rsidR="008B1958" w:rsidRPr="001A4FFB" w:rsidRDefault="008B1958" w:rsidP="005D733F">
            <w:r w:rsidRPr="001A4FFB">
              <w:t>Female</w:t>
            </w:r>
          </w:p>
        </w:tc>
      </w:tr>
      <w:tr w:rsidR="008B1958" w:rsidRPr="002E2D08" w14:paraId="2BAA7F54" w14:textId="77777777" w:rsidTr="008B1958">
        <w:trPr>
          <w:trHeight w:val="300"/>
        </w:trPr>
        <w:tc>
          <w:tcPr>
            <w:tcW w:w="2848" w:type="pct"/>
            <w:noWrap/>
            <w:hideMark/>
          </w:tcPr>
          <w:p w14:paraId="4CCF589C" w14:textId="77777777" w:rsidR="008B1958" w:rsidRPr="001A4FFB" w:rsidRDefault="008B1958" w:rsidP="005D733F">
            <w:r w:rsidRPr="001A4FFB">
              <w:t>P</w:t>
            </w:r>
            <w:r>
              <w:t>opulation</w:t>
            </w:r>
            <w:r w:rsidRPr="001A4FFB">
              <w:t xml:space="preserve"> with a disability to any extent</w:t>
            </w:r>
            <w:r>
              <w:t xml:space="preserve"> </w:t>
            </w:r>
          </w:p>
        </w:tc>
        <w:tc>
          <w:tcPr>
            <w:tcW w:w="1076" w:type="pct"/>
            <w:noWrap/>
          </w:tcPr>
          <w:p w14:paraId="498738F4" w14:textId="33508DE2" w:rsidR="008B1958" w:rsidRPr="00136CB9" w:rsidRDefault="00293635" w:rsidP="005D733F">
            <w:pPr>
              <w:jc w:val="right"/>
            </w:pPr>
            <w:r>
              <w:t>62.1</w:t>
            </w:r>
          </w:p>
        </w:tc>
        <w:tc>
          <w:tcPr>
            <w:tcW w:w="1076" w:type="pct"/>
            <w:noWrap/>
          </w:tcPr>
          <w:p w14:paraId="63A0D223" w14:textId="5341C0C2" w:rsidR="008B1958" w:rsidRPr="00136CB9" w:rsidRDefault="00293635" w:rsidP="005D733F">
            <w:pPr>
              <w:jc w:val="right"/>
            </w:pPr>
            <w:r>
              <w:t>52.9</w:t>
            </w:r>
          </w:p>
        </w:tc>
      </w:tr>
      <w:tr w:rsidR="008B1958" w:rsidRPr="002E2D08" w14:paraId="2E18F453" w14:textId="77777777" w:rsidTr="008B1958">
        <w:trPr>
          <w:trHeight w:val="300"/>
        </w:trPr>
        <w:tc>
          <w:tcPr>
            <w:tcW w:w="2848" w:type="pct"/>
            <w:noWrap/>
            <w:hideMark/>
          </w:tcPr>
          <w:p w14:paraId="46E38199" w14:textId="77777777" w:rsidR="008B1958" w:rsidRPr="001A4FFB" w:rsidRDefault="008B1958" w:rsidP="005D733F">
            <w:r w:rsidRPr="001A4FFB">
              <w:t>P</w:t>
            </w:r>
            <w:r>
              <w:t>opulation</w:t>
            </w:r>
            <w:r w:rsidRPr="001A4FFB">
              <w:t xml:space="preserve"> </w:t>
            </w:r>
            <w:r>
              <w:t xml:space="preserve">with </w:t>
            </w:r>
            <w:r w:rsidRPr="001A4FFB">
              <w:t>a disability to some extent</w:t>
            </w:r>
            <w:r>
              <w:t xml:space="preserve"> </w:t>
            </w:r>
          </w:p>
        </w:tc>
        <w:tc>
          <w:tcPr>
            <w:tcW w:w="1076" w:type="pct"/>
            <w:noWrap/>
          </w:tcPr>
          <w:p w14:paraId="20EF9A62" w14:textId="0A59C74E" w:rsidR="008B1958" w:rsidRPr="00136CB9" w:rsidRDefault="00293635" w:rsidP="005D733F">
            <w:pPr>
              <w:jc w:val="right"/>
            </w:pPr>
            <w:r>
              <w:t>74.5</w:t>
            </w:r>
          </w:p>
        </w:tc>
        <w:tc>
          <w:tcPr>
            <w:tcW w:w="1076" w:type="pct"/>
            <w:noWrap/>
          </w:tcPr>
          <w:p w14:paraId="2302663D" w14:textId="5BAA4CAB" w:rsidR="008B1958" w:rsidRPr="00136CB9" w:rsidRDefault="00293635" w:rsidP="005D733F">
            <w:pPr>
              <w:jc w:val="right"/>
            </w:pPr>
            <w:r>
              <w:t>62.8</w:t>
            </w:r>
          </w:p>
        </w:tc>
      </w:tr>
      <w:tr w:rsidR="008B1958" w:rsidRPr="002E2D08" w14:paraId="28114219" w14:textId="77777777" w:rsidTr="008B1958">
        <w:trPr>
          <w:trHeight w:val="300"/>
        </w:trPr>
        <w:tc>
          <w:tcPr>
            <w:tcW w:w="2848" w:type="pct"/>
            <w:noWrap/>
          </w:tcPr>
          <w:p w14:paraId="0E61D68B" w14:textId="77777777" w:rsidR="008B1958" w:rsidRPr="001A4FFB" w:rsidRDefault="008B1958" w:rsidP="005D733F">
            <w:r w:rsidRPr="001A4FFB">
              <w:t>P</w:t>
            </w:r>
            <w:r>
              <w:t>opulation</w:t>
            </w:r>
            <w:r w:rsidRPr="001A4FFB">
              <w:t xml:space="preserve"> a disability to a great extent</w:t>
            </w:r>
          </w:p>
        </w:tc>
        <w:tc>
          <w:tcPr>
            <w:tcW w:w="1076" w:type="pct"/>
            <w:noWrap/>
          </w:tcPr>
          <w:p w14:paraId="5A70436C" w14:textId="157E3D13" w:rsidR="008B1958" w:rsidRPr="00136CB9" w:rsidRDefault="00293635" w:rsidP="005D733F">
            <w:pPr>
              <w:jc w:val="right"/>
            </w:pPr>
            <w:r>
              <w:t>37.6</w:t>
            </w:r>
          </w:p>
        </w:tc>
        <w:tc>
          <w:tcPr>
            <w:tcW w:w="1076" w:type="pct"/>
            <w:noWrap/>
          </w:tcPr>
          <w:p w14:paraId="1FD77787" w14:textId="07E56A21" w:rsidR="008B1958" w:rsidRPr="00136CB9" w:rsidRDefault="00293635" w:rsidP="005D733F">
            <w:pPr>
              <w:jc w:val="right"/>
            </w:pPr>
            <w:r>
              <w:t>33.0</w:t>
            </w:r>
          </w:p>
        </w:tc>
      </w:tr>
      <w:tr w:rsidR="008B1958" w:rsidRPr="002B4987" w14:paraId="273FA850" w14:textId="77777777" w:rsidTr="008B1958">
        <w:trPr>
          <w:trHeight w:val="300"/>
        </w:trPr>
        <w:tc>
          <w:tcPr>
            <w:tcW w:w="2848" w:type="pct"/>
            <w:noWrap/>
          </w:tcPr>
          <w:p w14:paraId="39217A92" w14:textId="77777777" w:rsidR="008B1958" w:rsidRPr="001A4FFB" w:rsidRDefault="008B1958" w:rsidP="005D733F">
            <w:r w:rsidRPr="001A4FFB">
              <w:t>P</w:t>
            </w:r>
            <w:r>
              <w:t>opulation</w:t>
            </w:r>
            <w:r w:rsidRPr="001A4FFB">
              <w:t xml:space="preserve"> </w:t>
            </w:r>
            <w:r>
              <w:t xml:space="preserve">with </w:t>
            </w:r>
            <w:r w:rsidRPr="001A4FFB">
              <w:t>no disability</w:t>
            </w:r>
          </w:p>
        </w:tc>
        <w:tc>
          <w:tcPr>
            <w:tcW w:w="1076" w:type="pct"/>
            <w:noWrap/>
          </w:tcPr>
          <w:p w14:paraId="54680370" w14:textId="6AB38354" w:rsidR="008B1958" w:rsidRPr="00136CB9" w:rsidRDefault="00A40725" w:rsidP="005D733F">
            <w:pPr>
              <w:jc w:val="right"/>
            </w:pPr>
            <w:r>
              <w:t>81.9</w:t>
            </w:r>
          </w:p>
        </w:tc>
        <w:tc>
          <w:tcPr>
            <w:tcW w:w="1076" w:type="pct"/>
            <w:noWrap/>
          </w:tcPr>
          <w:p w14:paraId="3558B5B5" w14:textId="1A60F81C" w:rsidR="008B1958" w:rsidRPr="00136CB9" w:rsidRDefault="00A40725" w:rsidP="005D733F">
            <w:pPr>
              <w:jc w:val="right"/>
            </w:pPr>
            <w:r>
              <w:t>71.1</w:t>
            </w:r>
          </w:p>
        </w:tc>
      </w:tr>
    </w:tbl>
    <w:p w14:paraId="4342B14E" w14:textId="77777777" w:rsidR="00CB377C" w:rsidRDefault="00CB377C" w:rsidP="00CB377C">
      <w:pPr>
        <w:pStyle w:val="TableNote"/>
      </w:pPr>
      <w:r w:rsidRPr="001A4FFB">
        <w:t>Source: Census 2022</w:t>
      </w:r>
    </w:p>
    <w:p w14:paraId="3B7E2E5E" w14:textId="39097DC2" w:rsidR="0012352B" w:rsidRPr="002E2D08" w:rsidRDefault="000D716A" w:rsidP="00072E94">
      <w:pPr>
        <w:pStyle w:val="Heading1"/>
        <w:rPr>
          <w:highlight w:val="yellow"/>
        </w:rPr>
      </w:pPr>
      <w:r>
        <w:t>Labour force participation</w:t>
      </w:r>
      <w:r w:rsidR="00072E94" w:rsidRPr="00136CB9">
        <w:t xml:space="preserve"> and disability type</w:t>
      </w:r>
    </w:p>
    <w:p w14:paraId="43BE8AB8" w14:textId="2C31ABDE" w:rsidR="00A00B07" w:rsidRDefault="00AB56CB" w:rsidP="00A00B07">
      <w:pPr>
        <w:pStyle w:val="TableTitle"/>
        <w:jc w:val="left"/>
        <w:rPr>
          <w:b w:val="0"/>
          <w:bCs/>
        </w:rPr>
      </w:pPr>
      <w:r>
        <w:rPr>
          <w:b w:val="0"/>
          <w:bCs/>
        </w:rPr>
        <w:t>Of people with different types of disability, people who report blindness or a vision impairment have the highest labour force participation rate, at 42.8%, and people who have a difficulty with basic physical activities have the lowest, at 16.6.% (Table 4).</w:t>
      </w:r>
    </w:p>
    <w:p w14:paraId="3960A9ED" w14:textId="1D62742C" w:rsidR="00AB56CB" w:rsidRDefault="00A40725" w:rsidP="00AB56CB">
      <w:r>
        <w:t>T</w:t>
      </w:r>
      <w:r w:rsidR="00AB56CB">
        <w:t>he unemployment rate is highest for people with an intellectual disability (29.4%) and lowest for people who are deaf or have a hearing impairment (9.9%) and those who are blind or have a vision impairment (10.5%).</w:t>
      </w:r>
    </w:p>
    <w:p w14:paraId="0A5F28B0" w14:textId="39C7FD93" w:rsidR="007D3049" w:rsidRDefault="00AB56CB" w:rsidP="00AB56CB">
      <w:pPr>
        <w:sectPr w:rsidR="007D3049" w:rsidSect="00F82841">
          <w:pgSz w:w="11906" w:h="16838" w:code="9"/>
          <w:pgMar w:top="1440" w:right="1800" w:bottom="1440" w:left="1800" w:header="708" w:footer="708" w:gutter="0"/>
          <w:cols w:space="708"/>
          <w:docGrid w:linePitch="360"/>
        </w:sectPr>
      </w:pPr>
      <w:r w:rsidRPr="00AB56CB">
        <w:t>The Census records information on activity limitation</w:t>
      </w:r>
      <w:r w:rsidR="00B8421D">
        <w:t xml:space="preserve"> (</w:t>
      </w:r>
      <w:r w:rsidRPr="00AB56CB">
        <w:t>difficulties people might have doing certain things). The labour force participation rate is</w:t>
      </w:r>
      <w:r w:rsidR="00B8421D">
        <w:t xml:space="preserve"> very low</w:t>
      </w:r>
      <w:r w:rsidRPr="00AB56CB">
        <w:t xml:space="preserve"> </w:t>
      </w:r>
      <w:r w:rsidRPr="00B8421D">
        <w:t xml:space="preserve">among people who have a difficulty in dressing, </w:t>
      </w:r>
      <w:proofErr w:type="gramStart"/>
      <w:r w:rsidRPr="00B8421D">
        <w:t>bathing</w:t>
      </w:r>
      <w:proofErr w:type="gramEnd"/>
      <w:r w:rsidRPr="00B8421D">
        <w:t xml:space="preserve"> or getting around inside the home</w:t>
      </w:r>
      <w:r w:rsidR="00B8421D">
        <w:t xml:space="preserve"> (10.2%) </w:t>
      </w:r>
      <w:r w:rsidRPr="00B8421D">
        <w:t xml:space="preserve">and </w:t>
      </w:r>
      <w:r w:rsidR="00B8421D">
        <w:t xml:space="preserve">among </w:t>
      </w:r>
      <w:r w:rsidRPr="00B8421D">
        <w:t xml:space="preserve">people </w:t>
      </w:r>
      <w:r w:rsidR="00B8421D">
        <w:t>who</w:t>
      </w:r>
      <w:r w:rsidRPr="00B8421D">
        <w:t xml:space="preserve"> have difficulty </w:t>
      </w:r>
      <w:r w:rsidR="00B8421D">
        <w:t>going outside the home (10.9%)</w:t>
      </w:r>
      <w:r w:rsidR="00945FD5">
        <w:t>.</w:t>
      </w:r>
    </w:p>
    <w:p w14:paraId="07F42EB4" w14:textId="3A97D7C6" w:rsidR="00840060" w:rsidRDefault="00840060" w:rsidP="007D3049">
      <w:pPr>
        <w:pStyle w:val="TableSummary"/>
        <w:ind w:left="0"/>
        <w:jc w:val="left"/>
        <w:rPr>
          <w:i w:val="0"/>
          <w:iCs/>
        </w:rPr>
      </w:pPr>
    </w:p>
    <w:p w14:paraId="1AF82EF9" w14:textId="0A00E2F1" w:rsidR="00172701" w:rsidRDefault="00172701" w:rsidP="00172701">
      <w:pPr>
        <w:pStyle w:val="Caption"/>
        <w:keepNext/>
      </w:pPr>
      <w:r>
        <w:t xml:space="preserve">Table </w:t>
      </w:r>
      <w:r w:rsidR="008D0D04">
        <w:fldChar w:fldCharType="begin"/>
      </w:r>
      <w:r w:rsidR="008D0D04">
        <w:instrText xml:space="preserve"> SEQ Table \* ARABIC </w:instrText>
      </w:r>
      <w:r w:rsidR="008D0D04">
        <w:fldChar w:fldCharType="separate"/>
      </w:r>
      <w:r w:rsidR="008B1958">
        <w:rPr>
          <w:noProof/>
        </w:rPr>
        <w:t>5</w:t>
      </w:r>
      <w:r w:rsidR="008D0D04">
        <w:rPr>
          <w:noProof/>
        </w:rPr>
        <w:fldChar w:fldCharType="end"/>
      </w:r>
      <w:r>
        <w:t xml:space="preserve">: </w:t>
      </w:r>
      <w:r w:rsidR="00492389">
        <w:t xml:space="preserve">Labour force participation and </w:t>
      </w:r>
      <w:r w:rsidR="009137F5">
        <w:t>un</w:t>
      </w:r>
      <w:r w:rsidR="00492389">
        <w:t>e</w:t>
      </w:r>
      <w:r w:rsidR="00492389" w:rsidRPr="00136CB9">
        <w:t>mployment rate</w:t>
      </w:r>
      <w:r w:rsidR="00492389">
        <w:t>s</w:t>
      </w:r>
      <w:r w:rsidR="00492389" w:rsidRPr="00136CB9">
        <w:t xml:space="preserve"> by disability type</w:t>
      </w:r>
      <w:r w:rsidR="00492389">
        <w:t xml:space="preserve"> (population aged 15 and over)</w:t>
      </w:r>
      <w:r w:rsidR="00492389">
        <w:rPr>
          <w:rStyle w:val="FootnoteReference"/>
        </w:rPr>
        <w:footnoteReference w:id="5"/>
      </w:r>
    </w:p>
    <w:tbl>
      <w:tblPr>
        <w:tblStyle w:val="TableGrid"/>
        <w:tblpPr w:leftFromText="180" w:rightFromText="180" w:vertAnchor="text" w:horzAnchor="page" w:tblpXSpec="center" w:tblpY="100"/>
        <w:tblW w:w="10060" w:type="dxa"/>
        <w:tblLook w:val="04A0" w:firstRow="1" w:lastRow="0" w:firstColumn="1" w:lastColumn="0" w:noHBand="0" w:noVBand="1"/>
      </w:tblPr>
      <w:tblGrid>
        <w:gridCol w:w="4673"/>
        <w:gridCol w:w="2693"/>
        <w:gridCol w:w="2694"/>
      </w:tblGrid>
      <w:tr w:rsidR="00172701" w:rsidRPr="00840060" w14:paraId="1207A117" w14:textId="77777777" w:rsidTr="007D3049">
        <w:tc>
          <w:tcPr>
            <w:tcW w:w="4673" w:type="dxa"/>
          </w:tcPr>
          <w:p w14:paraId="49FA9D85" w14:textId="77777777" w:rsidR="00172701" w:rsidRPr="00840060" w:rsidRDefault="00172701" w:rsidP="007D3049">
            <w:pPr>
              <w:jc w:val="center"/>
              <w:rPr>
                <w:rFonts w:ascii="Gill Sans" w:hAnsi="Gill Sans"/>
              </w:rPr>
            </w:pPr>
          </w:p>
        </w:tc>
        <w:tc>
          <w:tcPr>
            <w:tcW w:w="2693" w:type="dxa"/>
          </w:tcPr>
          <w:p w14:paraId="2E79C911" w14:textId="77777777" w:rsidR="00172701" w:rsidRDefault="00172701" w:rsidP="007D3049">
            <w:pPr>
              <w:rPr>
                <w:rFonts w:ascii="Gill Sans" w:hAnsi="Gill Sans"/>
              </w:rPr>
            </w:pPr>
            <w:r>
              <w:rPr>
                <w:rFonts w:ascii="Gill Sans" w:hAnsi="Gill Sans"/>
              </w:rPr>
              <w:t>Labour force participation rate</w:t>
            </w:r>
          </w:p>
        </w:tc>
        <w:tc>
          <w:tcPr>
            <w:tcW w:w="2694" w:type="dxa"/>
          </w:tcPr>
          <w:p w14:paraId="11234B2C" w14:textId="77777777" w:rsidR="00172701" w:rsidRDefault="00172701" w:rsidP="007D3049">
            <w:pPr>
              <w:rPr>
                <w:rFonts w:ascii="Gill Sans" w:hAnsi="Gill Sans"/>
              </w:rPr>
            </w:pPr>
            <w:r>
              <w:rPr>
                <w:rFonts w:ascii="Gill Sans" w:hAnsi="Gill Sans"/>
              </w:rPr>
              <w:t>Unemployment rate</w:t>
            </w:r>
          </w:p>
        </w:tc>
      </w:tr>
      <w:tr w:rsidR="00172701" w:rsidRPr="00840060" w14:paraId="4CAFE478" w14:textId="77777777" w:rsidTr="007D3049">
        <w:tc>
          <w:tcPr>
            <w:tcW w:w="4673" w:type="dxa"/>
          </w:tcPr>
          <w:p w14:paraId="49BBBB7B" w14:textId="77777777" w:rsidR="00172701" w:rsidRPr="00840060" w:rsidRDefault="00172701" w:rsidP="007D3049">
            <w:pPr>
              <w:rPr>
                <w:rFonts w:ascii="Gill Sans" w:hAnsi="Gill Sans"/>
              </w:rPr>
            </w:pPr>
            <w:r w:rsidRPr="00840060">
              <w:rPr>
                <w:rFonts w:ascii="Gill Sans" w:hAnsi="Gill Sans"/>
              </w:rPr>
              <w:t>Difficulty with pain, breathing or any other chronic illness/condition</w:t>
            </w:r>
          </w:p>
        </w:tc>
        <w:tc>
          <w:tcPr>
            <w:tcW w:w="2693" w:type="dxa"/>
          </w:tcPr>
          <w:p w14:paraId="42144C81" w14:textId="77777777" w:rsidR="00172701" w:rsidRPr="00840060" w:rsidRDefault="00172701" w:rsidP="007D3049">
            <w:pPr>
              <w:jc w:val="right"/>
              <w:rPr>
                <w:rFonts w:ascii="Gill Sans" w:hAnsi="Gill Sans"/>
              </w:rPr>
            </w:pPr>
            <w:r>
              <w:rPr>
                <w:rFonts w:ascii="Gill Sans" w:hAnsi="Gill Sans"/>
              </w:rPr>
              <w:t>33.7</w:t>
            </w:r>
          </w:p>
        </w:tc>
        <w:tc>
          <w:tcPr>
            <w:tcW w:w="2694" w:type="dxa"/>
          </w:tcPr>
          <w:p w14:paraId="1FC7BD24" w14:textId="77777777" w:rsidR="00172701" w:rsidRPr="00840060" w:rsidRDefault="00172701" w:rsidP="007D3049">
            <w:pPr>
              <w:jc w:val="right"/>
              <w:rPr>
                <w:rFonts w:ascii="Gill Sans" w:hAnsi="Gill Sans"/>
              </w:rPr>
            </w:pPr>
            <w:r w:rsidRPr="00840060">
              <w:rPr>
                <w:rFonts w:ascii="Gill Sans" w:hAnsi="Gill Sans"/>
              </w:rPr>
              <w:t>13.8</w:t>
            </w:r>
          </w:p>
        </w:tc>
      </w:tr>
      <w:tr w:rsidR="00172701" w:rsidRPr="00840060" w14:paraId="4C397F94" w14:textId="77777777" w:rsidTr="007D3049">
        <w:tc>
          <w:tcPr>
            <w:tcW w:w="4673" w:type="dxa"/>
          </w:tcPr>
          <w:p w14:paraId="12DCB9FF" w14:textId="77777777" w:rsidR="00172701" w:rsidRPr="00840060" w:rsidRDefault="00172701" w:rsidP="007D3049">
            <w:pPr>
              <w:rPr>
                <w:rFonts w:ascii="Gill Sans" w:hAnsi="Gill Sans"/>
              </w:rPr>
            </w:pPr>
            <w:r w:rsidRPr="00840060">
              <w:rPr>
                <w:rFonts w:ascii="Gill Sans" w:hAnsi="Gill Sans"/>
              </w:rPr>
              <w:t>A difficulty with basic physical activities</w:t>
            </w:r>
          </w:p>
        </w:tc>
        <w:tc>
          <w:tcPr>
            <w:tcW w:w="2693" w:type="dxa"/>
          </w:tcPr>
          <w:p w14:paraId="38D81C6A" w14:textId="77777777" w:rsidR="00172701" w:rsidRPr="00840060" w:rsidRDefault="00172701" w:rsidP="007D3049">
            <w:pPr>
              <w:jc w:val="right"/>
              <w:rPr>
                <w:rFonts w:ascii="Gill Sans" w:hAnsi="Gill Sans"/>
              </w:rPr>
            </w:pPr>
            <w:r>
              <w:rPr>
                <w:rFonts w:ascii="Gill Sans" w:hAnsi="Gill Sans"/>
              </w:rPr>
              <w:t>16.6</w:t>
            </w:r>
          </w:p>
        </w:tc>
        <w:tc>
          <w:tcPr>
            <w:tcW w:w="2694" w:type="dxa"/>
          </w:tcPr>
          <w:p w14:paraId="55C6F1DD" w14:textId="77777777" w:rsidR="00172701" w:rsidRPr="00840060" w:rsidRDefault="00172701" w:rsidP="007D3049">
            <w:pPr>
              <w:jc w:val="right"/>
              <w:rPr>
                <w:rFonts w:ascii="Gill Sans" w:hAnsi="Gill Sans"/>
              </w:rPr>
            </w:pPr>
            <w:r w:rsidRPr="00840060">
              <w:rPr>
                <w:rFonts w:ascii="Gill Sans" w:hAnsi="Gill Sans"/>
              </w:rPr>
              <w:t>22.4</w:t>
            </w:r>
          </w:p>
        </w:tc>
      </w:tr>
      <w:tr w:rsidR="00172701" w:rsidRPr="00840060" w14:paraId="495B9C84" w14:textId="77777777" w:rsidTr="007D3049">
        <w:tc>
          <w:tcPr>
            <w:tcW w:w="4673" w:type="dxa"/>
          </w:tcPr>
          <w:p w14:paraId="54E037DE" w14:textId="77777777" w:rsidR="00172701" w:rsidRPr="00840060" w:rsidRDefault="00172701" w:rsidP="007D3049">
            <w:pPr>
              <w:rPr>
                <w:rFonts w:ascii="Gill Sans" w:hAnsi="Gill Sans"/>
              </w:rPr>
            </w:pPr>
            <w:r w:rsidRPr="00840060">
              <w:rPr>
                <w:rFonts w:ascii="Gill Sans" w:hAnsi="Gill Sans"/>
              </w:rPr>
              <w:t>Blindness or vision impairment</w:t>
            </w:r>
          </w:p>
        </w:tc>
        <w:tc>
          <w:tcPr>
            <w:tcW w:w="2693" w:type="dxa"/>
          </w:tcPr>
          <w:p w14:paraId="38CC1717" w14:textId="77777777" w:rsidR="00172701" w:rsidRPr="00840060" w:rsidRDefault="00172701" w:rsidP="007D3049">
            <w:pPr>
              <w:jc w:val="right"/>
              <w:rPr>
                <w:rFonts w:ascii="Gill Sans" w:hAnsi="Gill Sans"/>
              </w:rPr>
            </w:pPr>
            <w:r>
              <w:rPr>
                <w:rFonts w:ascii="Gill Sans" w:hAnsi="Gill Sans"/>
              </w:rPr>
              <w:t>44.3</w:t>
            </w:r>
          </w:p>
        </w:tc>
        <w:tc>
          <w:tcPr>
            <w:tcW w:w="2694" w:type="dxa"/>
          </w:tcPr>
          <w:p w14:paraId="089EA639" w14:textId="77777777" w:rsidR="00172701" w:rsidRPr="00840060" w:rsidRDefault="00172701" w:rsidP="007D3049">
            <w:pPr>
              <w:jc w:val="right"/>
              <w:rPr>
                <w:rFonts w:ascii="Gill Sans" w:hAnsi="Gill Sans"/>
              </w:rPr>
            </w:pPr>
            <w:r w:rsidRPr="00840060">
              <w:rPr>
                <w:rFonts w:ascii="Gill Sans" w:hAnsi="Gill Sans"/>
              </w:rPr>
              <w:t>10.5</w:t>
            </w:r>
          </w:p>
        </w:tc>
      </w:tr>
      <w:tr w:rsidR="00172701" w:rsidRPr="00840060" w14:paraId="03D010AA" w14:textId="77777777" w:rsidTr="007D3049">
        <w:tc>
          <w:tcPr>
            <w:tcW w:w="4673" w:type="dxa"/>
          </w:tcPr>
          <w:p w14:paraId="5A905C8D" w14:textId="77777777" w:rsidR="00172701" w:rsidRPr="00840060" w:rsidRDefault="00172701" w:rsidP="007D3049">
            <w:pPr>
              <w:rPr>
                <w:rFonts w:ascii="Gill Sans" w:hAnsi="Gill Sans"/>
              </w:rPr>
            </w:pPr>
            <w:r w:rsidRPr="00840060">
              <w:rPr>
                <w:rFonts w:ascii="Gill Sans" w:hAnsi="Gill Sans"/>
              </w:rPr>
              <w:t>A psychological or emotional condition or a mental health issue</w:t>
            </w:r>
          </w:p>
        </w:tc>
        <w:tc>
          <w:tcPr>
            <w:tcW w:w="2693" w:type="dxa"/>
          </w:tcPr>
          <w:p w14:paraId="6F3B7CF0" w14:textId="77777777" w:rsidR="00172701" w:rsidRPr="00840060" w:rsidRDefault="00172701" w:rsidP="007D3049">
            <w:pPr>
              <w:jc w:val="right"/>
              <w:rPr>
                <w:rFonts w:ascii="Gill Sans" w:hAnsi="Gill Sans"/>
              </w:rPr>
            </w:pPr>
            <w:r>
              <w:rPr>
                <w:rFonts w:ascii="Gill Sans" w:hAnsi="Gill Sans"/>
              </w:rPr>
              <w:t>42.8</w:t>
            </w:r>
          </w:p>
        </w:tc>
        <w:tc>
          <w:tcPr>
            <w:tcW w:w="2694" w:type="dxa"/>
          </w:tcPr>
          <w:p w14:paraId="5834FCB8" w14:textId="77777777" w:rsidR="00172701" w:rsidRPr="00840060" w:rsidRDefault="00172701" w:rsidP="007D3049">
            <w:pPr>
              <w:jc w:val="right"/>
              <w:rPr>
                <w:rFonts w:ascii="Gill Sans" w:hAnsi="Gill Sans"/>
              </w:rPr>
            </w:pPr>
            <w:r w:rsidRPr="00840060">
              <w:rPr>
                <w:rFonts w:ascii="Gill Sans" w:hAnsi="Gill Sans"/>
              </w:rPr>
              <w:t>19.9</w:t>
            </w:r>
          </w:p>
        </w:tc>
      </w:tr>
      <w:tr w:rsidR="00172701" w:rsidRPr="00840060" w14:paraId="0899F4A7" w14:textId="77777777" w:rsidTr="007D3049">
        <w:tc>
          <w:tcPr>
            <w:tcW w:w="4673" w:type="dxa"/>
          </w:tcPr>
          <w:p w14:paraId="601BF9DC" w14:textId="21645023" w:rsidR="00172701" w:rsidRPr="00840060" w:rsidRDefault="00172701" w:rsidP="007D3049">
            <w:pPr>
              <w:rPr>
                <w:rFonts w:ascii="Gill Sans" w:hAnsi="Gill Sans"/>
              </w:rPr>
            </w:pPr>
            <w:r w:rsidRPr="00840060">
              <w:rPr>
                <w:rFonts w:ascii="Gill Sans" w:hAnsi="Gill Sans"/>
              </w:rPr>
              <w:t>A difficulty with learning, remembering</w:t>
            </w:r>
            <w:r w:rsidR="009C5B9D">
              <w:rPr>
                <w:rFonts w:ascii="Gill Sans" w:hAnsi="Gill Sans"/>
              </w:rPr>
              <w:t>,</w:t>
            </w:r>
            <w:r w:rsidRPr="00840060">
              <w:rPr>
                <w:rFonts w:ascii="Gill Sans" w:hAnsi="Gill Sans"/>
              </w:rPr>
              <w:t xml:space="preserve"> or concentrating</w:t>
            </w:r>
          </w:p>
        </w:tc>
        <w:tc>
          <w:tcPr>
            <w:tcW w:w="2693" w:type="dxa"/>
          </w:tcPr>
          <w:p w14:paraId="2C4D5E4A" w14:textId="77777777" w:rsidR="00172701" w:rsidRPr="00840060" w:rsidRDefault="00172701" w:rsidP="007D3049">
            <w:pPr>
              <w:jc w:val="right"/>
              <w:rPr>
                <w:rFonts w:ascii="Gill Sans" w:hAnsi="Gill Sans"/>
              </w:rPr>
            </w:pPr>
            <w:r>
              <w:rPr>
                <w:rFonts w:ascii="Gill Sans" w:hAnsi="Gill Sans"/>
              </w:rPr>
              <w:t>26.2</w:t>
            </w:r>
          </w:p>
        </w:tc>
        <w:tc>
          <w:tcPr>
            <w:tcW w:w="2694" w:type="dxa"/>
          </w:tcPr>
          <w:p w14:paraId="2F270FE8" w14:textId="77777777" w:rsidR="00172701" w:rsidRPr="00840060" w:rsidRDefault="00172701" w:rsidP="007D3049">
            <w:pPr>
              <w:jc w:val="right"/>
              <w:rPr>
                <w:rFonts w:ascii="Gill Sans" w:hAnsi="Gill Sans"/>
              </w:rPr>
            </w:pPr>
            <w:r w:rsidRPr="00840060">
              <w:rPr>
                <w:rFonts w:ascii="Gill Sans" w:hAnsi="Gill Sans"/>
              </w:rPr>
              <w:t>23.0</w:t>
            </w:r>
          </w:p>
        </w:tc>
      </w:tr>
      <w:tr w:rsidR="00172701" w:rsidRPr="00840060" w14:paraId="67A011C9" w14:textId="77777777" w:rsidTr="007D3049">
        <w:tc>
          <w:tcPr>
            <w:tcW w:w="4673" w:type="dxa"/>
          </w:tcPr>
          <w:p w14:paraId="154B5515" w14:textId="77777777" w:rsidR="00172701" w:rsidRPr="00840060" w:rsidRDefault="00172701" w:rsidP="007D3049">
            <w:pPr>
              <w:rPr>
                <w:rFonts w:ascii="Gill Sans" w:hAnsi="Gill Sans"/>
              </w:rPr>
            </w:pPr>
            <w:r w:rsidRPr="00840060">
              <w:rPr>
                <w:rFonts w:ascii="Gill Sans" w:hAnsi="Gill Sans"/>
              </w:rPr>
              <w:t>Deafness or hearing impairment</w:t>
            </w:r>
          </w:p>
        </w:tc>
        <w:tc>
          <w:tcPr>
            <w:tcW w:w="2693" w:type="dxa"/>
          </w:tcPr>
          <w:p w14:paraId="060BB2C4" w14:textId="77777777" w:rsidR="00172701" w:rsidRPr="00840060" w:rsidRDefault="00172701" w:rsidP="007D3049">
            <w:pPr>
              <w:jc w:val="right"/>
              <w:rPr>
                <w:rFonts w:ascii="Gill Sans" w:hAnsi="Gill Sans"/>
              </w:rPr>
            </w:pPr>
            <w:r>
              <w:rPr>
                <w:rFonts w:ascii="Gill Sans" w:hAnsi="Gill Sans"/>
              </w:rPr>
              <w:t>27.8</w:t>
            </w:r>
          </w:p>
        </w:tc>
        <w:tc>
          <w:tcPr>
            <w:tcW w:w="2694" w:type="dxa"/>
          </w:tcPr>
          <w:p w14:paraId="09D5BC28" w14:textId="77777777" w:rsidR="00172701" w:rsidRPr="00840060" w:rsidRDefault="00172701" w:rsidP="007D3049">
            <w:pPr>
              <w:jc w:val="right"/>
              <w:rPr>
                <w:rFonts w:ascii="Gill Sans" w:hAnsi="Gill Sans"/>
              </w:rPr>
            </w:pPr>
            <w:r w:rsidRPr="00840060">
              <w:rPr>
                <w:rFonts w:ascii="Gill Sans" w:hAnsi="Gill Sans"/>
              </w:rPr>
              <w:t>9.9</w:t>
            </w:r>
          </w:p>
        </w:tc>
      </w:tr>
      <w:tr w:rsidR="00172701" w:rsidRPr="00840060" w14:paraId="6043ACBF" w14:textId="77777777" w:rsidTr="007D3049">
        <w:tc>
          <w:tcPr>
            <w:tcW w:w="4673" w:type="dxa"/>
          </w:tcPr>
          <w:p w14:paraId="02D74243" w14:textId="77777777" w:rsidR="00172701" w:rsidRPr="00840060" w:rsidRDefault="00172701" w:rsidP="007D3049">
            <w:pPr>
              <w:rPr>
                <w:rFonts w:ascii="Gill Sans" w:hAnsi="Gill Sans"/>
              </w:rPr>
            </w:pPr>
            <w:r w:rsidRPr="00840060">
              <w:rPr>
                <w:rFonts w:ascii="Gill Sans" w:hAnsi="Gill Sans"/>
              </w:rPr>
              <w:t>Intellectual disability</w:t>
            </w:r>
          </w:p>
        </w:tc>
        <w:tc>
          <w:tcPr>
            <w:tcW w:w="2693" w:type="dxa"/>
          </w:tcPr>
          <w:p w14:paraId="1715A995" w14:textId="77777777" w:rsidR="00172701" w:rsidRPr="00840060" w:rsidRDefault="00172701" w:rsidP="007D3049">
            <w:pPr>
              <w:jc w:val="right"/>
              <w:rPr>
                <w:rFonts w:ascii="Gill Sans" w:hAnsi="Gill Sans"/>
              </w:rPr>
            </w:pPr>
            <w:r>
              <w:rPr>
                <w:rFonts w:ascii="Gill Sans" w:hAnsi="Gill Sans"/>
              </w:rPr>
              <w:t>22.5</w:t>
            </w:r>
          </w:p>
        </w:tc>
        <w:tc>
          <w:tcPr>
            <w:tcW w:w="2694" w:type="dxa"/>
          </w:tcPr>
          <w:p w14:paraId="3517772C" w14:textId="77777777" w:rsidR="00172701" w:rsidRPr="00840060" w:rsidRDefault="00172701" w:rsidP="007D3049">
            <w:pPr>
              <w:jc w:val="right"/>
              <w:rPr>
                <w:rFonts w:ascii="Gill Sans" w:hAnsi="Gill Sans"/>
              </w:rPr>
            </w:pPr>
            <w:r w:rsidRPr="00840060">
              <w:rPr>
                <w:rFonts w:ascii="Gill Sans" w:hAnsi="Gill Sans"/>
              </w:rPr>
              <w:t>29.4</w:t>
            </w:r>
          </w:p>
        </w:tc>
      </w:tr>
    </w:tbl>
    <w:p w14:paraId="31831F32" w14:textId="35EDD7B5" w:rsidR="00840060" w:rsidRDefault="00840060" w:rsidP="00840060">
      <w:pPr>
        <w:pStyle w:val="TableHead"/>
      </w:pPr>
    </w:p>
    <w:p w14:paraId="1FF51490" w14:textId="6C7ECB87" w:rsidR="00B8421D" w:rsidRDefault="00B8421D" w:rsidP="00B8421D">
      <w:pPr>
        <w:pStyle w:val="TableTitle"/>
      </w:pPr>
      <w:r>
        <w:lastRenderedPageBreak/>
        <w:t xml:space="preserve">Table </w:t>
      </w:r>
      <w:r w:rsidR="008D0D04">
        <w:fldChar w:fldCharType="begin"/>
      </w:r>
      <w:r w:rsidR="008D0D04">
        <w:instrText xml:space="preserve"> SEQ Table \* ARABIC </w:instrText>
      </w:r>
      <w:r w:rsidR="008D0D04">
        <w:fldChar w:fldCharType="separate"/>
      </w:r>
      <w:r w:rsidR="008B1958">
        <w:rPr>
          <w:noProof/>
        </w:rPr>
        <w:t>6</w:t>
      </w:r>
      <w:r w:rsidR="008D0D04">
        <w:rPr>
          <w:noProof/>
        </w:rPr>
        <w:fldChar w:fldCharType="end"/>
      </w:r>
      <w:r>
        <w:t xml:space="preserve">: Labour force participation and </w:t>
      </w:r>
      <w:r w:rsidR="009137F5">
        <w:t>un</w:t>
      </w:r>
      <w:r>
        <w:t>e</w:t>
      </w:r>
      <w:r w:rsidRPr="00136CB9">
        <w:t>mployment rate</w:t>
      </w:r>
      <w:r>
        <w:t>s</w:t>
      </w:r>
      <w:r w:rsidRPr="00136CB9">
        <w:t xml:space="preserve"> by </w:t>
      </w:r>
      <w:r>
        <w:t>type of difficulty with activities of daily living (population aged 15 and over)</w:t>
      </w:r>
      <w:r>
        <w:rPr>
          <w:rStyle w:val="FootnoteReference"/>
        </w:rPr>
        <w:footnoteReference w:id="6"/>
      </w:r>
    </w:p>
    <w:tbl>
      <w:tblPr>
        <w:tblStyle w:val="TableGrid"/>
        <w:tblpPr w:leftFromText="180" w:rightFromText="180" w:vertAnchor="text" w:horzAnchor="margin" w:tblpXSpec="center" w:tblpY="-32"/>
        <w:tblW w:w="10060" w:type="dxa"/>
        <w:tblLook w:val="04A0" w:firstRow="1" w:lastRow="0" w:firstColumn="1" w:lastColumn="0" w:noHBand="0" w:noVBand="1"/>
      </w:tblPr>
      <w:tblGrid>
        <w:gridCol w:w="4673"/>
        <w:gridCol w:w="2693"/>
        <w:gridCol w:w="2694"/>
      </w:tblGrid>
      <w:tr w:rsidR="00B8421D" w:rsidRPr="00840060" w14:paraId="0081C70F" w14:textId="77777777" w:rsidTr="007D3049">
        <w:tc>
          <w:tcPr>
            <w:tcW w:w="4673" w:type="dxa"/>
          </w:tcPr>
          <w:p w14:paraId="18229336" w14:textId="77777777" w:rsidR="00B8421D" w:rsidRPr="00840060" w:rsidRDefault="00B8421D" w:rsidP="008C6B29">
            <w:pPr>
              <w:rPr>
                <w:rFonts w:ascii="Gill Sans" w:hAnsi="Gill Sans"/>
              </w:rPr>
            </w:pPr>
          </w:p>
        </w:tc>
        <w:tc>
          <w:tcPr>
            <w:tcW w:w="2693" w:type="dxa"/>
          </w:tcPr>
          <w:p w14:paraId="01764042" w14:textId="77777777" w:rsidR="00B8421D" w:rsidRDefault="00B8421D" w:rsidP="008C6B29">
            <w:pPr>
              <w:rPr>
                <w:rFonts w:ascii="Gill Sans" w:hAnsi="Gill Sans"/>
              </w:rPr>
            </w:pPr>
            <w:r>
              <w:rPr>
                <w:rFonts w:ascii="Gill Sans" w:hAnsi="Gill Sans"/>
              </w:rPr>
              <w:t>Labour force participation rate</w:t>
            </w:r>
          </w:p>
        </w:tc>
        <w:tc>
          <w:tcPr>
            <w:tcW w:w="2694" w:type="dxa"/>
          </w:tcPr>
          <w:p w14:paraId="308BDBF3" w14:textId="77777777" w:rsidR="00B8421D" w:rsidRDefault="00B8421D" w:rsidP="008C6B29">
            <w:pPr>
              <w:rPr>
                <w:rFonts w:ascii="Gill Sans" w:hAnsi="Gill Sans"/>
              </w:rPr>
            </w:pPr>
            <w:r>
              <w:rPr>
                <w:rFonts w:ascii="Gill Sans" w:hAnsi="Gill Sans"/>
              </w:rPr>
              <w:t>Unemployment rate</w:t>
            </w:r>
          </w:p>
        </w:tc>
      </w:tr>
      <w:tr w:rsidR="00B8421D" w:rsidRPr="00840060" w14:paraId="19D69D0F" w14:textId="77777777" w:rsidTr="007D3049">
        <w:tc>
          <w:tcPr>
            <w:tcW w:w="4673" w:type="dxa"/>
          </w:tcPr>
          <w:p w14:paraId="0DBE37E6" w14:textId="77777777" w:rsidR="00B8421D" w:rsidRPr="00840060" w:rsidRDefault="00B8421D" w:rsidP="008C6B29">
            <w:pPr>
              <w:rPr>
                <w:rFonts w:ascii="Gill Sans" w:hAnsi="Gill Sans"/>
              </w:rPr>
            </w:pPr>
            <w:r w:rsidRPr="0087606C">
              <w:rPr>
                <w:rFonts w:ascii="Gill Sans" w:hAnsi="Gill Sans"/>
              </w:rPr>
              <w:t xml:space="preserve">Difficulty dressing, </w:t>
            </w:r>
            <w:proofErr w:type="gramStart"/>
            <w:r w:rsidRPr="0087606C">
              <w:rPr>
                <w:rFonts w:ascii="Gill Sans" w:hAnsi="Gill Sans"/>
              </w:rPr>
              <w:t>bathing</w:t>
            </w:r>
            <w:proofErr w:type="gramEnd"/>
            <w:r w:rsidRPr="0087606C">
              <w:rPr>
                <w:rFonts w:ascii="Gill Sans" w:hAnsi="Gill Sans"/>
              </w:rPr>
              <w:t xml:space="preserve"> or getting around inside the home</w:t>
            </w:r>
          </w:p>
        </w:tc>
        <w:tc>
          <w:tcPr>
            <w:tcW w:w="2693" w:type="dxa"/>
          </w:tcPr>
          <w:p w14:paraId="5573192E" w14:textId="08937CB1" w:rsidR="00B8421D" w:rsidRPr="00840060" w:rsidRDefault="00B8421D" w:rsidP="008C6B29">
            <w:pPr>
              <w:jc w:val="right"/>
              <w:rPr>
                <w:rFonts w:ascii="Gill Sans" w:hAnsi="Gill Sans"/>
              </w:rPr>
            </w:pPr>
            <w:r>
              <w:rPr>
                <w:rFonts w:ascii="Gill Sans" w:hAnsi="Gill Sans"/>
              </w:rPr>
              <w:t>10.2</w:t>
            </w:r>
          </w:p>
        </w:tc>
        <w:tc>
          <w:tcPr>
            <w:tcW w:w="2694" w:type="dxa"/>
          </w:tcPr>
          <w:p w14:paraId="3B99E442" w14:textId="21CEBF47" w:rsidR="00B8421D" w:rsidRPr="00840060" w:rsidRDefault="00BF39F1" w:rsidP="008C6B29">
            <w:pPr>
              <w:jc w:val="right"/>
              <w:rPr>
                <w:rFonts w:ascii="Gill Sans" w:hAnsi="Gill Sans"/>
              </w:rPr>
            </w:pPr>
            <w:r>
              <w:rPr>
                <w:rFonts w:ascii="Gill Sans" w:hAnsi="Gill Sans"/>
              </w:rPr>
              <w:t>25.5</w:t>
            </w:r>
          </w:p>
        </w:tc>
      </w:tr>
      <w:tr w:rsidR="00B8421D" w:rsidRPr="00840060" w14:paraId="2A0AA2AE" w14:textId="77777777" w:rsidTr="007D3049">
        <w:tc>
          <w:tcPr>
            <w:tcW w:w="4673" w:type="dxa"/>
          </w:tcPr>
          <w:p w14:paraId="5953FD33" w14:textId="77777777" w:rsidR="00B8421D" w:rsidRPr="00840060" w:rsidRDefault="00B8421D" w:rsidP="008C6B29">
            <w:pPr>
              <w:rPr>
                <w:rFonts w:ascii="Gill Sans" w:hAnsi="Gill Sans"/>
              </w:rPr>
            </w:pPr>
            <w:r w:rsidRPr="0087606C">
              <w:rPr>
                <w:rFonts w:ascii="Gill Sans" w:hAnsi="Gill Sans"/>
              </w:rPr>
              <w:t>Difficulty going outside the home</w:t>
            </w:r>
          </w:p>
        </w:tc>
        <w:tc>
          <w:tcPr>
            <w:tcW w:w="2693" w:type="dxa"/>
          </w:tcPr>
          <w:p w14:paraId="06256293" w14:textId="5E0EDA2A" w:rsidR="00B8421D" w:rsidRPr="00840060" w:rsidRDefault="00B8421D" w:rsidP="008C6B29">
            <w:pPr>
              <w:jc w:val="right"/>
              <w:rPr>
                <w:rFonts w:ascii="Gill Sans" w:hAnsi="Gill Sans"/>
              </w:rPr>
            </w:pPr>
            <w:r>
              <w:rPr>
                <w:rFonts w:ascii="Gill Sans" w:hAnsi="Gill Sans"/>
              </w:rPr>
              <w:t>10.9</w:t>
            </w:r>
          </w:p>
        </w:tc>
        <w:tc>
          <w:tcPr>
            <w:tcW w:w="2694" w:type="dxa"/>
          </w:tcPr>
          <w:p w14:paraId="63435B18" w14:textId="382C18BC" w:rsidR="00B8421D" w:rsidRPr="00840060" w:rsidRDefault="00BF39F1" w:rsidP="008C6B29">
            <w:pPr>
              <w:jc w:val="right"/>
              <w:rPr>
                <w:rFonts w:ascii="Gill Sans" w:hAnsi="Gill Sans"/>
              </w:rPr>
            </w:pPr>
            <w:r>
              <w:rPr>
                <w:rFonts w:ascii="Gill Sans" w:hAnsi="Gill Sans"/>
              </w:rPr>
              <w:t>32.9</w:t>
            </w:r>
          </w:p>
        </w:tc>
      </w:tr>
      <w:tr w:rsidR="00B8421D" w:rsidRPr="00840060" w14:paraId="001F567D" w14:textId="77777777" w:rsidTr="007D3049">
        <w:tc>
          <w:tcPr>
            <w:tcW w:w="4673" w:type="dxa"/>
          </w:tcPr>
          <w:p w14:paraId="750FA375" w14:textId="77777777" w:rsidR="00B8421D" w:rsidRPr="00840060" w:rsidRDefault="00B8421D" w:rsidP="008C6B29">
            <w:pPr>
              <w:rPr>
                <w:rFonts w:ascii="Gill Sans" w:hAnsi="Gill Sans"/>
              </w:rPr>
            </w:pPr>
            <w:r w:rsidRPr="0087606C">
              <w:rPr>
                <w:rFonts w:ascii="Gill Sans" w:hAnsi="Gill Sans"/>
              </w:rPr>
              <w:t>Difficulty working at a job or business or attending school or colleg</w:t>
            </w:r>
            <w:r>
              <w:rPr>
                <w:rFonts w:ascii="Gill Sans" w:hAnsi="Gill Sans"/>
              </w:rPr>
              <w:t>e</w:t>
            </w:r>
          </w:p>
        </w:tc>
        <w:tc>
          <w:tcPr>
            <w:tcW w:w="2693" w:type="dxa"/>
          </w:tcPr>
          <w:p w14:paraId="73FEACD2" w14:textId="784D8522" w:rsidR="00B8421D" w:rsidRPr="00840060" w:rsidRDefault="00B8421D" w:rsidP="008C6B29">
            <w:pPr>
              <w:jc w:val="right"/>
              <w:rPr>
                <w:rFonts w:ascii="Gill Sans" w:hAnsi="Gill Sans"/>
              </w:rPr>
            </w:pPr>
            <w:r>
              <w:rPr>
                <w:rFonts w:ascii="Gill Sans" w:hAnsi="Gill Sans"/>
              </w:rPr>
              <w:t>20.9</w:t>
            </w:r>
          </w:p>
        </w:tc>
        <w:tc>
          <w:tcPr>
            <w:tcW w:w="2694" w:type="dxa"/>
          </w:tcPr>
          <w:p w14:paraId="0C38F518" w14:textId="680ECD82" w:rsidR="00B8421D" w:rsidRPr="00840060" w:rsidRDefault="00BF39F1" w:rsidP="008C6B29">
            <w:pPr>
              <w:jc w:val="right"/>
              <w:rPr>
                <w:rFonts w:ascii="Gill Sans" w:hAnsi="Gill Sans"/>
              </w:rPr>
            </w:pPr>
            <w:r>
              <w:rPr>
                <w:rFonts w:ascii="Gill Sans" w:hAnsi="Gill Sans"/>
              </w:rPr>
              <w:t>30.8</w:t>
            </w:r>
          </w:p>
        </w:tc>
      </w:tr>
      <w:tr w:rsidR="00B8421D" w:rsidRPr="00840060" w14:paraId="7941AB71" w14:textId="77777777" w:rsidTr="007D3049">
        <w:tc>
          <w:tcPr>
            <w:tcW w:w="4673" w:type="dxa"/>
          </w:tcPr>
          <w:p w14:paraId="4D45B8CD" w14:textId="77777777" w:rsidR="00B8421D" w:rsidRPr="00840060" w:rsidRDefault="00B8421D" w:rsidP="008C6B29">
            <w:pPr>
              <w:rPr>
                <w:rFonts w:ascii="Gill Sans" w:hAnsi="Gill Sans"/>
              </w:rPr>
            </w:pPr>
            <w:r w:rsidRPr="0087606C">
              <w:rPr>
                <w:rFonts w:ascii="Gill Sans" w:hAnsi="Gill Sans"/>
              </w:rPr>
              <w:t>Difficulty participating in other activities</w:t>
            </w:r>
          </w:p>
        </w:tc>
        <w:tc>
          <w:tcPr>
            <w:tcW w:w="2693" w:type="dxa"/>
          </w:tcPr>
          <w:p w14:paraId="06CF5D94" w14:textId="14DBA1F3" w:rsidR="00B8421D" w:rsidRPr="00840060" w:rsidRDefault="00B8421D" w:rsidP="008C6B29">
            <w:pPr>
              <w:jc w:val="right"/>
              <w:rPr>
                <w:rFonts w:ascii="Gill Sans" w:hAnsi="Gill Sans"/>
              </w:rPr>
            </w:pPr>
            <w:r>
              <w:rPr>
                <w:rFonts w:ascii="Gill Sans" w:hAnsi="Gill Sans"/>
              </w:rPr>
              <w:t>19.1</w:t>
            </w:r>
          </w:p>
        </w:tc>
        <w:tc>
          <w:tcPr>
            <w:tcW w:w="2694" w:type="dxa"/>
          </w:tcPr>
          <w:p w14:paraId="5C45B51B" w14:textId="1AC5D14F" w:rsidR="00B8421D" w:rsidRPr="00840060" w:rsidRDefault="00BF39F1" w:rsidP="008C6B29">
            <w:pPr>
              <w:jc w:val="right"/>
              <w:rPr>
                <w:rFonts w:ascii="Gill Sans" w:hAnsi="Gill Sans"/>
              </w:rPr>
            </w:pPr>
            <w:r>
              <w:rPr>
                <w:rFonts w:ascii="Gill Sans" w:hAnsi="Gill Sans"/>
              </w:rPr>
              <w:t>22.8</w:t>
            </w:r>
          </w:p>
        </w:tc>
      </w:tr>
    </w:tbl>
    <w:p w14:paraId="04AF288B" w14:textId="77777777" w:rsidR="007D3049" w:rsidRDefault="007D3049" w:rsidP="00B8421D">
      <w:pPr>
        <w:pStyle w:val="TableNote"/>
      </w:pPr>
    </w:p>
    <w:p w14:paraId="45A99E71" w14:textId="77777777" w:rsidR="007D3049" w:rsidRDefault="007D3049" w:rsidP="00B8421D">
      <w:pPr>
        <w:pStyle w:val="TableNote"/>
      </w:pPr>
    </w:p>
    <w:p w14:paraId="2CEB84DE" w14:textId="77777777" w:rsidR="007D3049" w:rsidRDefault="007D3049" w:rsidP="00B8421D">
      <w:pPr>
        <w:pStyle w:val="TableNote"/>
      </w:pPr>
    </w:p>
    <w:p w14:paraId="7057C942" w14:textId="77777777" w:rsidR="007D3049" w:rsidRDefault="007D3049" w:rsidP="00B8421D">
      <w:pPr>
        <w:pStyle w:val="TableNote"/>
      </w:pPr>
    </w:p>
    <w:p w14:paraId="51A5B171" w14:textId="77777777" w:rsidR="007D3049" w:rsidRDefault="007D3049" w:rsidP="00B8421D">
      <w:pPr>
        <w:pStyle w:val="TableNote"/>
      </w:pPr>
    </w:p>
    <w:p w14:paraId="60F3C0CA" w14:textId="77777777" w:rsidR="007D3049" w:rsidRDefault="007D3049" w:rsidP="00B8421D">
      <w:pPr>
        <w:pStyle w:val="TableNote"/>
      </w:pPr>
    </w:p>
    <w:p w14:paraId="354A5612" w14:textId="77777777" w:rsidR="007D3049" w:rsidRDefault="007D3049" w:rsidP="00B8421D">
      <w:pPr>
        <w:pStyle w:val="TableNote"/>
      </w:pPr>
    </w:p>
    <w:p w14:paraId="2710862D" w14:textId="77777777" w:rsidR="007D3049" w:rsidRDefault="007D3049" w:rsidP="00B8421D">
      <w:pPr>
        <w:pStyle w:val="TableNote"/>
      </w:pPr>
    </w:p>
    <w:p w14:paraId="7FD4ADC1" w14:textId="55B1F0A7" w:rsidR="007D3049" w:rsidRDefault="00B8421D" w:rsidP="0088320D">
      <w:pPr>
        <w:pStyle w:val="TableNote"/>
        <w:sectPr w:rsidR="007D3049" w:rsidSect="007D3049">
          <w:pgSz w:w="16838" w:h="11906" w:orient="landscape" w:code="9"/>
          <w:pgMar w:top="1800" w:right="1440" w:bottom="1800" w:left="1440" w:header="708" w:footer="708" w:gutter="0"/>
          <w:cols w:space="708"/>
          <w:docGrid w:linePitch="360"/>
        </w:sectPr>
      </w:pPr>
      <w:r w:rsidRPr="001A4FFB">
        <w:t>Source: Census 2022</w:t>
      </w:r>
    </w:p>
    <w:p w14:paraId="34FECCB8" w14:textId="71F25966" w:rsidR="00A738C0" w:rsidRPr="008C0E3C" w:rsidRDefault="0088320D" w:rsidP="00A738C0">
      <w:pPr>
        <w:pStyle w:val="Heading2"/>
      </w:pPr>
      <w:r>
        <w:lastRenderedPageBreak/>
        <w:t>A</w:t>
      </w:r>
      <w:r w:rsidR="00A738C0">
        <w:t>ppendix A: Definition of disability in Census 2022</w:t>
      </w:r>
    </w:p>
    <w:p w14:paraId="2E0080AB" w14:textId="2BF9CE9B" w:rsidR="00A738C0" w:rsidRDefault="00A738C0" w:rsidP="00A738C0">
      <w:r>
        <w:t>In Census 2022, d</w:t>
      </w:r>
      <w:r w:rsidRPr="00893E63">
        <w:t xml:space="preserve">ata on disability were derived from answers to two questions on the </w:t>
      </w:r>
      <w:r>
        <w:t>census form</w:t>
      </w:r>
      <w:r w:rsidRPr="00893E63">
        <w:t xml:space="preserve">. </w:t>
      </w:r>
      <w:r>
        <w:t>In the first question, census respondents were asked to indicate if they had any of a list of long-lasting conditions or difficulties, by choosing one of three response options: ‘yes, to some extent’, ‘yes, to a great extent’ or ‘no’</w:t>
      </w:r>
      <w:r w:rsidR="009C03AD">
        <w:t xml:space="preserve"> (see Q15 below)</w:t>
      </w:r>
      <w:r>
        <w:t>. In previous censuses, only two response options were provided: ‘yes’ and ‘no’. The second question asked respondents to indicate whether they had difficulty doing any of a series of daily activities, by responding that they had ‘no difficulty’, ‘some difficulty’ or ‘a lot of difficulty’</w:t>
      </w:r>
      <w:r w:rsidR="009C03AD">
        <w:t xml:space="preserve"> (see Q16 below)</w:t>
      </w:r>
      <w:r>
        <w:t xml:space="preserve">. In previous censuses, respondents were only asked to respond to this question on activity limitation if they had already indicated that they experienced one of the conditions or difficulties in the previous question; in 2022, everyone was asked to respond to both questions. </w:t>
      </w:r>
    </w:p>
    <w:p w14:paraId="6454E115" w14:textId="556BF4EF" w:rsidR="00A738C0" w:rsidRDefault="00A738C0" w:rsidP="00A738C0">
      <w:r>
        <w:t>Individuals</w:t>
      </w:r>
      <w:r w:rsidRPr="005033AC">
        <w:t xml:space="preserve"> who </w:t>
      </w:r>
      <w:r>
        <w:t xml:space="preserve">selected a response of </w:t>
      </w:r>
      <w:r w:rsidRPr="005033AC">
        <w:t>'</w:t>
      </w:r>
      <w:r>
        <w:t>y</w:t>
      </w:r>
      <w:r w:rsidRPr="005033AC">
        <w:t xml:space="preserve">es, to some extent' </w:t>
      </w:r>
      <w:r>
        <w:t>for at least one condition/difficulty</w:t>
      </w:r>
      <w:r w:rsidRPr="005033AC">
        <w:t xml:space="preserve"> or '</w:t>
      </w:r>
      <w:r>
        <w:t>y</w:t>
      </w:r>
      <w:r w:rsidRPr="005033AC">
        <w:t xml:space="preserve">es, a little' </w:t>
      </w:r>
      <w:r>
        <w:t>for difficulty with one activity, but</w:t>
      </w:r>
      <w:r w:rsidRPr="005033AC">
        <w:t xml:space="preserve"> did not </w:t>
      </w:r>
      <w:r>
        <w:t>select</w:t>
      </w:r>
      <w:r w:rsidRPr="005033AC">
        <w:t xml:space="preserve"> '</w:t>
      </w:r>
      <w:r>
        <w:t>y</w:t>
      </w:r>
      <w:r w:rsidRPr="005033AC">
        <w:t>es to a great extent' or '</w:t>
      </w:r>
      <w:r>
        <w:t>y</w:t>
      </w:r>
      <w:r w:rsidRPr="005033AC">
        <w:t xml:space="preserve">es, a lot' </w:t>
      </w:r>
      <w:r>
        <w:t>for</w:t>
      </w:r>
      <w:r w:rsidRPr="005033AC">
        <w:t xml:space="preserve"> </w:t>
      </w:r>
      <w:r>
        <w:t>either question were classified as having a</w:t>
      </w:r>
      <w:r w:rsidRPr="005033AC">
        <w:t xml:space="preserve"> 'disability to some extent'. </w:t>
      </w:r>
      <w:r>
        <w:t xml:space="preserve">Individuals </w:t>
      </w:r>
      <w:r w:rsidRPr="005033AC">
        <w:t xml:space="preserve">who </w:t>
      </w:r>
      <w:r>
        <w:t>selected at least one of the</w:t>
      </w:r>
      <w:r w:rsidRPr="005033AC">
        <w:t xml:space="preserve"> '</w:t>
      </w:r>
      <w:r>
        <w:t>y</w:t>
      </w:r>
      <w:r w:rsidRPr="005033AC">
        <w:t>es, to a great extent' or '</w:t>
      </w:r>
      <w:r>
        <w:t>y</w:t>
      </w:r>
      <w:r w:rsidRPr="005033AC">
        <w:t xml:space="preserve">es, a lot' </w:t>
      </w:r>
      <w:r>
        <w:t>response options</w:t>
      </w:r>
      <w:r w:rsidRPr="005033AC">
        <w:t xml:space="preserve"> were </w:t>
      </w:r>
      <w:r>
        <w:t>classified as having a</w:t>
      </w:r>
      <w:r w:rsidRPr="005033AC">
        <w:t xml:space="preserve"> 'disability to a great extent'</w:t>
      </w:r>
      <w:r>
        <w:t xml:space="preserve">. Any individual </w:t>
      </w:r>
      <w:r w:rsidRPr="005033AC">
        <w:t>who ticked any of the '</w:t>
      </w:r>
      <w:r>
        <w:t>y</w:t>
      </w:r>
      <w:r w:rsidRPr="005033AC">
        <w:t xml:space="preserve">es' boxes in </w:t>
      </w:r>
      <w:r>
        <w:t>either question</w:t>
      </w:r>
      <w:r w:rsidRPr="005033AC">
        <w:t xml:space="preserve"> </w:t>
      </w:r>
      <w:r>
        <w:t>was</w:t>
      </w:r>
      <w:r w:rsidRPr="005033AC">
        <w:t xml:space="preserve"> </w:t>
      </w:r>
      <w:r>
        <w:t>considered as part of the</w:t>
      </w:r>
      <w:r w:rsidRPr="005033AC">
        <w:t xml:space="preserve"> 'disability to any extent'</w:t>
      </w:r>
      <w:r>
        <w:t xml:space="preserve"> group</w:t>
      </w:r>
      <w:r w:rsidR="0067231C">
        <w:t xml:space="preserve">. </w:t>
      </w:r>
    </w:p>
    <w:p w14:paraId="0D4F4F82" w14:textId="597C7BD7" w:rsidR="0067231C" w:rsidRPr="00F719DB" w:rsidRDefault="0067231C" w:rsidP="00A738C0">
      <w:pPr>
        <w:rPr>
          <w:b/>
          <w:bCs/>
        </w:rPr>
      </w:pPr>
      <w:r w:rsidRPr="0067231C">
        <w:rPr>
          <w:b/>
          <w:bCs/>
        </w:rPr>
        <w:t>Census Q15</w:t>
      </w:r>
      <w:r w:rsidR="00F719DB">
        <w:rPr>
          <w:b/>
          <w:bCs/>
        </w:rPr>
        <w:t xml:space="preserve">: </w:t>
      </w:r>
      <w:r w:rsidRPr="0067231C">
        <w:rPr>
          <w:b/>
          <w:bCs/>
        </w:rPr>
        <w:t>Do you have any of the following long-lasting conditions or difficulties?</w:t>
      </w:r>
    </w:p>
    <w:tbl>
      <w:tblPr>
        <w:tblStyle w:val="TableGrid"/>
        <w:tblW w:w="0" w:type="auto"/>
        <w:tblLook w:val="04A0" w:firstRow="1" w:lastRow="0" w:firstColumn="1" w:lastColumn="0" w:noHBand="0" w:noVBand="1"/>
      </w:tblPr>
      <w:tblGrid>
        <w:gridCol w:w="3681"/>
        <w:gridCol w:w="1701"/>
        <w:gridCol w:w="1631"/>
        <w:gridCol w:w="1283"/>
      </w:tblGrid>
      <w:tr w:rsidR="0067231C" w14:paraId="659BDA48" w14:textId="77777777" w:rsidTr="00F719DB">
        <w:tc>
          <w:tcPr>
            <w:tcW w:w="3681" w:type="dxa"/>
          </w:tcPr>
          <w:p w14:paraId="15A010BA" w14:textId="77777777" w:rsidR="0067231C" w:rsidRDefault="0067231C" w:rsidP="00B72BFC">
            <w:pPr>
              <w:spacing w:after="0"/>
            </w:pPr>
          </w:p>
        </w:tc>
        <w:tc>
          <w:tcPr>
            <w:tcW w:w="1701" w:type="dxa"/>
          </w:tcPr>
          <w:p w14:paraId="38AE7494" w14:textId="5E01D7CD" w:rsidR="0067231C" w:rsidRDefault="0067231C" w:rsidP="0067231C">
            <w:pPr>
              <w:spacing w:after="0"/>
            </w:pPr>
            <w:r>
              <w:t>1 Yes, to a great ex</w:t>
            </w:r>
            <w:r w:rsidR="00D2746B">
              <w:t>t</w:t>
            </w:r>
            <w:r>
              <w:t>ent</w:t>
            </w:r>
          </w:p>
        </w:tc>
        <w:tc>
          <w:tcPr>
            <w:tcW w:w="1631" w:type="dxa"/>
          </w:tcPr>
          <w:p w14:paraId="17BB36C6" w14:textId="14AA2F58" w:rsidR="0067231C" w:rsidRDefault="0067231C" w:rsidP="00B72BFC">
            <w:pPr>
              <w:spacing w:after="0"/>
            </w:pPr>
            <w:r>
              <w:t>2 Yes, to some extent</w:t>
            </w:r>
          </w:p>
        </w:tc>
        <w:tc>
          <w:tcPr>
            <w:tcW w:w="1283" w:type="dxa"/>
          </w:tcPr>
          <w:p w14:paraId="0430F7B7" w14:textId="74083B5A" w:rsidR="0067231C" w:rsidRDefault="003D2F86" w:rsidP="003D2F86">
            <w:pPr>
              <w:spacing w:after="0"/>
            </w:pPr>
            <w:r>
              <w:t>3 No</w:t>
            </w:r>
          </w:p>
        </w:tc>
      </w:tr>
      <w:tr w:rsidR="0067231C" w14:paraId="5F621B9B" w14:textId="77777777" w:rsidTr="00F719DB">
        <w:tc>
          <w:tcPr>
            <w:tcW w:w="3681" w:type="dxa"/>
          </w:tcPr>
          <w:p w14:paraId="2711DBD7" w14:textId="40B33A0F" w:rsidR="0067231C" w:rsidRDefault="0067231C" w:rsidP="0067231C">
            <w:pPr>
              <w:spacing w:after="0"/>
            </w:pPr>
            <w:r>
              <w:t>a) Blindness or a vision impairment</w:t>
            </w:r>
          </w:p>
        </w:tc>
        <w:tc>
          <w:tcPr>
            <w:tcW w:w="1701" w:type="dxa"/>
          </w:tcPr>
          <w:p w14:paraId="732B9F38" w14:textId="77777777" w:rsidR="0067231C" w:rsidRDefault="0067231C" w:rsidP="00B72BFC">
            <w:pPr>
              <w:spacing w:after="0"/>
            </w:pPr>
          </w:p>
        </w:tc>
        <w:tc>
          <w:tcPr>
            <w:tcW w:w="1631" w:type="dxa"/>
          </w:tcPr>
          <w:p w14:paraId="6B88188F" w14:textId="77777777" w:rsidR="0067231C" w:rsidRDefault="0067231C" w:rsidP="00B72BFC">
            <w:pPr>
              <w:spacing w:after="0"/>
            </w:pPr>
          </w:p>
        </w:tc>
        <w:tc>
          <w:tcPr>
            <w:tcW w:w="1283" w:type="dxa"/>
          </w:tcPr>
          <w:p w14:paraId="5F231178" w14:textId="77777777" w:rsidR="0067231C" w:rsidRDefault="0067231C" w:rsidP="00B72BFC">
            <w:pPr>
              <w:spacing w:after="0"/>
            </w:pPr>
          </w:p>
        </w:tc>
      </w:tr>
      <w:tr w:rsidR="0067231C" w14:paraId="018B8A56" w14:textId="77777777" w:rsidTr="00F719DB">
        <w:tc>
          <w:tcPr>
            <w:tcW w:w="3681" w:type="dxa"/>
          </w:tcPr>
          <w:p w14:paraId="51CA028B" w14:textId="0A7B25BD" w:rsidR="0067231C" w:rsidRDefault="00D2746B" w:rsidP="00B72BFC">
            <w:pPr>
              <w:spacing w:after="0"/>
            </w:pPr>
            <w:r>
              <w:t>b) Deafness or a hearing impairment</w:t>
            </w:r>
          </w:p>
        </w:tc>
        <w:tc>
          <w:tcPr>
            <w:tcW w:w="1701" w:type="dxa"/>
          </w:tcPr>
          <w:p w14:paraId="4DD0644A" w14:textId="77777777" w:rsidR="0067231C" w:rsidRDefault="0067231C" w:rsidP="00B72BFC">
            <w:pPr>
              <w:spacing w:after="0"/>
            </w:pPr>
          </w:p>
        </w:tc>
        <w:tc>
          <w:tcPr>
            <w:tcW w:w="1631" w:type="dxa"/>
          </w:tcPr>
          <w:p w14:paraId="4EA443E6" w14:textId="77777777" w:rsidR="0067231C" w:rsidRDefault="0067231C" w:rsidP="00B72BFC">
            <w:pPr>
              <w:spacing w:after="0"/>
            </w:pPr>
          </w:p>
        </w:tc>
        <w:tc>
          <w:tcPr>
            <w:tcW w:w="1283" w:type="dxa"/>
          </w:tcPr>
          <w:p w14:paraId="0ECDA04E" w14:textId="77777777" w:rsidR="0067231C" w:rsidRDefault="0067231C" w:rsidP="00B72BFC">
            <w:pPr>
              <w:spacing w:after="0"/>
            </w:pPr>
          </w:p>
        </w:tc>
      </w:tr>
      <w:tr w:rsidR="0067231C" w14:paraId="2A87C2B3" w14:textId="77777777" w:rsidTr="00F719DB">
        <w:tc>
          <w:tcPr>
            <w:tcW w:w="3681" w:type="dxa"/>
          </w:tcPr>
          <w:p w14:paraId="6146A8FB" w14:textId="707A14FB" w:rsidR="0067231C" w:rsidRDefault="00D2746B" w:rsidP="00B72BFC">
            <w:pPr>
              <w:spacing w:after="0"/>
            </w:pPr>
            <w:r>
              <w:t xml:space="preserve">c) A difficulty with basic physical activities such as walking, climbing stairs, reaching, </w:t>
            </w:r>
            <w:proofErr w:type="gramStart"/>
            <w:r>
              <w:t>lifting</w:t>
            </w:r>
            <w:proofErr w:type="gramEnd"/>
            <w:r>
              <w:t xml:space="preserve"> or carrying</w:t>
            </w:r>
          </w:p>
        </w:tc>
        <w:tc>
          <w:tcPr>
            <w:tcW w:w="1701" w:type="dxa"/>
          </w:tcPr>
          <w:p w14:paraId="6ECD97AC" w14:textId="77777777" w:rsidR="0067231C" w:rsidRDefault="0067231C" w:rsidP="00B72BFC">
            <w:pPr>
              <w:spacing w:after="0"/>
            </w:pPr>
          </w:p>
        </w:tc>
        <w:tc>
          <w:tcPr>
            <w:tcW w:w="1631" w:type="dxa"/>
          </w:tcPr>
          <w:p w14:paraId="60409BC4" w14:textId="77777777" w:rsidR="0067231C" w:rsidRDefault="0067231C" w:rsidP="00B72BFC">
            <w:pPr>
              <w:spacing w:after="0"/>
            </w:pPr>
          </w:p>
        </w:tc>
        <w:tc>
          <w:tcPr>
            <w:tcW w:w="1283" w:type="dxa"/>
          </w:tcPr>
          <w:p w14:paraId="29A498D4" w14:textId="77777777" w:rsidR="0067231C" w:rsidRDefault="0067231C" w:rsidP="00B72BFC">
            <w:pPr>
              <w:spacing w:after="0"/>
            </w:pPr>
          </w:p>
        </w:tc>
      </w:tr>
      <w:tr w:rsidR="0067231C" w14:paraId="0F4C63EC" w14:textId="77777777" w:rsidTr="00F719DB">
        <w:tc>
          <w:tcPr>
            <w:tcW w:w="3681" w:type="dxa"/>
          </w:tcPr>
          <w:p w14:paraId="35452405" w14:textId="3EBC942E" w:rsidR="0067231C" w:rsidRDefault="00D2746B" w:rsidP="00B72BFC">
            <w:pPr>
              <w:spacing w:after="0"/>
            </w:pPr>
            <w:r>
              <w:t>d) An intellectual disability</w:t>
            </w:r>
          </w:p>
        </w:tc>
        <w:tc>
          <w:tcPr>
            <w:tcW w:w="1701" w:type="dxa"/>
          </w:tcPr>
          <w:p w14:paraId="3883A93C" w14:textId="77777777" w:rsidR="0067231C" w:rsidRDefault="0067231C" w:rsidP="00B72BFC">
            <w:pPr>
              <w:spacing w:after="0"/>
            </w:pPr>
          </w:p>
        </w:tc>
        <w:tc>
          <w:tcPr>
            <w:tcW w:w="1631" w:type="dxa"/>
          </w:tcPr>
          <w:p w14:paraId="2E003F56" w14:textId="77777777" w:rsidR="0067231C" w:rsidRDefault="0067231C" w:rsidP="00B72BFC">
            <w:pPr>
              <w:spacing w:after="0"/>
            </w:pPr>
          </w:p>
        </w:tc>
        <w:tc>
          <w:tcPr>
            <w:tcW w:w="1283" w:type="dxa"/>
          </w:tcPr>
          <w:p w14:paraId="5A8A863B" w14:textId="77777777" w:rsidR="0067231C" w:rsidRDefault="0067231C" w:rsidP="00B72BFC">
            <w:pPr>
              <w:spacing w:after="0"/>
            </w:pPr>
          </w:p>
        </w:tc>
      </w:tr>
      <w:tr w:rsidR="0067231C" w14:paraId="2F179139" w14:textId="77777777" w:rsidTr="00F719DB">
        <w:tc>
          <w:tcPr>
            <w:tcW w:w="3681" w:type="dxa"/>
          </w:tcPr>
          <w:p w14:paraId="00A20A16" w14:textId="1E092A4A" w:rsidR="0067231C" w:rsidRDefault="00D2746B" w:rsidP="00B72BFC">
            <w:pPr>
              <w:spacing w:after="0"/>
            </w:pPr>
            <w:r>
              <w:t xml:space="preserve">e) A difficulty with learning, </w:t>
            </w:r>
            <w:proofErr w:type="gramStart"/>
            <w:r>
              <w:t>remembering</w:t>
            </w:r>
            <w:proofErr w:type="gramEnd"/>
            <w:r>
              <w:t xml:space="preserve"> or concentrating</w:t>
            </w:r>
          </w:p>
        </w:tc>
        <w:tc>
          <w:tcPr>
            <w:tcW w:w="1701" w:type="dxa"/>
          </w:tcPr>
          <w:p w14:paraId="6369AE0E" w14:textId="77777777" w:rsidR="0067231C" w:rsidRDefault="0067231C" w:rsidP="00B72BFC">
            <w:pPr>
              <w:spacing w:after="0"/>
            </w:pPr>
          </w:p>
        </w:tc>
        <w:tc>
          <w:tcPr>
            <w:tcW w:w="1631" w:type="dxa"/>
          </w:tcPr>
          <w:p w14:paraId="6847348A" w14:textId="77777777" w:rsidR="0067231C" w:rsidRDefault="0067231C" w:rsidP="00B72BFC">
            <w:pPr>
              <w:spacing w:after="0"/>
            </w:pPr>
          </w:p>
        </w:tc>
        <w:tc>
          <w:tcPr>
            <w:tcW w:w="1283" w:type="dxa"/>
          </w:tcPr>
          <w:p w14:paraId="0EB77531" w14:textId="77777777" w:rsidR="0067231C" w:rsidRDefault="0067231C" w:rsidP="00B72BFC">
            <w:pPr>
              <w:spacing w:after="0"/>
            </w:pPr>
          </w:p>
        </w:tc>
      </w:tr>
      <w:tr w:rsidR="0067231C" w14:paraId="4ACC36A3" w14:textId="77777777" w:rsidTr="00F719DB">
        <w:tc>
          <w:tcPr>
            <w:tcW w:w="3681" w:type="dxa"/>
          </w:tcPr>
          <w:p w14:paraId="362B08EE" w14:textId="62E0F7E2" w:rsidR="0067231C" w:rsidRDefault="00D2746B" w:rsidP="00B72BFC">
            <w:pPr>
              <w:spacing w:after="0"/>
            </w:pPr>
            <w:r>
              <w:t>f) A psychological or emotional condition or a mental health issue</w:t>
            </w:r>
          </w:p>
        </w:tc>
        <w:tc>
          <w:tcPr>
            <w:tcW w:w="1701" w:type="dxa"/>
          </w:tcPr>
          <w:p w14:paraId="2C026868" w14:textId="77777777" w:rsidR="0067231C" w:rsidRDefault="0067231C" w:rsidP="00B72BFC">
            <w:pPr>
              <w:spacing w:after="0"/>
            </w:pPr>
          </w:p>
        </w:tc>
        <w:tc>
          <w:tcPr>
            <w:tcW w:w="1631" w:type="dxa"/>
          </w:tcPr>
          <w:p w14:paraId="736C1E5E" w14:textId="77777777" w:rsidR="0067231C" w:rsidRDefault="0067231C" w:rsidP="00B72BFC">
            <w:pPr>
              <w:spacing w:after="0"/>
            </w:pPr>
          </w:p>
        </w:tc>
        <w:tc>
          <w:tcPr>
            <w:tcW w:w="1283" w:type="dxa"/>
          </w:tcPr>
          <w:p w14:paraId="15D5EC05" w14:textId="77777777" w:rsidR="0067231C" w:rsidRDefault="0067231C" w:rsidP="00B72BFC">
            <w:pPr>
              <w:spacing w:after="0"/>
            </w:pPr>
          </w:p>
        </w:tc>
      </w:tr>
      <w:tr w:rsidR="0067231C" w14:paraId="763E6E44" w14:textId="77777777" w:rsidTr="00F719DB">
        <w:tc>
          <w:tcPr>
            <w:tcW w:w="3681" w:type="dxa"/>
          </w:tcPr>
          <w:p w14:paraId="1758D53F" w14:textId="0A0A9D45" w:rsidR="0067231C" w:rsidRDefault="00D2746B" w:rsidP="00B72BFC">
            <w:pPr>
              <w:spacing w:after="0"/>
            </w:pPr>
            <w:r>
              <w:t>g) A difficulty with pain, breathing, or any other chronic illness or condition</w:t>
            </w:r>
          </w:p>
        </w:tc>
        <w:tc>
          <w:tcPr>
            <w:tcW w:w="1701" w:type="dxa"/>
          </w:tcPr>
          <w:p w14:paraId="45F9970C" w14:textId="77777777" w:rsidR="0067231C" w:rsidRDefault="0067231C" w:rsidP="00B72BFC">
            <w:pPr>
              <w:spacing w:after="0"/>
            </w:pPr>
          </w:p>
        </w:tc>
        <w:tc>
          <w:tcPr>
            <w:tcW w:w="1631" w:type="dxa"/>
          </w:tcPr>
          <w:p w14:paraId="132473F0" w14:textId="77777777" w:rsidR="0067231C" w:rsidRDefault="0067231C" w:rsidP="00B72BFC">
            <w:pPr>
              <w:spacing w:after="0"/>
            </w:pPr>
          </w:p>
        </w:tc>
        <w:tc>
          <w:tcPr>
            <w:tcW w:w="1283" w:type="dxa"/>
          </w:tcPr>
          <w:p w14:paraId="78808A16" w14:textId="77777777" w:rsidR="0067231C" w:rsidRDefault="0067231C" w:rsidP="00B72BFC">
            <w:pPr>
              <w:spacing w:after="0"/>
            </w:pPr>
          </w:p>
        </w:tc>
      </w:tr>
    </w:tbl>
    <w:p w14:paraId="46CDCEB7" w14:textId="4923F409" w:rsidR="00A738C0" w:rsidRDefault="00A738C0" w:rsidP="00B72BFC">
      <w:pPr>
        <w:spacing w:after="0"/>
      </w:pPr>
    </w:p>
    <w:p w14:paraId="402F9DD5" w14:textId="243ADDCB" w:rsidR="00F719DB" w:rsidRPr="00F719DB" w:rsidRDefault="00F719DB" w:rsidP="00F719DB">
      <w:pPr>
        <w:rPr>
          <w:i/>
          <w:iCs/>
        </w:rPr>
      </w:pPr>
      <w:r w:rsidRPr="0067231C">
        <w:rPr>
          <w:b/>
          <w:bCs/>
        </w:rPr>
        <w:lastRenderedPageBreak/>
        <w:t>Census Q1</w:t>
      </w:r>
      <w:r>
        <w:rPr>
          <w:b/>
          <w:bCs/>
        </w:rPr>
        <w:t xml:space="preserve">6: As a result of a long-lasting condition, do you have difficulty doing any of the following? </w:t>
      </w:r>
      <w:r>
        <w:rPr>
          <w:i/>
          <w:iCs/>
        </w:rPr>
        <w:t>Include issues due to old age</w:t>
      </w:r>
      <w:r w:rsidR="00C44ACB">
        <w:rPr>
          <w:i/>
          <w:iCs/>
        </w:rPr>
        <w:t>.</w:t>
      </w:r>
    </w:p>
    <w:tbl>
      <w:tblPr>
        <w:tblStyle w:val="TableGrid"/>
        <w:tblW w:w="0" w:type="auto"/>
        <w:tblLook w:val="04A0" w:firstRow="1" w:lastRow="0" w:firstColumn="1" w:lastColumn="0" w:noHBand="0" w:noVBand="1"/>
      </w:tblPr>
      <w:tblGrid>
        <w:gridCol w:w="3114"/>
        <w:gridCol w:w="1559"/>
        <w:gridCol w:w="1843"/>
        <w:gridCol w:w="1780"/>
      </w:tblGrid>
      <w:tr w:rsidR="00F719DB" w14:paraId="565F2E22" w14:textId="77777777" w:rsidTr="003D2F86">
        <w:tc>
          <w:tcPr>
            <w:tcW w:w="3114" w:type="dxa"/>
          </w:tcPr>
          <w:p w14:paraId="7DC6C573" w14:textId="77777777" w:rsidR="00F719DB" w:rsidRDefault="00F719DB" w:rsidP="00CA6E07">
            <w:pPr>
              <w:spacing w:after="0"/>
            </w:pPr>
          </w:p>
        </w:tc>
        <w:tc>
          <w:tcPr>
            <w:tcW w:w="1559" w:type="dxa"/>
          </w:tcPr>
          <w:p w14:paraId="4D91BB25" w14:textId="207C050E" w:rsidR="00F719DB" w:rsidRDefault="00F719DB" w:rsidP="00CA6E07">
            <w:pPr>
              <w:spacing w:after="0"/>
            </w:pPr>
            <w:r>
              <w:t xml:space="preserve">1 Yes, </w:t>
            </w:r>
            <w:r w:rsidR="00C705AC">
              <w:t>a lot</w:t>
            </w:r>
          </w:p>
        </w:tc>
        <w:tc>
          <w:tcPr>
            <w:tcW w:w="1843" w:type="dxa"/>
          </w:tcPr>
          <w:p w14:paraId="6AC569B5" w14:textId="368DA974" w:rsidR="00F719DB" w:rsidRDefault="00F719DB" w:rsidP="00CA6E07">
            <w:pPr>
              <w:spacing w:after="0"/>
            </w:pPr>
            <w:r>
              <w:t xml:space="preserve">2 Yes, </w:t>
            </w:r>
            <w:r w:rsidR="00C705AC">
              <w:t>a little</w:t>
            </w:r>
          </w:p>
        </w:tc>
        <w:tc>
          <w:tcPr>
            <w:tcW w:w="1780" w:type="dxa"/>
          </w:tcPr>
          <w:p w14:paraId="32753AD8" w14:textId="77777777" w:rsidR="00F719DB" w:rsidRDefault="00F719DB" w:rsidP="00F719DB">
            <w:pPr>
              <w:pStyle w:val="ListParagraph"/>
              <w:numPr>
                <w:ilvl w:val="0"/>
                <w:numId w:val="26"/>
              </w:numPr>
              <w:spacing w:after="0"/>
            </w:pPr>
            <w:r>
              <w:t>No</w:t>
            </w:r>
          </w:p>
        </w:tc>
      </w:tr>
      <w:tr w:rsidR="00F719DB" w14:paraId="08A57F53" w14:textId="77777777" w:rsidTr="003D2F86">
        <w:tc>
          <w:tcPr>
            <w:tcW w:w="3114" w:type="dxa"/>
          </w:tcPr>
          <w:p w14:paraId="1C79BB00" w14:textId="18C0C3D0" w:rsidR="00F719DB" w:rsidRDefault="00F719DB" w:rsidP="00CA6E07">
            <w:pPr>
              <w:spacing w:after="0"/>
            </w:pPr>
            <w:r>
              <w:t>a) Dressing, bathing, or getting around inside the home</w:t>
            </w:r>
          </w:p>
        </w:tc>
        <w:tc>
          <w:tcPr>
            <w:tcW w:w="1559" w:type="dxa"/>
          </w:tcPr>
          <w:p w14:paraId="0507B104" w14:textId="77777777" w:rsidR="00F719DB" w:rsidRDefault="00F719DB" w:rsidP="00CA6E07">
            <w:pPr>
              <w:spacing w:after="0"/>
            </w:pPr>
          </w:p>
        </w:tc>
        <w:tc>
          <w:tcPr>
            <w:tcW w:w="1843" w:type="dxa"/>
          </w:tcPr>
          <w:p w14:paraId="131E9AE8" w14:textId="77777777" w:rsidR="00F719DB" w:rsidRDefault="00F719DB" w:rsidP="00CA6E07">
            <w:pPr>
              <w:spacing w:after="0"/>
            </w:pPr>
          </w:p>
        </w:tc>
        <w:tc>
          <w:tcPr>
            <w:tcW w:w="1780" w:type="dxa"/>
          </w:tcPr>
          <w:p w14:paraId="18296F74" w14:textId="77777777" w:rsidR="00F719DB" w:rsidRDefault="00F719DB" w:rsidP="00CA6E07">
            <w:pPr>
              <w:spacing w:after="0"/>
            </w:pPr>
          </w:p>
        </w:tc>
      </w:tr>
      <w:tr w:rsidR="00F719DB" w14:paraId="41BF07EE" w14:textId="77777777" w:rsidTr="003D2F86">
        <w:tc>
          <w:tcPr>
            <w:tcW w:w="3114" w:type="dxa"/>
          </w:tcPr>
          <w:p w14:paraId="50123FE2" w14:textId="26DD6172" w:rsidR="00F719DB" w:rsidRDefault="00F719DB" w:rsidP="00CA6E07">
            <w:pPr>
              <w:spacing w:after="0"/>
            </w:pPr>
            <w:r>
              <w:t>b) Going outside the home to shop or visit a doctor’s surgery</w:t>
            </w:r>
          </w:p>
        </w:tc>
        <w:tc>
          <w:tcPr>
            <w:tcW w:w="1559" w:type="dxa"/>
          </w:tcPr>
          <w:p w14:paraId="6729ABCC" w14:textId="77777777" w:rsidR="00F719DB" w:rsidRDefault="00F719DB" w:rsidP="00CA6E07">
            <w:pPr>
              <w:spacing w:after="0"/>
            </w:pPr>
          </w:p>
        </w:tc>
        <w:tc>
          <w:tcPr>
            <w:tcW w:w="1843" w:type="dxa"/>
          </w:tcPr>
          <w:p w14:paraId="44B0A420" w14:textId="77777777" w:rsidR="00F719DB" w:rsidRDefault="00F719DB" w:rsidP="00CA6E07">
            <w:pPr>
              <w:spacing w:after="0"/>
            </w:pPr>
          </w:p>
        </w:tc>
        <w:tc>
          <w:tcPr>
            <w:tcW w:w="1780" w:type="dxa"/>
          </w:tcPr>
          <w:p w14:paraId="4795327F" w14:textId="77777777" w:rsidR="00F719DB" w:rsidRDefault="00F719DB" w:rsidP="00CA6E07">
            <w:pPr>
              <w:spacing w:after="0"/>
            </w:pPr>
          </w:p>
        </w:tc>
      </w:tr>
      <w:tr w:rsidR="00F719DB" w14:paraId="605F8680" w14:textId="77777777" w:rsidTr="003D2F86">
        <w:tc>
          <w:tcPr>
            <w:tcW w:w="3114" w:type="dxa"/>
          </w:tcPr>
          <w:p w14:paraId="58A00E79" w14:textId="2CEAF6FF" w:rsidR="00F719DB" w:rsidRDefault="00F719DB" w:rsidP="00CA6E07">
            <w:pPr>
              <w:spacing w:after="0"/>
            </w:pPr>
            <w:r>
              <w:t>c) Working at a job or business or attending school or college</w:t>
            </w:r>
          </w:p>
        </w:tc>
        <w:tc>
          <w:tcPr>
            <w:tcW w:w="1559" w:type="dxa"/>
          </w:tcPr>
          <w:p w14:paraId="0F583012" w14:textId="77777777" w:rsidR="00F719DB" w:rsidRDefault="00F719DB" w:rsidP="00CA6E07">
            <w:pPr>
              <w:spacing w:after="0"/>
            </w:pPr>
          </w:p>
        </w:tc>
        <w:tc>
          <w:tcPr>
            <w:tcW w:w="1843" w:type="dxa"/>
          </w:tcPr>
          <w:p w14:paraId="4538DC89" w14:textId="77777777" w:rsidR="00F719DB" w:rsidRDefault="00F719DB" w:rsidP="00CA6E07">
            <w:pPr>
              <w:spacing w:after="0"/>
            </w:pPr>
          </w:p>
        </w:tc>
        <w:tc>
          <w:tcPr>
            <w:tcW w:w="1780" w:type="dxa"/>
          </w:tcPr>
          <w:p w14:paraId="31713DE0" w14:textId="77777777" w:rsidR="00F719DB" w:rsidRDefault="00F719DB" w:rsidP="00CA6E07">
            <w:pPr>
              <w:spacing w:after="0"/>
            </w:pPr>
          </w:p>
        </w:tc>
      </w:tr>
      <w:tr w:rsidR="00F719DB" w14:paraId="39F8BC0B" w14:textId="77777777" w:rsidTr="003D2F86">
        <w:tc>
          <w:tcPr>
            <w:tcW w:w="3114" w:type="dxa"/>
          </w:tcPr>
          <w:p w14:paraId="4BB7CB52" w14:textId="2F067649" w:rsidR="00F719DB" w:rsidRDefault="00F719DB" w:rsidP="00CA6E07">
            <w:pPr>
              <w:spacing w:after="0"/>
            </w:pPr>
            <w:r>
              <w:t>d) Participating in other activities, such as leisure or using transport</w:t>
            </w:r>
          </w:p>
        </w:tc>
        <w:tc>
          <w:tcPr>
            <w:tcW w:w="1559" w:type="dxa"/>
          </w:tcPr>
          <w:p w14:paraId="64FFD510" w14:textId="77777777" w:rsidR="00F719DB" w:rsidRDefault="00F719DB" w:rsidP="00CA6E07">
            <w:pPr>
              <w:spacing w:after="0"/>
            </w:pPr>
          </w:p>
        </w:tc>
        <w:tc>
          <w:tcPr>
            <w:tcW w:w="1843" w:type="dxa"/>
          </w:tcPr>
          <w:p w14:paraId="459DC391" w14:textId="77777777" w:rsidR="00F719DB" w:rsidRDefault="00F719DB" w:rsidP="00CA6E07">
            <w:pPr>
              <w:spacing w:after="0"/>
            </w:pPr>
          </w:p>
        </w:tc>
        <w:tc>
          <w:tcPr>
            <w:tcW w:w="1780" w:type="dxa"/>
          </w:tcPr>
          <w:p w14:paraId="50647C13" w14:textId="77777777" w:rsidR="00F719DB" w:rsidRDefault="00F719DB" w:rsidP="00CA6E07">
            <w:pPr>
              <w:spacing w:after="0"/>
            </w:pPr>
          </w:p>
        </w:tc>
      </w:tr>
    </w:tbl>
    <w:p w14:paraId="007A33BD" w14:textId="77777777" w:rsidR="00F719DB" w:rsidRDefault="00F719DB" w:rsidP="00F719DB">
      <w:pPr>
        <w:spacing w:after="0"/>
      </w:pPr>
    </w:p>
    <w:p w14:paraId="0355DF5B" w14:textId="77777777" w:rsidR="00F719DB" w:rsidRDefault="00F719DB" w:rsidP="00B72BFC">
      <w:pPr>
        <w:spacing w:after="0"/>
      </w:pPr>
    </w:p>
    <w:sectPr w:rsidR="00F719DB" w:rsidSect="00A808C0">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A77D" w14:textId="77777777" w:rsidR="001B5A4E" w:rsidRDefault="001B5A4E">
      <w:r>
        <w:separator/>
      </w:r>
    </w:p>
  </w:endnote>
  <w:endnote w:type="continuationSeparator" w:id="0">
    <w:p w14:paraId="0738C2D9" w14:textId="77777777" w:rsidR="001B5A4E" w:rsidRDefault="001B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5EC2" w14:textId="77777777" w:rsidR="00A13FBD" w:rsidRDefault="00A13FBD">
    <w:pPr>
      <w:pStyle w:val="Footer"/>
    </w:pPr>
    <w:r>
      <w:tab/>
    </w:r>
    <w:r>
      <w:tab/>
    </w:r>
    <w:r>
      <w:fldChar w:fldCharType="begin"/>
    </w:r>
    <w:r>
      <w:instrText xml:space="preserve"> PAGE  \* Arabic  \* MERGEFORMAT </w:instrText>
    </w:r>
    <w:r>
      <w:fldChar w:fldCharType="separate"/>
    </w:r>
    <w:r w:rsidR="009677A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EC46" w14:textId="77777777" w:rsidR="001B5A4E" w:rsidRDefault="001B5A4E">
      <w:r>
        <w:separator/>
      </w:r>
    </w:p>
  </w:footnote>
  <w:footnote w:type="continuationSeparator" w:id="0">
    <w:p w14:paraId="01D44AB7" w14:textId="77777777" w:rsidR="001B5A4E" w:rsidRDefault="001B5A4E">
      <w:r>
        <w:continuationSeparator/>
      </w:r>
    </w:p>
  </w:footnote>
  <w:footnote w:id="1">
    <w:p w14:paraId="22453C90" w14:textId="77777777" w:rsidR="00D000DE" w:rsidRDefault="00D000DE" w:rsidP="00D000DE">
      <w:pPr>
        <w:pStyle w:val="FootnoteText"/>
      </w:pPr>
      <w:r>
        <w:rPr>
          <w:rStyle w:val="FootnoteReference"/>
        </w:rPr>
        <w:footnoteRef/>
      </w:r>
      <w:r>
        <w:t xml:space="preserve"> The LFS was called the </w:t>
      </w:r>
      <w:r w:rsidRPr="00D70D51">
        <w:t>Quarterly National Household Survey: also known as the QNHS</w:t>
      </w:r>
      <w:r>
        <w:t xml:space="preserve"> until 2017.</w:t>
      </w:r>
    </w:p>
  </w:footnote>
  <w:footnote w:id="2">
    <w:p w14:paraId="77F292C7" w14:textId="6CEE816C" w:rsidR="000E35B7" w:rsidRDefault="000E35B7">
      <w:pPr>
        <w:pStyle w:val="FootnoteText"/>
      </w:pPr>
      <w:r>
        <w:rPr>
          <w:rStyle w:val="FootnoteReference"/>
        </w:rPr>
        <w:footnoteRef/>
      </w:r>
      <w:r>
        <w:t xml:space="preserve"> </w:t>
      </w:r>
      <w:r w:rsidR="0088320D">
        <w:t xml:space="preserve">Eurostat (2023). </w:t>
      </w:r>
      <w:r w:rsidR="0088320D" w:rsidRPr="0088320D">
        <w:t>Disability employment gap by level of activity limitation and sex (source EU-SILC)</w:t>
      </w:r>
      <w:r w:rsidR="0088320D">
        <w:t xml:space="preserve">. </w:t>
      </w:r>
      <w:bookmarkStart w:id="3" w:name="_Hlk155351160"/>
      <w:r w:rsidR="0088320D" w:rsidRPr="0088320D">
        <w:t>https://ec.europa.eu/eurostat/web/products-datasets/-/tepsr_sp200</w:t>
      </w:r>
      <w:bookmarkEnd w:id="3"/>
    </w:p>
  </w:footnote>
  <w:footnote w:id="3">
    <w:p w14:paraId="52BDD955" w14:textId="77777777" w:rsidR="009C5B9D" w:rsidRDefault="009C5B9D" w:rsidP="009C5B9D">
      <w:pPr>
        <w:pStyle w:val="FootnoteText"/>
        <w:spacing w:after="0"/>
      </w:pPr>
      <w:r>
        <w:rPr>
          <w:rStyle w:val="FootnoteReference"/>
        </w:rPr>
        <w:footnoteRef/>
      </w:r>
      <w:r>
        <w:t xml:space="preserve"> Sprong, S. &amp; Maitre, B. (2023). Poverty and Social Inclusion Indicators in the </w:t>
      </w:r>
    </w:p>
    <w:p w14:paraId="584780EC" w14:textId="77777777" w:rsidR="009C5B9D" w:rsidRDefault="009C5B9D" w:rsidP="009C5B9D">
      <w:pPr>
        <w:pStyle w:val="FootnoteText"/>
        <w:spacing w:after="0"/>
      </w:pPr>
      <w:r>
        <w:t xml:space="preserve">Roadmap for Social Inclusion 2020–2025 in Comparative Perspective Covering </w:t>
      </w:r>
    </w:p>
    <w:p w14:paraId="7CE8274E" w14:textId="4A29BEEB" w:rsidR="009C5B9D" w:rsidRDefault="009C5B9D" w:rsidP="009C5B9D">
      <w:pPr>
        <w:pStyle w:val="FootnoteText"/>
      </w:pPr>
      <w:r>
        <w:t xml:space="preserve">2018–2021, Dublin: Department of Social Protection </w:t>
      </w:r>
      <w:hyperlink r:id="rId1" w:history="1">
        <w:r w:rsidRPr="00B27713">
          <w:rPr>
            <w:rStyle w:val="Hyperlink"/>
          </w:rPr>
          <w:t>BKMNEXT434_0.pdf (esri.ie)</w:t>
        </w:r>
      </w:hyperlink>
    </w:p>
  </w:footnote>
  <w:footnote w:id="4">
    <w:p w14:paraId="7B78D2B9" w14:textId="6B2746D0" w:rsidR="000E35B7" w:rsidRDefault="000E35B7">
      <w:pPr>
        <w:pStyle w:val="FootnoteText"/>
      </w:pPr>
      <w:r>
        <w:rPr>
          <w:rStyle w:val="FootnoteReference"/>
        </w:rPr>
        <w:footnoteRef/>
      </w:r>
      <w:r>
        <w:t xml:space="preserve"> Given differences in how the employment rate and unemployment rate are defined and calculated (see Definitions section above), the unemployment and employment rates do not sum to the labour force participation rate. </w:t>
      </w:r>
    </w:p>
  </w:footnote>
  <w:footnote w:id="5">
    <w:p w14:paraId="7A5A2A55" w14:textId="4820DCD7" w:rsidR="00492389" w:rsidRDefault="00492389" w:rsidP="00492389">
      <w:pPr>
        <w:pStyle w:val="FootnoteText"/>
      </w:pPr>
      <w:r>
        <w:rPr>
          <w:rStyle w:val="FootnoteReference"/>
        </w:rPr>
        <w:footnoteRef/>
      </w:r>
      <w:r>
        <w:t xml:space="preserve"> It is not possible to calculate the unemployment and unemployment rates of people aged 15-64 with different disability types, as this information has not been published by the CSO. </w:t>
      </w:r>
    </w:p>
  </w:footnote>
  <w:footnote w:id="6">
    <w:p w14:paraId="27DD6C5D" w14:textId="6756AAD1" w:rsidR="00B8421D" w:rsidRDefault="00B8421D" w:rsidP="00B8421D">
      <w:pPr>
        <w:pStyle w:val="FootnoteText"/>
      </w:pPr>
      <w:r>
        <w:rPr>
          <w:rStyle w:val="FootnoteReference"/>
        </w:rPr>
        <w:footnoteRef/>
      </w:r>
      <w:r>
        <w:t xml:space="preserve"> It is not possible to calculate the unemployment and unemployment rates of people aged 15-64 with different types</w:t>
      </w:r>
      <w:r w:rsidR="00B238B5">
        <w:t xml:space="preserve"> of activity limitation</w:t>
      </w:r>
      <w:r>
        <w:t>, as this information has not been published</w:t>
      </w:r>
      <w:r w:rsidR="009137F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66E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D4F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568CB6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8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28FE14"/>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5A3418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8239A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21C1505"/>
    <w:multiLevelType w:val="hybridMultilevel"/>
    <w:tmpl w:val="D3EA6E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065C1DB5"/>
    <w:multiLevelType w:val="hybridMultilevel"/>
    <w:tmpl w:val="BAAE33AA"/>
    <w:lvl w:ilvl="0" w:tplc="3F72643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6FC6F11"/>
    <w:multiLevelType w:val="hybridMultilevel"/>
    <w:tmpl w:val="5D64607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6AD618A"/>
    <w:multiLevelType w:val="hybridMultilevel"/>
    <w:tmpl w:val="4DAE7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2611B6"/>
    <w:multiLevelType w:val="hybridMultilevel"/>
    <w:tmpl w:val="8EB2D1C4"/>
    <w:lvl w:ilvl="0" w:tplc="DEF286B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875B4D"/>
    <w:multiLevelType w:val="hybridMultilevel"/>
    <w:tmpl w:val="EA08D198"/>
    <w:lvl w:ilvl="0" w:tplc="DEF286B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68E038B"/>
    <w:multiLevelType w:val="hybridMultilevel"/>
    <w:tmpl w:val="C414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427C3F"/>
    <w:multiLevelType w:val="hybridMultilevel"/>
    <w:tmpl w:val="4B06A19A"/>
    <w:lvl w:ilvl="0" w:tplc="DEF286B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B1E7317"/>
    <w:multiLevelType w:val="hybridMultilevel"/>
    <w:tmpl w:val="4B06A19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BA230C"/>
    <w:multiLevelType w:val="hybridMultilevel"/>
    <w:tmpl w:val="8C8E84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E8214A3"/>
    <w:multiLevelType w:val="hybridMultilevel"/>
    <w:tmpl w:val="B84CB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64632510">
    <w:abstractNumId w:val="9"/>
  </w:num>
  <w:num w:numId="2" w16cid:durableId="810439861">
    <w:abstractNumId w:val="9"/>
  </w:num>
  <w:num w:numId="3" w16cid:durableId="481776710">
    <w:abstractNumId w:val="7"/>
  </w:num>
  <w:num w:numId="4" w16cid:durableId="1082989822">
    <w:abstractNumId w:val="7"/>
  </w:num>
  <w:num w:numId="5" w16cid:durableId="1938833168">
    <w:abstractNumId w:val="6"/>
  </w:num>
  <w:num w:numId="6" w16cid:durableId="639115068">
    <w:abstractNumId w:val="6"/>
  </w:num>
  <w:num w:numId="7" w16cid:durableId="1771661949">
    <w:abstractNumId w:val="8"/>
  </w:num>
  <w:num w:numId="8" w16cid:durableId="1763725396">
    <w:abstractNumId w:val="8"/>
  </w:num>
  <w:num w:numId="9" w16cid:durableId="777873805">
    <w:abstractNumId w:val="3"/>
  </w:num>
  <w:num w:numId="10" w16cid:durableId="1408847999">
    <w:abstractNumId w:val="3"/>
  </w:num>
  <w:num w:numId="11" w16cid:durableId="1539513730">
    <w:abstractNumId w:val="2"/>
  </w:num>
  <w:num w:numId="12" w16cid:durableId="723404303">
    <w:abstractNumId w:val="2"/>
  </w:num>
  <w:num w:numId="13" w16cid:durableId="789709208">
    <w:abstractNumId w:val="5"/>
  </w:num>
  <w:num w:numId="14" w16cid:durableId="1946503119">
    <w:abstractNumId w:val="4"/>
  </w:num>
  <w:num w:numId="15" w16cid:durableId="539364624">
    <w:abstractNumId w:val="1"/>
  </w:num>
  <w:num w:numId="16" w16cid:durableId="1276134941">
    <w:abstractNumId w:val="0"/>
  </w:num>
  <w:num w:numId="17" w16cid:durableId="1889368798">
    <w:abstractNumId w:val="19"/>
  </w:num>
  <w:num w:numId="18" w16cid:durableId="1972788891">
    <w:abstractNumId w:val="13"/>
  </w:num>
  <w:num w:numId="19" w16cid:durableId="221870343">
    <w:abstractNumId w:val="20"/>
  </w:num>
  <w:num w:numId="20" w16cid:durableId="899246318">
    <w:abstractNumId w:val="16"/>
  </w:num>
  <w:num w:numId="21" w16cid:durableId="1998726167">
    <w:abstractNumId w:val="8"/>
    <w:lvlOverride w:ilvl="0">
      <w:startOverride w:val="1"/>
    </w:lvlOverride>
  </w:num>
  <w:num w:numId="22" w16cid:durableId="106508823">
    <w:abstractNumId w:val="10"/>
  </w:num>
  <w:num w:numId="23" w16cid:durableId="1056591670">
    <w:abstractNumId w:val="11"/>
  </w:num>
  <w:num w:numId="24" w16cid:durableId="1388065761">
    <w:abstractNumId w:val="17"/>
  </w:num>
  <w:num w:numId="25" w16cid:durableId="916598694">
    <w:abstractNumId w:val="12"/>
  </w:num>
  <w:num w:numId="26" w16cid:durableId="2003460853">
    <w:abstractNumId w:val="18"/>
  </w:num>
  <w:num w:numId="27" w16cid:durableId="2089692631">
    <w:abstractNumId w:val="14"/>
  </w:num>
  <w:num w:numId="28" w16cid:durableId="10322686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1"/>
    <w:rsid w:val="00003874"/>
    <w:rsid w:val="000213BC"/>
    <w:rsid w:val="00021584"/>
    <w:rsid w:val="00040566"/>
    <w:rsid w:val="00046B75"/>
    <w:rsid w:val="000471EE"/>
    <w:rsid w:val="00056ABD"/>
    <w:rsid w:val="00072E94"/>
    <w:rsid w:val="000747FC"/>
    <w:rsid w:val="0007512E"/>
    <w:rsid w:val="0008387D"/>
    <w:rsid w:val="000A1E0C"/>
    <w:rsid w:val="000A416A"/>
    <w:rsid w:val="000C01BB"/>
    <w:rsid w:val="000D008A"/>
    <w:rsid w:val="000D5D0B"/>
    <w:rsid w:val="000D6D50"/>
    <w:rsid w:val="000D716A"/>
    <w:rsid w:val="000E35B7"/>
    <w:rsid w:val="000E564B"/>
    <w:rsid w:val="000E6CB0"/>
    <w:rsid w:val="000E7704"/>
    <w:rsid w:val="000F335A"/>
    <w:rsid w:val="000F60FE"/>
    <w:rsid w:val="00104579"/>
    <w:rsid w:val="0010774D"/>
    <w:rsid w:val="0011274B"/>
    <w:rsid w:val="00112D35"/>
    <w:rsid w:val="001151ED"/>
    <w:rsid w:val="00115FA9"/>
    <w:rsid w:val="001207A0"/>
    <w:rsid w:val="001222FB"/>
    <w:rsid w:val="0012352B"/>
    <w:rsid w:val="001245B2"/>
    <w:rsid w:val="00134763"/>
    <w:rsid w:val="00136CB9"/>
    <w:rsid w:val="00163187"/>
    <w:rsid w:val="00172701"/>
    <w:rsid w:val="00181FE6"/>
    <w:rsid w:val="00184A13"/>
    <w:rsid w:val="00185F93"/>
    <w:rsid w:val="00196823"/>
    <w:rsid w:val="001A4FFB"/>
    <w:rsid w:val="001B40FA"/>
    <w:rsid w:val="001B5A4E"/>
    <w:rsid w:val="001B7684"/>
    <w:rsid w:val="001C0CB2"/>
    <w:rsid w:val="001C496B"/>
    <w:rsid w:val="001E48A1"/>
    <w:rsid w:val="001F26D1"/>
    <w:rsid w:val="001F5F9F"/>
    <w:rsid w:val="00201844"/>
    <w:rsid w:val="00206F96"/>
    <w:rsid w:val="00207B19"/>
    <w:rsid w:val="00212438"/>
    <w:rsid w:val="00212E5C"/>
    <w:rsid w:val="002223FA"/>
    <w:rsid w:val="002272FC"/>
    <w:rsid w:val="00253DB7"/>
    <w:rsid w:val="0025597A"/>
    <w:rsid w:val="002578CC"/>
    <w:rsid w:val="00276217"/>
    <w:rsid w:val="00287B8E"/>
    <w:rsid w:val="0029099A"/>
    <w:rsid w:val="002916EE"/>
    <w:rsid w:val="00293635"/>
    <w:rsid w:val="002952DA"/>
    <w:rsid w:val="002B4987"/>
    <w:rsid w:val="002B5289"/>
    <w:rsid w:val="002D2A3A"/>
    <w:rsid w:val="002D2D56"/>
    <w:rsid w:val="002E2D08"/>
    <w:rsid w:val="002E484A"/>
    <w:rsid w:val="003102EF"/>
    <w:rsid w:val="003114CE"/>
    <w:rsid w:val="00326574"/>
    <w:rsid w:val="00327912"/>
    <w:rsid w:val="003520E8"/>
    <w:rsid w:val="00352183"/>
    <w:rsid w:val="003556BA"/>
    <w:rsid w:val="0037647E"/>
    <w:rsid w:val="0038054C"/>
    <w:rsid w:val="00380989"/>
    <w:rsid w:val="003950D6"/>
    <w:rsid w:val="003959CD"/>
    <w:rsid w:val="003A1391"/>
    <w:rsid w:val="003A1F83"/>
    <w:rsid w:val="003A293E"/>
    <w:rsid w:val="003A44C8"/>
    <w:rsid w:val="003B0ED8"/>
    <w:rsid w:val="003B10EC"/>
    <w:rsid w:val="003B5651"/>
    <w:rsid w:val="003D05DC"/>
    <w:rsid w:val="003D24C9"/>
    <w:rsid w:val="003D2F86"/>
    <w:rsid w:val="003E60E0"/>
    <w:rsid w:val="003E7429"/>
    <w:rsid w:val="003F3247"/>
    <w:rsid w:val="003F4B49"/>
    <w:rsid w:val="003F502C"/>
    <w:rsid w:val="003F53A2"/>
    <w:rsid w:val="00416A7C"/>
    <w:rsid w:val="00423015"/>
    <w:rsid w:val="00440F27"/>
    <w:rsid w:val="00443411"/>
    <w:rsid w:val="00445085"/>
    <w:rsid w:val="0044536A"/>
    <w:rsid w:val="00463F7D"/>
    <w:rsid w:val="00472037"/>
    <w:rsid w:val="00473E54"/>
    <w:rsid w:val="0047420C"/>
    <w:rsid w:val="00480407"/>
    <w:rsid w:val="00492389"/>
    <w:rsid w:val="004934C9"/>
    <w:rsid w:val="004942A6"/>
    <w:rsid w:val="00496A9D"/>
    <w:rsid w:val="004A2792"/>
    <w:rsid w:val="004B1CE3"/>
    <w:rsid w:val="004B6910"/>
    <w:rsid w:val="004C5836"/>
    <w:rsid w:val="004D5397"/>
    <w:rsid w:val="004F0EC1"/>
    <w:rsid w:val="004F169C"/>
    <w:rsid w:val="004F16A7"/>
    <w:rsid w:val="0050544C"/>
    <w:rsid w:val="00507125"/>
    <w:rsid w:val="00511D0A"/>
    <w:rsid w:val="0051628D"/>
    <w:rsid w:val="005319A6"/>
    <w:rsid w:val="00542C51"/>
    <w:rsid w:val="005507C6"/>
    <w:rsid w:val="00551439"/>
    <w:rsid w:val="0055293B"/>
    <w:rsid w:val="00552DAE"/>
    <w:rsid w:val="00556766"/>
    <w:rsid w:val="00565074"/>
    <w:rsid w:val="00572EC9"/>
    <w:rsid w:val="00573F99"/>
    <w:rsid w:val="00584D59"/>
    <w:rsid w:val="005A3563"/>
    <w:rsid w:val="005B1D59"/>
    <w:rsid w:val="005B260F"/>
    <w:rsid w:val="005B3D47"/>
    <w:rsid w:val="005C24B3"/>
    <w:rsid w:val="005C54A6"/>
    <w:rsid w:val="005D30E7"/>
    <w:rsid w:val="005D35F0"/>
    <w:rsid w:val="005F04D2"/>
    <w:rsid w:val="005F37E3"/>
    <w:rsid w:val="005F3C8E"/>
    <w:rsid w:val="005F6AEA"/>
    <w:rsid w:val="00622CA6"/>
    <w:rsid w:val="006251EF"/>
    <w:rsid w:val="00625ECC"/>
    <w:rsid w:val="0063186F"/>
    <w:rsid w:val="006349ED"/>
    <w:rsid w:val="0065139F"/>
    <w:rsid w:val="0067231C"/>
    <w:rsid w:val="00694794"/>
    <w:rsid w:val="0069728E"/>
    <w:rsid w:val="006A7FD5"/>
    <w:rsid w:val="006B1D77"/>
    <w:rsid w:val="006C34A0"/>
    <w:rsid w:val="006C592A"/>
    <w:rsid w:val="006D0629"/>
    <w:rsid w:val="006E34C5"/>
    <w:rsid w:val="006F0774"/>
    <w:rsid w:val="006F2BAF"/>
    <w:rsid w:val="006F7A58"/>
    <w:rsid w:val="007030F7"/>
    <w:rsid w:val="00712690"/>
    <w:rsid w:val="007153CF"/>
    <w:rsid w:val="00715800"/>
    <w:rsid w:val="0073504B"/>
    <w:rsid w:val="00737515"/>
    <w:rsid w:val="007419E5"/>
    <w:rsid w:val="00743909"/>
    <w:rsid w:val="00744E5C"/>
    <w:rsid w:val="00744FBA"/>
    <w:rsid w:val="007459EF"/>
    <w:rsid w:val="007534BF"/>
    <w:rsid w:val="007618D7"/>
    <w:rsid w:val="00761E29"/>
    <w:rsid w:val="00767C52"/>
    <w:rsid w:val="007748EF"/>
    <w:rsid w:val="007761E1"/>
    <w:rsid w:val="007865B7"/>
    <w:rsid w:val="00795AFF"/>
    <w:rsid w:val="00796A5D"/>
    <w:rsid w:val="00797CF7"/>
    <w:rsid w:val="007A38DE"/>
    <w:rsid w:val="007C02F9"/>
    <w:rsid w:val="007C0B10"/>
    <w:rsid w:val="007C1D90"/>
    <w:rsid w:val="007C2108"/>
    <w:rsid w:val="007C4C77"/>
    <w:rsid w:val="007D3049"/>
    <w:rsid w:val="007E0231"/>
    <w:rsid w:val="007E4233"/>
    <w:rsid w:val="007F16CD"/>
    <w:rsid w:val="0081199F"/>
    <w:rsid w:val="00813982"/>
    <w:rsid w:val="00814F6F"/>
    <w:rsid w:val="00822C14"/>
    <w:rsid w:val="00827993"/>
    <w:rsid w:val="00831FA1"/>
    <w:rsid w:val="008354B1"/>
    <w:rsid w:val="00835C59"/>
    <w:rsid w:val="00835EBD"/>
    <w:rsid w:val="008376FF"/>
    <w:rsid w:val="00840060"/>
    <w:rsid w:val="00852C92"/>
    <w:rsid w:val="00856246"/>
    <w:rsid w:val="0086346B"/>
    <w:rsid w:val="00867962"/>
    <w:rsid w:val="0087606C"/>
    <w:rsid w:val="0088320D"/>
    <w:rsid w:val="00886742"/>
    <w:rsid w:val="008970AB"/>
    <w:rsid w:val="0089712C"/>
    <w:rsid w:val="008A4B2F"/>
    <w:rsid w:val="008B1958"/>
    <w:rsid w:val="008B3C28"/>
    <w:rsid w:val="008B71EA"/>
    <w:rsid w:val="008D0D04"/>
    <w:rsid w:val="008E7592"/>
    <w:rsid w:val="008F062C"/>
    <w:rsid w:val="008F2085"/>
    <w:rsid w:val="008F29EC"/>
    <w:rsid w:val="008F4E11"/>
    <w:rsid w:val="009137F5"/>
    <w:rsid w:val="00915DFA"/>
    <w:rsid w:val="009241E9"/>
    <w:rsid w:val="00927790"/>
    <w:rsid w:val="009338BE"/>
    <w:rsid w:val="009343D0"/>
    <w:rsid w:val="00936D0E"/>
    <w:rsid w:val="00937571"/>
    <w:rsid w:val="0094028F"/>
    <w:rsid w:val="00943389"/>
    <w:rsid w:val="00945FD5"/>
    <w:rsid w:val="00964A34"/>
    <w:rsid w:val="009652C8"/>
    <w:rsid w:val="00965B18"/>
    <w:rsid w:val="009677A4"/>
    <w:rsid w:val="00973010"/>
    <w:rsid w:val="009829B5"/>
    <w:rsid w:val="00983AC7"/>
    <w:rsid w:val="0098627E"/>
    <w:rsid w:val="00986F6D"/>
    <w:rsid w:val="0098718E"/>
    <w:rsid w:val="00992398"/>
    <w:rsid w:val="009976D6"/>
    <w:rsid w:val="009A6175"/>
    <w:rsid w:val="009B13E0"/>
    <w:rsid w:val="009C03AD"/>
    <w:rsid w:val="009C3BD7"/>
    <w:rsid w:val="009C4D62"/>
    <w:rsid w:val="009C5B9D"/>
    <w:rsid w:val="009E3E4B"/>
    <w:rsid w:val="009F241A"/>
    <w:rsid w:val="009F3CCE"/>
    <w:rsid w:val="00A008CC"/>
    <w:rsid w:val="00A00B07"/>
    <w:rsid w:val="00A01072"/>
    <w:rsid w:val="00A015A6"/>
    <w:rsid w:val="00A02F3C"/>
    <w:rsid w:val="00A05270"/>
    <w:rsid w:val="00A10ADD"/>
    <w:rsid w:val="00A13FBD"/>
    <w:rsid w:val="00A1516E"/>
    <w:rsid w:val="00A2105B"/>
    <w:rsid w:val="00A268FD"/>
    <w:rsid w:val="00A40725"/>
    <w:rsid w:val="00A40EDF"/>
    <w:rsid w:val="00A434F5"/>
    <w:rsid w:val="00A50627"/>
    <w:rsid w:val="00A536A5"/>
    <w:rsid w:val="00A5496F"/>
    <w:rsid w:val="00A71048"/>
    <w:rsid w:val="00A738C0"/>
    <w:rsid w:val="00A73B2F"/>
    <w:rsid w:val="00A808C0"/>
    <w:rsid w:val="00A80AC9"/>
    <w:rsid w:val="00A8602E"/>
    <w:rsid w:val="00A9026F"/>
    <w:rsid w:val="00AB56CB"/>
    <w:rsid w:val="00AC6100"/>
    <w:rsid w:val="00AD7769"/>
    <w:rsid w:val="00AE299C"/>
    <w:rsid w:val="00AE4498"/>
    <w:rsid w:val="00AE5EF5"/>
    <w:rsid w:val="00AE6AE1"/>
    <w:rsid w:val="00AF1A31"/>
    <w:rsid w:val="00AF4838"/>
    <w:rsid w:val="00B05AE8"/>
    <w:rsid w:val="00B14618"/>
    <w:rsid w:val="00B17151"/>
    <w:rsid w:val="00B17A55"/>
    <w:rsid w:val="00B20DDC"/>
    <w:rsid w:val="00B22D66"/>
    <w:rsid w:val="00B238B5"/>
    <w:rsid w:val="00B2418D"/>
    <w:rsid w:val="00B27713"/>
    <w:rsid w:val="00B31F6F"/>
    <w:rsid w:val="00B33E2F"/>
    <w:rsid w:val="00B411BF"/>
    <w:rsid w:val="00B57A8D"/>
    <w:rsid w:val="00B64ACA"/>
    <w:rsid w:val="00B703D9"/>
    <w:rsid w:val="00B72BFC"/>
    <w:rsid w:val="00B756A1"/>
    <w:rsid w:val="00B76547"/>
    <w:rsid w:val="00B8421D"/>
    <w:rsid w:val="00B84452"/>
    <w:rsid w:val="00B85AB9"/>
    <w:rsid w:val="00B85B98"/>
    <w:rsid w:val="00BA2579"/>
    <w:rsid w:val="00BC066C"/>
    <w:rsid w:val="00BC2968"/>
    <w:rsid w:val="00BC74C2"/>
    <w:rsid w:val="00BC7A64"/>
    <w:rsid w:val="00BE123D"/>
    <w:rsid w:val="00BE3889"/>
    <w:rsid w:val="00BE3DCC"/>
    <w:rsid w:val="00BF39F1"/>
    <w:rsid w:val="00C12564"/>
    <w:rsid w:val="00C13F85"/>
    <w:rsid w:val="00C154AE"/>
    <w:rsid w:val="00C15C16"/>
    <w:rsid w:val="00C44ACB"/>
    <w:rsid w:val="00C705AC"/>
    <w:rsid w:val="00C71594"/>
    <w:rsid w:val="00C867C9"/>
    <w:rsid w:val="00CA2598"/>
    <w:rsid w:val="00CB377C"/>
    <w:rsid w:val="00CC277F"/>
    <w:rsid w:val="00CC7399"/>
    <w:rsid w:val="00CE33CE"/>
    <w:rsid w:val="00D000DE"/>
    <w:rsid w:val="00D1271E"/>
    <w:rsid w:val="00D1499F"/>
    <w:rsid w:val="00D16615"/>
    <w:rsid w:val="00D21543"/>
    <w:rsid w:val="00D21A89"/>
    <w:rsid w:val="00D264AB"/>
    <w:rsid w:val="00D2746B"/>
    <w:rsid w:val="00D377C2"/>
    <w:rsid w:val="00D41F3F"/>
    <w:rsid w:val="00D476B1"/>
    <w:rsid w:val="00D523C1"/>
    <w:rsid w:val="00D5707E"/>
    <w:rsid w:val="00D70522"/>
    <w:rsid w:val="00D70D51"/>
    <w:rsid w:val="00D731C5"/>
    <w:rsid w:val="00D746C3"/>
    <w:rsid w:val="00D76BEA"/>
    <w:rsid w:val="00D8081F"/>
    <w:rsid w:val="00DC5466"/>
    <w:rsid w:val="00DF00F3"/>
    <w:rsid w:val="00DF7728"/>
    <w:rsid w:val="00E13FF5"/>
    <w:rsid w:val="00E403A3"/>
    <w:rsid w:val="00E46EA6"/>
    <w:rsid w:val="00E72869"/>
    <w:rsid w:val="00E7594D"/>
    <w:rsid w:val="00E76713"/>
    <w:rsid w:val="00E774C6"/>
    <w:rsid w:val="00E81C94"/>
    <w:rsid w:val="00E85980"/>
    <w:rsid w:val="00E90214"/>
    <w:rsid w:val="00E967B5"/>
    <w:rsid w:val="00EA5F30"/>
    <w:rsid w:val="00EB0B5E"/>
    <w:rsid w:val="00EB2842"/>
    <w:rsid w:val="00EC71F7"/>
    <w:rsid w:val="00EE2559"/>
    <w:rsid w:val="00EF4F6A"/>
    <w:rsid w:val="00F00474"/>
    <w:rsid w:val="00F07DEB"/>
    <w:rsid w:val="00F07F1B"/>
    <w:rsid w:val="00F131D2"/>
    <w:rsid w:val="00F25ABC"/>
    <w:rsid w:val="00F351D6"/>
    <w:rsid w:val="00F42C51"/>
    <w:rsid w:val="00F719DB"/>
    <w:rsid w:val="00F72418"/>
    <w:rsid w:val="00F82841"/>
    <w:rsid w:val="00F9141C"/>
    <w:rsid w:val="00F937EB"/>
    <w:rsid w:val="00F954A9"/>
    <w:rsid w:val="00FB200B"/>
    <w:rsid w:val="00FC7378"/>
    <w:rsid w:val="00FD08D5"/>
    <w:rsid w:val="00FD401A"/>
    <w:rsid w:val="00FE0F44"/>
    <w:rsid w:val="00FE4244"/>
    <w:rsid w:val="00FF12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6DB95"/>
  <w15:chartTrackingRefBased/>
  <w15:docId w15:val="{21A5F224-E02E-4428-86FC-1A046686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B75"/>
    <w:pPr>
      <w:spacing w:after="240"/>
    </w:pPr>
    <w:rPr>
      <w:rFonts w:ascii="Gill Sans MT" w:eastAsia="Times New Roman" w:hAnsi="Gill Sans MT"/>
      <w:sz w:val="26"/>
      <w:szCs w:val="24"/>
      <w:lang w:eastAsia="en-US"/>
    </w:rPr>
  </w:style>
  <w:style w:type="paragraph" w:styleId="Heading1">
    <w:name w:val="heading 1"/>
    <w:basedOn w:val="Normal"/>
    <w:next w:val="Normal"/>
    <w:qFormat/>
    <w:rsid w:val="00B14618"/>
    <w:pPr>
      <w:keepNext/>
      <w:pBdr>
        <w:top w:val="single" w:sz="4" w:space="4" w:color="auto"/>
        <w:left w:val="single" w:sz="4" w:space="2" w:color="auto"/>
        <w:bottom w:val="single" w:sz="4" w:space="4" w:color="auto"/>
        <w:right w:val="single" w:sz="4" w:space="4" w:color="auto"/>
      </w:pBdr>
      <w:spacing w:before="360"/>
      <w:ind w:left="-284"/>
      <w:outlineLvl w:val="0"/>
    </w:pPr>
    <w:rPr>
      <w:rFonts w:cs="Arial"/>
      <w:b/>
      <w:bCs/>
      <w:kern w:val="32"/>
      <w:sz w:val="32"/>
      <w:szCs w:val="32"/>
    </w:rPr>
  </w:style>
  <w:style w:type="paragraph" w:styleId="Heading2">
    <w:name w:val="heading 2"/>
    <w:basedOn w:val="Normal"/>
    <w:next w:val="Normal"/>
    <w:link w:val="Heading2Char"/>
    <w:qFormat/>
    <w:rsid w:val="00B14618"/>
    <w:pPr>
      <w:keepNext/>
      <w:spacing w:after="60"/>
      <w:outlineLvl w:val="1"/>
    </w:pPr>
    <w:rPr>
      <w:rFonts w:cs="Arial Bold"/>
      <w:b/>
      <w:bCs/>
      <w:iCs/>
      <w:sz w:val="28"/>
      <w:szCs w:val="28"/>
    </w:rPr>
  </w:style>
  <w:style w:type="paragraph" w:styleId="Heading3">
    <w:name w:val="heading 3"/>
    <w:basedOn w:val="Normal"/>
    <w:next w:val="Normal"/>
    <w:qFormat/>
    <w:rsid w:val="00B14618"/>
    <w:pPr>
      <w:keepNext/>
      <w:spacing w:after="0"/>
      <w:outlineLvl w:val="2"/>
    </w:pPr>
    <w:rPr>
      <w:rFonts w:cs="Arial Bold"/>
      <w:b/>
      <w:bCs/>
    </w:rPr>
  </w:style>
  <w:style w:type="paragraph" w:styleId="Heading4">
    <w:name w:val="heading 4"/>
    <w:basedOn w:val="Normal"/>
    <w:next w:val="Normal"/>
    <w:qFormat/>
    <w:rsid w:val="00B14618"/>
    <w:pPr>
      <w:keepNext/>
      <w:spacing w:after="0"/>
      <w:outlineLvl w:val="3"/>
    </w:pPr>
    <w:rPr>
      <w:b/>
      <w:bCs/>
      <w:color w:val="333333"/>
    </w:rPr>
  </w:style>
  <w:style w:type="paragraph" w:styleId="Heading5">
    <w:name w:val="heading 5"/>
    <w:basedOn w:val="Normal"/>
    <w:next w:val="Normal"/>
    <w:qFormat/>
    <w:rsid w:val="00B14618"/>
    <w:pPr>
      <w:spacing w:after="0"/>
      <w:outlineLvl w:val="4"/>
    </w:pPr>
    <w:rPr>
      <w:b/>
      <w:bCs/>
      <w:i/>
      <w:iCs/>
      <w:szCs w:val="26"/>
    </w:rPr>
  </w:style>
  <w:style w:type="paragraph" w:styleId="Heading6">
    <w:name w:val="heading 6"/>
    <w:basedOn w:val="Normal"/>
    <w:next w:val="Normal"/>
    <w:qFormat/>
    <w:rsid w:val="00B14618"/>
    <w:pPr>
      <w:spacing w:after="0"/>
      <w:outlineLvl w:val="5"/>
    </w:pPr>
    <w:rPr>
      <w:b/>
      <w:bCs/>
      <w:i/>
      <w:sz w:val="22"/>
      <w:szCs w:val="22"/>
    </w:rPr>
  </w:style>
  <w:style w:type="paragraph" w:styleId="Heading7">
    <w:name w:val="heading 7"/>
    <w:basedOn w:val="Normal"/>
    <w:next w:val="Normal"/>
    <w:qFormat/>
    <w:rsid w:val="00B14618"/>
    <w:pPr>
      <w:keepNext/>
      <w:spacing w:after="0"/>
      <w:jc w:val="center"/>
      <w:outlineLvl w:val="6"/>
    </w:pPr>
    <w:rPr>
      <w:rFonts w:cs="Arial"/>
      <w:b/>
      <w:sz w:val="22"/>
      <w:szCs w:val="40"/>
    </w:rPr>
  </w:style>
  <w:style w:type="paragraph" w:styleId="Heading8">
    <w:name w:val="heading 8"/>
    <w:basedOn w:val="Normal"/>
    <w:next w:val="Normal"/>
    <w:qFormat/>
    <w:rsid w:val="00B14618"/>
    <w:pPr>
      <w:keepNext/>
      <w:spacing w:after="0"/>
      <w:outlineLvl w:val="7"/>
    </w:pPr>
    <w:rPr>
      <w:b/>
      <w:i/>
      <w:sz w:val="22"/>
    </w:rPr>
  </w:style>
  <w:style w:type="paragraph" w:styleId="Heading9">
    <w:name w:val="heading 9"/>
    <w:basedOn w:val="Normal"/>
    <w:next w:val="Normal"/>
    <w:qFormat/>
    <w:rsid w:val="00B14618"/>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14618"/>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B14618"/>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sid w:val="00B14618"/>
    <w:rPr>
      <w:rFonts w:ascii="Gill Sans MT" w:hAnsi="Gill Sans MT"/>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pPr>
      <w:numPr>
        <w:numId w:val="2"/>
      </w:numPr>
      <w:spacing w:before="120" w:after="120"/>
    </w:pPr>
  </w:style>
  <w:style w:type="paragraph" w:styleId="ListBullet2">
    <w:name w:val="List Bullet 2"/>
    <w:basedOn w:val="Normal"/>
    <w:pPr>
      <w:numPr>
        <w:numId w:val="4"/>
      </w:numPr>
      <w:spacing w:before="60" w:after="60"/>
    </w:pPr>
  </w:style>
  <w:style w:type="paragraph" w:styleId="ListBullet3">
    <w:name w:val="List Bullet 3"/>
    <w:basedOn w:val="Normal"/>
    <w:pPr>
      <w:numPr>
        <w:numId w:val="6"/>
      </w:numPr>
      <w:spacing w:before="60" w:after="60"/>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pPr>
      <w:numPr>
        <w:numId w:val="12"/>
      </w:numPr>
      <w:tabs>
        <w:tab w:val="clear" w:pos="926"/>
        <w:tab w:val="num" w:pos="360"/>
      </w:tabs>
      <w:spacing w:before="60" w:after="60"/>
      <w:ind w:left="357"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pPr>
      <w:spacing w:after="0"/>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style>
  <w:style w:type="paragraph" w:styleId="FootnoteText">
    <w:name w:val="footnote text"/>
    <w:basedOn w:val="Normal"/>
    <w:link w:val="FootnoteTextChar"/>
    <w:semiHidden/>
    <w:rsid w:val="00287B8E"/>
    <w:pPr>
      <w:spacing w:after="12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qFormat/>
    <w:rsid w:val="00C154AE"/>
    <w:pPr>
      <w:spacing w:before="120"/>
    </w:pPr>
  </w:style>
  <w:style w:type="character" w:styleId="FootnoteReference">
    <w:name w:val="footnote reference"/>
    <w:rsid w:val="00287B8E"/>
    <w:rPr>
      <w:rFonts w:ascii="Gill Sans" w:hAnsi="Gill Sans"/>
      <w:sz w:val="22"/>
      <w:vertAlign w:val="superscript"/>
    </w:rPr>
  </w:style>
  <w:style w:type="character" w:styleId="Strong">
    <w:name w:val="Strong"/>
    <w:basedOn w:val="DefaultParagraphFont"/>
    <w:qFormat/>
    <w:rsid w:val="00B14618"/>
    <w:rPr>
      <w:rFonts w:ascii="Gill Sans MT" w:hAnsi="Gill Sans MT"/>
      <w:b/>
      <w:bCs/>
    </w:rPr>
  </w:style>
  <w:style w:type="paragraph" w:styleId="Quote">
    <w:name w:val="Quote"/>
    <w:basedOn w:val="Normal"/>
    <w:next w:val="Normal"/>
    <w:link w:val="QuoteChar"/>
    <w:uiPriority w:val="29"/>
    <w:qFormat/>
    <w:rsid w:val="00B14618"/>
    <w:rPr>
      <w:i/>
      <w:iCs/>
      <w:color w:val="000000"/>
    </w:rPr>
  </w:style>
  <w:style w:type="character" w:customStyle="1" w:styleId="QuoteChar">
    <w:name w:val="Quote Char"/>
    <w:basedOn w:val="DefaultParagraphFont"/>
    <w:link w:val="Quote"/>
    <w:uiPriority w:val="29"/>
    <w:rsid w:val="00B14618"/>
    <w:rPr>
      <w:rFonts w:ascii="Gill Sans MT" w:eastAsia="Times New Roman" w:hAnsi="Gill Sans MT"/>
      <w:i/>
      <w:iCs/>
      <w:color w:val="000000"/>
      <w:sz w:val="26"/>
      <w:szCs w:val="24"/>
      <w:lang w:eastAsia="en-US"/>
    </w:rPr>
  </w:style>
  <w:style w:type="paragraph" w:styleId="IntenseQuote">
    <w:name w:val="Intense Quote"/>
    <w:basedOn w:val="Normal"/>
    <w:next w:val="Normal"/>
    <w:link w:val="IntenseQuoteChar"/>
    <w:uiPriority w:val="30"/>
    <w:qFormat/>
    <w:rsid w:val="00B1461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14618"/>
    <w:rPr>
      <w:rFonts w:ascii="Gill Sans MT" w:eastAsia="Times New Roman" w:hAnsi="Gill Sans MT"/>
      <w:b/>
      <w:bCs/>
      <w:i/>
      <w:iCs/>
      <w:color w:val="4F81BD"/>
      <w:sz w:val="26"/>
      <w:szCs w:val="24"/>
      <w:lang w:eastAsia="en-US"/>
    </w:rPr>
  </w:style>
  <w:style w:type="character" w:styleId="SubtleReference">
    <w:name w:val="Subtle Reference"/>
    <w:basedOn w:val="DefaultParagraphFont"/>
    <w:uiPriority w:val="31"/>
    <w:qFormat/>
    <w:rsid w:val="00B14618"/>
    <w:rPr>
      <w:rFonts w:ascii="Gill Sans MT" w:hAnsi="Gill Sans MT"/>
      <w:smallCaps/>
      <w:color w:val="C0504D"/>
      <w:u w:val="single"/>
    </w:rPr>
  </w:style>
  <w:style w:type="paragraph" w:styleId="BalloonText">
    <w:name w:val="Balloon Text"/>
    <w:basedOn w:val="Normal"/>
    <w:link w:val="BalloonTextChar"/>
    <w:rsid w:val="00AF4838"/>
    <w:pPr>
      <w:spacing w:after="0"/>
    </w:pPr>
    <w:rPr>
      <w:rFonts w:ascii="Segoe UI" w:hAnsi="Segoe UI" w:cs="Segoe UI"/>
      <w:sz w:val="18"/>
      <w:szCs w:val="18"/>
    </w:rPr>
  </w:style>
  <w:style w:type="character" w:customStyle="1" w:styleId="BalloonTextChar">
    <w:name w:val="Balloon Text Char"/>
    <w:basedOn w:val="DefaultParagraphFont"/>
    <w:link w:val="BalloonText"/>
    <w:rsid w:val="00AF4838"/>
    <w:rPr>
      <w:rFonts w:ascii="Segoe UI" w:eastAsia="Times New Roman" w:hAnsi="Segoe UI" w:cs="Segoe UI"/>
      <w:sz w:val="18"/>
      <w:szCs w:val="18"/>
      <w:lang w:eastAsia="en-US"/>
    </w:rPr>
  </w:style>
  <w:style w:type="character" w:styleId="CommentReference">
    <w:name w:val="annotation reference"/>
    <w:basedOn w:val="DefaultParagraphFont"/>
    <w:rsid w:val="00AF4838"/>
    <w:rPr>
      <w:sz w:val="16"/>
      <w:szCs w:val="16"/>
    </w:rPr>
  </w:style>
  <w:style w:type="paragraph" w:styleId="CommentSubject">
    <w:name w:val="annotation subject"/>
    <w:basedOn w:val="CommentText"/>
    <w:next w:val="CommentText"/>
    <w:link w:val="CommentSubjectChar"/>
    <w:rsid w:val="00AF4838"/>
    <w:rPr>
      <w:rFonts w:ascii="Gill Sans MT" w:hAnsi="Gill Sans MT"/>
      <w:b/>
      <w:bCs/>
      <w:szCs w:val="20"/>
      <w:lang w:val="en-IE"/>
    </w:rPr>
  </w:style>
  <w:style w:type="character" w:customStyle="1" w:styleId="CommentSubjectChar">
    <w:name w:val="Comment Subject Char"/>
    <w:basedOn w:val="CommentTextChar"/>
    <w:link w:val="CommentSubject"/>
    <w:rsid w:val="00AF4838"/>
    <w:rPr>
      <w:rFonts w:ascii="Gill Sans MT" w:eastAsia="Times New Roman" w:hAnsi="Gill Sans MT"/>
      <w:b/>
      <w:bCs/>
      <w:szCs w:val="24"/>
      <w:lang w:eastAsia="en-US"/>
    </w:rPr>
  </w:style>
  <w:style w:type="paragraph" w:styleId="Revision">
    <w:name w:val="Revision"/>
    <w:hidden/>
    <w:uiPriority w:val="99"/>
    <w:semiHidden/>
    <w:rsid w:val="00AF4838"/>
    <w:rPr>
      <w:rFonts w:ascii="Gill Sans MT" w:eastAsia="Times New Roman" w:hAnsi="Gill Sans MT"/>
      <w:sz w:val="26"/>
      <w:szCs w:val="24"/>
      <w:lang w:eastAsia="en-US"/>
    </w:rPr>
  </w:style>
  <w:style w:type="paragraph" w:styleId="ListParagraph">
    <w:name w:val="List Paragraph"/>
    <w:basedOn w:val="Normal"/>
    <w:uiPriority w:val="34"/>
    <w:qFormat/>
    <w:rsid w:val="003F3247"/>
    <w:pPr>
      <w:ind w:left="720"/>
      <w:contextualSpacing/>
    </w:pPr>
  </w:style>
  <w:style w:type="character" w:customStyle="1" w:styleId="Heading2Char">
    <w:name w:val="Heading 2 Char"/>
    <w:basedOn w:val="DefaultParagraphFont"/>
    <w:link w:val="Heading2"/>
    <w:rsid w:val="00AC6100"/>
    <w:rPr>
      <w:rFonts w:ascii="Gill Sans MT" w:eastAsia="Times New Roman" w:hAnsi="Gill Sans MT" w:cs="Arial Bold"/>
      <w:b/>
      <w:bCs/>
      <w:iCs/>
      <w:sz w:val="28"/>
      <w:szCs w:val="28"/>
      <w:lang w:eastAsia="en-US"/>
    </w:rPr>
  </w:style>
  <w:style w:type="table" w:styleId="TableGridLight">
    <w:name w:val="Grid Table Light"/>
    <w:basedOn w:val="TableNormal"/>
    <w:uiPriority w:val="40"/>
    <w:rsid w:val="00AC61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AC6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544C"/>
    <w:rPr>
      <w:color w:val="605E5C"/>
      <w:shd w:val="clear" w:color="auto" w:fill="E1DFDD"/>
    </w:rPr>
  </w:style>
  <w:style w:type="paragraph" w:customStyle="1" w:styleId="pf0">
    <w:name w:val="pf0"/>
    <w:basedOn w:val="Normal"/>
    <w:rsid w:val="00A2105B"/>
    <w:pPr>
      <w:spacing w:before="100" w:beforeAutospacing="1" w:after="100" w:afterAutospacing="1"/>
    </w:pPr>
    <w:rPr>
      <w:rFonts w:ascii="Times New Roman" w:hAnsi="Times New Roman"/>
      <w:sz w:val="24"/>
      <w:lang w:eastAsia="en-IE"/>
    </w:rPr>
  </w:style>
  <w:style w:type="character" w:customStyle="1" w:styleId="cf01">
    <w:name w:val="cf01"/>
    <w:basedOn w:val="DefaultParagraphFont"/>
    <w:rsid w:val="00A2105B"/>
    <w:rPr>
      <w:rFonts w:ascii="Segoe UI" w:hAnsi="Segoe UI" w:cs="Segoe UI" w:hint="default"/>
      <w:sz w:val="18"/>
      <w:szCs w:val="18"/>
    </w:rPr>
  </w:style>
  <w:style w:type="character" w:customStyle="1" w:styleId="FootnoteTextChar">
    <w:name w:val="Footnote Text Char"/>
    <w:basedOn w:val="DefaultParagraphFont"/>
    <w:link w:val="FootnoteText"/>
    <w:semiHidden/>
    <w:rsid w:val="009C5B9D"/>
    <w:rPr>
      <w:rFonts w:ascii="Gill Sans MT" w:eastAsia="Times New Roman" w:hAnsi="Gill Sans M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53">
      <w:bodyDiv w:val="1"/>
      <w:marLeft w:val="0"/>
      <w:marRight w:val="0"/>
      <w:marTop w:val="0"/>
      <w:marBottom w:val="0"/>
      <w:divBdr>
        <w:top w:val="none" w:sz="0" w:space="0" w:color="auto"/>
        <w:left w:val="none" w:sz="0" w:space="0" w:color="auto"/>
        <w:bottom w:val="none" w:sz="0" w:space="0" w:color="auto"/>
        <w:right w:val="none" w:sz="0" w:space="0" w:color="auto"/>
      </w:divBdr>
    </w:div>
    <w:div w:id="46804708">
      <w:bodyDiv w:val="1"/>
      <w:marLeft w:val="0"/>
      <w:marRight w:val="0"/>
      <w:marTop w:val="0"/>
      <w:marBottom w:val="0"/>
      <w:divBdr>
        <w:top w:val="none" w:sz="0" w:space="0" w:color="auto"/>
        <w:left w:val="none" w:sz="0" w:space="0" w:color="auto"/>
        <w:bottom w:val="none" w:sz="0" w:space="0" w:color="auto"/>
        <w:right w:val="none" w:sz="0" w:space="0" w:color="auto"/>
      </w:divBdr>
    </w:div>
    <w:div w:id="47650073">
      <w:bodyDiv w:val="1"/>
      <w:marLeft w:val="0"/>
      <w:marRight w:val="0"/>
      <w:marTop w:val="0"/>
      <w:marBottom w:val="0"/>
      <w:divBdr>
        <w:top w:val="none" w:sz="0" w:space="0" w:color="auto"/>
        <w:left w:val="none" w:sz="0" w:space="0" w:color="auto"/>
        <w:bottom w:val="none" w:sz="0" w:space="0" w:color="auto"/>
        <w:right w:val="none" w:sz="0" w:space="0" w:color="auto"/>
      </w:divBdr>
    </w:div>
    <w:div w:id="52391441">
      <w:bodyDiv w:val="1"/>
      <w:marLeft w:val="0"/>
      <w:marRight w:val="0"/>
      <w:marTop w:val="0"/>
      <w:marBottom w:val="0"/>
      <w:divBdr>
        <w:top w:val="none" w:sz="0" w:space="0" w:color="auto"/>
        <w:left w:val="none" w:sz="0" w:space="0" w:color="auto"/>
        <w:bottom w:val="none" w:sz="0" w:space="0" w:color="auto"/>
        <w:right w:val="none" w:sz="0" w:space="0" w:color="auto"/>
      </w:divBdr>
    </w:div>
    <w:div w:id="95293534">
      <w:bodyDiv w:val="1"/>
      <w:marLeft w:val="0"/>
      <w:marRight w:val="0"/>
      <w:marTop w:val="0"/>
      <w:marBottom w:val="0"/>
      <w:divBdr>
        <w:top w:val="none" w:sz="0" w:space="0" w:color="auto"/>
        <w:left w:val="none" w:sz="0" w:space="0" w:color="auto"/>
        <w:bottom w:val="none" w:sz="0" w:space="0" w:color="auto"/>
        <w:right w:val="none" w:sz="0" w:space="0" w:color="auto"/>
      </w:divBdr>
    </w:div>
    <w:div w:id="95369825">
      <w:bodyDiv w:val="1"/>
      <w:marLeft w:val="0"/>
      <w:marRight w:val="0"/>
      <w:marTop w:val="0"/>
      <w:marBottom w:val="0"/>
      <w:divBdr>
        <w:top w:val="none" w:sz="0" w:space="0" w:color="auto"/>
        <w:left w:val="none" w:sz="0" w:space="0" w:color="auto"/>
        <w:bottom w:val="none" w:sz="0" w:space="0" w:color="auto"/>
        <w:right w:val="none" w:sz="0" w:space="0" w:color="auto"/>
      </w:divBdr>
    </w:div>
    <w:div w:id="109864235">
      <w:bodyDiv w:val="1"/>
      <w:marLeft w:val="0"/>
      <w:marRight w:val="0"/>
      <w:marTop w:val="0"/>
      <w:marBottom w:val="0"/>
      <w:divBdr>
        <w:top w:val="none" w:sz="0" w:space="0" w:color="auto"/>
        <w:left w:val="none" w:sz="0" w:space="0" w:color="auto"/>
        <w:bottom w:val="none" w:sz="0" w:space="0" w:color="auto"/>
        <w:right w:val="none" w:sz="0" w:space="0" w:color="auto"/>
      </w:divBdr>
    </w:div>
    <w:div w:id="134152232">
      <w:bodyDiv w:val="1"/>
      <w:marLeft w:val="0"/>
      <w:marRight w:val="0"/>
      <w:marTop w:val="0"/>
      <w:marBottom w:val="0"/>
      <w:divBdr>
        <w:top w:val="none" w:sz="0" w:space="0" w:color="auto"/>
        <w:left w:val="none" w:sz="0" w:space="0" w:color="auto"/>
        <w:bottom w:val="none" w:sz="0" w:space="0" w:color="auto"/>
        <w:right w:val="none" w:sz="0" w:space="0" w:color="auto"/>
      </w:divBdr>
    </w:div>
    <w:div w:id="153376276">
      <w:bodyDiv w:val="1"/>
      <w:marLeft w:val="0"/>
      <w:marRight w:val="0"/>
      <w:marTop w:val="0"/>
      <w:marBottom w:val="0"/>
      <w:divBdr>
        <w:top w:val="none" w:sz="0" w:space="0" w:color="auto"/>
        <w:left w:val="none" w:sz="0" w:space="0" w:color="auto"/>
        <w:bottom w:val="none" w:sz="0" w:space="0" w:color="auto"/>
        <w:right w:val="none" w:sz="0" w:space="0" w:color="auto"/>
      </w:divBdr>
    </w:div>
    <w:div w:id="172886422">
      <w:bodyDiv w:val="1"/>
      <w:marLeft w:val="0"/>
      <w:marRight w:val="0"/>
      <w:marTop w:val="0"/>
      <w:marBottom w:val="0"/>
      <w:divBdr>
        <w:top w:val="none" w:sz="0" w:space="0" w:color="auto"/>
        <w:left w:val="none" w:sz="0" w:space="0" w:color="auto"/>
        <w:bottom w:val="none" w:sz="0" w:space="0" w:color="auto"/>
        <w:right w:val="none" w:sz="0" w:space="0" w:color="auto"/>
      </w:divBdr>
    </w:div>
    <w:div w:id="173804797">
      <w:bodyDiv w:val="1"/>
      <w:marLeft w:val="0"/>
      <w:marRight w:val="0"/>
      <w:marTop w:val="0"/>
      <w:marBottom w:val="0"/>
      <w:divBdr>
        <w:top w:val="none" w:sz="0" w:space="0" w:color="auto"/>
        <w:left w:val="none" w:sz="0" w:space="0" w:color="auto"/>
        <w:bottom w:val="none" w:sz="0" w:space="0" w:color="auto"/>
        <w:right w:val="none" w:sz="0" w:space="0" w:color="auto"/>
      </w:divBdr>
    </w:div>
    <w:div w:id="179469001">
      <w:bodyDiv w:val="1"/>
      <w:marLeft w:val="0"/>
      <w:marRight w:val="0"/>
      <w:marTop w:val="0"/>
      <w:marBottom w:val="0"/>
      <w:divBdr>
        <w:top w:val="none" w:sz="0" w:space="0" w:color="auto"/>
        <w:left w:val="none" w:sz="0" w:space="0" w:color="auto"/>
        <w:bottom w:val="none" w:sz="0" w:space="0" w:color="auto"/>
        <w:right w:val="none" w:sz="0" w:space="0" w:color="auto"/>
      </w:divBdr>
    </w:div>
    <w:div w:id="238100729">
      <w:bodyDiv w:val="1"/>
      <w:marLeft w:val="0"/>
      <w:marRight w:val="0"/>
      <w:marTop w:val="0"/>
      <w:marBottom w:val="0"/>
      <w:divBdr>
        <w:top w:val="none" w:sz="0" w:space="0" w:color="auto"/>
        <w:left w:val="none" w:sz="0" w:space="0" w:color="auto"/>
        <w:bottom w:val="none" w:sz="0" w:space="0" w:color="auto"/>
        <w:right w:val="none" w:sz="0" w:space="0" w:color="auto"/>
      </w:divBdr>
    </w:div>
    <w:div w:id="304316226">
      <w:bodyDiv w:val="1"/>
      <w:marLeft w:val="0"/>
      <w:marRight w:val="0"/>
      <w:marTop w:val="0"/>
      <w:marBottom w:val="0"/>
      <w:divBdr>
        <w:top w:val="none" w:sz="0" w:space="0" w:color="auto"/>
        <w:left w:val="none" w:sz="0" w:space="0" w:color="auto"/>
        <w:bottom w:val="none" w:sz="0" w:space="0" w:color="auto"/>
        <w:right w:val="none" w:sz="0" w:space="0" w:color="auto"/>
      </w:divBdr>
    </w:div>
    <w:div w:id="519515163">
      <w:bodyDiv w:val="1"/>
      <w:marLeft w:val="0"/>
      <w:marRight w:val="0"/>
      <w:marTop w:val="0"/>
      <w:marBottom w:val="0"/>
      <w:divBdr>
        <w:top w:val="none" w:sz="0" w:space="0" w:color="auto"/>
        <w:left w:val="none" w:sz="0" w:space="0" w:color="auto"/>
        <w:bottom w:val="none" w:sz="0" w:space="0" w:color="auto"/>
        <w:right w:val="none" w:sz="0" w:space="0" w:color="auto"/>
      </w:divBdr>
    </w:div>
    <w:div w:id="639923222">
      <w:bodyDiv w:val="1"/>
      <w:marLeft w:val="0"/>
      <w:marRight w:val="0"/>
      <w:marTop w:val="0"/>
      <w:marBottom w:val="0"/>
      <w:divBdr>
        <w:top w:val="none" w:sz="0" w:space="0" w:color="auto"/>
        <w:left w:val="none" w:sz="0" w:space="0" w:color="auto"/>
        <w:bottom w:val="none" w:sz="0" w:space="0" w:color="auto"/>
        <w:right w:val="none" w:sz="0" w:space="0" w:color="auto"/>
      </w:divBdr>
    </w:div>
    <w:div w:id="665862420">
      <w:bodyDiv w:val="1"/>
      <w:marLeft w:val="0"/>
      <w:marRight w:val="0"/>
      <w:marTop w:val="0"/>
      <w:marBottom w:val="0"/>
      <w:divBdr>
        <w:top w:val="none" w:sz="0" w:space="0" w:color="auto"/>
        <w:left w:val="none" w:sz="0" w:space="0" w:color="auto"/>
        <w:bottom w:val="none" w:sz="0" w:space="0" w:color="auto"/>
        <w:right w:val="none" w:sz="0" w:space="0" w:color="auto"/>
      </w:divBdr>
    </w:div>
    <w:div w:id="756483343">
      <w:bodyDiv w:val="1"/>
      <w:marLeft w:val="0"/>
      <w:marRight w:val="0"/>
      <w:marTop w:val="0"/>
      <w:marBottom w:val="0"/>
      <w:divBdr>
        <w:top w:val="none" w:sz="0" w:space="0" w:color="auto"/>
        <w:left w:val="none" w:sz="0" w:space="0" w:color="auto"/>
        <w:bottom w:val="none" w:sz="0" w:space="0" w:color="auto"/>
        <w:right w:val="none" w:sz="0" w:space="0" w:color="auto"/>
      </w:divBdr>
    </w:div>
    <w:div w:id="904729368">
      <w:bodyDiv w:val="1"/>
      <w:marLeft w:val="0"/>
      <w:marRight w:val="0"/>
      <w:marTop w:val="0"/>
      <w:marBottom w:val="0"/>
      <w:divBdr>
        <w:top w:val="none" w:sz="0" w:space="0" w:color="auto"/>
        <w:left w:val="none" w:sz="0" w:space="0" w:color="auto"/>
        <w:bottom w:val="none" w:sz="0" w:space="0" w:color="auto"/>
        <w:right w:val="none" w:sz="0" w:space="0" w:color="auto"/>
      </w:divBdr>
    </w:div>
    <w:div w:id="951203255">
      <w:bodyDiv w:val="1"/>
      <w:marLeft w:val="0"/>
      <w:marRight w:val="0"/>
      <w:marTop w:val="0"/>
      <w:marBottom w:val="0"/>
      <w:divBdr>
        <w:top w:val="none" w:sz="0" w:space="0" w:color="auto"/>
        <w:left w:val="none" w:sz="0" w:space="0" w:color="auto"/>
        <w:bottom w:val="none" w:sz="0" w:space="0" w:color="auto"/>
        <w:right w:val="none" w:sz="0" w:space="0" w:color="auto"/>
      </w:divBdr>
    </w:div>
    <w:div w:id="981302272">
      <w:bodyDiv w:val="1"/>
      <w:marLeft w:val="0"/>
      <w:marRight w:val="0"/>
      <w:marTop w:val="0"/>
      <w:marBottom w:val="0"/>
      <w:divBdr>
        <w:top w:val="none" w:sz="0" w:space="0" w:color="auto"/>
        <w:left w:val="none" w:sz="0" w:space="0" w:color="auto"/>
        <w:bottom w:val="none" w:sz="0" w:space="0" w:color="auto"/>
        <w:right w:val="none" w:sz="0" w:space="0" w:color="auto"/>
      </w:divBdr>
    </w:div>
    <w:div w:id="1030376272">
      <w:bodyDiv w:val="1"/>
      <w:marLeft w:val="0"/>
      <w:marRight w:val="0"/>
      <w:marTop w:val="0"/>
      <w:marBottom w:val="0"/>
      <w:divBdr>
        <w:top w:val="none" w:sz="0" w:space="0" w:color="auto"/>
        <w:left w:val="none" w:sz="0" w:space="0" w:color="auto"/>
        <w:bottom w:val="none" w:sz="0" w:space="0" w:color="auto"/>
        <w:right w:val="none" w:sz="0" w:space="0" w:color="auto"/>
      </w:divBdr>
    </w:div>
    <w:div w:id="1077752180">
      <w:bodyDiv w:val="1"/>
      <w:marLeft w:val="0"/>
      <w:marRight w:val="0"/>
      <w:marTop w:val="0"/>
      <w:marBottom w:val="0"/>
      <w:divBdr>
        <w:top w:val="none" w:sz="0" w:space="0" w:color="auto"/>
        <w:left w:val="none" w:sz="0" w:space="0" w:color="auto"/>
        <w:bottom w:val="none" w:sz="0" w:space="0" w:color="auto"/>
        <w:right w:val="none" w:sz="0" w:space="0" w:color="auto"/>
      </w:divBdr>
    </w:div>
    <w:div w:id="1142115311">
      <w:bodyDiv w:val="1"/>
      <w:marLeft w:val="0"/>
      <w:marRight w:val="0"/>
      <w:marTop w:val="0"/>
      <w:marBottom w:val="0"/>
      <w:divBdr>
        <w:top w:val="none" w:sz="0" w:space="0" w:color="auto"/>
        <w:left w:val="none" w:sz="0" w:space="0" w:color="auto"/>
        <w:bottom w:val="none" w:sz="0" w:space="0" w:color="auto"/>
        <w:right w:val="none" w:sz="0" w:space="0" w:color="auto"/>
      </w:divBdr>
    </w:div>
    <w:div w:id="1164860857">
      <w:bodyDiv w:val="1"/>
      <w:marLeft w:val="0"/>
      <w:marRight w:val="0"/>
      <w:marTop w:val="0"/>
      <w:marBottom w:val="0"/>
      <w:divBdr>
        <w:top w:val="none" w:sz="0" w:space="0" w:color="auto"/>
        <w:left w:val="none" w:sz="0" w:space="0" w:color="auto"/>
        <w:bottom w:val="none" w:sz="0" w:space="0" w:color="auto"/>
        <w:right w:val="none" w:sz="0" w:space="0" w:color="auto"/>
      </w:divBdr>
    </w:div>
    <w:div w:id="1220244026">
      <w:bodyDiv w:val="1"/>
      <w:marLeft w:val="0"/>
      <w:marRight w:val="0"/>
      <w:marTop w:val="0"/>
      <w:marBottom w:val="0"/>
      <w:divBdr>
        <w:top w:val="none" w:sz="0" w:space="0" w:color="auto"/>
        <w:left w:val="none" w:sz="0" w:space="0" w:color="auto"/>
        <w:bottom w:val="none" w:sz="0" w:space="0" w:color="auto"/>
        <w:right w:val="none" w:sz="0" w:space="0" w:color="auto"/>
      </w:divBdr>
    </w:div>
    <w:div w:id="1388989885">
      <w:bodyDiv w:val="1"/>
      <w:marLeft w:val="0"/>
      <w:marRight w:val="0"/>
      <w:marTop w:val="0"/>
      <w:marBottom w:val="0"/>
      <w:divBdr>
        <w:top w:val="none" w:sz="0" w:space="0" w:color="auto"/>
        <w:left w:val="none" w:sz="0" w:space="0" w:color="auto"/>
        <w:bottom w:val="none" w:sz="0" w:space="0" w:color="auto"/>
        <w:right w:val="none" w:sz="0" w:space="0" w:color="auto"/>
      </w:divBdr>
    </w:div>
    <w:div w:id="1429498410">
      <w:bodyDiv w:val="1"/>
      <w:marLeft w:val="0"/>
      <w:marRight w:val="0"/>
      <w:marTop w:val="0"/>
      <w:marBottom w:val="0"/>
      <w:divBdr>
        <w:top w:val="none" w:sz="0" w:space="0" w:color="auto"/>
        <w:left w:val="none" w:sz="0" w:space="0" w:color="auto"/>
        <w:bottom w:val="none" w:sz="0" w:space="0" w:color="auto"/>
        <w:right w:val="none" w:sz="0" w:space="0" w:color="auto"/>
      </w:divBdr>
    </w:div>
    <w:div w:id="1481116723">
      <w:bodyDiv w:val="1"/>
      <w:marLeft w:val="0"/>
      <w:marRight w:val="0"/>
      <w:marTop w:val="0"/>
      <w:marBottom w:val="0"/>
      <w:divBdr>
        <w:top w:val="none" w:sz="0" w:space="0" w:color="auto"/>
        <w:left w:val="none" w:sz="0" w:space="0" w:color="auto"/>
        <w:bottom w:val="none" w:sz="0" w:space="0" w:color="auto"/>
        <w:right w:val="none" w:sz="0" w:space="0" w:color="auto"/>
      </w:divBdr>
    </w:div>
    <w:div w:id="1497724331">
      <w:bodyDiv w:val="1"/>
      <w:marLeft w:val="0"/>
      <w:marRight w:val="0"/>
      <w:marTop w:val="0"/>
      <w:marBottom w:val="0"/>
      <w:divBdr>
        <w:top w:val="none" w:sz="0" w:space="0" w:color="auto"/>
        <w:left w:val="none" w:sz="0" w:space="0" w:color="auto"/>
        <w:bottom w:val="none" w:sz="0" w:space="0" w:color="auto"/>
        <w:right w:val="none" w:sz="0" w:space="0" w:color="auto"/>
      </w:divBdr>
    </w:div>
    <w:div w:id="1610814139">
      <w:bodyDiv w:val="1"/>
      <w:marLeft w:val="0"/>
      <w:marRight w:val="0"/>
      <w:marTop w:val="0"/>
      <w:marBottom w:val="0"/>
      <w:divBdr>
        <w:top w:val="none" w:sz="0" w:space="0" w:color="auto"/>
        <w:left w:val="none" w:sz="0" w:space="0" w:color="auto"/>
        <w:bottom w:val="none" w:sz="0" w:space="0" w:color="auto"/>
        <w:right w:val="none" w:sz="0" w:space="0" w:color="auto"/>
      </w:divBdr>
    </w:div>
    <w:div w:id="1638802144">
      <w:bodyDiv w:val="1"/>
      <w:marLeft w:val="0"/>
      <w:marRight w:val="0"/>
      <w:marTop w:val="0"/>
      <w:marBottom w:val="0"/>
      <w:divBdr>
        <w:top w:val="none" w:sz="0" w:space="0" w:color="auto"/>
        <w:left w:val="none" w:sz="0" w:space="0" w:color="auto"/>
        <w:bottom w:val="none" w:sz="0" w:space="0" w:color="auto"/>
        <w:right w:val="none" w:sz="0" w:space="0" w:color="auto"/>
      </w:divBdr>
    </w:div>
    <w:div w:id="1660696593">
      <w:bodyDiv w:val="1"/>
      <w:marLeft w:val="0"/>
      <w:marRight w:val="0"/>
      <w:marTop w:val="0"/>
      <w:marBottom w:val="0"/>
      <w:divBdr>
        <w:top w:val="none" w:sz="0" w:space="0" w:color="auto"/>
        <w:left w:val="none" w:sz="0" w:space="0" w:color="auto"/>
        <w:bottom w:val="none" w:sz="0" w:space="0" w:color="auto"/>
        <w:right w:val="none" w:sz="0" w:space="0" w:color="auto"/>
      </w:divBdr>
    </w:div>
    <w:div w:id="1665863524">
      <w:bodyDiv w:val="1"/>
      <w:marLeft w:val="0"/>
      <w:marRight w:val="0"/>
      <w:marTop w:val="0"/>
      <w:marBottom w:val="0"/>
      <w:divBdr>
        <w:top w:val="none" w:sz="0" w:space="0" w:color="auto"/>
        <w:left w:val="none" w:sz="0" w:space="0" w:color="auto"/>
        <w:bottom w:val="none" w:sz="0" w:space="0" w:color="auto"/>
        <w:right w:val="none" w:sz="0" w:space="0" w:color="auto"/>
      </w:divBdr>
    </w:div>
    <w:div w:id="1678917915">
      <w:bodyDiv w:val="1"/>
      <w:marLeft w:val="0"/>
      <w:marRight w:val="0"/>
      <w:marTop w:val="0"/>
      <w:marBottom w:val="0"/>
      <w:divBdr>
        <w:top w:val="none" w:sz="0" w:space="0" w:color="auto"/>
        <w:left w:val="none" w:sz="0" w:space="0" w:color="auto"/>
        <w:bottom w:val="none" w:sz="0" w:space="0" w:color="auto"/>
        <w:right w:val="none" w:sz="0" w:space="0" w:color="auto"/>
      </w:divBdr>
    </w:div>
    <w:div w:id="1766223336">
      <w:bodyDiv w:val="1"/>
      <w:marLeft w:val="0"/>
      <w:marRight w:val="0"/>
      <w:marTop w:val="0"/>
      <w:marBottom w:val="0"/>
      <w:divBdr>
        <w:top w:val="none" w:sz="0" w:space="0" w:color="auto"/>
        <w:left w:val="none" w:sz="0" w:space="0" w:color="auto"/>
        <w:bottom w:val="none" w:sz="0" w:space="0" w:color="auto"/>
        <w:right w:val="none" w:sz="0" w:space="0" w:color="auto"/>
      </w:divBdr>
    </w:div>
    <w:div w:id="1796875125">
      <w:bodyDiv w:val="1"/>
      <w:marLeft w:val="0"/>
      <w:marRight w:val="0"/>
      <w:marTop w:val="0"/>
      <w:marBottom w:val="0"/>
      <w:divBdr>
        <w:top w:val="none" w:sz="0" w:space="0" w:color="auto"/>
        <w:left w:val="none" w:sz="0" w:space="0" w:color="auto"/>
        <w:bottom w:val="none" w:sz="0" w:space="0" w:color="auto"/>
        <w:right w:val="none" w:sz="0" w:space="0" w:color="auto"/>
      </w:divBdr>
    </w:div>
    <w:div w:id="1801874758">
      <w:bodyDiv w:val="1"/>
      <w:marLeft w:val="0"/>
      <w:marRight w:val="0"/>
      <w:marTop w:val="0"/>
      <w:marBottom w:val="0"/>
      <w:divBdr>
        <w:top w:val="none" w:sz="0" w:space="0" w:color="auto"/>
        <w:left w:val="none" w:sz="0" w:space="0" w:color="auto"/>
        <w:bottom w:val="none" w:sz="0" w:space="0" w:color="auto"/>
        <w:right w:val="none" w:sz="0" w:space="0" w:color="auto"/>
      </w:divBdr>
    </w:div>
    <w:div w:id="1833060795">
      <w:bodyDiv w:val="1"/>
      <w:marLeft w:val="0"/>
      <w:marRight w:val="0"/>
      <w:marTop w:val="0"/>
      <w:marBottom w:val="0"/>
      <w:divBdr>
        <w:top w:val="none" w:sz="0" w:space="0" w:color="auto"/>
        <w:left w:val="none" w:sz="0" w:space="0" w:color="auto"/>
        <w:bottom w:val="none" w:sz="0" w:space="0" w:color="auto"/>
        <w:right w:val="none" w:sz="0" w:space="0" w:color="auto"/>
      </w:divBdr>
    </w:div>
    <w:div w:id="1925454596">
      <w:bodyDiv w:val="1"/>
      <w:marLeft w:val="0"/>
      <w:marRight w:val="0"/>
      <w:marTop w:val="0"/>
      <w:marBottom w:val="0"/>
      <w:divBdr>
        <w:top w:val="none" w:sz="0" w:space="0" w:color="auto"/>
        <w:left w:val="none" w:sz="0" w:space="0" w:color="auto"/>
        <w:bottom w:val="none" w:sz="0" w:space="0" w:color="auto"/>
        <w:right w:val="none" w:sz="0" w:space="0" w:color="auto"/>
      </w:divBdr>
    </w:div>
    <w:div w:id="1967462931">
      <w:bodyDiv w:val="1"/>
      <w:marLeft w:val="0"/>
      <w:marRight w:val="0"/>
      <w:marTop w:val="0"/>
      <w:marBottom w:val="0"/>
      <w:divBdr>
        <w:top w:val="none" w:sz="0" w:space="0" w:color="auto"/>
        <w:left w:val="none" w:sz="0" w:space="0" w:color="auto"/>
        <w:bottom w:val="none" w:sz="0" w:space="0" w:color="auto"/>
        <w:right w:val="none" w:sz="0" w:space="0" w:color="auto"/>
      </w:divBdr>
    </w:div>
    <w:div w:id="1999337988">
      <w:bodyDiv w:val="1"/>
      <w:marLeft w:val="0"/>
      <w:marRight w:val="0"/>
      <w:marTop w:val="0"/>
      <w:marBottom w:val="0"/>
      <w:divBdr>
        <w:top w:val="none" w:sz="0" w:space="0" w:color="auto"/>
        <w:left w:val="none" w:sz="0" w:space="0" w:color="auto"/>
        <w:bottom w:val="none" w:sz="0" w:space="0" w:color="auto"/>
        <w:right w:val="none" w:sz="0" w:space="0" w:color="auto"/>
      </w:divBdr>
    </w:div>
    <w:div w:id="2002855754">
      <w:bodyDiv w:val="1"/>
      <w:marLeft w:val="0"/>
      <w:marRight w:val="0"/>
      <w:marTop w:val="0"/>
      <w:marBottom w:val="0"/>
      <w:divBdr>
        <w:top w:val="none" w:sz="0" w:space="0" w:color="auto"/>
        <w:left w:val="none" w:sz="0" w:space="0" w:color="auto"/>
        <w:bottom w:val="none" w:sz="0" w:space="0" w:color="auto"/>
        <w:right w:val="none" w:sz="0" w:space="0" w:color="auto"/>
      </w:divBdr>
    </w:div>
    <w:div w:id="2006931192">
      <w:bodyDiv w:val="1"/>
      <w:marLeft w:val="0"/>
      <w:marRight w:val="0"/>
      <w:marTop w:val="0"/>
      <w:marBottom w:val="0"/>
      <w:divBdr>
        <w:top w:val="none" w:sz="0" w:space="0" w:color="auto"/>
        <w:left w:val="none" w:sz="0" w:space="0" w:color="auto"/>
        <w:bottom w:val="none" w:sz="0" w:space="0" w:color="auto"/>
        <w:right w:val="none" w:sz="0" w:space="0" w:color="auto"/>
      </w:divBdr>
    </w:div>
    <w:div w:id="2038847845">
      <w:bodyDiv w:val="1"/>
      <w:marLeft w:val="0"/>
      <w:marRight w:val="0"/>
      <w:marTop w:val="0"/>
      <w:marBottom w:val="0"/>
      <w:divBdr>
        <w:top w:val="none" w:sz="0" w:space="0" w:color="auto"/>
        <w:left w:val="none" w:sz="0" w:space="0" w:color="auto"/>
        <w:bottom w:val="none" w:sz="0" w:space="0" w:color="auto"/>
        <w:right w:val="none" w:sz="0" w:space="0" w:color="auto"/>
      </w:divBdr>
    </w:div>
    <w:div w:id="209250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esri.ie/system/files/publications/BKMNEXT434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services.gov.ie\NETLOGON\NDA\NDATemplates\NDA%20Style%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5B07-B5DC-469D-B5A2-009F8FB1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Style 2011</Template>
  <TotalTime>2</TotalTime>
  <Pages>14</Pages>
  <Words>2898</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collinsgm</dc:creator>
  <cp:keywords/>
  <cp:lastModifiedBy>Damhnait O'Malley (NDA)</cp:lastModifiedBy>
  <cp:revision>5</cp:revision>
  <cp:lastPrinted>2019-01-09T16:02:00Z</cp:lastPrinted>
  <dcterms:created xsi:type="dcterms:W3CDTF">2024-01-16T17:14:00Z</dcterms:created>
  <dcterms:modified xsi:type="dcterms:W3CDTF">2024-11-06T10:19:00Z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id="7NfCanl2"/&gt;&lt;style id="http://www.zotero.org/styles/vancouver" locale="en-US"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