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5C32" w14:textId="15C432F0" w:rsidR="006754E7" w:rsidRPr="0019393E" w:rsidRDefault="00CD2BBB" w:rsidP="000E4CD2">
      <w:pPr>
        <w:pStyle w:val="Heading1"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4" w:color="auto"/>
        </w:pBdr>
        <w:spacing w:before="360" w:after="240" w:line="240" w:lineRule="auto"/>
        <w:rPr>
          <w:rFonts w:ascii="Verdana" w:hAnsi="Verdana"/>
          <w:bCs w:val="0"/>
          <w:color w:val="auto"/>
          <w:kern w:val="2"/>
          <w:sz w:val="32"/>
          <w:szCs w:val="32"/>
          <w14:ligatures w14:val="standardContextual"/>
        </w:rPr>
      </w:pPr>
      <w:r w:rsidRPr="0019393E">
        <w:rPr>
          <w:rFonts w:ascii="Verdana" w:hAnsi="Verdana"/>
          <w:bCs w:val="0"/>
          <w:color w:val="auto"/>
          <w:kern w:val="2"/>
          <w:sz w:val="32"/>
          <w:szCs w:val="32"/>
          <w14:ligatures w14:val="standardContextual"/>
        </w:rPr>
        <w:t>National Disability Authority</w:t>
      </w:r>
      <w:r w:rsidR="00507E26" w:rsidRPr="0019393E">
        <w:rPr>
          <w:rFonts w:ascii="Verdana" w:hAnsi="Verdana"/>
          <w:bCs w:val="0"/>
          <w:color w:val="auto"/>
          <w:kern w:val="2"/>
          <w:sz w:val="32"/>
          <w:szCs w:val="32"/>
          <w14:ligatures w14:val="standardContextual"/>
        </w:rPr>
        <w:t>:</w:t>
      </w:r>
      <w:r w:rsidRPr="0019393E">
        <w:rPr>
          <w:rFonts w:ascii="Verdana" w:hAnsi="Verdana"/>
          <w:bCs w:val="0"/>
          <w:color w:val="auto"/>
          <w:kern w:val="2"/>
          <w:sz w:val="32"/>
          <w:szCs w:val="32"/>
          <w14:ligatures w14:val="standardContextual"/>
        </w:rPr>
        <w:t xml:space="preserve"> Gender Pay Gap Report 2025</w:t>
      </w:r>
    </w:p>
    <w:p w14:paraId="0F73A177" w14:textId="77777777" w:rsidR="006754E7" w:rsidRPr="005E234A" w:rsidRDefault="00CD2BBB" w:rsidP="00D03114">
      <w:pPr>
        <w:pStyle w:val="Heading2"/>
        <w:spacing w:line="360" w:lineRule="auto"/>
        <w:rPr>
          <w:rFonts w:ascii="Verdana" w:hAnsi="Verdana"/>
          <w:color w:val="auto"/>
          <w:sz w:val="28"/>
          <w:szCs w:val="28"/>
        </w:rPr>
      </w:pPr>
      <w:r w:rsidRPr="005E234A">
        <w:rPr>
          <w:rFonts w:ascii="Verdana" w:hAnsi="Verdana"/>
          <w:color w:val="auto"/>
          <w:sz w:val="28"/>
          <w:szCs w:val="28"/>
        </w:rPr>
        <w:t>1. Introduction</w:t>
      </w:r>
    </w:p>
    <w:p w14:paraId="14F717F2" w14:textId="09A3B259" w:rsidR="000E4CD2" w:rsidRPr="005E234A" w:rsidRDefault="000E4CD2" w:rsidP="00D03114">
      <w:pPr>
        <w:spacing w:line="360" w:lineRule="auto"/>
        <w:rPr>
          <w:rFonts w:ascii="Verdana" w:hAnsi="Verdana"/>
          <w:sz w:val="24"/>
          <w:szCs w:val="24"/>
        </w:rPr>
      </w:pPr>
      <w:r w:rsidRPr="005E234A">
        <w:rPr>
          <w:rFonts w:ascii="Verdana" w:hAnsi="Verdana"/>
          <w:sz w:val="24"/>
          <w:szCs w:val="24"/>
        </w:rPr>
        <w:t xml:space="preserve">The National Disability Authority (NDA) recognises the importance of gender balance and diversity in our Organisation. We are committed to promoting and equal, inclusive, and diverse workforce. </w:t>
      </w:r>
    </w:p>
    <w:p w14:paraId="427408C5" w14:textId="77777777" w:rsidR="005E234A" w:rsidRDefault="000E4CD2" w:rsidP="00D03114">
      <w:pPr>
        <w:spacing w:line="360" w:lineRule="auto"/>
      </w:pPr>
      <w:r w:rsidRPr="005E234A">
        <w:rPr>
          <w:rFonts w:ascii="Verdana" w:hAnsi="Verdana"/>
          <w:sz w:val="24"/>
          <w:szCs w:val="24"/>
        </w:rPr>
        <w:t xml:space="preserve">The </w:t>
      </w:r>
      <w:hyperlink r:id="rId8" w:history="1">
        <w:r w:rsidRPr="005E234A">
          <w:rPr>
            <w:rStyle w:val="Hyperlink"/>
            <w:rFonts w:ascii="Verdana" w:hAnsi="Verdana"/>
            <w:sz w:val="24"/>
            <w:szCs w:val="24"/>
          </w:rPr>
          <w:t>Gender Pay Gap Information Act 2021</w:t>
        </w:r>
      </w:hyperlink>
      <w:r w:rsidRPr="005E234A">
        <w:rPr>
          <w:rFonts w:ascii="Verdana" w:hAnsi="Verdana"/>
          <w:sz w:val="24"/>
          <w:szCs w:val="24"/>
        </w:rPr>
        <w:t xml:space="preserve"> introduced the legislative basis for Gender Pay Gap reporting in Ireland. All </w:t>
      </w:r>
      <w:r w:rsidR="005E234A">
        <w:rPr>
          <w:rFonts w:ascii="Verdana" w:hAnsi="Verdana"/>
          <w:sz w:val="24"/>
          <w:szCs w:val="24"/>
        </w:rPr>
        <w:t>o</w:t>
      </w:r>
      <w:r w:rsidR="005E234A" w:rsidRPr="005E234A">
        <w:rPr>
          <w:rFonts w:ascii="Verdana" w:hAnsi="Verdana"/>
          <w:sz w:val="24"/>
          <w:szCs w:val="24"/>
        </w:rPr>
        <w:t xml:space="preserve">rganisations </w:t>
      </w:r>
      <w:r w:rsidR="005E234A">
        <w:rPr>
          <w:rFonts w:ascii="Verdana" w:hAnsi="Verdana"/>
          <w:sz w:val="24"/>
          <w:szCs w:val="24"/>
        </w:rPr>
        <w:t>with more than 50 staff are legally required to submit a Gender Pay Gap Report</w:t>
      </w:r>
      <w:r w:rsidRPr="005E234A">
        <w:t xml:space="preserve">. </w:t>
      </w:r>
    </w:p>
    <w:p w14:paraId="3E2E4ED9" w14:textId="48FA0D57" w:rsidR="005E234A" w:rsidRDefault="00CD2BBB" w:rsidP="00D03114">
      <w:pPr>
        <w:spacing w:line="360" w:lineRule="auto"/>
        <w:rPr>
          <w:rFonts w:ascii="Verdana" w:hAnsi="Verdana"/>
          <w:sz w:val="24"/>
          <w:szCs w:val="24"/>
        </w:rPr>
      </w:pPr>
      <w:r w:rsidRPr="005E234A">
        <w:rPr>
          <w:rFonts w:ascii="Verdana" w:hAnsi="Verdana"/>
          <w:sz w:val="24"/>
          <w:szCs w:val="24"/>
        </w:rPr>
        <w:t xml:space="preserve">This report outlines the </w:t>
      </w:r>
      <w:r w:rsidR="000E4CD2" w:rsidRPr="005E234A">
        <w:rPr>
          <w:rFonts w:ascii="Verdana" w:hAnsi="Verdana"/>
          <w:sz w:val="24"/>
          <w:szCs w:val="24"/>
        </w:rPr>
        <w:t>NDA</w:t>
      </w:r>
      <w:r w:rsidRPr="005E234A">
        <w:rPr>
          <w:rFonts w:ascii="Verdana" w:hAnsi="Verdana"/>
          <w:sz w:val="24"/>
          <w:szCs w:val="24"/>
        </w:rPr>
        <w:t xml:space="preserve"> gender pay gap for 2025. The gender </w:t>
      </w:r>
      <w:proofErr w:type="gramStart"/>
      <w:r w:rsidRPr="005E234A">
        <w:rPr>
          <w:rFonts w:ascii="Verdana" w:hAnsi="Verdana"/>
          <w:sz w:val="24"/>
          <w:szCs w:val="24"/>
        </w:rPr>
        <w:t>pay</w:t>
      </w:r>
      <w:proofErr w:type="gramEnd"/>
      <w:r w:rsidRPr="005E234A">
        <w:rPr>
          <w:rFonts w:ascii="Verdana" w:hAnsi="Verdana"/>
          <w:sz w:val="24"/>
          <w:szCs w:val="24"/>
        </w:rPr>
        <w:t xml:space="preserve"> gap measures the difference between the average pay of men and women across the organisation. It does not measure equal pay for equal </w:t>
      </w:r>
      <w:r w:rsidR="00931172" w:rsidRPr="005E234A">
        <w:rPr>
          <w:rFonts w:ascii="Verdana" w:hAnsi="Verdana"/>
          <w:sz w:val="24"/>
          <w:szCs w:val="24"/>
        </w:rPr>
        <w:t>work but</w:t>
      </w:r>
      <w:r w:rsidRPr="005E234A">
        <w:rPr>
          <w:rFonts w:ascii="Verdana" w:hAnsi="Verdana"/>
          <w:sz w:val="24"/>
          <w:szCs w:val="24"/>
        </w:rPr>
        <w:t xml:space="preserve"> instead shows how men and women are distributed across roles and pay grades.</w:t>
      </w:r>
    </w:p>
    <w:p w14:paraId="0CA64D50" w14:textId="0429D51D" w:rsidR="005E234A" w:rsidRDefault="005E234A" w:rsidP="00D03114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Snapshot date</w:t>
      </w:r>
    </w:p>
    <w:p w14:paraId="427F53CC" w14:textId="720D1122" w:rsidR="005E234A" w:rsidRPr="005E234A" w:rsidRDefault="0019393E" w:rsidP="00421096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5E234A">
        <w:rPr>
          <w:rFonts w:ascii="Verdana" w:hAnsi="Verdana"/>
          <w:sz w:val="24"/>
          <w:szCs w:val="24"/>
        </w:rPr>
        <w:t xml:space="preserve"> </w:t>
      </w:r>
      <w:r w:rsidR="005E234A" w:rsidRPr="005E234A">
        <w:rPr>
          <w:rFonts w:ascii="Verdana" w:hAnsi="Verdana"/>
          <w:sz w:val="24"/>
          <w:szCs w:val="24"/>
        </w:rPr>
        <w:t>fortnightly pay perio</w:t>
      </w:r>
      <w:r w:rsidR="005E234A">
        <w:rPr>
          <w:rFonts w:ascii="Verdana" w:hAnsi="Verdana"/>
          <w:sz w:val="24"/>
          <w:szCs w:val="24"/>
        </w:rPr>
        <w:t xml:space="preserve">d </w:t>
      </w:r>
      <w:r>
        <w:rPr>
          <w:rFonts w:ascii="Verdana" w:hAnsi="Verdana"/>
          <w:sz w:val="24"/>
          <w:szCs w:val="24"/>
        </w:rPr>
        <w:t>in June 2025</w:t>
      </w:r>
      <w:r w:rsidR="000E617D">
        <w:rPr>
          <w:rFonts w:ascii="Verdana" w:hAnsi="Verdana"/>
          <w:sz w:val="24"/>
          <w:szCs w:val="24"/>
        </w:rPr>
        <w:t xml:space="preserve"> </w:t>
      </w:r>
      <w:r w:rsidR="005E234A" w:rsidRPr="005E234A">
        <w:rPr>
          <w:rFonts w:ascii="Verdana" w:hAnsi="Verdana"/>
          <w:sz w:val="24"/>
          <w:szCs w:val="24"/>
        </w:rPr>
        <w:t xml:space="preserve">was selected as the snapshot period for Gender Pay Gap reporting.  The latest submission date for the Gender Pay Gap report is the corresponding date in </w:t>
      </w:r>
      <w:r w:rsidR="00421096">
        <w:rPr>
          <w:rFonts w:ascii="Verdana" w:hAnsi="Verdana"/>
          <w:sz w:val="24"/>
          <w:szCs w:val="24"/>
        </w:rPr>
        <w:t>November 2025</w:t>
      </w:r>
      <w:r w:rsidR="005E234A" w:rsidRPr="005E234A">
        <w:rPr>
          <w:rFonts w:ascii="Verdana" w:hAnsi="Verdana"/>
          <w:sz w:val="24"/>
          <w:szCs w:val="24"/>
        </w:rPr>
        <w:t xml:space="preserve">.  As the </w:t>
      </w:r>
      <w:r>
        <w:rPr>
          <w:rFonts w:ascii="Verdana" w:hAnsi="Verdana"/>
          <w:sz w:val="24"/>
          <w:szCs w:val="24"/>
        </w:rPr>
        <w:t xml:space="preserve">20 June 2025 </w:t>
      </w:r>
      <w:r w:rsidR="005E234A" w:rsidRPr="005E234A">
        <w:rPr>
          <w:rFonts w:ascii="Verdana" w:hAnsi="Verdana"/>
          <w:sz w:val="24"/>
          <w:szCs w:val="24"/>
        </w:rPr>
        <w:t xml:space="preserve">is the snapshot date, the latest submission date of the report is </w:t>
      </w:r>
      <w:r w:rsidR="00421096">
        <w:rPr>
          <w:rFonts w:ascii="Verdana" w:hAnsi="Verdana"/>
          <w:sz w:val="24"/>
          <w:szCs w:val="24"/>
        </w:rPr>
        <w:t>20 November 2025</w:t>
      </w:r>
      <w:r w:rsidR="005E234A" w:rsidRPr="005E234A">
        <w:rPr>
          <w:rFonts w:ascii="Verdana" w:hAnsi="Verdana"/>
          <w:sz w:val="24"/>
          <w:szCs w:val="24"/>
        </w:rPr>
        <w:t xml:space="preserve">.  The data in the Gender Pay </w:t>
      </w:r>
      <w:r w:rsidR="005E234A" w:rsidRPr="005E234A">
        <w:rPr>
          <w:rFonts w:ascii="Verdana" w:hAnsi="Verdana"/>
          <w:sz w:val="24"/>
          <w:szCs w:val="24"/>
        </w:rPr>
        <w:lastRenderedPageBreak/>
        <w:t>Gap report for 202</w:t>
      </w:r>
      <w:r w:rsidR="00421096">
        <w:rPr>
          <w:rFonts w:ascii="Verdana" w:hAnsi="Verdana"/>
          <w:sz w:val="24"/>
          <w:szCs w:val="24"/>
        </w:rPr>
        <w:t>5</w:t>
      </w:r>
      <w:r w:rsidR="005E234A" w:rsidRPr="005E234A">
        <w:rPr>
          <w:rFonts w:ascii="Verdana" w:hAnsi="Verdana"/>
          <w:sz w:val="24"/>
          <w:szCs w:val="24"/>
        </w:rPr>
        <w:t xml:space="preserve"> is based solely on data from the </w:t>
      </w:r>
      <w:r w:rsidR="00337318">
        <w:rPr>
          <w:rFonts w:ascii="Verdana" w:hAnsi="Verdana"/>
          <w:sz w:val="24"/>
          <w:szCs w:val="24"/>
        </w:rPr>
        <w:t>National Shared Services Office (NSSO)</w:t>
      </w:r>
      <w:r>
        <w:rPr>
          <w:rFonts w:ascii="Verdana" w:hAnsi="Verdana"/>
          <w:sz w:val="24"/>
          <w:szCs w:val="24"/>
        </w:rPr>
        <w:t>.</w:t>
      </w:r>
    </w:p>
    <w:p w14:paraId="1C607F11" w14:textId="4E5B9E0A" w:rsidR="006754E7" w:rsidRDefault="007F7FF7" w:rsidP="00D03114">
      <w:pPr>
        <w:pStyle w:val="Heading2"/>
        <w:spacing w:line="360" w:lineRule="auto"/>
        <w:rPr>
          <w:rFonts w:ascii="Verdana" w:hAnsi="Verdana"/>
          <w:color w:val="auto"/>
          <w:sz w:val="28"/>
          <w:szCs w:val="28"/>
        </w:rPr>
      </w:pPr>
      <w:r>
        <w:rPr>
          <w:rFonts w:ascii="Verdana" w:hAnsi="Verdana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54394" wp14:editId="28CAE3A1">
                <wp:simplePos x="0" y="0"/>
                <wp:positionH relativeFrom="column">
                  <wp:posOffset>2889250</wp:posOffset>
                </wp:positionH>
                <wp:positionV relativeFrom="paragraph">
                  <wp:posOffset>3810</wp:posOffset>
                </wp:positionV>
                <wp:extent cx="3054350" cy="1549400"/>
                <wp:effectExtent l="0" t="0" r="0" b="0"/>
                <wp:wrapNone/>
                <wp:docPr id="815671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88F78" w14:textId="2D5A03A2" w:rsidR="007F7FF7" w:rsidRDefault="007F7FF7">
                            <w:r w:rsidRPr="0019393E">
                              <w:rPr>
                                <w:noProof/>
                                <w:color w:val="BF2296"/>
                              </w:rPr>
                              <w:drawing>
                                <wp:inline distT="0" distB="0" distL="0" distR="0" wp14:anchorId="714A3630" wp14:editId="545AF3F1">
                                  <wp:extent cx="2413000" cy="1384300"/>
                                  <wp:effectExtent l="0" t="0" r="6350" b="6350"/>
                                  <wp:docPr id="1349607800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35A30CF-1939-1422-C03B-389BE0454CB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543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7.5pt;margin-top:.3pt;width:240.5pt;height:1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" fillcolor="white [3201]" stroked="f" strokeweight=".5pt">
                <v:textbox>
                  <w:txbxContent>
                    <w:p w14:paraId="24488F78" w14:textId="2D5A03A2" w:rsidR="007F7FF7" w:rsidRDefault="007F7FF7">
                      <w:r w:rsidRPr="0019393E">
                        <w:rPr>
                          <w:noProof/>
                          <w:color w:val="BF2296"/>
                        </w:rPr>
                        <w:drawing>
                          <wp:inline distT="0" distB="0" distL="0" distR="0" wp14:anchorId="714A3630" wp14:editId="545AF3F1">
                            <wp:extent cx="2413000" cy="1384300"/>
                            <wp:effectExtent l="0" t="0" r="6350" b="6350"/>
                            <wp:docPr id="1349607800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35A30CF-1939-1422-C03B-389BE0454CB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BBB" w:rsidRPr="005E234A">
        <w:rPr>
          <w:rFonts w:ascii="Verdana" w:hAnsi="Verdana"/>
          <w:color w:val="auto"/>
          <w:sz w:val="28"/>
          <w:szCs w:val="28"/>
        </w:rPr>
        <w:t>2. Workforce Profile</w:t>
      </w:r>
    </w:p>
    <w:tbl>
      <w:tblPr>
        <w:tblStyle w:val="TableGrid"/>
        <w:tblW w:w="2133" w:type="pct"/>
        <w:tblLook w:val="04A0" w:firstRow="1" w:lastRow="0" w:firstColumn="1" w:lastColumn="0" w:noHBand="0" w:noVBand="1"/>
      </w:tblPr>
      <w:tblGrid>
        <w:gridCol w:w="1839"/>
        <w:gridCol w:w="1843"/>
      </w:tblGrid>
      <w:tr w:rsidR="007F7FF7" w:rsidRPr="007F7FF7" w14:paraId="1751A03C" w14:textId="290D3438" w:rsidTr="0019393E">
        <w:tc>
          <w:tcPr>
            <w:tcW w:w="2497" w:type="pct"/>
          </w:tcPr>
          <w:p w14:paraId="34024CC1" w14:textId="784BDEE9" w:rsidR="007F7FF7" w:rsidRPr="0019393E" w:rsidRDefault="007F7FF7" w:rsidP="0042109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503" w:type="pct"/>
          </w:tcPr>
          <w:p w14:paraId="57474661" w14:textId="04EB532E" w:rsidR="007F7FF7" w:rsidRPr="0019393E" w:rsidRDefault="007F7FF7" w:rsidP="0019393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Headcount</w:t>
            </w:r>
          </w:p>
        </w:tc>
      </w:tr>
      <w:tr w:rsidR="007F7FF7" w:rsidRPr="007F7FF7" w14:paraId="01D268EF" w14:textId="5D431374" w:rsidTr="0019393E">
        <w:tc>
          <w:tcPr>
            <w:tcW w:w="2497" w:type="pct"/>
          </w:tcPr>
          <w:p w14:paraId="317CEEB8" w14:textId="1DF2D5F1" w:rsidR="007F7FF7" w:rsidRPr="0019393E" w:rsidRDefault="007F7FF7" w:rsidP="00421096">
            <w:pPr>
              <w:rPr>
                <w:rFonts w:ascii="Verdana" w:hAnsi="Verdana"/>
                <w:sz w:val="24"/>
                <w:szCs w:val="24"/>
              </w:rPr>
            </w:pPr>
            <w:r w:rsidRPr="0019393E">
              <w:rPr>
                <w:rFonts w:ascii="Verdana" w:hAnsi="Verdana"/>
                <w:sz w:val="24"/>
                <w:szCs w:val="24"/>
              </w:rPr>
              <w:t>Female</w:t>
            </w:r>
          </w:p>
        </w:tc>
        <w:tc>
          <w:tcPr>
            <w:tcW w:w="2503" w:type="pct"/>
          </w:tcPr>
          <w:p w14:paraId="20DEE947" w14:textId="718C0CF3" w:rsidR="007F7FF7" w:rsidRPr="0019393E" w:rsidRDefault="007F7FF7" w:rsidP="0019393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9393E">
              <w:rPr>
                <w:rFonts w:ascii="Verdana" w:hAnsi="Verdana"/>
                <w:sz w:val="24"/>
                <w:szCs w:val="24"/>
              </w:rPr>
              <w:t>39</w:t>
            </w:r>
          </w:p>
        </w:tc>
      </w:tr>
      <w:tr w:rsidR="007F7FF7" w:rsidRPr="007F7FF7" w14:paraId="267A9FF9" w14:textId="626F1181" w:rsidTr="0019393E">
        <w:tc>
          <w:tcPr>
            <w:tcW w:w="2497" w:type="pct"/>
          </w:tcPr>
          <w:p w14:paraId="00104663" w14:textId="2223DDFC" w:rsidR="007F7FF7" w:rsidRPr="0019393E" w:rsidRDefault="007F7FF7" w:rsidP="00421096">
            <w:pPr>
              <w:rPr>
                <w:rFonts w:ascii="Verdana" w:hAnsi="Verdana"/>
                <w:sz w:val="24"/>
                <w:szCs w:val="24"/>
              </w:rPr>
            </w:pPr>
            <w:r w:rsidRPr="0019393E">
              <w:rPr>
                <w:rFonts w:ascii="Verdana" w:hAnsi="Verdana"/>
                <w:sz w:val="24"/>
                <w:szCs w:val="24"/>
              </w:rPr>
              <w:t>Male</w:t>
            </w:r>
          </w:p>
        </w:tc>
        <w:tc>
          <w:tcPr>
            <w:tcW w:w="2503" w:type="pct"/>
          </w:tcPr>
          <w:p w14:paraId="0B68E1DE" w14:textId="37A06EDF" w:rsidR="007F7FF7" w:rsidRPr="0019393E" w:rsidRDefault="007F7FF7" w:rsidP="0019393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9393E">
              <w:rPr>
                <w:rFonts w:ascii="Verdana" w:hAnsi="Verdana"/>
                <w:sz w:val="24"/>
                <w:szCs w:val="24"/>
              </w:rPr>
              <w:t>13</w:t>
            </w:r>
          </w:p>
        </w:tc>
      </w:tr>
      <w:tr w:rsidR="007F7FF7" w:rsidRPr="007F7FF7" w14:paraId="3415E592" w14:textId="77777777" w:rsidTr="0019393E">
        <w:tc>
          <w:tcPr>
            <w:tcW w:w="2497" w:type="pct"/>
          </w:tcPr>
          <w:p w14:paraId="3E8FC532" w14:textId="57623D81" w:rsidR="007F7FF7" w:rsidRPr="0019393E" w:rsidRDefault="007F7FF7" w:rsidP="0042109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9393E">
              <w:rPr>
                <w:rFonts w:ascii="Verdana" w:hAnsi="Verdan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03" w:type="pct"/>
          </w:tcPr>
          <w:p w14:paraId="2C8CE40F" w14:textId="43280D8D" w:rsidR="007F7FF7" w:rsidRPr="0019393E" w:rsidRDefault="007F7FF7" w:rsidP="0042109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9393E">
              <w:rPr>
                <w:rFonts w:ascii="Verdana" w:hAnsi="Verdana"/>
                <w:b/>
                <w:bCs/>
                <w:sz w:val="24"/>
                <w:szCs w:val="24"/>
              </w:rPr>
              <w:t>52</w:t>
            </w:r>
          </w:p>
        </w:tc>
      </w:tr>
    </w:tbl>
    <w:p w14:paraId="35284988" w14:textId="77777777" w:rsidR="00421096" w:rsidRPr="0019393E" w:rsidRDefault="00421096" w:rsidP="0019393E"/>
    <w:p w14:paraId="7AAFE567" w14:textId="4A1EDCC6" w:rsidR="006754E7" w:rsidRPr="007F7FF7" w:rsidRDefault="00CD2BBB" w:rsidP="00D03114">
      <w:pPr>
        <w:pStyle w:val="Heading2"/>
        <w:spacing w:line="360" w:lineRule="auto"/>
        <w:rPr>
          <w:rFonts w:ascii="Verdana" w:hAnsi="Verdana"/>
          <w:color w:val="auto"/>
          <w:sz w:val="28"/>
          <w:szCs w:val="28"/>
        </w:rPr>
      </w:pPr>
      <w:r w:rsidRPr="005E234A">
        <w:rPr>
          <w:rFonts w:ascii="Verdana" w:hAnsi="Verdana"/>
          <w:color w:val="auto"/>
          <w:sz w:val="28"/>
          <w:szCs w:val="28"/>
        </w:rPr>
        <w:t xml:space="preserve">3. </w:t>
      </w:r>
      <w:r w:rsidR="000805E0">
        <w:rPr>
          <w:rFonts w:ascii="Verdana" w:hAnsi="Verdana"/>
          <w:color w:val="auto"/>
          <w:sz w:val="28"/>
          <w:szCs w:val="28"/>
        </w:rPr>
        <w:t>Key Findings</w:t>
      </w:r>
    </w:p>
    <w:p w14:paraId="4F4DE793" w14:textId="0F0970F4" w:rsidR="00F351CA" w:rsidRPr="0019393E" w:rsidRDefault="007F7FF7" w:rsidP="00F351CA">
      <w:pPr>
        <w:rPr>
          <w:rFonts w:ascii="Verdana" w:hAnsi="Verdana"/>
          <w:sz w:val="24"/>
          <w:szCs w:val="24"/>
        </w:rPr>
      </w:pPr>
      <w:r w:rsidRPr="0019393E">
        <w:rPr>
          <w:rFonts w:ascii="Verdana" w:hAnsi="Verdana"/>
          <w:sz w:val="24"/>
          <w:szCs w:val="24"/>
        </w:rPr>
        <w:t>This report provides the summary Gender Pay Gap information.</w:t>
      </w:r>
    </w:p>
    <w:p w14:paraId="13244219" w14:textId="77777777" w:rsidR="007F7FF7" w:rsidRPr="0019393E" w:rsidRDefault="007F7FF7" w:rsidP="00D220CD">
      <w:pPr>
        <w:rPr>
          <w:rFonts w:ascii="Verdana" w:hAnsi="Verdana"/>
          <w:sz w:val="24"/>
          <w:szCs w:val="24"/>
        </w:rPr>
      </w:pPr>
      <w:r w:rsidRPr="0019393E">
        <w:rPr>
          <w:rFonts w:ascii="Verdana" w:hAnsi="Verdana"/>
          <w:sz w:val="24"/>
          <w:szCs w:val="24"/>
        </w:rPr>
        <w:t xml:space="preserve">The average (Mean) Gender Pay Gap % is based on the following calculations: </w:t>
      </w:r>
    </w:p>
    <w:p w14:paraId="71087D30" w14:textId="77777777" w:rsidR="007F7FF7" w:rsidRPr="0019393E" w:rsidRDefault="007F7FF7" w:rsidP="00D220CD">
      <w:pPr>
        <w:ind w:left="720"/>
        <w:rPr>
          <w:rFonts w:ascii="Verdana" w:hAnsi="Verdana"/>
          <w:sz w:val="24"/>
          <w:szCs w:val="24"/>
        </w:rPr>
      </w:pPr>
      <w:r w:rsidRPr="0019393E">
        <w:rPr>
          <w:rFonts w:ascii="Verdana" w:hAnsi="Verdana"/>
          <w:sz w:val="24"/>
          <w:szCs w:val="24"/>
        </w:rPr>
        <w:t xml:space="preserve">the difference between the average hourly rate paid to males and the average hourly rate paid to females expressed as a percentage of the average hourly rate paid to males.  </w:t>
      </w:r>
    </w:p>
    <w:p w14:paraId="6DB79EE9" w14:textId="405873CA" w:rsidR="007F7FF7" w:rsidRPr="0019393E" w:rsidRDefault="007F7FF7" w:rsidP="007F7FF7">
      <w:pPr>
        <w:rPr>
          <w:rFonts w:ascii="Verdana" w:hAnsi="Verdana"/>
          <w:sz w:val="24"/>
          <w:szCs w:val="24"/>
        </w:rPr>
      </w:pPr>
      <w:r w:rsidRPr="0019393E">
        <w:rPr>
          <w:rFonts w:ascii="Verdana" w:hAnsi="Verdana"/>
          <w:sz w:val="24"/>
          <w:szCs w:val="24"/>
        </w:rPr>
        <w:t xml:space="preserve">The mean gender pay gap for the </w:t>
      </w:r>
      <w:r>
        <w:rPr>
          <w:rFonts w:ascii="Verdana" w:hAnsi="Verdana"/>
          <w:sz w:val="24"/>
          <w:szCs w:val="24"/>
        </w:rPr>
        <w:t>NDA</w:t>
      </w:r>
      <w:r w:rsidRPr="0019393E">
        <w:rPr>
          <w:rFonts w:ascii="Verdana" w:hAnsi="Verdana"/>
          <w:sz w:val="24"/>
          <w:szCs w:val="24"/>
        </w:rPr>
        <w:t xml:space="preserve"> indicates that, on average, men are paid </w:t>
      </w:r>
      <w:r>
        <w:rPr>
          <w:rFonts w:ascii="Verdana" w:hAnsi="Verdana"/>
          <w:sz w:val="24"/>
          <w:szCs w:val="24"/>
        </w:rPr>
        <w:t>20.46</w:t>
      </w:r>
      <w:r w:rsidRPr="0019393E">
        <w:rPr>
          <w:rFonts w:ascii="Verdana" w:hAnsi="Verdana"/>
          <w:sz w:val="24"/>
          <w:szCs w:val="24"/>
        </w:rPr>
        <w:t xml:space="preserve">% higher than women.  All our employees </w:t>
      </w:r>
      <w:r>
        <w:rPr>
          <w:rFonts w:ascii="Verdana" w:hAnsi="Verdana"/>
          <w:sz w:val="24"/>
          <w:szCs w:val="24"/>
        </w:rPr>
        <w:t xml:space="preserve">paid </w:t>
      </w:r>
      <w:r w:rsidR="00DA4DE1">
        <w:rPr>
          <w:rFonts w:ascii="Verdana" w:hAnsi="Verdana"/>
          <w:sz w:val="24"/>
          <w:szCs w:val="24"/>
        </w:rPr>
        <w:t>in compliance with</w:t>
      </w:r>
      <w:r w:rsidRPr="0019393E">
        <w:rPr>
          <w:rFonts w:ascii="Verdana" w:hAnsi="Verdana"/>
          <w:sz w:val="24"/>
          <w:szCs w:val="24"/>
        </w:rPr>
        <w:t xml:space="preserve"> Civil Servants</w:t>
      </w:r>
      <w:r w:rsidR="00DA4DE1">
        <w:rPr>
          <w:rFonts w:ascii="Verdana" w:hAnsi="Verdana"/>
          <w:sz w:val="24"/>
          <w:szCs w:val="24"/>
        </w:rPr>
        <w:t xml:space="preserve"> pay scales</w:t>
      </w:r>
      <w:r w:rsidRPr="0019393E">
        <w:rPr>
          <w:rFonts w:ascii="Verdana" w:hAnsi="Verdana"/>
          <w:sz w:val="24"/>
          <w:szCs w:val="24"/>
        </w:rPr>
        <w:t xml:space="preserve"> which has equal pay for men and women in the same grades.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6"/>
      </w:tblGrid>
      <w:tr w:rsidR="000805E0" w:rsidRPr="00D220CD" w14:paraId="31618ED3" w14:textId="7FF82B5C" w:rsidTr="0019393E">
        <w:tc>
          <w:tcPr>
            <w:tcW w:w="1250" w:type="pct"/>
          </w:tcPr>
          <w:p w14:paraId="0C5DD12B" w14:textId="4FECC190" w:rsidR="000805E0" w:rsidRPr="00D220CD" w:rsidRDefault="000805E0" w:rsidP="000805E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250" w:type="pct"/>
          </w:tcPr>
          <w:p w14:paraId="062E037D" w14:textId="77777777" w:rsidR="000805E0" w:rsidRPr="00D220CD" w:rsidRDefault="000805E0" w:rsidP="000805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220CD">
              <w:rPr>
                <w:rFonts w:ascii="Verdana" w:hAnsi="Verdana"/>
                <w:b/>
                <w:bCs/>
                <w:sz w:val="24"/>
                <w:szCs w:val="24"/>
              </w:rPr>
              <w:t>No of Employees</w:t>
            </w:r>
          </w:p>
        </w:tc>
        <w:tc>
          <w:tcPr>
            <w:tcW w:w="1250" w:type="pct"/>
          </w:tcPr>
          <w:p w14:paraId="5007E219" w14:textId="6F82248F" w:rsidR="000805E0" w:rsidRDefault="000805E0" w:rsidP="000805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Average</w:t>
            </w:r>
          </w:p>
          <w:p w14:paraId="0A061D0A" w14:textId="2E38B1C0" w:rsidR="000805E0" w:rsidRDefault="000805E0" w:rsidP="000805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Hourly Rate</w:t>
            </w:r>
          </w:p>
        </w:tc>
        <w:tc>
          <w:tcPr>
            <w:tcW w:w="1249" w:type="pct"/>
          </w:tcPr>
          <w:p w14:paraId="2E4893F9" w14:textId="5C92E272" w:rsidR="000805E0" w:rsidRPr="00D220CD" w:rsidRDefault="000805E0" w:rsidP="000805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Median Hourly Rate</w:t>
            </w:r>
          </w:p>
        </w:tc>
      </w:tr>
      <w:tr w:rsidR="000805E0" w:rsidRPr="00D220CD" w14:paraId="4735BE91" w14:textId="34AA8FBC" w:rsidTr="0019393E">
        <w:tc>
          <w:tcPr>
            <w:tcW w:w="1250" w:type="pct"/>
          </w:tcPr>
          <w:p w14:paraId="06B1068E" w14:textId="77777777" w:rsidR="000805E0" w:rsidRPr="00D220CD" w:rsidRDefault="000805E0" w:rsidP="000805E0">
            <w:pPr>
              <w:rPr>
                <w:rFonts w:ascii="Verdana" w:hAnsi="Verdana"/>
                <w:sz w:val="24"/>
                <w:szCs w:val="24"/>
              </w:rPr>
            </w:pPr>
            <w:r w:rsidRPr="00D220CD">
              <w:rPr>
                <w:rFonts w:ascii="Verdana" w:hAnsi="Verdana"/>
                <w:sz w:val="24"/>
                <w:szCs w:val="24"/>
              </w:rPr>
              <w:t>Female</w:t>
            </w:r>
          </w:p>
        </w:tc>
        <w:tc>
          <w:tcPr>
            <w:tcW w:w="1250" w:type="pct"/>
          </w:tcPr>
          <w:p w14:paraId="50551727" w14:textId="0ED5DF20" w:rsidR="000805E0" w:rsidRPr="00D220CD" w:rsidRDefault="000805E0" w:rsidP="000805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39</w:t>
            </w:r>
          </w:p>
        </w:tc>
        <w:tc>
          <w:tcPr>
            <w:tcW w:w="1250" w:type="pct"/>
          </w:tcPr>
          <w:p w14:paraId="0E83010C" w14:textId="706AC487" w:rsidR="000805E0" w:rsidRDefault="000805E0" w:rsidP="000805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€34.90</w:t>
            </w:r>
          </w:p>
        </w:tc>
        <w:tc>
          <w:tcPr>
            <w:tcW w:w="1249" w:type="pct"/>
          </w:tcPr>
          <w:p w14:paraId="6B661B64" w14:textId="2794B225" w:rsidR="000805E0" w:rsidRPr="00D220CD" w:rsidRDefault="000805E0" w:rsidP="000805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€31.49</w:t>
            </w:r>
          </w:p>
        </w:tc>
      </w:tr>
      <w:tr w:rsidR="000805E0" w:rsidRPr="00D220CD" w14:paraId="6910061D" w14:textId="04D396FB" w:rsidTr="0019393E">
        <w:tc>
          <w:tcPr>
            <w:tcW w:w="1250" w:type="pct"/>
          </w:tcPr>
          <w:p w14:paraId="73DCA899" w14:textId="77777777" w:rsidR="000805E0" w:rsidRPr="00D220CD" w:rsidRDefault="000805E0" w:rsidP="000805E0">
            <w:pPr>
              <w:rPr>
                <w:rFonts w:ascii="Verdana" w:hAnsi="Verdana"/>
                <w:sz w:val="24"/>
                <w:szCs w:val="24"/>
              </w:rPr>
            </w:pPr>
            <w:r w:rsidRPr="00D220CD">
              <w:rPr>
                <w:rFonts w:ascii="Verdana" w:hAnsi="Verdana"/>
                <w:sz w:val="24"/>
                <w:szCs w:val="24"/>
              </w:rPr>
              <w:t>Male</w:t>
            </w:r>
          </w:p>
        </w:tc>
        <w:tc>
          <w:tcPr>
            <w:tcW w:w="1250" w:type="pct"/>
          </w:tcPr>
          <w:p w14:paraId="733CF34F" w14:textId="77777777" w:rsidR="000805E0" w:rsidRPr="00D220CD" w:rsidRDefault="000805E0" w:rsidP="000805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D220CD">
              <w:rPr>
                <w:rFonts w:ascii="Verdana" w:hAnsi="Verdana"/>
                <w:sz w:val="24"/>
                <w:szCs w:val="24"/>
              </w:rPr>
              <w:t>13</w:t>
            </w:r>
          </w:p>
        </w:tc>
        <w:tc>
          <w:tcPr>
            <w:tcW w:w="1250" w:type="pct"/>
          </w:tcPr>
          <w:p w14:paraId="73791D2D" w14:textId="3F0958C0" w:rsidR="000805E0" w:rsidRDefault="000805E0" w:rsidP="000805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€43.88</w:t>
            </w:r>
          </w:p>
        </w:tc>
        <w:tc>
          <w:tcPr>
            <w:tcW w:w="1249" w:type="pct"/>
          </w:tcPr>
          <w:p w14:paraId="044F161D" w14:textId="52CBE766" w:rsidR="000805E0" w:rsidRPr="00D220CD" w:rsidRDefault="000805E0" w:rsidP="000805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€44.29</w:t>
            </w:r>
          </w:p>
        </w:tc>
      </w:tr>
    </w:tbl>
    <w:p w14:paraId="0701BAE5" w14:textId="77777777" w:rsidR="00E6319F" w:rsidRDefault="00E6319F" w:rsidP="00E6319F"/>
    <w:p w14:paraId="41FB9783" w14:textId="00F32EB4" w:rsidR="00DA4DE1" w:rsidRPr="0019393E" w:rsidRDefault="00DA4DE1" w:rsidP="00DA4DE1">
      <w:pPr>
        <w:rPr>
          <w:rFonts w:ascii="Verdana" w:hAnsi="Verdana"/>
          <w:sz w:val="24"/>
          <w:szCs w:val="24"/>
        </w:rPr>
      </w:pPr>
      <w:r w:rsidRPr="0019393E">
        <w:rPr>
          <w:rFonts w:ascii="Verdana" w:hAnsi="Verdana"/>
          <w:sz w:val="24"/>
          <w:szCs w:val="24"/>
        </w:rPr>
        <w:t xml:space="preserve">The Median Gender Pay Gap </w:t>
      </w:r>
      <w:r>
        <w:rPr>
          <w:rFonts w:ascii="Verdana" w:hAnsi="Verdana"/>
          <w:sz w:val="24"/>
          <w:szCs w:val="24"/>
        </w:rPr>
        <w:t>28.9</w:t>
      </w:r>
      <w:r w:rsidRPr="0019393E">
        <w:rPr>
          <w:rFonts w:ascii="Verdana" w:hAnsi="Verdana"/>
          <w:sz w:val="24"/>
          <w:szCs w:val="24"/>
        </w:rPr>
        <w:t xml:space="preserve">% is based on the following calculation: </w:t>
      </w:r>
    </w:p>
    <w:p w14:paraId="6BF04CE9" w14:textId="77777777" w:rsidR="00DA4DE1" w:rsidRPr="0019393E" w:rsidRDefault="00DA4DE1" w:rsidP="00DA4DE1">
      <w:pPr>
        <w:ind w:left="720"/>
        <w:rPr>
          <w:rFonts w:ascii="Verdana" w:hAnsi="Verdana"/>
          <w:sz w:val="24"/>
          <w:szCs w:val="24"/>
        </w:rPr>
      </w:pPr>
      <w:r w:rsidRPr="0019393E">
        <w:rPr>
          <w:rFonts w:ascii="Verdana" w:hAnsi="Verdana"/>
          <w:sz w:val="24"/>
          <w:szCs w:val="24"/>
        </w:rPr>
        <w:lastRenderedPageBreak/>
        <w:t>the difference between the median hourly rate paid to males and the median hourly rate paid to females expressed as a percentage of the median hourly rate paid to males.</w:t>
      </w:r>
    </w:p>
    <w:p w14:paraId="250A6F88" w14:textId="77777777" w:rsidR="0019393E" w:rsidRPr="005E234A" w:rsidRDefault="0019393E" w:rsidP="0019393E">
      <w:pPr>
        <w:pStyle w:val="Heading2"/>
        <w:spacing w:line="360" w:lineRule="auto"/>
        <w:rPr>
          <w:rFonts w:ascii="Verdana" w:hAnsi="Verdana"/>
          <w:color w:val="auto"/>
          <w:sz w:val="28"/>
          <w:szCs w:val="28"/>
        </w:rPr>
      </w:pPr>
      <w:bookmarkStart w:id="0" w:name="_Toc184637245"/>
      <w:r>
        <w:rPr>
          <w:rFonts w:ascii="Verdana" w:hAnsi="Verdana"/>
          <w:color w:val="auto"/>
          <w:sz w:val="28"/>
          <w:szCs w:val="28"/>
        </w:rPr>
        <w:t>4</w:t>
      </w:r>
      <w:r w:rsidRPr="005E234A">
        <w:rPr>
          <w:rFonts w:ascii="Verdana" w:hAnsi="Verdana"/>
          <w:color w:val="auto"/>
          <w:sz w:val="28"/>
          <w:szCs w:val="28"/>
        </w:rPr>
        <w:t xml:space="preserve">. Actions to Reduce the Gender Pay Gap </w:t>
      </w:r>
    </w:p>
    <w:p w14:paraId="0E5D959A" w14:textId="77777777" w:rsidR="0019393E" w:rsidRPr="005E234A" w:rsidRDefault="0019393E" w:rsidP="0019393E">
      <w:pPr>
        <w:pStyle w:val="ListNumber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</w:rPr>
      </w:pPr>
      <w:r w:rsidRPr="005E234A">
        <w:rPr>
          <w:rFonts w:ascii="Verdana" w:hAnsi="Verdana"/>
          <w:sz w:val="24"/>
          <w:szCs w:val="24"/>
        </w:rPr>
        <w:t>Support leadership development for women, particularly at lower grades through mentoring and public-sector programmes.</w:t>
      </w:r>
    </w:p>
    <w:p w14:paraId="3740DD1C" w14:textId="77777777" w:rsidR="0019393E" w:rsidRPr="005E234A" w:rsidRDefault="0019393E" w:rsidP="0019393E">
      <w:pPr>
        <w:pStyle w:val="ListNumber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</w:rPr>
      </w:pPr>
      <w:r w:rsidRPr="005E234A">
        <w:rPr>
          <w:rFonts w:ascii="Verdana" w:hAnsi="Verdana"/>
          <w:sz w:val="24"/>
          <w:szCs w:val="24"/>
        </w:rPr>
        <w:t>Monitor recruitment processes and panel decisions for gender balance.</w:t>
      </w:r>
    </w:p>
    <w:p w14:paraId="4E6F3C6F" w14:textId="75CF14D7" w:rsidR="0019393E" w:rsidRPr="005E234A" w:rsidRDefault="0019393E" w:rsidP="0019393E">
      <w:pPr>
        <w:pStyle w:val="ListNumber"/>
        <w:numPr>
          <w:ilvl w:val="0"/>
          <w:numId w:val="11"/>
        </w:numPr>
        <w:spacing w:line="360" w:lineRule="auto"/>
        <w:rPr>
          <w:rFonts w:ascii="Verdana" w:hAnsi="Verdana"/>
          <w:sz w:val="24"/>
          <w:szCs w:val="24"/>
        </w:rPr>
      </w:pPr>
      <w:r w:rsidRPr="005E234A">
        <w:rPr>
          <w:rFonts w:ascii="Verdana" w:hAnsi="Verdana"/>
          <w:sz w:val="24"/>
          <w:szCs w:val="24"/>
        </w:rPr>
        <w:t>Review gender pay data annually and provide updates to S</w:t>
      </w:r>
      <w:r w:rsidR="000E617D">
        <w:rPr>
          <w:rFonts w:ascii="Verdana" w:hAnsi="Verdana"/>
          <w:sz w:val="24"/>
          <w:szCs w:val="24"/>
        </w:rPr>
        <w:t>LT</w:t>
      </w:r>
      <w:r w:rsidRPr="005E234A">
        <w:rPr>
          <w:rFonts w:ascii="Verdana" w:hAnsi="Verdana"/>
          <w:sz w:val="24"/>
          <w:szCs w:val="24"/>
        </w:rPr>
        <w:t>.</w:t>
      </w:r>
    </w:p>
    <w:p w14:paraId="11C77405" w14:textId="77777777" w:rsidR="00DA4DE1" w:rsidRPr="0019393E" w:rsidRDefault="00DA4DE1" w:rsidP="0019393E">
      <w:pPr>
        <w:pStyle w:val="Heading2"/>
        <w:spacing w:line="360" w:lineRule="auto"/>
        <w:rPr>
          <w:rFonts w:ascii="Verdana" w:hAnsi="Verdana"/>
          <w:color w:val="auto"/>
        </w:rPr>
      </w:pPr>
      <w:r w:rsidRPr="0019393E">
        <w:rPr>
          <w:rFonts w:ascii="Verdana" w:hAnsi="Verdana"/>
          <w:color w:val="auto"/>
          <w:sz w:val="28"/>
          <w:szCs w:val="28"/>
        </w:rPr>
        <w:t>Conclusion</w:t>
      </w:r>
      <w:bookmarkEnd w:id="0"/>
    </w:p>
    <w:p w14:paraId="73917684" w14:textId="4FCCBD76" w:rsidR="00DA4DE1" w:rsidRPr="0019393E" w:rsidRDefault="00DA4DE1" w:rsidP="00DA4DE1">
      <w:pPr>
        <w:rPr>
          <w:rFonts w:ascii="Verdana" w:hAnsi="Verdana"/>
          <w:sz w:val="24"/>
          <w:szCs w:val="24"/>
        </w:rPr>
      </w:pPr>
      <w:r w:rsidRPr="0019393E">
        <w:rPr>
          <w:rFonts w:ascii="Verdana" w:hAnsi="Verdana"/>
          <w:sz w:val="24"/>
          <w:szCs w:val="24"/>
        </w:rPr>
        <w:t>The Gender Pay Gap Report highlights that it exists</w:t>
      </w:r>
      <w:r w:rsidR="000E617D">
        <w:rPr>
          <w:rFonts w:ascii="Verdana" w:hAnsi="Verdana"/>
          <w:sz w:val="24"/>
          <w:szCs w:val="24"/>
        </w:rPr>
        <w:t>.</w:t>
      </w:r>
      <w:r w:rsidRPr="0019393E">
        <w:rPr>
          <w:rFonts w:ascii="Verdana" w:hAnsi="Verdana"/>
          <w:sz w:val="24"/>
          <w:szCs w:val="24"/>
        </w:rPr>
        <w:t xml:space="preserve"> </w:t>
      </w:r>
      <w:r w:rsidR="000E617D">
        <w:rPr>
          <w:rFonts w:ascii="Verdana" w:hAnsi="Verdana"/>
          <w:sz w:val="24"/>
          <w:szCs w:val="24"/>
        </w:rPr>
        <w:t>The</w:t>
      </w:r>
      <w:r w:rsidRPr="0019393E">
        <w:rPr>
          <w:rFonts w:ascii="Verdana" w:hAnsi="Verdana"/>
          <w:sz w:val="24"/>
          <w:szCs w:val="24"/>
        </w:rPr>
        <w:t xml:space="preserve"> mean level (average) gap favours males by 20.46% and at median level favours males at 28.9%.  As a Public Sector Body, pay is set and does not discriminate by gender.  </w:t>
      </w:r>
    </w:p>
    <w:p w14:paraId="2BBAB08B" w14:textId="7BD71857" w:rsidR="00DA4DE1" w:rsidRPr="0019393E" w:rsidRDefault="00DA4DE1" w:rsidP="00DA4DE1">
      <w:pPr>
        <w:rPr>
          <w:rFonts w:ascii="Verdana" w:hAnsi="Verdana"/>
          <w:sz w:val="24"/>
          <w:szCs w:val="24"/>
        </w:rPr>
      </w:pPr>
      <w:r w:rsidRPr="0019393E">
        <w:rPr>
          <w:rFonts w:ascii="Verdana" w:hAnsi="Verdana"/>
          <w:sz w:val="24"/>
          <w:szCs w:val="24"/>
        </w:rPr>
        <w:t>At the time of the snapshot</w:t>
      </w:r>
      <w:r w:rsidR="00337318" w:rsidRPr="0019393E">
        <w:rPr>
          <w:rFonts w:ascii="Verdana" w:hAnsi="Verdana"/>
          <w:sz w:val="24"/>
          <w:szCs w:val="24"/>
        </w:rPr>
        <w:t xml:space="preserve"> 29</w:t>
      </w:r>
      <w:r w:rsidRPr="0019393E">
        <w:rPr>
          <w:rFonts w:ascii="Verdana" w:hAnsi="Verdana"/>
          <w:sz w:val="24"/>
          <w:szCs w:val="24"/>
        </w:rPr>
        <w:t>% of our headcount were Clerical</w:t>
      </w:r>
      <w:r w:rsidR="00337318" w:rsidRPr="0019393E">
        <w:rPr>
          <w:rFonts w:ascii="Verdana" w:hAnsi="Verdana"/>
          <w:sz w:val="24"/>
          <w:szCs w:val="24"/>
        </w:rPr>
        <w:t xml:space="preserve"> Officers, </w:t>
      </w:r>
      <w:r w:rsidRPr="0019393E">
        <w:rPr>
          <w:rFonts w:ascii="Verdana" w:hAnsi="Verdana"/>
          <w:sz w:val="24"/>
          <w:szCs w:val="24"/>
        </w:rPr>
        <w:t>Executive Officers</w:t>
      </w:r>
      <w:r w:rsidR="00337318" w:rsidRPr="0019393E">
        <w:rPr>
          <w:rFonts w:ascii="Verdana" w:hAnsi="Verdana"/>
          <w:sz w:val="24"/>
          <w:szCs w:val="24"/>
        </w:rPr>
        <w:t xml:space="preserve"> or equivalent</w:t>
      </w:r>
      <w:r w:rsidRPr="0019393E">
        <w:rPr>
          <w:rFonts w:ascii="Verdana" w:hAnsi="Verdana"/>
          <w:sz w:val="24"/>
          <w:szCs w:val="24"/>
        </w:rPr>
        <w:t xml:space="preserve">, of which </w:t>
      </w:r>
      <w:r w:rsidR="00337318" w:rsidRPr="0019393E">
        <w:rPr>
          <w:rFonts w:ascii="Verdana" w:hAnsi="Verdana"/>
          <w:sz w:val="24"/>
          <w:szCs w:val="24"/>
        </w:rPr>
        <w:t>87</w:t>
      </w:r>
      <w:r w:rsidRPr="0019393E">
        <w:rPr>
          <w:rFonts w:ascii="Verdana" w:hAnsi="Verdana"/>
          <w:sz w:val="24"/>
          <w:szCs w:val="24"/>
        </w:rPr>
        <w:t>% were female</w:t>
      </w:r>
      <w:r w:rsidR="000E617D">
        <w:rPr>
          <w:rFonts w:ascii="Verdana" w:hAnsi="Verdana"/>
          <w:sz w:val="24"/>
          <w:szCs w:val="24"/>
        </w:rPr>
        <w:t>,</w:t>
      </w:r>
      <w:r w:rsidRPr="0019393E">
        <w:rPr>
          <w:rFonts w:ascii="Verdana" w:hAnsi="Verdana"/>
          <w:sz w:val="24"/>
          <w:szCs w:val="24"/>
        </w:rPr>
        <w:t xml:space="preserve"> which contribute</w:t>
      </w:r>
      <w:r w:rsidR="00337318">
        <w:rPr>
          <w:rFonts w:ascii="Verdana" w:hAnsi="Verdana"/>
          <w:sz w:val="24"/>
          <w:szCs w:val="24"/>
        </w:rPr>
        <w:t>s</w:t>
      </w:r>
      <w:r w:rsidRPr="0019393E">
        <w:rPr>
          <w:rFonts w:ascii="Verdana" w:hAnsi="Verdana"/>
          <w:sz w:val="24"/>
          <w:szCs w:val="24"/>
        </w:rPr>
        <w:t xml:space="preserve"> to the gender pay gap given the significant number of females at entry level grade and pay.  And</w:t>
      </w:r>
      <w:r w:rsidR="00337318" w:rsidRPr="0019393E">
        <w:rPr>
          <w:rFonts w:ascii="Verdana" w:hAnsi="Verdana"/>
          <w:sz w:val="24"/>
          <w:szCs w:val="24"/>
        </w:rPr>
        <w:t xml:space="preserve"> 44</w:t>
      </w:r>
      <w:r w:rsidRPr="0019393E">
        <w:rPr>
          <w:rFonts w:ascii="Verdana" w:hAnsi="Verdana"/>
          <w:sz w:val="24"/>
          <w:szCs w:val="24"/>
        </w:rPr>
        <w:t xml:space="preserve">% of our headcount were Assistant Principal Officer grade or above, of which </w:t>
      </w:r>
      <w:r w:rsidR="00337318" w:rsidRPr="0019393E">
        <w:rPr>
          <w:rFonts w:ascii="Verdana" w:hAnsi="Verdana"/>
          <w:sz w:val="24"/>
          <w:szCs w:val="24"/>
        </w:rPr>
        <w:t>65</w:t>
      </w:r>
      <w:r w:rsidRPr="0019393E">
        <w:rPr>
          <w:rFonts w:ascii="Verdana" w:hAnsi="Verdana"/>
          <w:sz w:val="24"/>
          <w:szCs w:val="24"/>
        </w:rPr>
        <w:t>% were females</w:t>
      </w:r>
      <w:r w:rsidR="00A741C5">
        <w:rPr>
          <w:rFonts w:ascii="Verdana" w:hAnsi="Verdana"/>
          <w:sz w:val="24"/>
          <w:szCs w:val="24"/>
        </w:rPr>
        <w:t xml:space="preserve">, additionally, 75% of the Senior Leadership Team positions are held by females, </w:t>
      </w:r>
      <w:r w:rsidRPr="0019393E">
        <w:rPr>
          <w:rFonts w:ascii="Verdana" w:hAnsi="Verdana"/>
          <w:sz w:val="24"/>
          <w:szCs w:val="24"/>
        </w:rPr>
        <w:t xml:space="preserve">which confirms that NDA holds no barrier for career progression of females and continues to be an employer of choice for females at every </w:t>
      </w:r>
      <w:commentRangeStart w:id="1"/>
      <w:r w:rsidRPr="0019393E">
        <w:rPr>
          <w:rFonts w:ascii="Verdana" w:hAnsi="Verdana"/>
          <w:sz w:val="24"/>
          <w:szCs w:val="24"/>
        </w:rPr>
        <w:t>grade</w:t>
      </w:r>
      <w:commentRangeEnd w:id="1"/>
      <w:r w:rsidR="000E617D">
        <w:rPr>
          <w:rStyle w:val="CommentReference"/>
        </w:rPr>
        <w:commentReference w:id="1"/>
      </w:r>
      <w:r w:rsidRPr="0019393E">
        <w:rPr>
          <w:rFonts w:ascii="Verdana" w:hAnsi="Verdana"/>
          <w:sz w:val="24"/>
          <w:szCs w:val="24"/>
        </w:rPr>
        <w:t>.</w:t>
      </w:r>
    </w:p>
    <w:p w14:paraId="0048AC18" w14:textId="0E2178C6" w:rsidR="006754E7" w:rsidRPr="00D03114" w:rsidRDefault="006754E7" w:rsidP="0019393E">
      <w:pPr>
        <w:spacing w:line="360" w:lineRule="auto"/>
        <w:rPr>
          <w:rFonts w:ascii="Verdana" w:hAnsi="Verdana"/>
          <w:sz w:val="24"/>
          <w:szCs w:val="24"/>
        </w:rPr>
      </w:pPr>
    </w:p>
    <w:sectPr w:rsidR="006754E7" w:rsidRPr="00D03114" w:rsidSect="00034616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ideen Hartney (NDA)" w:date="2025-11-19T15:28:00Z" w:initials="AH">
    <w:p w14:paraId="51ACE7EC" w14:textId="77777777" w:rsidR="000E617D" w:rsidRDefault="000E617D" w:rsidP="000E617D">
      <w:pPr>
        <w:pStyle w:val="CommentText"/>
      </w:pPr>
      <w:r>
        <w:rPr>
          <w:rStyle w:val="CommentReference"/>
        </w:rPr>
        <w:annotationRef/>
      </w:r>
      <w:r>
        <w:t>Would it be useful to add a moment re composition of SLT - e.g. 75% of SLT positions are held by females?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ACE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67C3C4" w16cex:dateUtc="2025-11-19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ACE7EC" w16cid:durableId="5A67C3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D649" w14:textId="77777777" w:rsidR="00A17F3F" w:rsidRPr="005E234A" w:rsidRDefault="00A17F3F" w:rsidP="00A17F3F">
      <w:pPr>
        <w:spacing w:after="0" w:line="240" w:lineRule="auto"/>
      </w:pPr>
      <w:r w:rsidRPr="005E234A">
        <w:separator/>
      </w:r>
    </w:p>
  </w:endnote>
  <w:endnote w:type="continuationSeparator" w:id="0">
    <w:p w14:paraId="6BB17FAE" w14:textId="77777777" w:rsidR="00A17F3F" w:rsidRPr="005E234A" w:rsidRDefault="00A17F3F" w:rsidP="00A17F3F">
      <w:pPr>
        <w:spacing w:after="0" w:line="240" w:lineRule="auto"/>
      </w:pPr>
      <w:r w:rsidRPr="005E23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9C25" w14:textId="77777777" w:rsidR="00A17F3F" w:rsidRPr="005E234A" w:rsidRDefault="00A17F3F" w:rsidP="00A17F3F">
      <w:pPr>
        <w:spacing w:after="0" w:line="240" w:lineRule="auto"/>
      </w:pPr>
      <w:r w:rsidRPr="005E234A">
        <w:separator/>
      </w:r>
    </w:p>
  </w:footnote>
  <w:footnote w:type="continuationSeparator" w:id="0">
    <w:p w14:paraId="5918E80D" w14:textId="77777777" w:rsidR="00A17F3F" w:rsidRPr="005E234A" w:rsidRDefault="00A17F3F" w:rsidP="00A17F3F">
      <w:pPr>
        <w:spacing w:after="0" w:line="240" w:lineRule="auto"/>
      </w:pPr>
      <w:r w:rsidRPr="005E23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278E" w14:textId="445CA4B9" w:rsidR="00A17F3F" w:rsidRPr="005E234A" w:rsidRDefault="00A17F3F" w:rsidP="00A17F3F">
    <w:pPr>
      <w:pStyle w:val="Header"/>
      <w:jc w:val="center"/>
    </w:pPr>
    <w:bookmarkStart w:id="2" w:name="_Hlk197937603"/>
    <w:bookmarkStart w:id="3" w:name="_Toc200019452"/>
    <w:bookmarkStart w:id="4" w:name="_Toc201145392"/>
    <w:bookmarkEnd w:id="2"/>
    <w:r w:rsidRPr="00A743CD">
      <w:rPr>
        <w:noProof/>
      </w:rPr>
      <w:drawing>
        <wp:inline distT="0" distB="0" distL="0" distR="0" wp14:anchorId="31282E51" wp14:editId="4FAF23A5">
          <wp:extent cx="2247810" cy="1606355"/>
          <wp:effectExtent l="0" t="0" r="635" b="0"/>
          <wp:docPr id="1" name="Picture 1" descr="A logo of a disability autho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disability authority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810" cy="1606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96EE6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BC663F"/>
    <w:multiLevelType w:val="hybridMultilevel"/>
    <w:tmpl w:val="B85E5FC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004812">
    <w:abstractNumId w:val="8"/>
  </w:num>
  <w:num w:numId="2" w16cid:durableId="179586811">
    <w:abstractNumId w:val="6"/>
  </w:num>
  <w:num w:numId="3" w16cid:durableId="1716083092">
    <w:abstractNumId w:val="5"/>
  </w:num>
  <w:num w:numId="4" w16cid:durableId="1075399279">
    <w:abstractNumId w:val="4"/>
  </w:num>
  <w:num w:numId="5" w16cid:durableId="1959217206">
    <w:abstractNumId w:val="7"/>
  </w:num>
  <w:num w:numId="6" w16cid:durableId="84350996">
    <w:abstractNumId w:val="3"/>
  </w:num>
  <w:num w:numId="7" w16cid:durableId="1449273800">
    <w:abstractNumId w:val="2"/>
  </w:num>
  <w:num w:numId="8" w16cid:durableId="675695476">
    <w:abstractNumId w:val="1"/>
  </w:num>
  <w:num w:numId="9" w16cid:durableId="1245258788">
    <w:abstractNumId w:val="0"/>
  </w:num>
  <w:num w:numId="10" w16cid:durableId="1712920465">
    <w:abstractNumId w:val="7"/>
  </w:num>
  <w:num w:numId="11" w16cid:durableId="156113898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ideen Hartney (NDA)">
    <w15:presenceInfo w15:providerId="AD" w15:userId="S::Aideen.Hartney@nda.ie::508d65d2-54ee-4387-8b7c-a254990c2c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5E0"/>
    <w:rsid w:val="000E4CD2"/>
    <w:rsid w:val="000E617D"/>
    <w:rsid w:val="0015074B"/>
    <w:rsid w:val="0019393E"/>
    <w:rsid w:val="0029639D"/>
    <w:rsid w:val="00326F90"/>
    <w:rsid w:val="00337318"/>
    <w:rsid w:val="00421096"/>
    <w:rsid w:val="0047637F"/>
    <w:rsid w:val="00507E26"/>
    <w:rsid w:val="005E234A"/>
    <w:rsid w:val="00606BAC"/>
    <w:rsid w:val="006754E7"/>
    <w:rsid w:val="006F53DA"/>
    <w:rsid w:val="00711322"/>
    <w:rsid w:val="007F7FF7"/>
    <w:rsid w:val="00931172"/>
    <w:rsid w:val="00A17F3F"/>
    <w:rsid w:val="00A64418"/>
    <w:rsid w:val="00A741C5"/>
    <w:rsid w:val="00A743CD"/>
    <w:rsid w:val="00AA1D8D"/>
    <w:rsid w:val="00B30422"/>
    <w:rsid w:val="00B47730"/>
    <w:rsid w:val="00C00697"/>
    <w:rsid w:val="00C1755D"/>
    <w:rsid w:val="00C562FB"/>
    <w:rsid w:val="00CB0664"/>
    <w:rsid w:val="00CD2BBB"/>
    <w:rsid w:val="00D03114"/>
    <w:rsid w:val="00DA4DE1"/>
    <w:rsid w:val="00DE0E48"/>
    <w:rsid w:val="00E6319F"/>
    <w:rsid w:val="00F351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8A6CDF5"/>
  <w14:defaultImageDpi w14:val="300"/>
  <w15:docId w15:val="{502A790F-46E9-45F1-9049-B03E5C9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0E4C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4C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93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6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17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17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shstatutebook.ie/eli/2021/act/20/enacted/en/html" TargetMode="Externa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[Book1]Sheet1!$J$13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rgbClr val="BF229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DEF-4783-9FDB-9D2918A1124F}"/>
              </c:ext>
            </c:extLst>
          </c:dPt>
          <c:dPt>
            <c:idx val="1"/>
            <c:bubble3D val="0"/>
            <c:spPr>
              <a:solidFill>
                <a:schemeClr val="tx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DEF-4783-9FDB-9D2918A1124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>
                          <a:lumMod val="9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DEF-4783-9FDB-9D2918A1124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>
                          <a:lumMod val="9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EDEF-4783-9FDB-9D2918A112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[Book1]Sheet1!$I$14:$I$15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[Book1]Sheet1!$J$14:$J$15</c:f>
              <c:numCache>
                <c:formatCode>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EF-4783-9FDB-9D2918A112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Evelyn Moore (NDA)</cp:lastModifiedBy>
  <cp:revision>2</cp:revision>
  <dcterms:created xsi:type="dcterms:W3CDTF">2025-11-19T19:17:00Z</dcterms:created>
  <dcterms:modified xsi:type="dcterms:W3CDTF">2025-11-19T19:17:00Z</dcterms:modified>
  <cp:category/>
</cp:coreProperties>
</file>