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F89B" w14:textId="4DB2F0F0" w:rsidR="004838F4" w:rsidRDefault="00D764FC" w:rsidP="00EA69CB">
      <w:pPr>
        <w:pStyle w:val="Title"/>
      </w:pPr>
      <w:r>
        <w:t xml:space="preserve">NDA submission to the HEA </w:t>
      </w:r>
    </w:p>
    <w:p w14:paraId="6B18F1B3" w14:textId="27C0E2DC" w:rsidR="00D764FC" w:rsidRPr="00D764FC" w:rsidRDefault="00D764FC" w:rsidP="00D764FC">
      <w:r>
        <w:t>January 202</w:t>
      </w:r>
      <w:r w:rsidR="00FD47C5">
        <w:t>5</w:t>
      </w:r>
    </w:p>
    <w:p w14:paraId="38B1F719" w14:textId="77777777" w:rsidR="00D748B3" w:rsidRDefault="00D748B3" w:rsidP="00D748B3">
      <w:pPr>
        <w:pStyle w:val="Heading1"/>
      </w:pPr>
      <w:r>
        <w:t>This is a Heading 1</w:t>
      </w:r>
    </w:p>
    <w:p w14:paraId="140051DF" w14:textId="5EDD45BA" w:rsidR="0040009D" w:rsidRPr="0040009D" w:rsidRDefault="00FD47C5" w:rsidP="0040009D">
      <w:pPr>
        <w:pStyle w:val="Heading2"/>
        <w:numPr>
          <w:ilvl w:val="0"/>
          <w:numId w:val="8"/>
        </w:numPr>
        <w:shd w:val="clear" w:color="auto" w:fill="FFFFFF"/>
        <w:tabs>
          <w:tab w:val="clear" w:pos="720"/>
        </w:tabs>
        <w:spacing w:after="0"/>
        <w:ind w:left="360" w:right="240"/>
        <w:rPr>
          <w:rFonts w:ascii="Helvetica" w:hAnsi="Helvetica"/>
          <w:color w:val="202124"/>
          <w:sz w:val="36"/>
        </w:rPr>
      </w:pPr>
      <w:hyperlink r:id="rId8" w:history="1">
        <w:r w:rsidR="0040009D" w:rsidRPr="0040009D">
          <w:rPr>
            <w:rFonts w:eastAsiaTheme="minorHAnsi" w:cstheme="minorBidi"/>
            <w:b w:val="0"/>
            <w:color w:val="0000FF"/>
            <w:sz w:val="24"/>
            <w:szCs w:val="22"/>
            <w:u w:val="single"/>
          </w:rPr>
          <w:t>Consultation - National Forum for the Enhancement of Teaching and Learning in Higher Education</w:t>
        </w:r>
      </w:hyperlink>
    </w:p>
    <w:p w14:paraId="6DE2A4D8" w14:textId="25AA5EB7" w:rsidR="0040009D" w:rsidRPr="00D764FC" w:rsidRDefault="0040009D" w:rsidP="0040009D">
      <w:pPr>
        <w:pStyle w:val="Heading2"/>
        <w:numPr>
          <w:ilvl w:val="0"/>
          <w:numId w:val="8"/>
        </w:numPr>
        <w:shd w:val="clear" w:color="auto" w:fill="FFFFFF"/>
        <w:tabs>
          <w:tab w:val="clear" w:pos="720"/>
        </w:tabs>
        <w:spacing w:after="0"/>
        <w:ind w:left="360" w:right="240"/>
        <w:rPr>
          <w:rFonts w:ascii="Helvetica" w:hAnsi="Helvetica"/>
          <w:color w:val="202124"/>
          <w:sz w:val="36"/>
          <w:highlight w:val="yellow"/>
        </w:rPr>
      </w:pPr>
      <w:r w:rsidRPr="00D764FC">
        <w:rPr>
          <w:rFonts w:ascii="Helvetica" w:hAnsi="Helvetica"/>
          <w:color w:val="202124"/>
          <w:highlight w:val="yellow"/>
        </w:rPr>
        <w:t>1. What do you see as the HEA’s role in supporting teaching and learning excellence in Irish higher education?</w:t>
      </w:r>
    </w:p>
    <w:p w14:paraId="47C9CEB1" w14:textId="77777777" w:rsidR="0040009D" w:rsidRDefault="0040009D" w:rsidP="0040009D">
      <w:pPr>
        <w:pStyle w:val="gfield"/>
        <w:numPr>
          <w:ilvl w:val="0"/>
          <w:numId w:val="8"/>
        </w:numPr>
        <w:pBdr>
          <w:top w:val="single" w:sz="6" w:space="0" w:color="CCCCCC"/>
          <w:left w:val="single" w:sz="6" w:space="0" w:color="CCCCCC"/>
          <w:bottom w:val="single" w:sz="24" w:space="0" w:color="auto"/>
          <w:right w:val="single" w:sz="6" w:space="12" w:color="CCCCCC"/>
        </w:pBdr>
        <w:shd w:val="clear" w:color="auto" w:fill="FFFFFF"/>
        <w:spacing w:before="240" w:beforeAutospacing="0" w:after="420" w:afterAutospacing="0"/>
        <w:ind w:right="240"/>
        <w:rPr>
          <w:rFonts w:ascii="inherit" w:hAnsi="inherit"/>
          <w:color w:val="202124"/>
          <w:sz w:val="22"/>
          <w:szCs w:val="22"/>
        </w:rPr>
      </w:pPr>
      <w:r>
        <w:rPr>
          <w:rFonts w:ascii="inherit" w:hAnsi="inherit"/>
          <w:color w:val="202124"/>
          <w:sz w:val="22"/>
          <w:szCs w:val="22"/>
        </w:rPr>
        <w:t>In your view, what specific role should the HEA play in advancing teaching and learning excellence across the sector? We welcome your insights on how the HEA can best approach its role, including key support mechanisms and strategies that could strengthen teaching and learning in Irish higher education.</w:t>
      </w:r>
    </w:p>
    <w:p w14:paraId="3022C3C5" w14:textId="77777777" w:rsidR="009836B9" w:rsidRPr="00D764FC" w:rsidRDefault="009836B9" w:rsidP="009836B9">
      <w:pPr>
        <w:pStyle w:val="Heading2"/>
      </w:pPr>
      <w:r w:rsidRPr="00D764FC">
        <w:t>Universal Design in Education</w:t>
      </w:r>
    </w:p>
    <w:p w14:paraId="68333896" w14:textId="624D6664" w:rsidR="009836B9" w:rsidRPr="00D764FC" w:rsidRDefault="009836B9" w:rsidP="009836B9">
      <w:r w:rsidRPr="00D764FC">
        <w:t>The NDA advise</w:t>
      </w:r>
      <w:r w:rsidR="00B272C3" w:rsidRPr="00D764FC">
        <w:t>s</w:t>
      </w:r>
      <w:r w:rsidRPr="00D764FC">
        <w:t xml:space="preserve"> that the HSE support and promote a Universal Design in Education (UDE) approach. UDE involves a whole systems approach </w:t>
      </w:r>
      <w:r w:rsidR="008452F7" w:rsidRPr="00D764FC">
        <w:t>as articulated in NDA’s Centre for Excellence paper</w:t>
      </w:r>
      <w:r w:rsidR="008452F7" w:rsidRPr="00D764FC">
        <w:rPr>
          <w:rStyle w:val="FootnoteReference"/>
        </w:rPr>
        <w:footnoteReference w:id="1"/>
      </w:r>
      <w:r w:rsidR="008452F7" w:rsidRPr="00D764FC">
        <w:t xml:space="preserve"> based on the </w:t>
      </w:r>
      <w:r w:rsidR="008D1D32">
        <w:t>four</w:t>
      </w:r>
      <w:r w:rsidR="00D764FC" w:rsidRPr="00D764FC">
        <w:t xml:space="preserve"> </w:t>
      </w:r>
      <w:r w:rsidR="008452F7" w:rsidRPr="00D764FC">
        <w:t>pillars</w:t>
      </w:r>
      <w:r w:rsidR="00513238" w:rsidRPr="00D764FC">
        <w:t>;</w:t>
      </w:r>
      <w:r w:rsidR="008452F7" w:rsidRPr="00D764FC">
        <w:t xml:space="preserve"> </w:t>
      </w:r>
      <w:r w:rsidRPr="00D764FC">
        <w:t>physical</w:t>
      </w:r>
      <w:r w:rsidR="008D1D32">
        <w:t xml:space="preserve"> environments,</w:t>
      </w:r>
      <w:r w:rsidRPr="00D764FC">
        <w:t xml:space="preserve"> and digital environments, educational services, and the teaching and learning</w:t>
      </w:r>
      <w:r w:rsidR="00647DBD" w:rsidRPr="00D764FC">
        <w:t xml:space="preserve">. </w:t>
      </w:r>
      <w:r w:rsidR="001A0CD8" w:rsidRPr="00D764FC">
        <w:t>It is only when these</w:t>
      </w:r>
      <w:r w:rsidR="008452F7" w:rsidRPr="00D764FC">
        <w:t xml:space="preserve"> </w:t>
      </w:r>
      <w:r w:rsidR="00647DBD" w:rsidRPr="00D764FC">
        <w:t xml:space="preserve">four </w:t>
      </w:r>
      <w:r w:rsidR="008452F7" w:rsidRPr="00D764FC">
        <w:t xml:space="preserve">pillars work in </w:t>
      </w:r>
      <w:r w:rsidR="00B272C3" w:rsidRPr="00D764FC">
        <w:t xml:space="preserve">unison that </w:t>
      </w:r>
      <w:r w:rsidR="00647DBD" w:rsidRPr="00D764FC">
        <w:t>a more inclusive environment</w:t>
      </w:r>
      <w:r w:rsidR="00B272C3" w:rsidRPr="00D764FC">
        <w:t xml:space="preserve"> can be created</w:t>
      </w:r>
      <w:r w:rsidR="00647DBD" w:rsidRPr="00D764FC">
        <w:t xml:space="preserve"> that </w:t>
      </w:r>
      <w:r w:rsidRPr="00D764FC">
        <w:t>can be easily accessed, understood and used, by the widest range of learners and by all key stakeholders</w:t>
      </w:r>
      <w:r w:rsidR="001A0CD8" w:rsidRPr="00D764FC">
        <w:t>.</w:t>
      </w:r>
      <w:r w:rsidRPr="00D764FC">
        <w:t xml:space="preserve"> </w:t>
      </w:r>
    </w:p>
    <w:p w14:paraId="40BD26D2" w14:textId="7AEEF8AC" w:rsidR="009836B9" w:rsidRPr="00D764FC" w:rsidRDefault="009836B9" w:rsidP="009836B9">
      <w:bookmarkStart w:id="0" w:name="_Hlk189121375"/>
      <w:bookmarkStart w:id="1" w:name="_Hlk196731639"/>
      <w:r w:rsidRPr="00D764FC">
        <w:t>UDE promotes the inclusion of Universal Design as subject matter in curricula and assessment, to ensure a broader and more widespread adoption across the educational spectrum.</w:t>
      </w:r>
      <w:bookmarkEnd w:id="0"/>
      <w:r w:rsidRPr="00D764FC">
        <w:t xml:space="preserve"> A key focus of the Universal Design approach is to prioritise accessibility and usability for people with the more diverse capabilities, characteristics and preferences from the earliest possible design stage and throughout all phases in the life of products and services, and their interoperability with assistive technology. </w:t>
      </w:r>
    </w:p>
    <w:p w14:paraId="3387205B" w14:textId="4087E79D" w:rsidR="009836B9" w:rsidRPr="00D764FC" w:rsidRDefault="009836B9" w:rsidP="009836B9">
      <w:r w:rsidRPr="00D764FC">
        <w:t xml:space="preserve">Universal Design for Learning is often conflated with UDE but it is </w:t>
      </w:r>
      <w:r w:rsidR="00B272C3" w:rsidRPr="00D764FC">
        <w:t xml:space="preserve">a </w:t>
      </w:r>
      <w:r w:rsidRPr="00D764FC">
        <w:t>more limited</w:t>
      </w:r>
      <w:r w:rsidR="00B272C3" w:rsidRPr="00D764FC">
        <w:t xml:space="preserve"> concept</w:t>
      </w:r>
      <w:r w:rsidR="00647DBD" w:rsidRPr="00D764FC">
        <w:t>,</w:t>
      </w:r>
      <w:r w:rsidRPr="00D764FC">
        <w:t xml:space="preserve"> focusing on teaching and learning rather than the more comprehensive approach provided for under UDE. Universal Design for Learning (UDL) is </w:t>
      </w:r>
      <w:r w:rsidR="00647DBD" w:rsidRPr="00D764FC">
        <w:t xml:space="preserve">however </w:t>
      </w:r>
      <w:r w:rsidRPr="00D764FC">
        <w:t xml:space="preserve">one of the core elements of Universal Design in Education. “UDL is a set of principles for curriculum development that give all individuals equal opportunities to learn, including </w:t>
      </w:r>
      <w:r w:rsidR="00955E67" w:rsidRPr="00D764FC">
        <w:t>s</w:t>
      </w:r>
      <w:r w:rsidRPr="00D764FC">
        <w:t xml:space="preserve">tudents with </w:t>
      </w:r>
      <w:r w:rsidR="00955E67" w:rsidRPr="00D764FC">
        <w:t>d</w:t>
      </w:r>
      <w:r w:rsidRPr="00D764FC">
        <w:t xml:space="preserve">isabilities. UDL aims to improve the educational experience of all students by introducing more flexible methods of teaching, assessment </w:t>
      </w:r>
      <w:r w:rsidRPr="00D764FC">
        <w:lastRenderedPageBreak/>
        <w:t>and service provision to cater for the diversity of learners in our classrooms.”</w:t>
      </w:r>
      <w:r w:rsidRPr="00D764FC">
        <w:rPr>
          <w:rStyle w:val="FootnoteReference"/>
        </w:rPr>
        <w:footnoteReference w:id="2"/>
      </w:r>
    </w:p>
    <w:p w14:paraId="65A63995" w14:textId="25297297" w:rsidR="0003188D" w:rsidRPr="00D764FC" w:rsidRDefault="0003188D" w:rsidP="009836B9">
      <w:r w:rsidRPr="00D764FC">
        <w:t xml:space="preserve">Ireland also ratified the UN Convention on the Rights of Persons with Disabilities (UNCRPD) in 2018. Article 24 of the UNCRPD contains the first explicit legal enunciation of the right to inclusive education and it imposes wide-ranging duties on States Parties to the Convention. The UNCRPD Committee’s General Comment No. Four provides a framework, through which to consider the transformation required to realise inclusive education.   This is a “whole systems approach” which embeds “the necessary changes in institutional culture, policies and practices”.  </w:t>
      </w:r>
    </w:p>
    <w:p w14:paraId="4AE80050" w14:textId="4ACA491A" w:rsidR="001B1046" w:rsidRPr="00D764FC" w:rsidRDefault="001B1046" w:rsidP="001B1046">
      <w:r w:rsidRPr="00D764FC">
        <w:t>Also the National Access Plan: A Strategic Action Plan for Equity of Access, Participation and Success in Higher Education 2022-2028 further underpins the focus on UDE with its two overa</w:t>
      </w:r>
      <w:r w:rsidR="00513238" w:rsidRPr="00D764FC">
        <w:t>r</w:t>
      </w:r>
      <w:r w:rsidRPr="00D764FC">
        <w:t>ching ambitions that:</w:t>
      </w:r>
      <w:r w:rsidRPr="00D764FC">
        <w:tab/>
      </w:r>
    </w:p>
    <w:p w14:paraId="186FAEFB" w14:textId="0C2D8F88" w:rsidR="001B1046" w:rsidRPr="00D764FC" w:rsidRDefault="001B1046" w:rsidP="001B1046">
      <w:r w:rsidRPr="00D764FC">
        <w:t>1) higher education student body, at all levels and across all programmes, reflects the diversity and social mix of Ireland’s population, and</w:t>
      </w:r>
    </w:p>
    <w:p w14:paraId="0F988B29" w14:textId="028AC150" w:rsidR="001B1046" w:rsidRPr="00D764FC" w:rsidRDefault="001B1046" w:rsidP="001B1046">
      <w:r w:rsidRPr="00D764FC">
        <w:t>2)</w:t>
      </w:r>
      <w:r w:rsidR="00C16B3D" w:rsidRPr="00D764FC">
        <w:t xml:space="preserve"> </w:t>
      </w:r>
      <w:r w:rsidRPr="00D764FC">
        <w:t xml:space="preserve">higher education institutions are inclusive, universally designed environments which support student success and outcomes, equity and diversity. </w:t>
      </w:r>
    </w:p>
    <w:p w14:paraId="08E6CDC7" w14:textId="2D8DF3F7" w:rsidR="001B1046" w:rsidRPr="00D764FC" w:rsidRDefault="001B1046" w:rsidP="001B1046">
      <w:r w:rsidRPr="00D764FC">
        <w:t>It identifies students with disabilities, including those with intellectual disabilities, as one of the three main groups who are under-represented in higher education.</w:t>
      </w:r>
      <w:r w:rsidRPr="00D764FC">
        <w:rPr>
          <w:rStyle w:val="FootnoteReference"/>
        </w:rPr>
        <w:footnoteReference w:id="3"/>
      </w:r>
    </w:p>
    <w:p w14:paraId="0F82AFFF" w14:textId="14FEAAB0" w:rsidR="00647DBD" w:rsidRPr="00D764FC" w:rsidRDefault="00647DBD" w:rsidP="001B1046">
      <w:r w:rsidRPr="00D764FC">
        <w:t>This UDE approach is also central to the National Charter for Universal Design in Tertiary Education</w:t>
      </w:r>
      <w:r w:rsidR="00EA3DAD" w:rsidRPr="00D764FC">
        <w:t xml:space="preserve">. The charter’s focus is </w:t>
      </w:r>
      <w:r w:rsidRPr="00D764FC">
        <w:t xml:space="preserve">how the sector </w:t>
      </w:r>
      <w:r w:rsidR="00EA3DAD" w:rsidRPr="00D764FC">
        <w:t xml:space="preserve">can </w:t>
      </w:r>
      <w:r w:rsidRPr="00D764FC">
        <w:t>work towards embedding a universal design approach across all sectors of the educational system.</w:t>
      </w:r>
      <w:r w:rsidRPr="00D764FC">
        <w:rPr>
          <w:rStyle w:val="FootnoteReference"/>
        </w:rPr>
        <w:footnoteReference w:id="4"/>
      </w:r>
    </w:p>
    <w:bookmarkEnd w:id="1"/>
    <w:p w14:paraId="190AB0F3" w14:textId="77777777" w:rsidR="0040009D" w:rsidRPr="00D764FC" w:rsidRDefault="0040009D" w:rsidP="0040009D">
      <w:pPr>
        <w:pStyle w:val="Heading2"/>
        <w:numPr>
          <w:ilvl w:val="0"/>
          <w:numId w:val="9"/>
        </w:numPr>
        <w:shd w:val="clear" w:color="auto" w:fill="FFFFFF"/>
        <w:tabs>
          <w:tab w:val="clear" w:pos="720"/>
        </w:tabs>
        <w:spacing w:after="0"/>
        <w:ind w:left="360" w:right="240"/>
        <w:rPr>
          <w:rFonts w:ascii="Helvetica" w:hAnsi="Helvetica"/>
          <w:color w:val="202124"/>
          <w:sz w:val="36"/>
          <w:highlight w:val="yellow"/>
        </w:rPr>
      </w:pPr>
      <w:r w:rsidRPr="00D764FC">
        <w:rPr>
          <w:rFonts w:ascii="Helvetica" w:hAnsi="Helvetica"/>
          <w:color w:val="202124"/>
          <w:highlight w:val="yellow"/>
        </w:rPr>
        <w:t>2. What should the strategic priorities for teaching and learning in higher education be for the next 3-5 years?</w:t>
      </w:r>
    </w:p>
    <w:p w14:paraId="04C906E3" w14:textId="77777777" w:rsidR="0040009D" w:rsidRPr="0040009D" w:rsidRDefault="0040009D" w:rsidP="0040009D">
      <w:pPr>
        <w:numPr>
          <w:ilvl w:val="0"/>
          <w:numId w:val="9"/>
        </w:numPr>
        <w:pBdr>
          <w:top w:val="single" w:sz="6" w:space="0" w:color="CCCCCC"/>
          <w:left w:val="single" w:sz="6" w:space="0" w:color="CCCCCC"/>
          <w:bottom w:val="single" w:sz="24" w:space="0" w:color="auto"/>
          <w:right w:val="single" w:sz="6" w:space="12" w:color="CCCCCC"/>
        </w:pBdr>
        <w:shd w:val="clear" w:color="auto" w:fill="FFFFFF"/>
        <w:spacing w:after="0"/>
        <w:ind w:right="240"/>
        <w:rPr>
          <w:rFonts w:ascii="inherit" w:eastAsia="Times New Roman" w:hAnsi="inherit" w:cs="Times New Roman"/>
          <w:color w:val="202124"/>
          <w:kern w:val="0"/>
          <w:sz w:val="22"/>
          <w:lang w:eastAsia="en-IE"/>
          <w14:ligatures w14:val="none"/>
        </w:rPr>
      </w:pPr>
      <w:r w:rsidRPr="0040009D">
        <w:rPr>
          <w:rFonts w:ascii="inherit" w:eastAsia="Times New Roman" w:hAnsi="inherit" w:cs="Times New Roman"/>
          <w:color w:val="202124"/>
          <w:kern w:val="0"/>
          <w:sz w:val="22"/>
          <w:lang w:eastAsia="en-IE"/>
          <w14:ligatures w14:val="none"/>
        </w:rPr>
        <w:t>The </w:t>
      </w:r>
      <w:hyperlink r:id="rId9" w:tgtFrame="_blank" w:history="1">
        <w:r w:rsidRPr="0040009D">
          <w:rPr>
            <w:rFonts w:ascii="inherit" w:eastAsia="Times New Roman" w:hAnsi="inherit" w:cs="Times New Roman"/>
            <w:color w:val="0000FF"/>
            <w:kern w:val="0"/>
            <w:sz w:val="22"/>
            <w:u w:val="single"/>
            <w:lang w:eastAsia="en-IE"/>
            <w14:ligatures w14:val="none"/>
          </w:rPr>
          <w:t>National Forum Strategy 2019-21</w:t>
        </w:r>
      </w:hyperlink>
      <w:r w:rsidRPr="0040009D">
        <w:rPr>
          <w:rFonts w:ascii="inherit" w:eastAsia="Times New Roman" w:hAnsi="inherit" w:cs="Times New Roman"/>
          <w:color w:val="202124"/>
          <w:kern w:val="0"/>
          <w:sz w:val="22"/>
          <w:lang w:eastAsia="en-IE"/>
          <w14:ligatures w14:val="none"/>
        </w:rPr>
        <w:t> identified four strategic priorities designed to enhance the higher education landscape in Ireland:</w:t>
      </w:r>
    </w:p>
    <w:p w14:paraId="2F19F7ED" w14:textId="77777777" w:rsidR="0040009D" w:rsidRPr="0040009D" w:rsidRDefault="0040009D" w:rsidP="0040009D">
      <w:pPr>
        <w:numPr>
          <w:ilvl w:val="1"/>
          <w:numId w:val="9"/>
        </w:numPr>
        <w:pBdr>
          <w:top w:val="single" w:sz="6" w:space="0" w:color="CCCCCC"/>
          <w:left w:val="single" w:sz="6" w:space="0" w:color="CCCCCC"/>
          <w:bottom w:val="single" w:sz="24" w:space="0" w:color="auto"/>
          <w:right w:val="single" w:sz="6" w:space="12" w:color="CCCCCC"/>
        </w:pBdr>
        <w:shd w:val="clear" w:color="auto" w:fill="FFFFFF"/>
        <w:spacing w:after="0"/>
        <w:ind w:right="240"/>
        <w:rPr>
          <w:rFonts w:ascii="inherit" w:eastAsia="Times New Roman" w:hAnsi="inherit" w:cs="Times New Roman"/>
          <w:color w:val="202124"/>
          <w:kern w:val="0"/>
          <w:sz w:val="22"/>
          <w:lang w:eastAsia="en-IE"/>
          <w14:ligatures w14:val="none"/>
        </w:rPr>
      </w:pPr>
      <w:bookmarkStart w:id="2" w:name="_Hlk189121315"/>
      <w:r w:rsidRPr="0040009D">
        <w:rPr>
          <w:rFonts w:ascii="inherit" w:eastAsia="Times New Roman" w:hAnsi="inherit" w:cs="Times New Roman"/>
          <w:b/>
          <w:bCs/>
          <w:color w:val="202124"/>
          <w:kern w:val="0"/>
          <w:sz w:val="22"/>
          <w:lang w:eastAsia="en-IE"/>
          <w14:ligatures w14:val="none"/>
        </w:rPr>
        <w:t>The Professional Development of All Those Who Teach</w:t>
      </w:r>
      <w:bookmarkEnd w:id="2"/>
      <w:r w:rsidRPr="0040009D">
        <w:rPr>
          <w:rFonts w:ascii="inherit" w:eastAsia="Times New Roman" w:hAnsi="inherit" w:cs="Times New Roman"/>
          <w:b/>
          <w:bCs/>
          <w:color w:val="202124"/>
          <w:kern w:val="0"/>
          <w:sz w:val="22"/>
          <w:lang w:eastAsia="en-IE"/>
          <w14:ligatures w14:val="none"/>
        </w:rPr>
        <w:t>:</w:t>
      </w:r>
      <w:r w:rsidRPr="0040009D">
        <w:rPr>
          <w:rFonts w:ascii="inherit" w:eastAsia="Times New Roman" w:hAnsi="inherit" w:cs="Times New Roman"/>
          <w:color w:val="202124"/>
          <w:kern w:val="0"/>
          <w:sz w:val="22"/>
          <w:lang w:eastAsia="en-IE"/>
          <w14:ligatures w14:val="none"/>
        </w:rPr>
        <w:t> Promoting evidence-based, flexible, and inclusive professional development opportunities tailored to the diverse needs and goals of higher education institutions.</w:t>
      </w:r>
    </w:p>
    <w:p w14:paraId="12490130" w14:textId="77777777" w:rsidR="0040009D" w:rsidRPr="0040009D" w:rsidRDefault="0040009D" w:rsidP="0040009D">
      <w:pPr>
        <w:numPr>
          <w:ilvl w:val="1"/>
          <w:numId w:val="9"/>
        </w:numPr>
        <w:pBdr>
          <w:top w:val="single" w:sz="6" w:space="0" w:color="CCCCCC"/>
          <w:left w:val="single" w:sz="6" w:space="0" w:color="CCCCCC"/>
          <w:bottom w:val="single" w:sz="24" w:space="0" w:color="auto"/>
          <w:right w:val="single" w:sz="6" w:space="12" w:color="CCCCCC"/>
        </w:pBdr>
        <w:shd w:val="clear" w:color="auto" w:fill="FFFFFF"/>
        <w:spacing w:after="0"/>
        <w:ind w:right="240"/>
        <w:rPr>
          <w:rFonts w:ascii="inherit" w:eastAsia="Times New Roman" w:hAnsi="inherit" w:cs="Times New Roman"/>
          <w:color w:val="202124"/>
          <w:kern w:val="0"/>
          <w:sz w:val="22"/>
          <w:lang w:eastAsia="en-IE"/>
          <w14:ligatures w14:val="none"/>
        </w:rPr>
      </w:pPr>
      <w:r w:rsidRPr="0040009D">
        <w:rPr>
          <w:rFonts w:ascii="inherit" w:eastAsia="Times New Roman" w:hAnsi="inherit" w:cs="Times New Roman"/>
          <w:b/>
          <w:bCs/>
          <w:color w:val="202124"/>
          <w:kern w:val="0"/>
          <w:sz w:val="22"/>
          <w:lang w:eastAsia="en-IE"/>
          <w14:ligatures w14:val="none"/>
        </w:rPr>
        <w:t>Teaching and Learning in a Digital World:</w:t>
      </w:r>
      <w:r w:rsidRPr="0040009D">
        <w:rPr>
          <w:rFonts w:ascii="inherit" w:eastAsia="Times New Roman" w:hAnsi="inherit" w:cs="Times New Roman"/>
          <w:color w:val="202124"/>
          <w:kern w:val="0"/>
          <w:sz w:val="22"/>
          <w:lang w:eastAsia="en-IE"/>
          <w14:ligatures w14:val="none"/>
        </w:rPr>
        <w:t> Supporting staff, students, and leaders in critically applying digital technologies to enhance learning, teaching, and digital capabilities.</w:t>
      </w:r>
    </w:p>
    <w:p w14:paraId="15BF49DC" w14:textId="77777777" w:rsidR="0040009D" w:rsidRPr="0040009D" w:rsidRDefault="0040009D" w:rsidP="0040009D">
      <w:pPr>
        <w:numPr>
          <w:ilvl w:val="1"/>
          <w:numId w:val="9"/>
        </w:numPr>
        <w:pBdr>
          <w:top w:val="single" w:sz="6" w:space="0" w:color="CCCCCC"/>
          <w:left w:val="single" w:sz="6" w:space="0" w:color="CCCCCC"/>
          <w:bottom w:val="single" w:sz="24" w:space="0" w:color="auto"/>
          <w:right w:val="single" w:sz="6" w:space="12" w:color="CCCCCC"/>
        </w:pBdr>
        <w:shd w:val="clear" w:color="auto" w:fill="FFFFFF"/>
        <w:spacing w:after="0"/>
        <w:ind w:right="240"/>
        <w:rPr>
          <w:rFonts w:ascii="inherit" w:eastAsia="Times New Roman" w:hAnsi="inherit" w:cs="Times New Roman"/>
          <w:color w:val="202124"/>
          <w:kern w:val="0"/>
          <w:sz w:val="22"/>
          <w:lang w:eastAsia="en-IE"/>
          <w14:ligatures w14:val="none"/>
        </w:rPr>
      </w:pPr>
      <w:r w:rsidRPr="0040009D">
        <w:rPr>
          <w:rFonts w:ascii="inherit" w:eastAsia="Times New Roman" w:hAnsi="inherit" w:cs="Times New Roman"/>
          <w:b/>
          <w:bCs/>
          <w:color w:val="202124"/>
          <w:kern w:val="0"/>
          <w:sz w:val="22"/>
          <w:lang w:eastAsia="en-IE"/>
          <w14:ligatures w14:val="none"/>
        </w:rPr>
        <w:t>Teaching and Learning Enhancement Within and Across Disciplines: </w:t>
      </w:r>
      <w:r w:rsidRPr="0040009D">
        <w:rPr>
          <w:rFonts w:ascii="inherit" w:eastAsia="Times New Roman" w:hAnsi="inherit" w:cs="Times New Roman"/>
          <w:color w:val="202124"/>
          <w:kern w:val="0"/>
          <w:sz w:val="22"/>
          <w:lang w:eastAsia="en-IE"/>
          <w14:ligatures w14:val="none"/>
        </w:rPr>
        <w:t xml:space="preserve">Emphasising the role of disciplines as a key unit of change in </w:t>
      </w:r>
      <w:r w:rsidRPr="0040009D">
        <w:rPr>
          <w:rFonts w:ascii="inherit" w:eastAsia="Times New Roman" w:hAnsi="inherit" w:cs="Times New Roman"/>
          <w:color w:val="202124"/>
          <w:kern w:val="0"/>
          <w:sz w:val="22"/>
          <w:lang w:eastAsia="en-IE"/>
          <w14:ligatures w14:val="none"/>
        </w:rPr>
        <w:lastRenderedPageBreak/>
        <w:t>higher education, with a focus on achieving excellence in learning, teaching, and assessment within and across disciplines.</w:t>
      </w:r>
    </w:p>
    <w:p w14:paraId="668131F8" w14:textId="77777777" w:rsidR="0040009D" w:rsidRPr="0040009D" w:rsidRDefault="0040009D" w:rsidP="0040009D">
      <w:pPr>
        <w:numPr>
          <w:ilvl w:val="1"/>
          <w:numId w:val="9"/>
        </w:numPr>
        <w:pBdr>
          <w:top w:val="single" w:sz="6" w:space="0" w:color="CCCCCC"/>
          <w:left w:val="single" w:sz="6" w:space="0" w:color="CCCCCC"/>
          <w:bottom w:val="single" w:sz="24" w:space="0" w:color="auto"/>
          <w:right w:val="single" w:sz="6" w:space="12" w:color="CCCCCC"/>
        </w:pBdr>
        <w:shd w:val="clear" w:color="auto" w:fill="FFFFFF"/>
        <w:spacing w:after="0"/>
        <w:ind w:right="240"/>
        <w:rPr>
          <w:rFonts w:ascii="inherit" w:eastAsia="Times New Roman" w:hAnsi="inherit" w:cs="Times New Roman"/>
          <w:color w:val="202124"/>
          <w:kern w:val="0"/>
          <w:sz w:val="22"/>
          <w:lang w:eastAsia="en-IE"/>
          <w14:ligatures w14:val="none"/>
        </w:rPr>
      </w:pPr>
      <w:r w:rsidRPr="0040009D">
        <w:rPr>
          <w:rFonts w:ascii="inherit" w:eastAsia="Times New Roman" w:hAnsi="inherit" w:cs="Times New Roman"/>
          <w:b/>
          <w:bCs/>
          <w:color w:val="202124"/>
          <w:kern w:val="0"/>
          <w:sz w:val="22"/>
          <w:lang w:eastAsia="en-IE"/>
          <w14:ligatures w14:val="none"/>
        </w:rPr>
        <w:t>Student Success:</w:t>
      </w:r>
      <w:r w:rsidRPr="0040009D">
        <w:rPr>
          <w:rFonts w:ascii="inherit" w:eastAsia="Times New Roman" w:hAnsi="inherit" w:cs="Times New Roman"/>
          <w:color w:val="202124"/>
          <w:kern w:val="0"/>
          <w:sz w:val="22"/>
          <w:lang w:eastAsia="en-IE"/>
          <w14:ligatures w14:val="none"/>
        </w:rPr>
        <w:t> Developing a vision of success, in partnership with students, with the aim of providing all students with the opportunity to fulfil their potential and become creators of new knowledge who are community engaged, ethically conscious, professionally competent and equipped to flourish in a global world.</w:t>
      </w:r>
    </w:p>
    <w:p w14:paraId="0566E804" w14:textId="77777777" w:rsidR="0040009D" w:rsidRPr="0040009D" w:rsidRDefault="0040009D" w:rsidP="0040009D">
      <w:pPr>
        <w:pBdr>
          <w:top w:val="single" w:sz="6" w:space="0" w:color="CCCCCC"/>
          <w:left w:val="single" w:sz="6" w:space="0" w:color="CCCCCC"/>
          <w:bottom w:val="single" w:sz="24" w:space="0" w:color="auto"/>
          <w:right w:val="single" w:sz="6" w:space="12" w:color="CCCCCC"/>
        </w:pBdr>
        <w:shd w:val="clear" w:color="auto" w:fill="FFFFFF"/>
        <w:spacing w:after="0"/>
        <w:ind w:left="720" w:right="240"/>
        <w:rPr>
          <w:rFonts w:ascii="inherit" w:eastAsia="Times New Roman" w:hAnsi="inherit" w:cs="Times New Roman"/>
          <w:color w:val="202124"/>
          <w:kern w:val="0"/>
          <w:sz w:val="22"/>
          <w:lang w:eastAsia="en-IE"/>
          <w14:ligatures w14:val="none"/>
        </w:rPr>
      </w:pPr>
      <w:r w:rsidRPr="0040009D">
        <w:rPr>
          <w:rFonts w:ascii="inherit" w:eastAsia="Times New Roman" w:hAnsi="inherit" w:cs="Times New Roman"/>
          <w:color w:val="202124"/>
          <w:kern w:val="0"/>
          <w:sz w:val="22"/>
          <w:lang w:eastAsia="en-IE"/>
          <w14:ligatures w14:val="none"/>
        </w:rPr>
        <w:t>Additionally, the </w:t>
      </w:r>
      <w:hyperlink r:id="rId10" w:tgtFrame="_blank" w:history="1">
        <w:r w:rsidRPr="0040009D">
          <w:rPr>
            <w:rFonts w:ascii="inherit" w:eastAsia="Times New Roman" w:hAnsi="inherit" w:cs="Times New Roman"/>
            <w:color w:val="0000FF"/>
            <w:kern w:val="0"/>
            <w:sz w:val="22"/>
            <w:u w:val="single"/>
            <w:lang w:eastAsia="en-IE"/>
            <w14:ligatures w14:val="none"/>
          </w:rPr>
          <w:t>Strategic Alignment of Teaching and Learning Enhancement (SATLE) Fund</w:t>
        </w:r>
      </w:hyperlink>
      <w:r w:rsidRPr="0040009D">
        <w:rPr>
          <w:rFonts w:ascii="inherit" w:eastAsia="Times New Roman" w:hAnsi="inherit" w:cs="Times New Roman"/>
          <w:color w:val="202124"/>
          <w:kern w:val="0"/>
          <w:sz w:val="22"/>
          <w:lang w:eastAsia="en-IE"/>
          <w14:ligatures w14:val="none"/>
        </w:rPr>
        <w:t> (2022 - present) currently prioritises initiatives focused on:</w:t>
      </w:r>
    </w:p>
    <w:p w14:paraId="57DF8AAA" w14:textId="77777777" w:rsidR="0040009D" w:rsidRPr="0040009D" w:rsidRDefault="0040009D" w:rsidP="0040009D">
      <w:pPr>
        <w:numPr>
          <w:ilvl w:val="1"/>
          <w:numId w:val="9"/>
        </w:numPr>
        <w:pBdr>
          <w:top w:val="single" w:sz="6" w:space="0" w:color="CCCCCC"/>
          <w:left w:val="single" w:sz="6" w:space="0" w:color="CCCCCC"/>
          <w:bottom w:val="single" w:sz="24" w:space="0" w:color="auto"/>
          <w:right w:val="single" w:sz="6" w:space="12" w:color="CCCCCC"/>
        </w:pBdr>
        <w:shd w:val="clear" w:color="auto" w:fill="FFFFFF"/>
        <w:spacing w:after="0"/>
        <w:ind w:right="240"/>
        <w:rPr>
          <w:rFonts w:ascii="inherit" w:eastAsia="Times New Roman" w:hAnsi="inherit" w:cs="Times New Roman"/>
          <w:color w:val="202124"/>
          <w:kern w:val="0"/>
          <w:sz w:val="22"/>
          <w:lang w:eastAsia="en-IE"/>
          <w14:ligatures w14:val="none"/>
        </w:rPr>
      </w:pPr>
      <w:r w:rsidRPr="0040009D">
        <w:rPr>
          <w:rFonts w:ascii="inherit" w:eastAsia="Times New Roman" w:hAnsi="inherit" w:cs="Times New Roman"/>
          <w:color w:val="202124"/>
          <w:kern w:val="0"/>
          <w:sz w:val="22"/>
          <w:lang w:eastAsia="en-IE"/>
          <w14:ligatures w14:val="none"/>
        </w:rPr>
        <w:t>Education for Sustainable Development (ESD)</w:t>
      </w:r>
    </w:p>
    <w:p w14:paraId="35D771DA" w14:textId="77777777" w:rsidR="0040009D" w:rsidRPr="0040009D" w:rsidRDefault="0040009D" w:rsidP="0040009D">
      <w:pPr>
        <w:numPr>
          <w:ilvl w:val="1"/>
          <w:numId w:val="9"/>
        </w:numPr>
        <w:pBdr>
          <w:top w:val="single" w:sz="6" w:space="0" w:color="CCCCCC"/>
          <w:left w:val="single" w:sz="6" w:space="0" w:color="CCCCCC"/>
          <w:bottom w:val="single" w:sz="24" w:space="0" w:color="auto"/>
          <w:right w:val="single" w:sz="6" w:space="12" w:color="CCCCCC"/>
        </w:pBdr>
        <w:shd w:val="clear" w:color="auto" w:fill="FFFFFF"/>
        <w:spacing w:after="0"/>
        <w:ind w:right="240"/>
        <w:rPr>
          <w:rFonts w:ascii="inherit" w:eastAsia="Times New Roman" w:hAnsi="inherit" w:cs="Times New Roman"/>
          <w:color w:val="202124"/>
          <w:kern w:val="0"/>
          <w:sz w:val="22"/>
          <w:lang w:eastAsia="en-IE"/>
          <w14:ligatures w14:val="none"/>
        </w:rPr>
      </w:pPr>
      <w:r w:rsidRPr="0040009D">
        <w:rPr>
          <w:rFonts w:ascii="inherit" w:eastAsia="Times New Roman" w:hAnsi="inherit" w:cs="Times New Roman"/>
          <w:color w:val="202124"/>
          <w:kern w:val="0"/>
          <w:sz w:val="22"/>
          <w:lang w:eastAsia="en-IE"/>
          <w14:ligatures w14:val="none"/>
        </w:rPr>
        <w:t>Digital Transformation in the Tertiary Sector</w:t>
      </w:r>
    </w:p>
    <w:p w14:paraId="253786B9" w14:textId="77777777" w:rsidR="0040009D" w:rsidRPr="0040009D" w:rsidRDefault="0040009D" w:rsidP="0040009D">
      <w:pPr>
        <w:numPr>
          <w:ilvl w:val="1"/>
          <w:numId w:val="9"/>
        </w:numPr>
        <w:pBdr>
          <w:top w:val="single" w:sz="6" w:space="0" w:color="CCCCCC"/>
          <w:left w:val="single" w:sz="6" w:space="0" w:color="CCCCCC"/>
          <w:bottom w:val="single" w:sz="24" w:space="0" w:color="auto"/>
          <w:right w:val="single" w:sz="6" w:space="12" w:color="CCCCCC"/>
        </w:pBdr>
        <w:shd w:val="clear" w:color="auto" w:fill="FFFFFF"/>
        <w:spacing w:after="0"/>
        <w:ind w:right="240"/>
        <w:rPr>
          <w:rFonts w:ascii="inherit" w:eastAsia="Times New Roman" w:hAnsi="inherit" w:cs="Times New Roman"/>
          <w:color w:val="202124"/>
          <w:kern w:val="0"/>
          <w:sz w:val="22"/>
          <w:lang w:eastAsia="en-IE"/>
          <w14:ligatures w14:val="none"/>
        </w:rPr>
      </w:pPr>
      <w:r w:rsidRPr="0040009D">
        <w:rPr>
          <w:rFonts w:ascii="inherit" w:eastAsia="Times New Roman" w:hAnsi="inherit" w:cs="Times New Roman"/>
          <w:color w:val="202124"/>
          <w:kern w:val="0"/>
          <w:sz w:val="22"/>
          <w:lang w:eastAsia="en-IE"/>
          <w14:ligatures w14:val="none"/>
        </w:rPr>
        <w:t>Best Practice in Upholding and Cultivating Academic Integrity</w:t>
      </w:r>
    </w:p>
    <w:p w14:paraId="5E382878" w14:textId="77777777" w:rsidR="0040009D" w:rsidRPr="00D764FC" w:rsidRDefault="0040009D" w:rsidP="0040009D">
      <w:pPr>
        <w:pBdr>
          <w:top w:val="single" w:sz="6" w:space="0" w:color="CCCCCC"/>
          <w:left w:val="single" w:sz="6" w:space="0" w:color="CCCCCC"/>
          <w:bottom w:val="single" w:sz="24" w:space="0" w:color="auto"/>
          <w:right w:val="single" w:sz="6" w:space="12" w:color="CCCCCC"/>
        </w:pBdr>
        <w:shd w:val="clear" w:color="auto" w:fill="FFFFFF"/>
        <w:spacing w:after="375"/>
        <w:ind w:left="720" w:right="240"/>
        <w:rPr>
          <w:rFonts w:ascii="inherit" w:eastAsia="Times New Roman" w:hAnsi="inherit" w:cs="Times New Roman"/>
          <w:color w:val="202124"/>
          <w:kern w:val="0"/>
          <w:sz w:val="22"/>
          <w:lang w:eastAsia="en-IE"/>
          <w14:ligatures w14:val="none"/>
        </w:rPr>
      </w:pPr>
      <w:r w:rsidRPr="0040009D">
        <w:rPr>
          <w:rFonts w:ascii="inherit" w:eastAsia="Times New Roman" w:hAnsi="inherit" w:cs="Times New Roman"/>
          <w:color w:val="202124"/>
          <w:kern w:val="0"/>
          <w:sz w:val="22"/>
          <w:lang w:eastAsia="en-IE"/>
          <w14:ligatures w14:val="none"/>
        </w:rPr>
        <w:t xml:space="preserve">Reflecting on these, including the SATLE priority areas, what do you believe should be </w:t>
      </w:r>
      <w:r w:rsidRPr="00D764FC">
        <w:rPr>
          <w:rFonts w:ascii="inherit" w:eastAsia="Times New Roman" w:hAnsi="inherit" w:cs="Times New Roman"/>
          <w:color w:val="202124"/>
          <w:kern w:val="0"/>
          <w:sz w:val="22"/>
          <w:lang w:eastAsia="en-IE"/>
          <w14:ligatures w14:val="none"/>
        </w:rPr>
        <w:t>the key strategic priorities moving forward?</w:t>
      </w:r>
    </w:p>
    <w:p w14:paraId="69AF6A4D" w14:textId="384B22D8" w:rsidR="00C66220" w:rsidRPr="00D764FC" w:rsidRDefault="00C66220" w:rsidP="00955E67">
      <w:pPr>
        <w:pStyle w:val="Heading2"/>
      </w:pPr>
      <w:r w:rsidRPr="00D764FC">
        <w:t>The Professional Development of All Those Who Teach</w:t>
      </w:r>
    </w:p>
    <w:p w14:paraId="4BC1048C" w14:textId="4AC1A3A8" w:rsidR="00C66220" w:rsidRPr="00D764FC" w:rsidRDefault="00C66220" w:rsidP="00513238">
      <w:r w:rsidRPr="00D764FC">
        <w:t>I</w:t>
      </w:r>
      <w:r w:rsidR="00513238" w:rsidRPr="00D764FC">
        <w:t>t is i</w:t>
      </w:r>
      <w:r w:rsidRPr="00D764FC">
        <w:t xml:space="preserve">mportant that there is a focus on including Universal Design as subject matter in curricula and assessment, to ensure a broader and more widespread adoption across the educational spectrum. </w:t>
      </w:r>
      <w:r w:rsidR="00D6112E" w:rsidRPr="00D764FC">
        <w:t>Ireland</w:t>
      </w:r>
      <w:r w:rsidRPr="00D764FC">
        <w:t xml:space="preserve"> has become a more diverse culture and without diversity of human difference being integrated as part of the professional development of teachers then we will not provide a truly inclusive learning environment for </w:t>
      </w:r>
      <w:r w:rsidR="00D6112E" w:rsidRPr="00D764FC">
        <w:t xml:space="preserve">all </w:t>
      </w:r>
      <w:r w:rsidRPr="00D764FC">
        <w:t>learners.</w:t>
      </w:r>
    </w:p>
    <w:p w14:paraId="54C3F098" w14:textId="6CD18215" w:rsidR="00955E67" w:rsidRPr="00D764FC" w:rsidRDefault="00955E67" w:rsidP="00955E67">
      <w:pPr>
        <w:pStyle w:val="Heading2"/>
      </w:pPr>
      <w:r w:rsidRPr="00D764FC">
        <w:t>Digital World</w:t>
      </w:r>
    </w:p>
    <w:p w14:paraId="36FE5E72" w14:textId="4E7295FA" w:rsidR="009836B9" w:rsidRPr="00D764FC" w:rsidRDefault="009836B9" w:rsidP="009836B9">
      <w:r w:rsidRPr="00D764FC">
        <w:t xml:space="preserve">The NDA is pleased to see a </w:t>
      </w:r>
      <w:r w:rsidR="00955E67" w:rsidRPr="00D764FC">
        <w:t>strategic priority on Teaching and Learning in the Digital World. W</w:t>
      </w:r>
      <w:r w:rsidR="00513238" w:rsidRPr="00D764FC">
        <w:t>e</w:t>
      </w:r>
      <w:r w:rsidR="00955E67" w:rsidRPr="00D764FC">
        <w:t xml:space="preserve"> would advise that the HEA ensure that this priority emphasises </w:t>
      </w:r>
      <w:r w:rsidRPr="00D764FC">
        <w:t xml:space="preserve">accessibility, equality and inclusion for all members of the </w:t>
      </w:r>
      <w:r w:rsidR="00955E67" w:rsidRPr="00D764FC">
        <w:t>higher education</w:t>
      </w:r>
      <w:r w:rsidRPr="00D764FC">
        <w:t xml:space="preserve"> community</w:t>
      </w:r>
      <w:r w:rsidR="00955E67" w:rsidRPr="00D764FC">
        <w:t xml:space="preserve"> including staff and students with a disability how may not be as digitally literate as others</w:t>
      </w:r>
      <w:r w:rsidRPr="00D764FC">
        <w:t>. To this end we highlight below some statutory obligations</w:t>
      </w:r>
      <w:r w:rsidR="00955E67" w:rsidRPr="00D764FC">
        <w:t xml:space="preserve"> for public bodies</w:t>
      </w:r>
      <w:r w:rsidRPr="00D764FC">
        <w:t xml:space="preserve"> with regard to accessibility</w:t>
      </w:r>
      <w:r w:rsidR="00955E67" w:rsidRPr="00D764FC">
        <w:t xml:space="preserve"> and while all third level colleges may not have these obligations, the HEA as funder should consider demanding compliance</w:t>
      </w:r>
      <w:r w:rsidRPr="00D764FC">
        <w:t xml:space="preserve">. </w:t>
      </w:r>
    </w:p>
    <w:p w14:paraId="577A1C12" w14:textId="77777777" w:rsidR="009836B9" w:rsidRPr="00D764FC" w:rsidRDefault="009836B9" w:rsidP="008634C2">
      <w:pPr>
        <w:pStyle w:val="Heading3"/>
      </w:pPr>
      <w:r w:rsidRPr="00D764FC">
        <w:t>Compliance with Part 3 of Disability Act 2005</w:t>
      </w:r>
    </w:p>
    <w:p w14:paraId="0293C485" w14:textId="77777777" w:rsidR="009836B9" w:rsidRPr="00D764FC" w:rsidRDefault="009836B9" w:rsidP="009836B9">
      <w:r w:rsidRPr="00D764FC">
        <w:t xml:space="preserve">The NDA has a statutory role in monitoring under Part 3 of the Disability Act 2005, which details the obligations on public bodies to ensure that information and services are accessible to persons with disabilities. Where practical and appropriate, public bodies should ensure that services provided to disabled persons and persons without disabilities are integrated. </w:t>
      </w:r>
    </w:p>
    <w:p w14:paraId="79E6DDF5" w14:textId="77777777" w:rsidR="009836B9" w:rsidRPr="00D764FC" w:rsidRDefault="009836B9" w:rsidP="009836B9">
      <w:r w:rsidRPr="00D764FC">
        <w:t xml:space="preserve">The NDA’s Centre for Excellence in Universal Design with the Department of Public Expenditure, NDP Delivery and Reform co-developed a </w:t>
      </w:r>
      <w:r w:rsidRPr="00D764FC">
        <w:rPr>
          <w:b/>
          <w:bCs/>
        </w:rPr>
        <w:t>Customer Communications Toolkit for Services to the Public – A Universal Design Approach</w:t>
      </w:r>
      <w:r w:rsidRPr="00D764FC">
        <w:t xml:space="preserve">, which provides guidance on how to design communications for the public using the simplest and clearest language </w:t>
      </w:r>
      <w:r w:rsidRPr="00D764FC">
        <w:lastRenderedPageBreak/>
        <w:t>possible and to ensure that all communications are accessible and meet the diverse needs of all customers.</w:t>
      </w:r>
      <w:r w:rsidRPr="00D764FC">
        <w:rPr>
          <w:rStyle w:val="FootnoteReference"/>
        </w:rPr>
        <w:footnoteReference w:id="5"/>
      </w:r>
    </w:p>
    <w:p w14:paraId="28DDF053" w14:textId="77777777" w:rsidR="009836B9" w:rsidRPr="00D764FC" w:rsidRDefault="009836B9" w:rsidP="009836B9">
      <w:r w:rsidRPr="00D764FC">
        <w:t>In its 2022 Part 3 Monitoring Report, the NDA evaluated public body websites against an indicator relating to information on promoting the role of the Access Officer. The indicator consisted of the following three criteria:</w:t>
      </w:r>
    </w:p>
    <w:p w14:paraId="65597558" w14:textId="77777777" w:rsidR="009836B9" w:rsidRPr="00D764FC" w:rsidRDefault="009836B9" w:rsidP="009836B9">
      <w:pPr>
        <w:numPr>
          <w:ilvl w:val="0"/>
          <w:numId w:val="18"/>
        </w:numPr>
      </w:pPr>
      <w:r w:rsidRPr="00D764FC">
        <w:t xml:space="preserve">The promotion of the appointment of an Access Officer </w:t>
      </w:r>
    </w:p>
    <w:p w14:paraId="33F79EF7" w14:textId="77777777" w:rsidR="009836B9" w:rsidRPr="00D764FC" w:rsidRDefault="009836B9" w:rsidP="009836B9">
      <w:pPr>
        <w:numPr>
          <w:ilvl w:val="0"/>
          <w:numId w:val="18"/>
        </w:numPr>
      </w:pPr>
      <w:r w:rsidRPr="00D764FC">
        <w:t>Information on how to contact the Access Officer</w:t>
      </w:r>
    </w:p>
    <w:p w14:paraId="3D9A3615" w14:textId="77777777" w:rsidR="009836B9" w:rsidRPr="00D764FC" w:rsidRDefault="009836B9" w:rsidP="009836B9">
      <w:pPr>
        <w:numPr>
          <w:ilvl w:val="0"/>
          <w:numId w:val="18"/>
        </w:numPr>
      </w:pPr>
      <w:r w:rsidRPr="00D764FC">
        <w:t>A variety of communication channels for contacting them</w:t>
      </w:r>
    </w:p>
    <w:p w14:paraId="6019A0FD" w14:textId="2026BF74" w:rsidR="009836B9" w:rsidRPr="00D764FC" w:rsidRDefault="001111D8" w:rsidP="009836B9">
      <w:r w:rsidRPr="00D764FC">
        <w:t>Of note is that the HEA were not compliant with this monitoring</w:t>
      </w:r>
      <w:r w:rsidR="009836B9" w:rsidRPr="00D764FC">
        <w:t>.</w:t>
      </w:r>
      <w:r w:rsidR="009836B9" w:rsidRPr="00D764FC">
        <w:rPr>
          <w:rStyle w:val="FootnoteReference"/>
        </w:rPr>
        <w:footnoteReference w:id="6"/>
      </w:r>
      <w:r w:rsidR="009836B9" w:rsidRPr="00D764FC">
        <w:t xml:space="preserve"> We encourage </w:t>
      </w:r>
      <w:r w:rsidRPr="00D764FC">
        <w:t>the H</w:t>
      </w:r>
      <w:r w:rsidR="00D764FC" w:rsidRPr="00D764FC">
        <w:t>EA</w:t>
      </w:r>
      <w:r w:rsidR="009836B9" w:rsidRPr="00D764FC">
        <w:t xml:space="preserve"> to </w:t>
      </w:r>
      <w:r w:rsidRPr="00D764FC">
        <w:t>become</w:t>
      </w:r>
      <w:r w:rsidR="009836B9" w:rsidRPr="00D764FC">
        <w:t xml:space="preserve"> complian</w:t>
      </w:r>
      <w:r w:rsidRPr="00D764FC">
        <w:t>t</w:t>
      </w:r>
      <w:r w:rsidR="009836B9" w:rsidRPr="00D764FC">
        <w:t xml:space="preserve"> with Part 3 of the Disability Act and to continue to </w:t>
      </w:r>
      <w:r w:rsidRPr="00D764FC">
        <w:t>promote accountability with the higher education sector.</w:t>
      </w:r>
    </w:p>
    <w:p w14:paraId="5241F030" w14:textId="77777777" w:rsidR="009836B9" w:rsidRPr="00D764FC" w:rsidRDefault="009836B9" w:rsidP="008634C2">
      <w:pPr>
        <w:pStyle w:val="Heading3"/>
      </w:pPr>
      <w:r w:rsidRPr="00D764FC">
        <w:t>EU Accessibility ACT (EAA) and S.I 636</w:t>
      </w:r>
    </w:p>
    <w:p w14:paraId="46A838F4" w14:textId="4A4B23C9" w:rsidR="009836B9" w:rsidRPr="00D764FC" w:rsidRDefault="009836B9" w:rsidP="009836B9">
      <w:r w:rsidRPr="00D764FC">
        <w:t xml:space="preserve">Ireland transposed the EAA in late 2023 through the Statutory Instrument 636. The European </w:t>
      </w:r>
      <w:r w:rsidR="00B272C3" w:rsidRPr="00D764FC">
        <w:t>A</w:t>
      </w:r>
      <w:r w:rsidRPr="00D764FC">
        <w:t xml:space="preserve">ccessibility </w:t>
      </w:r>
      <w:r w:rsidR="00B272C3" w:rsidRPr="00D764FC">
        <w:t>A</w:t>
      </w:r>
      <w:r w:rsidRPr="00D764FC">
        <w:t>ct covers products and services that have been identified as being most important for persons with disabilities. The main focus is ensuring that digital goods and services post June 2025 are accessible for persons with disabilities. For Universities this will mean integrating accessibility as key requirement in the procurement of digital products and services.</w:t>
      </w:r>
      <w:r w:rsidRPr="00D764FC">
        <w:rPr>
          <w:rStyle w:val="FootnoteReference"/>
        </w:rPr>
        <w:footnoteReference w:id="7"/>
      </w:r>
      <w:r w:rsidRPr="00D764FC">
        <w:t xml:space="preserve">  The Act is underpinned by a series of European harmonised Standards that are being updated. One of the European Standards being updated for use with the EAA is ‘</w:t>
      </w:r>
      <w:hyperlink r:id="rId11" w:history="1">
        <w:r w:rsidRPr="00D764FC">
          <w:rPr>
            <w:rStyle w:val="Hyperlink"/>
          </w:rPr>
          <w:t>I.S.EN 17161:2019 Design for All - Accessibility following a Design for All approach in products, goods and services - Extending the range of users’</w:t>
        </w:r>
      </w:hyperlink>
      <w:r w:rsidRPr="00D764FC">
        <w:t>. It is a European process standard about using a Universal Design for All approach at all levels in organisations to continuously improve and manage the accessibility and usability of the products and services they provide.</w:t>
      </w:r>
    </w:p>
    <w:p w14:paraId="3E9DC879" w14:textId="77777777" w:rsidR="009836B9" w:rsidRPr="00D764FC" w:rsidRDefault="009836B9" w:rsidP="009836B9">
      <w:r w:rsidRPr="00D764FC">
        <w:t>This standard is relevant to organisations that design, manufacture and/or provide products and services and who want to demonstrate that they have addressed accessibility. It can be used in procurement for award criteria, as part of complying with accessibility legislation and to help advance corporate social responsibility. </w:t>
      </w:r>
    </w:p>
    <w:p w14:paraId="4620B002" w14:textId="77777777" w:rsidR="009836B9" w:rsidRPr="00D764FC" w:rsidRDefault="009836B9" w:rsidP="008634C2">
      <w:pPr>
        <w:pStyle w:val="Heading3"/>
      </w:pPr>
      <w:bookmarkStart w:id="9" w:name="_Hlk160713722"/>
      <w:r w:rsidRPr="00D764FC">
        <w:lastRenderedPageBreak/>
        <w:t>EU Web Accessibility Directive</w:t>
      </w:r>
    </w:p>
    <w:bookmarkEnd w:id="9"/>
    <w:p w14:paraId="6F0D25B3" w14:textId="77777777" w:rsidR="009836B9" w:rsidRPr="00D764FC" w:rsidRDefault="009836B9" w:rsidP="009836B9">
      <w:r w:rsidRPr="00D764FC">
        <w:t xml:space="preserve">The </w:t>
      </w:r>
      <w:r w:rsidRPr="00D764FC">
        <w:rPr>
          <w:b/>
          <w:bCs/>
        </w:rPr>
        <w:t>EU Web Accessibility Directive</w:t>
      </w:r>
      <w:r w:rsidRPr="00D764FC">
        <w:t xml:space="preserve">, which came into force in September 2020, requires EU Member States to ensure that the websites and mobile applications of public sector bodies are fully accessible to persons with disabilities and comply with the harmonised standard EN 310 549 (v3.2.1). The Directive further requires public bodies to maintain an Accessibility Statement in a prominent location on all their websites. 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p>
    <w:p w14:paraId="666C3039" w14:textId="0CD3C586" w:rsidR="009836B9" w:rsidRPr="00D764FC" w:rsidRDefault="009836B9" w:rsidP="009836B9">
      <w:r w:rsidRPr="00D764FC">
        <w:t>The NDA is the National Monitoring Body responsible for monitoring compliance with and reporting on the EU Web Accessibility Directive.</w:t>
      </w:r>
      <w:r w:rsidR="001111D8" w:rsidRPr="00D764FC">
        <w:t xml:space="preserve"> In 2023 the NDA conducted Simplified Reviews on the main websites of 23 Higher Education Institutions (HEIs).</w:t>
      </w:r>
      <w:r w:rsidR="008634C2" w:rsidRPr="00D764FC">
        <w:rPr>
          <w:vertAlign w:val="superscript"/>
        </w:rPr>
        <w:footnoteReference w:id="8"/>
      </w:r>
      <w:r w:rsidR="008634C2" w:rsidRPr="00D764FC">
        <w:t xml:space="preserve"> </w:t>
      </w:r>
      <w:r w:rsidR="001111D8" w:rsidRPr="00D764FC">
        <w:t>The Simplified Reviews did not include student or staff extranets such as Learning Management Systems or other online services provided by HEIs accessed via a username and password.</w:t>
      </w:r>
      <w:r w:rsidRPr="00D764FC">
        <w:t xml:space="preserve"> </w:t>
      </w:r>
      <w:r w:rsidR="008634C2" w:rsidRPr="00D764FC">
        <w:t xml:space="preserve">The average number of errors on HEI websites was higher than that of All Sites reviewed (Figure 3.41). The average Accessibility Score for HEIs at 32.4% was slightly higher than that for All Sites at 32.3%. There was a very large variance in the number of errors across all HEI websites and there is significant room for improvement. The accessibility score for the HEA itself was higher at 58.7%. </w:t>
      </w:r>
    </w:p>
    <w:p w14:paraId="5F82DFA2" w14:textId="3FA8A179" w:rsidR="009836B9" w:rsidRPr="00D764FC" w:rsidRDefault="008634C2" w:rsidP="009836B9">
      <w:r w:rsidRPr="00D764FC">
        <w:t xml:space="preserve">The NDA </w:t>
      </w:r>
      <w:r w:rsidR="00B272C3" w:rsidRPr="00D764FC">
        <w:t xml:space="preserve">is </w:t>
      </w:r>
      <w:r w:rsidRPr="00D764FC">
        <w:t xml:space="preserve">happy to provide advice and support in increasing the overall level of accessibility across HEIs. </w:t>
      </w:r>
    </w:p>
    <w:p w14:paraId="3760BF96" w14:textId="4DA4AB68" w:rsidR="008634C2" w:rsidRPr="00D764FC" w:rsidRDefault="008634C2" w:rsidP="008634C2">
      <w:pPr>
        <w:pStyle w:val="Heading3"/>
      </w:pPr>
      <w:r w:rsidRPr="00D764FC">
        <w:t>Student Success</w:t>
      </w:r>
    </w:p>
    <w:p w14:paraId="3069F8C9" w14:textId="73BF084F" w:rsidR="00647485" w:rsidRDefault="008634C2" w:rsidP="00647485">
      <w:r w:rsidRPr="00D764FC">
        <w:t>The NDA also welcome</w:t>
      </w:r>
      <w:r w:rsidR="00B272C3" w:rsidRPr="00D764FC">
        <w:t>s</w:t>
      </w:r>
      <w:r w:rsidRPr="00D764FC">
        <w:t xml:space="preserve"> a strategic priority on student success. We are aware that many HEIs are creating programmes for people with an intellectual disability. The NDA advises that a UDE approach is taken in relation to the development of these programmes. A bespoke programme that doesn’t integrate is not in line with an inclusive approach or with the United Nations Convention on the Rights of Persons with Disabilities. The HEA should promote inter HEI learning and best practice in this area and ensure that inclusion is one of the key criteria in measuring student success.</w:t>
      </w:r>
      <w:r>
        <w:t xml:space="preserve"> </w:t>
      </w:r>
    </w:p>
    <w:p w14:paraId="4BA215AE" w14:textId="77777777" w:rsidR="0040009D" w:rsidRPr="00D764FC" w:rsidRDefault="0040009D" w:rsidP="0040009D">
      <w:pPr>
        <w:pStyle w:val="Heading2"/>
        <w:numPr>
          <w:ilvl w:val="0"/>
          <w:numId w:val="10"/>
        </w:numPr>
        <w:shd w:val="clear" w:color="auto" w:fill="FFFFFF"/>
        <w:tabs>
          <w:tab w:val="clear" w:pos="720"/>
        </w:tabs>
        <w:spacing w:after="0"/>
        <w:ind w:left="360" w:right="240"/>
        <w:rPr>
          <w:rFonts w:ascii="Helvetica" w:hAnsi="Helvetica"/>
          <w:color w:val="202124"/>
          <w:sz w:val="36"/>
          <w:highlight w:val="yellow"/>
        </w:rPr>
      </w:pPr>
      <w:r>
        <w:rPr>
          <w:rFonts w:ascii="Helvetica" w:hAnsi="Helvetica"/>
          <w:color w:val="202124"/>
        </w:rPr>
        <w:t>3</w:t>
      </w:r>
      <w:r w:rsidRPr="00D764FC">
        <w:rPr>
          <w:rFonts w:ascii="Helvetica" w:hAnsi="Helvetica"/>
          <w:color w:val="202124"/>
          <w:highlight w:val="yellow"/>
        </w:rPr>
        <w:t>. What initiatives of the National Forum should the HEA continue or expand?</w:t>
      </w:r>
    </w:p>
    <w:p w14:paraId="2D4BCAED" w14:textId="77777777" w:rsidR="0040009D" w:rsidRDefault="0040009D" w:rsidP="0040009D">
      <w:pPr>
        <w:pStyle w:val="NormalWeb"/>
        <w:numPr>
          <w:ilvl w:val="0"/>
          <w:numId w:val="10"/>
        </w:numPr>
        <w:pBdr>
          <w:top w:val="single" w:sz="6" w:space="0" w:color="CCCCCC"/>
          <w:left w:val="single" w:sz="6" w:space="0" w:color="CCCCCC"/>
          <w:bottom w:val="single" w:sz="24" w:space="0" w:color="auto"/>
          <w:right w:val="single" w:sz="6" w:space="12" w:color="CCCCCC"/>
        </w:pBdr>
        <w:shd w:val="clear" w:color="auto" w:fill="FFFFFF"/>
        <w:spacing w:before="0" w:beforeAutospacing="0" w:after="375" w:afterAutospacing="0"/>
        <w:ind w:right="240"/>
        <w:rPr>
          <w:rFonts w:ascii="inherit" w:hAnsi="inherit"/>
          <w:color w:val="202124"/>
          <w:sz w:val="22"/>
          <w:szCs w:val="22"/>
        </w:rPr>
      </w:pPr>
      <w:r>
        <w:rPr>
          <w:rFonts w:ascii="inherit" w:hAnsi="inherit"/>
          <w:color w:val="202124"/>
          <w:sz w:val="22"/>
          <w:szCs w:val="22"/>
        </w:rPr>
        <w:t xml:space="preserve">The National Forum implemented a range of initiatives under its key strategic priorities to support teaching and learning across Irish higher education. Based on </w:t>
      </w:r>
      <w:r>
        <w:rPr>
          <w:rFonts w:ascii="inherit" w:hAnsi="inherit"/>
          <w:color w:val="202124"/>
          <w:sz w:val="22"/>
          <w:szCs w:val="22"/>
        </w:rPr>
        <w:lastRenderedPageBreak/>
        <w:t>your experience or perspective, which of these initiatives should the HEA prioritise for continuation or expansion?</w:t>
      </w:r>
    </w:p>
    <w:p w14:paraId="4FB4B06D" w14:textId="77777777" w:rsidR="0040009D" w:rsidRDefault="0040009D" w:rsidP="0040009D">
      <w:pPr>
        <w:pStyle w:val="NormalWeb"/>
        <w:pBdr>
          <w:top w:val="single" w:sz="6" w:space="0" w:color="CCCCCC"/>
          <w:left w:val="single" w:sz="6" w:space="0" w:color="CCCCCC"/>
          <w:bottom w:val="single" w:sz="24" w:space="0" w:color="auto"/>
          <w:right w:val="single" w:sz="6" w:space="12" w:color="CCCCCC"/>
        </w:pBdr>
        <w:shd w:val="clear" w:color="auto" w:fill="FFFFFF"/>
        <w:spacing w:before="0" w:beforeAutospacing="0" w:after="375" w:afterAutospacing="0"/>
        <w:ind w:left="720" w:right="240"/>
        <w:rPr>
          <w:rFonts w:ascii="inherit" w:hAnsi="inherit"/>
          <w:color w:val="202124"/>
          <w:sz w:val="22"/>
          <w:szCs w:val="22"/>
        </w:rPr>
      </w:pPr>
      <w:r>
        <w:rPr>
          <w:rFonts w:ascii="inherit" w:hAnsi="inherit"/>
          <w:color w:val="202124"/>
          <w:sz w:val="22"/>
          <w:szCs w:val="22"/>
        </w:rPr>
        <w:t>Initiatives have included, but are not limited to:</w:t>
      </w:r>
    </w:p>
    <w:p w14:paraId="61E126A1" w14:textId="77777777" w:rsidR="0040009D" w:rsidRDefault="0040009D" w:rsidP="0040009D">
      <w:pPr>
        <w:pStyle w:val="gfield"/>
        <w:numPr>
          <w:ilvl w:val="1"/>
          <w:numId w:val="10"/>
        </w:numPr>
        <w:pBdr>
          <w:top w:val="single" w:sz="6" w:space="0" w:color="CCCCCC"/>
          <w:left w:val="single" w:sz="6" w:space="0" w:color="CCCCCC"/>
          <w:bottom w:val="single" w:sz="24" w:space="0" w:color="auto"/>
          <w:right w:val="single" w:sz="6" w:space="12" w:color="CCCCCC"/>
        </w:pBdr>
        <w:shd w:val="clear" w:color="auto" w:fill="FFFFFF"/>
        <w:spacing w:before="0" w:beforeAutospacing="0" w:after="0" w:afterAutospacing="0"/>
        <w:ind w:right="240"/>
        <w:rPr>
          <w:rFonts w:ascii="inherit" w:hAnsi="inherit"/>
          <w:color w:val="202124"/>
          <w:sz w:val="22"/>
          <w:szCs w:val="22"/>
        </w:rPr>
      </w:pPr>
      <w:r>
        <w:rPr>
          <w:rFonts w:ascii="inherit" w:hAnsi="inherit"/>
          <w:color w:val="202124"/>
          <w:sz w:val="22"/>
          <w:szCs w:val="22"/>
        </w:rPr>
        <w:t>National Professional Development Framework, Open Courses, and progress toward a National Recognition Framework.</w:t>
      </w:r>
    </w:p>
    <w:p w14:paraId="1593D0F2" w14:textId="77777777" w:rsidR="0040009D" w:rsidRDefault="0040009D" w:rsidP="0040009D">
      <w:pPr>
        <w:pStyle w:val="gfield"/>
        <w:numPr>
          <w:ilvl w:val="1"/>
          <w:numId w:val="10"/>
        </w:numPr>
        <w:pBdr>
          <w:top w:val="single" w:sz="6" w:space="0" w:color="CCCCCC"/>
          <w:left w:val="single" w:sz="6" w:space="0" w:color="CCCCCC"/>
          <w:bottom w:val="single" w:sz="24" w:space="0" w:color="auto"/>
          <w:right w:val="single" w:sz="6" w:space="12" w:color="CCCCCC"/>
        </w:pBdr>
        <w:shd w:val="clear" w:color="auto" w:fill="FFFFFF"/>
        <w:spacing w:before="0" w:beforeAutospacing="0" w:after="0" w:afterAutospacing="0"/>
        <w:ind w:right="240"/>
        <w:rPr>
          <w:rFonts w:ascii="inherit" w:hAnsi="inherit"/>
          <w:color w:val="202124"/>
          <w:sz w:val="22"/>
          <w:szCs w:val="22"/>
        </w:rPr>
      </w:pPr>
      <w:r>
        <w:rPr>
          <w:rFonts w:ascii="inherit" w:hAnsi="inherit"/>
          <w:color w:val="202124"/>
          <w:sz w:val="22"/>
          <w:szCs w:val="22"/>
        </w:rPr>
        <w:t>Enabling Policies for Digital and Open Teaching and Learning, Irish National Digital Experience (INDEx) Survey, Supporting Open Education, and the National Resource Hub.</w:t>
      </w:r>
    </w:p>
    <w:p w14:paraId="62C3A150" w14:textId="77777777" w:rsidR="0040009D" w:rsidRDefault="0040009D" w:rsidP="0040009D">
      <w:pPr>
        <w:pStyle w:val="gfield"/>
        <w:numPr>
          <w:ilvl w:val="1"/>
          <w:numId w:val="10"/>
        </w:numPr>
        <w:pBdr>
          <w:top w:val="single" w:sz="6" w:space="0" w:color="CCCCCC"/>
          <w:left w:val="single" w:sz="6" w:space="0" w:color="CCCCCC"/>
          <w:bottom w:val="single" w:sz="24" w:space="0" w:color="auto"/>
          <w:right w:val="single" w:sz="6" w:space="12" w:color="CCCCCC"/>
        </w:pBdr>
        <w:shd w:val="clear" w:color="auto" w:fill="FFFFFF"/>
        <w:spacing w:before="0" w:beforeAutospacing="0" w:after="0" w:afterAutospacing="0"/>
        <w:ind w:right="240"/>
        <w:rPr>
          <w:rFonts w:ascii="inherit" w:hAnsi="inherit"/>
          <w:color w:val="202124"/>
          <w:sz w:val="22"/>
          <w:szCs w:val="22"/>
        </w:rPr>
      </w:pPr>
      <w:r>
        <w:rPr>
          <w:rFonts w:ascii="inherit" w:hAnsi="inherit"/>
          <w:color w:val="202124"/>
          <w:sz w:val="22"/>
          <w:szCs w:val="22"/>
        </w:rPr>
        <w:t>Student Success Toolkit, Online Learning Analytics Resource (ORLA), and the Data-Enabled Student Success Initiative (DESSI).</w:t>
      </w:r>
    </w:p>
    <w:p w14:paraId="06106C42" w14:textId="77777777" w:rsidR="0040009D" w:rsidRDefault="0040009D" w:rsidP="0040009D">
      <w:pPr>
        <w:pStyle w:val="gfield"/>
        <w:numPr>
          <w:ilvl w:val="1"/>
          <w:numId w:val="10"/>
        </w:numPr>
        <w:pBdr>
          <w:top w:val="single" w:sz="6" w:space="0" w:color="CCCCCC"/>
          <w:left w:val="single" w:sz="6" w:space="0" w:color="CCCCCC"/>
          <w:bottom w:val="single" w:sz="24" w:space="0" w:color="auto"/>
          <w:right w:val="single" w:sz="6" w:space="12" w:color="CCCCCC"/>
        </w:pBdr>
        <w:shd w:val="clear" w:color="auto" w:fill="FFFFFF"/>
        <w:spacing w:before="0" w:beforeAutospacing="0" w:after="0" w:afterAutospacing="0"/>
        <w:ind w:right="240"/>
        <w:rPr>
          <w:rFonts w:ascii="inherit" w:hAnsi="inherit"/>
          <w:color w:val="202124"/>
          <w:sz w:val="22"/>
          <w:szCs w:val="22"/>
        </w:rPr>
      </w:pPr>
      <w:r>
        <w:rPr>
          <w:rFonts w:ascii="inherit" w:hAnsi="inherit"/>
          <w:color w:val="202124"/>
          <w:sz w:val="22"/>
          <w:szCs w:val="22"/>
        </w:rPr>
        <w:t>Disciplinary Excellence in Learning, Teaching and Assessment (DELTA) Framework, National Learning Impact Awards, and enhancement themes in Teaching for Transitions and Assessment of/for/as Learning.</w:t>
      </w:r>
    </w:p>
    <w:p w14:paraId="3F15CC8F" w14:textId="77777777" w:rsidR="0040009D" w:rsidRDefault="0040009D" w:rsidP="0040009D">
      <w:pPr>
        <w:pStyle w:val="gfield"/>
        <w:numPr>
          <w:ilvl w:val="1"/>
          <w:numId w:val="10"/>
        </w:numPr>
        <w:pBdr>
          <w:top w:val="single" w:sz="6" w:space="0" w:color="CCCCCC"/>
          <w:left w:val="single" w:sz="6" w:space="0" w:color="CCCCCC"/>
          <w:bottom w:val="single" w:sz="24" w:space="0" w:color="auto"/>
          <w:right w:val="single" w:sz="6" w:space="12" w:color="CCCCCC"/>
        </w:pBdr>
        <w:shd w:val="clear" w:color="auto" w:fill="FFFFFF"/>
        <w:spacing w:before="0" w:beforeAutospacing="0" w:after="0" w:afterAutospacing="0"/>
        <w:ind w:right="240"/>
        <w:rPr>
          <w:rFonts w:ascii="inherit" w:hAnsi="inherit"/>
          <w:color w:val="202124"/>
          <w:sz w:val="22"/>
          <w:szCs w:val="22"/>
        </w:rPr>
      </w:pPr>
      <w:r>
        <w:rPr>
          <w:rFonts w:ascii="inherit" w:hAnsi="inherit"/>
          <w:color w:val="202124"/>
          <w:sz w:val="22"/>
          <w:szCs w:val="22"/>
        </w:rPr>
        <w:t>Strategic Alignment of Teaching and Learning Enhancement (SATLE) Fund initiatives, focusing on Education for Sustainable Development (ESD), Digital Transformation in the Tertiary Sector, and Best Practices in Academic Integrity.</w:t>
      </w:r>
    </w:p>
    <w:p w14:paraId="425566B6" w14:textId="77777777" w:rsidR="0040009D" w:rsidRDefault="0040009D" w:rsidP="0040009D">
      <w:pPr>
        <w:pStyle w:val="NormalWeb"/>
        <w:pBdr>
          <w:top w:val="single" w:sz="6" w:space="0" w:color="CCCCCC"/>
          <w:left w:val="single" w:sz="6" w:space="0" w:color="CCCCCC"/>
          <w:bottom w:val="single" w:sz="24" w:space="0" w:color="auto"/>
          <w:right w:val="single" w:sz="6" w:space="12" w:color="CCCCCC"/>
        </w:pBdr>
        <w:shd w:val="clear" w:color="auto" w:fill="FFFFFF"/>
        <w:spacing w:before="0" w:beforeAutospacing="0" w:after="375" w:afterAutospacing="0"/>
        <w:ind w:left="720" w:right="240"/>
        <w:rPr>
          <w:rFonts w:ascii="inherit" w:hAnsi="inherit"/>
          <w:color w:val="202124"/>
          <w:sz w:val="22"/>
          <w:szCs w:val="22"/>
        </w:rPr>
      </w:pPr>
      <w:r>
        <w:rPr>
          <w:rFonts w:ascii="inherit" w:hAnsi="inherit"/>
          <w:color w:val="202124"/>
          <w:sz w:val="22"/>
          <w:szCs w:val="22"/>
        </w:rPr>
        <w:t>We invite your thoughts on which of these initiatives should remain a focus or be expanded.</w:t>
      </w:r>
    </w:p>
    <w:p w14:paraId="76194050" w14:textId="7EDE2609" w:rsidR="008634C2" w:rsidRPr="00D764FC" w:rsidRDefault="00C66220" w:rsidP="008634C2">
      <w:r w:rsidRPr="00D764FC">
        <w:t xml:space="preserve">As already stated </w:t>
      </w:r>
      <w:r w:rsidR="00513238" w:rsidRPr="00D764FC">
        <w:t xml:space="preserve">consideration needs to be given to </w:t>
      </w:r>
      <w:r w:rsidRPr="00D764FC">
        <w:t xml:space="preserve">how we can create a more </w:t>
      </w:r>
      <w:r w:rsidR="007C67B3" w:rsidRPr="00D764FC">
        <w:t>level playing field</w:t>
      </w:r>
      <w:r w:rsidRPr="00D764FC">
        <w:t xml:space="preserve"> with a focus on curricula development that is inclusive and secondly how we can be more creative in providing a more equitable assessment system for all students.</w:t>
      </w:r>
    </w:p>
    <w:p w14:paraId="7A64CAEA" w14:textId="79B514BC" w:rsidR="008634C2" w:rsidRPr="008634C2" w:rsidRDefault="009F1D85" w:rsidP="008634C2">
      <w:r w:rsidRPr="00D764FC">
        <w:t xml:space="preserve">The role of Artificial Intelligence (AI) </w:t>
      </w:r>
      <w:r w:rsidR="00513238" w:rsidRPr="00D764FC">
        <w:t>and</w:t>
      </w:r>
      <w:r w:rsidRPr="00D764FC">
        <w:t xml:space="preserve"> how it is applied and used will be critical. </w:t>
      </w:r>
      <w:r w:rsidR="00FF5412" w:rsidRPr="00D764FC">
        <w:t>Ensuring</w:t>
      </w:r>
      <w:r w:rsidRPr="00D764FC">
        <w:t xml:space="preserve"> that AI does not become a barrier to education for people with diverse backgrounds</w:t>
      </w:r>
      <w:r w:rsidR="00513238" w:rsidRPr="00D764FC">
        <w:t>,</w:t>
      </w:r>
      <w:r w:rsidRPr="00D764FC">
        <w:t xml:space="preserve"> due the biases that are presently built into many of the AI algorithms that are in circulation</w:t>
      </w:r>
      <w:r w:rsidR="00513238" w:rsidRPr="00D764FC">
        <w:t>, is required</w:t>
      </w:r>
      <w:r w:rsidRPr="00D764FC">
        <w:t>.</w:t>
      </w:r>
    </w:p>
    <w:p w14:paraId="57DB686B" w14:textId="49C6B9E5" w:rsidR="0040009D" w:rsidRPr="00D764FC" w:rsidRDefault="0040009D" w:rsidP="0040009D">
      <w:pPr>
        <w:pStyle w:val="Heading2"/>
        <w:numPr>
          <w:ilvl w:val="0"/>
          <w:numId w:val="14"/>
        </w:numPr>
        <w:shd w:val="clear" w:color="auto" w:fill="FFFFFF"/>
        <w:tabs>
          <w:tab w:val="clear" w:pos="720"/>
        </w:tabs>
        <w:spacing w:after="0"/>
        <w:ind w:left="360" w:right="240"/>
        <w:rPr>
          <w:rFonts w:ascii="Helvetica" w:hAnsi="Helvetica"/>
          <w:color w:val="202124"/>
          <w:sz w:val="36"/>
          <w:highlight w:val="yellow"/>
        </w:rPr>
      </w:pPr>
      <w:r w:rsidRPr="00D764FC">
        <w:rPr>
          <w:rFonts w:ascii="Helvetica" w:hAnsi="Helvetica"/>
          <w:color w:val="202124"/>
          <w:highlight w:val="yellow"/>
        </w:rPr>
        <w:t>4. What new initiatives would you like to see?</w:t>
      </w:r>
    </w:p>
    <w:p w14:paraId="2E879892" w14:textId="77777777" w:rsidR="0040009D" w:rsidRDefault="0040009D" w:rsidP="0040009D">
      <w:pPr>
        <w:pStyle w:val="NormalWeb"/>
        <w:numPr>
          <w:ilvl w:val="0"/>
          <w:numId w:val="14"/>
        </w:numPr>
        <w:pBdr>
          <w:top w:val="single" w:sz="6" w:space="0" w:color="CCCCCC"/>
          <w:left w:val="single" w:sz="6" w:space="0" w:color="CCCCCC"/>
          <w:bottom w:val="single" w:sz="24" w:space="0" w:color="auto"/>
          <w:right w:val="single" w:sz="6" w:space="12" w:color="CCCCCC"/>
        </w:pBdr>
        <w:shd w:val="clear" w:color="auto" w:fill="FFFFFF"/>
        <w:spacing w:before="0" w:beforeAutospacing="0" w:after="375" w:afterAutospacing="0"/>
        <w:ind w:right="240"/>
        <w:rPr>
          <w:rFonts w:ascii="inherit" w:hAnsi="inherit"/>
          <w:color w:val="202124"/>
          <w:sz w:val="22"/>
          <w:szCs w:val="22"/>
        </w:rPr>
      </w:pPr>
      <w:r>
        <w:rPr>
          <w:rFonts w:ascii="inherit" w:hAnsi="inherit"/>
          <w:color w:val="202124"/>
          <w:sz w:val="22"/>
          <w:szCs w:val="22"/>
        </w:rPr>
        <w:t>What new initiatives would you like to see introduced? We invite your suggestions on new initiatives, approaches, resources, or emerging needs that could drive meaningful change and enhance the excellence and impact of teaching and learning across the sector.</w:t>
      </w:r>
    </w:p>
    <w:p w14:paraId="23EFF032" w14:textId="77777777" w:rsidR="008634C2" w:rsidRDefault="008634C2" w:rsidP="008634C2">
      <w:pPr>
        <w:pStyle w:val="NormalWeb"/>
        <w:pBdr>
          <w:top w:val="single" w:sz="6" w:space="0" w:color="CCCCCC"/>
          <w:left w:val="single" w:sz="6" w:space="0" w:color="CCCCCC"/>
          <w:bottom w:val="single" w:sz="24" w:space="0" w:color="auto"/>
          <w:right w:val="single" w:sz="6" w:space="12" w:color="CCCCCC"/>
        </w:pBdr>
        <w:shd w:val="clear" w:color="auto" w:fill="FFFFFF"/>
        <w:spacing w:before="0" w:beforeAutospacing="0" w:after="375" w:afterAutospacing="0"/>
        <w:ind w:left="360" w:right="240"/>
        <w:rPr>
          <w:rFonts w:ascii="inherit" w:hAnsi="inherit"/>
          <w:color w:val="202124"/>
          <w:sz w:val="22"/>
          <w:szCs w:val="22"/>
        </w:rPr>
      </w:pPr>
    </w:p>
    <w:p w14:paraId="3791A18C" w14:textId="42E75BBB" w:rsidR="008634C2" w:rsidRPr="00D764FC" w:rsidRDefault="008634C2" w:rsidP="008634C2">
      <w:pPr>
        <w:pStyle w:val="Heading2"/>
      </w:pPr>
      <w:r w:rsidRPr="00D764FC">
        <w:t>UDE</w:t>
      </w:r>
    </w:p>
    <w:p w14:paraId="5E430C01" w14:textId="246B7050" w:rsidR="008634C2" w:rsidRPr="00D764FC" w:rsidRDefault="008634C2" w:rsidP="008634C2">
      <w:r w:rsidRPr="00D764FC">
        <w:t xml:space="preserve">As outlined above the NDA would support more emphasis, support for and funding for a UDE approach. That will require training of teachers and changing ways of working. </w:t>
      </w:r>
    </w:p>
    <w:p w14:paraId="0C28B067" w14:textId="6FB66CA0" w:rsidR="00527F9F" w:rsidRPr="00D764FC" w:rsidRDefault="00527F9F" w:rsidP="00527F9F">
      <w:pPr>
        <w:pStyle w:val="Heading2"/>
      </w:pPr>
      <w:r w:rsidRPr="00D764FC">
        <w:lastRenderedPageBreak/>
        <w:t>Provision of integrated services</w:t>
      </w:r>
    </w:p>
    <w:p w14:paraId="36FBB66B" w14:textId="32E9779E" w:rsidR="008634C2" w:rsidRPr="008634C2" w:rsidRDefault="00527F9F" w:rsidP="008634C2">
      <w:r w:rsidRPr="00D764FC">
        <w:t>The health and education sectors are moving towards more integrated approaches and interdisciplinary working. Teaching is often very sector or profession specific and there needs to be more integrated learning to facilitate more integrated working in the future.</w:t>
      </w:r>
      <w:r>
        <w:t xml:space="preserve"> </w:t>
      </w:r>
    </w:p>
    <w:p w14:paraId="25E62E9D" w14:textId="46DE6E87" w:rsidR="0040009D" w:rsidRPr="00D764FC" w:rsidRDefault="0040009D" w:rsidP="0040009D">
      <w:pPr>
        <w:pStyle w:val="Heading2"/>
        <w:numPr>
          <w:ilvl w:val="0"/>
          <w:numId w:val="16"/>
        </w:numPr>
        <w:shd w:val="clear" w:color="auto" w:fill="FFFFFF"/>
        <w:tabs>
          <w:tab w:val="clear" w:pos="720"/>
        </w:tabs>
        <w:spacing w:after="0"/>
        <w:ind w:left="360" w:right="240"/>
        <w:rPr>
          <w:rFonts w:ascii="Helvetica" w:hAnsi="Helvetica"/>
          <w:color w:val="202124"/>
          <w:sz w:val="36"/>
          <w:highlight w:val="yellow"/>
        </w:rPr>
      </w:pPr>
      <w:r w:rsidRPr="00D764FC">
        <w:rPr>
          <w:rFonts w:ascii="Helvetica" w:hAnsi="Helvetica"/>
          <w:color w:val="202124"/>
          <w:highlight w:val="yellow"/>
        </w:rPr>
        <w:t>5. How should the National Forum identity be carried forward under the HEA?</w:t>
      </w:r>
    </w:p>
    <w:p w14:paraId="2688D85F" w14:textId="77777777" w:rsidR="0040009D" w:rsidRDefault="0040009D" w:rsidP="0040009D">
      <w:pPr>
        <w:pStyle w:val="NormalWeb"/>
        <w:numPr>
          <w:ilvl w:val="0"/>
          <w:numId w:val="16"/>
        </w:numPr>
        <w:pBdr>
          <w:top w:val="single" w:sz="6" w:space="0" w:color="CCCCCC"/>
          <w:left w:val="single" w:sz="6" w:space="0" w:color="CCCCCC"/>
          <w:bottom w:val="single" w:sz="24" w:space="0" w:color="auto"/>
          <w:right w:val="single" w:sz="6" w:space="12" w:color="CCCCCC"/>
        </w:pBdr>
        <w:shd w:val="clear" w:color="auto" w:fill="FFFFFF"/>
        <w:spacing w:before="0" w:beforeAutospacing="0" w:after="375" w:afterAutospacing="0"/>
        <w:ind w:right="240"/>
        <w:rPr>
          <w:rFonts w:ascii="inherit" w:hAnsi="inherit"/>
          <w:color w:val="202124"/>
          <w:sz w:val="22"/>
          <w:szCs w:val="22"/>
        </w:rPr>
      </w:pPr>
      <w:r>
        <w:rPr>
          <w:rFonts w:ascii="inherit" w:hAnsi="inherit"/>
          <w:color w:val="202124"/>
          <w:sz w:val="22"/>
          <w:szCs w:val="22"/>
        </w:rPr>
        <w:t>The National Forum has built a strong identity as a leader in enhancing teaching and learning across Irish higher education. As it now operates under the HEA, we are interested to understand how to evolve this identity to maximise its impact.</w:t>
      </w:r>
    </w:p>
    <w:p w14:paraId="6AE179F8" w14:textId="77777777" w:rsidR="0040009D" w:rsidRDefault="0040009D" w:rsidP="0040009D">
      <w:pPr>
        <w:pStyle w:val="NormalWeb"/>
        <w:pBdr>
          <w:top w:val="single" w:sz="6" w:space="0" w:color="CCCCCC"/>
          <w:left w:val="single" w:sz="6" w:space="0" w:color="CCCCCC"/>
          <w:bottom w:val="single" w:sz="24" w:space="0" w:color="auto"/>
          <w:right w:val="single" w:sz="6" w:space="12" w:color="CCCCCC"/>
        </w:pBdr>
        <w:shd w:val="clear" w:color="auto" w:fill="FFFFFF"/>
        <w:spacing w:before="0" w:beforeAutospacing="0" w:after="375" w:afterAutospacing="0"/>
        <w:ind w:left="720" w:right="240"/>
        <w:rPr>
          <w:rFonts w:ascii="inherit" w:hAnsi="inherit"/>
          <w:color w:val="202124"/>
          <w:sz w:val="22"/>
          <w:szCs w:val="22"/>
        </w:rPr>
      </w:pPr>
      <w:r>
        <w:rPr>
          <w:rFonts w:ascii="inherit" w:hAnsi="inherit"/>
          <w:color w:val="202124"/>
          <w:sz w:val="22"/>
          <w:szCs w:val="22"/>
        </w:rPr>
        <w:t>How do you think the National Forum's identity should be carried forward under the HEA? Please share your thoughts on key elements, values, or approaches that should be maintained or reimagined to continue supporting excellence in teaching and learning.</w:t>
      </w:r>
    </w:p>
    <w:p w14:paraId="1CB733F2" w14:textId="2770A19A" w:rsidR="00527F9F" w:rsidRPr="008634C2" w:rsidRDefault="00527F9F" w:rsidP="00527F9F">
      <w:r w:rsidRPr="00D764FC">
        <w:t xml:space="preserve">The NDA has no particular </w:t>
      </w:r>
      <w:r w:rsidR="00D35881" w:rsidRPr="00D764FC">
        <w:t xml:space="preserve">comment to offer </w:t>
      </w:r>
      <w:r w:rsidRPr="00D764FC">
        <w:t>on this question.</w:t>
      </w:r>
      <w:r>
        <w:t xml:space="preserve"> </w:t>
      </w:r>
    </w:p>
    <w:p w14:paraId="4521B665" w14:textId="54AD703A" w:rsidR="0040009D" w:rsidRDefault="0040009D" w:rsidP="00527F9F"/>
    <w:sectPr w:rsidR="0040009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C779" w14:textId="77777777" w:rsidR="00626909" w:rsidRDefault="00626909" w:rsidP="00917FAC">
      <w:pPr>
        <w:spacing w:after="0"/>
      </w:pPr>
      <w:r>
        <w:separator/>
      </w:r>
    </w:p>
  </w:endnote>
  <w:endnote w:type="continuationSeparator" w:id="0">
    <w:p w14:paraId="0A81524D" w14:textId="77777777" w:rsidR="00626909" w:rsidRDefault="00626909"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63B1" w14:textId="77777777" w:rsidR="00917FAC" w:rsidRDefault="00917FAC" w:rsidP="001538BD">
    <w:pPr>
      <w:pStyle w:val="Footer"/>
      <w:jc w:val="right"/>
    </w:pPr>
    <w:r>
      <w:t>Footer</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6CC8" w14:textId="77777777" w:rsidR="00626909" w:rsidRDefault="00626909" w:rsidP="00917FAC">
      <w:pPr>
        <w:spacing w:after="0"/>
      </w:pPr>
      <w:r>
        <w:separator/>
      </w:r>
    </w:p>
  </w:footnote>
  <w:footnote w:type="continuationSeparator" w:id="0">
    <w:p w14:paraId="200F1423" w14:textId="77777777" w:rsidR="00626909" w:rsidRDefault="00626909" w:rsidP="00917FAC">
      <w:pPr>
        <w:spacing w:after="0"/>
      </w:pPr>
      <w:r>
        <w:continuationSeparator/>
      </w:r>
    </w:p>
  </w:footnote>
  <w:footnote w:id="1">
    <w:p w14:paraId="5FA36CFF" w14:textId="738D41FF" w:rsidR="008452F7" w:rsidRDefault="008452F7">
      <w:pPr>
        <w:pStyle w:val="FootnoteText"/>
      </w:pPr>
      <w:r>
        <w:rPr>
          <w:rStyle w:val="FootnoteReference"/>
        </w:rPr>
        <w:footnoteRef/>
      </w:r>
      <w:r>
        <w:t xml:space="preserve"> </w:t>
      </w:r>
      <w:r w:rsidRPr="008452F7">
        <w:t>https://universaldesign.ie/publications/universal-design-in-education-and-training-policy-landscape-in-ireland</w:t>
      </w:r>
    </w:p>
  </w:footnote>
  <w:footnote w:id="2">
    <w:p w14:paraId="0FE0171C" w14:textId="4729CA02" w:rsidR="00955E67" w:rsidRDefault="009836B9" w:rsidP="009836B9">
      <w:pPr>
        <w:pStyle w:val="FootnoteText"/>
      </w:pPr>
      <w:r>
        <w:rPr>
          <w:rStyle w:val="FootnoteReference"/>
        </w:rPr>
        <w:footnoteRef/>
      </w:r>
      <w:r>
        <w:t xml:space="preserve"> </w:t>
      </w:r>
      <w:hyperlink r:id="rId1" w:history="1">
        <w:r w:rsidR="00955E67" w:rsidRPr="00746967">
          <w:rPr>
            <w:rStyle w:val="Hyperlink"/>
          </w:rPr>
          <w:t>https://ahead.ie/udl</w:t>
        </w:r>
      </w:hyperlink>
    </w:p>
  </w:footnote>
  <w:footnote w:id="3">
    <w:p w14:paraId="39D5119D" w14:textId="2758CA96" w:rsidR="001B1046" w:rsidRDefault="001B1046">
      <w:pPr>
        <w:pStyle w:val="FootnoteText"/>
      </w:pPr>
      <w:r>
        <w:rPr>
          <w:rStyle w:val="FootnoteReference"/>
        </w:rPr>
        <w:footnoteRef/>
      </w:r>
      <w:r>
        <w:t xml:space="preserve"> The National Access Plan is available at the following link: </w:t>
      </w:r>
      <w:hyperlink r:id="rId2" w:history="1">
        <w:r w:rsidRPr="00FE520E">
          <w:rPr>
            <w:rStyle w:val="Hyperlink"/>
          </w:rPr>
          <w:t>https://hea.ie/policy/access-policy/national-access-plan-2022-2028/</w:t>
        </w:r>
      </w:hyperlink>
      <w:r>
        <w:t xml:space="preserve"> </w:t>
      </w:r>
    </w:p>
  </w:footnote>
  <w:footnote w:id="4">
    <w:p w14:paraId="2D3D1574" w14:textId="1460AE3E" w:rsidR="00D764FC" w:rsidRDefault="00647DBD">
      <w:pPr>
        <w:pStyle w:val="FootnoteText"/>
      </w:pPr>
      <w:r>
        <w:rPr>
          <w:rStyle w:val="FootnoteReference"/>
        </w:rPr>
        <w:footnoteRef/>
      </w:r>
      <w:r>
        <w:t xml:space="preserve"> </w:t>
      </w:r>
      <w:hyperlink r:id="rId3" w:history="1">
        <w:r w:rsidR="00D764FC" w:rsidRPr="006C3801">
          <w:rPr>
            <w:rStyle w:val="Hyperlink"/>
          </w:rPr>
          <w:t>https://www.ahead.ie/altitude</w:t>
        </w:r>
      </w:hyperlink>
    </w:p>
  </w:footnote>
  <w:footnote w:id="5">
    <w:p w14:paraId="3ACA3D64" w14:textId="5C6A33B2" w:rsidR="009836B9" w:rsidRDefault="009836B9" w:rsidP="009836B9">
      <w:pPr>
        <w:pStyle w:val="FootnoteText"/>
      </w:pPr>
      <w:r>
        <w:rPr>
          <w:rStyle w:val="FootnoteReference"/>
        </w:rPr>
        <w:footnoteRef/>
      </w:r>
      <w:r>
        <w:t xml:space="preserve"> National Disability Authority (2023)</w:t>
      </w:r>
      <w:r w:rsidR="001111D8">
        <w:t xml:space="preserve"> Appendix A</w:t>
      </w:r>
      <w:r>
        <w:t xml:space="preserve"> </w:t>
      </w:r>
      <w:hyperlink r:id="rId4" w:history="1">
        <w:r w:rsidRPr="00AB31B1">
          <w:rPr>
            <w:rStyle w:val="Hyperlink"/>
          </w:rPr>
          <w:t>Customer Communications Toolkit for Services to the Public – A Universal Design Approach.</w:t>
        </w:r>
      </w:hyperlink>
    </w:p>
  </w:footnote>
  <w:footnote w:id="6">
    <w:p w14:paraId="7BA2029C" w14:textId="77777777" w:rsidR="009836B9" w:rsidRPr="006E3D54" w:rsidRDefault="009836B9" w:rsidP="009836B9">
      <w:pPr>
        <w:pStyle w:val="FootnoteText"/>
        <w:rPr>
          <w:b/>
          <w:bCs/>
        </w:rPr>
      </w:pPr>
      <w:r>
        <w:rPr>
          <w:rStyle w:val="FootnoteReference"/>
        </w:rPr>
        <w:footnoteRef/>
      </w:r>
      <w:r>
        <w:t xml:space="preserve"> National Disability Authority (2023) </w:t>
      </w:r>
      <w:bookmarkStart w:id="3" w:name="_Toc78967395"/>
      <w:bookmarkStart w:id="4" w:name="_Toc80626260"/>
      <w:bookmarkStart w:id="5" w:name="_Toc126224495"/>
      <w:bookmarkStart w:id="6" w:name="_Toc138066578"/>
      <w:bookmarkStart w:id="7" w:name="_Toc141427030"/>
      <w:bookmarkStart w:id="8" w:name="_Toc141432218"/>
      <w:r w:rsidRPr="006E3D54">
        <w:t>NDA Disability Act – Part 3 Monitoring Report 202</w:t>
      </w:r>
      <w:bookmarkEnd w:id="3"/>
      <w:bookmarkEnd w:id="4"/>
      <w:r w:rsidRPr="006E3D54">
        <w:t>2</w:t>
      </w:r>
      <w:bookmarkEnd w:id="5"/>
      <w:bookmarkEnd w:id="6"/>
      <w:r w:rsidRPr="006E3D54">
        <w:t>- Appendix A</w:t>
      </w:r>
      <w:bookmarkEnd w:id="7"/>
      <w:bookmarkEnd w:id="8"/>
      <w:r w:rsidRPr="006E3D54">
        <w:t>.</w:t>
      </w:r>
      <w:r w:rsidRPr="00D61E02">
        <w:t xml:space="preserve"> </w:t>
      </w:r>
      <w:hyperlink r:id="rId5" w:history="1">
        <w:r>
          <w:rPr>
            <w:rStyle w:val="Hyperlink"/>
          </w:rPr>
          <w:t>Monitoring Report on Access Officers - National Disability Authority (nda.ie)</w:t>
        </w:r>
      </w:hyperlink>
    </w:p>
  </w:footnote>
  <w:footnote w:id="7">
    <w:p w14:paraId="114B2059" w14:textId="77777777" w:rsidR="009836B9" w:rsidRDefault="009836B9" w:rsidP="009836B9">
      <w:pPr>
        <w:pStyle w:val="FootnoteText"/>
      </w:pPr>
      <w:r>
        <w:rPr>
          <w:rStyle w:val="FootnoteReference"/>
        </w:rPr>
        <w:footnoteRef/>
      </w:r>
      <w:r>
        <w:t xml:space="preserve"> </w:t>
      </w:r>
      <w:hyperlink r:id="rId6" w:history="1">
        <w:r w:rsidRPr="0046498B">
          <w:rPr>
            <w:rStyle w:val="Hyperlink"/>
          </w:rPr>
          <w:t>https://www.irishstatutebook.ie/eli/2023/si/636/made/en/print</w:t>
        </w:r>
      </w:hyperlink>
    </w:p>
    <w:p w14:paraId="0A24AB9C" w14:textId="77777777" w:rsidR="009836B9" w:rsidRDefault="009836B9" w:rsidP="009836B9">
      <w:pPr>
        <w:pStyle w:val="FootnoteText"/>
      </w:pPr>
    </w:p>
  </w:footnote>
  <w:footnote w:id="8">
    <w:p w14:paraId="519DAB37" w14:textId="77777777" w:rsidR="008634C2" w:rsidRDefault="008634C2" w:rsidP="008634C2">
      <w:pPr>
        <w:pStyle w:val="FootnoteText"/>
      </w:pPr>
      <w:r>
        <w:rPr>
          <w:rStyle w:val="FootnoteReference"/>
        </w:rPr>
        <w:footnoteRef/>
      </w:r>
      <w:r>
        <w:t xml:space="preserve"> National Disability Authority (2024) </w:t>
      </w:r>
      <w:r w:rsidRPr="00203894">
        <w:t>Ireland’s Monitoring Report for the EU Web Accessibility Directive – 2023 Monitoring Period</w:t>
      </w:r>
      <w:r>
        <w:t xml:space="preserve">. </w:t>
      </w:r>
      <w:hyperlink r:id="rId7" w:history="1">
        <w:r>
          <w:rPr>
            <w:rStyle w:val="Hyperlink"/>
          </w:rPr>
          <w:t>Monitoring Reports on compliance with the EU Web Accessibility Directive - National Disability Authority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05C7" w14:textId="77777777" w:rsidR="00917FAC" w:rsidRDefault="00917FAC">
    <w:pPr>
      <w:pStyle w:val="Header"/>
    </w:pPr>
    <w:r>
      <w:t>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05201BB"/>
    <w:multiLevelType w:val="multilevel"/>
    <w:tmpl w:val="28DE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2B03D18"/>
    <w:multiLevelType w:val="multilevel"/>
    <w:tmpl w:val="1CEE2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B3EFB"/>
    <w:multiLevelType w:val="multilevel"/>
    <w:tmpl w:val="B6C8A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1B15232"/>
    <w:multiLevelType w:val="multilevel"/>
    <w:tmpl w:val="253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76E56"/>
    <w:multiLevelType w:val="multilevel"/>
    <w:tmpl w:val="6FA2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65419"/>
    <w:multiLevelType w:val="multilevel"/>
    <w:tmpl w:val="0CB2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3233D"/>
    <w:multiLevelType w:val="multilevel"/>
    <w:tmpl w:val="1CA65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86CDC"/>
    <w:multiLevelType w:val="multilevel"/>
    <w:tmpl w:val="E966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4F0048E"/>
    <w:multiLevelType w:val="multilevel"/>
    <w:tmpl w:val="E9A8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F0D1B"/>
    <w:multiLevelType w:val="multilevel"/>
    <w:tmpl w:val="09EAB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2"/>
  </w:num>
  <w:num w:numId="2" w16cid:durableId="1208221761">
    <w:abstractNumId w:val="17"/>
  </w:num>
  <w:num w:numId="3" w16cid:durableId="323360036">
    <w:abstractNumId w:val="8"/>
  </w:num>
  <w:num w:numId="4" w16cid:durableId="1675497173">
    <w:abstractNumId w:val="4"/>
  </w:num>
  <w:num w:numId="5" w16cid:durableId="572157237">
    <w:abstractNumId w:val="5"/>
  </w:num>
  <w:num w:numId="6" w16cid:durableId="1523394075">
    <w:abstractNumId w:val="3"/>
  </w:num>
  <w:num w:numId="7" w16cid:durableId="912929873">
    <w:abstractNumId w:val="14"/>
  </w:num>
  <w:num w:numId="8" w16cid:durableId="555893327">
    <w:abstractNumId w:val="15"/>
  </w:num>
  <w:num w:numId="9" w16cid:durableId="1557469127">
    <w:abstractNumId w:val="12"/>
  </w:num>
  <w:num w:numId="10" w16cid:durableId="474220849">
    <w:abstractNumId w:val="6"/>
  </w:num>
  <w:num w:numId="11" w16cid:durableId="897669614">
    <w:abstractNumId w:val="7"/>
  </w:num>
  <w:num w:numId="12" w16cid:durableId="1875728293">
    <w:abstractNumId w:val="16"/>
  </w:num>
  <w:num w:numId="13" w16cid:durableId="1249584087">
    <w:abstractNumId w:val="13"/>
  </w:num>
  <w:num w:numId="14" w16cid:durableId="153954589">
    <w:abstractNumId w:val="10"/>
  </w:num>
  <w:num w:numId="15" w16cid:durableId="1825657354">
    <w:abstractNumId w:val="1"/>
  </w:num>
  <w:num w:numId="16" w16cid:durableId="1533810774">
    <w:abstractNumId w:val="9"/>
  </w:num>
  <w:num w:numId="17" w16cid:durableId="756901683">
    <w:abstractNumId w:val="11"/>
  </w:num>
  <w:num w:numId="18" w16cid:durableId="141978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9D"/>
    <w:rsid w:val="0001011C"/>
    <w:rsid w:val="0003188D"/>
    <w:rsid w:val="00055494"/>
    <w:rsid w:val="0006646C"/>
    <w:rsid w:val="000779D8"/>
    <w:rsid w:val="00077BE4"/>
    <w:rsid w:val="000D462F"/>
    <w:rsid w:val="000D61AB"/>
    <w:rsid w:val="0010419F"/>
    <w:rsid w:val="00107CC1"/>
    <w:rsid w:val="001111D8"/>
    <w:rsid w:val="00130160"/>
    <w:rsid w:val="001538BD"/>
    <w:rsid w:val="00163373"/>
    <w:rsid w:val="001A0CD8"/>
    <w:rsid w:val="001B1046"/>
    <w:rsid w:val="00224B98"/>
    <w:rsid w:val="00284FE5"/>
    <w:rsid w:val="00285B09"/>
    <w:rsid w:val="0028705D"/>
    <w:rsid w:val="002C7DA3"/>
    <w:rsid w:val="0031069F"/>
    <w:rsid w:val="003B156B"/>
    <w:rsid w:val="0040009D"/>
    <w:rsid w:val="004838F4"/>
    <w:rsid w:val="004D70E4"/>
    <w:rsid w:val="004E4E8E"/>
    <w:rsid w:val="00513238"/>
    <w:rsid w:val="00527F9F"/>
    <w:rsid w:val="0057353C"/>
    <w:rsid w:val="005A394E"/>
    <w:rsid w:val="00610919"/>
    <w:rsid w:val="00626909"/>
    <w:rsid w:val="00647485"/>
    <w:rsid w:val="00647DBD"/>
    <w:rsid w:val="006544B6"/>
    <w:rsid w:val="00664A4E"/>
    <w:rsid w:val="006C1CFB"/>
    <w:rsid w:val="006F507A"/>
    <w:rsid w:val="00700946"/>
    <w:rsid w:val="00745B19"/>
    <w:rsid w:val="007B30B4"/>
    <w:rsid w:val="007C66D0"/>
    <w:rsid w:val="007C67B3"/>
    <w:rsid w:val="00841230"/>
    <w:rsid w:val="008452F7"/>
    <w:rsid w:val="008634C2"/>
    <w:rsid w:val="008D1D32"/>
    <w:rsid w:val="00917FAC"/>
    <w:rsid w:val="00920097"/>
    <w:rsid w:val="00955E67"/>
    <w:rsid w:val="009836B9"/>
    <w:rsid w:val="009A6DB0"/>
    <w:rsid w:val="009B2485"/>
    <w:rsid w:val="009F1D85"/>
    <w:rsid w:val="009F4396"/>
    <w:rsid w:val="00A15B73"/>
    <w:rsid w:val="00B272C3"/>
    <w:rsid w:val="00B27A71"/>
    <w:rsid w:val="00B53A64"/>
    <w:rsid w:val="00B70359"/>
    <w:rsid w:val="00B81FF1"/>
    <w:rsid w:val="00B8382B"/>
    <w:rsid w:val="00B870ED"/>
    <w:rsid w:val="00C15849"/>
    <w:rsid w:val="00C16B3D"/>
    <w:rsid w:val="00C66220"/>
    <w:rsid w:val="00C86F8E"/>
    <w:rsid w:val="00D35881"/>
    <w:rsid w:val="00D6112E"/>
    <w:rsid w:val="00D748B3"/>
    <w:rsid w:val="00D764FC"/>
    <w:rsid w:val="00E0371B"/>
    <w:rsid w:val="00E85F90"/>
    <w:rsid w:val="00E97A63"/>
    <w:rsid w:val="00EA3DAD"/>
    <w:rsid w:val="00EA59EA"/>
    <w:rsid w:val="00EA69CB"/>
    <w:rsid w:val="00EB27BF"/>
    <w:rsid w:val="00EF6B03"/>
    <w:rsid w:val="00FC09EC"/>
    <w:rsid w:val="00FD47C5"/>
    <w:rsid w:val="00FD6D08"/>
    <w:rsid w:val="00FF54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6D3E"/>
  <w15:chartTrackingRefBased/>
  <w15:docId w15:val="{B8BA58E3-B3DF-4017-97A1-A76F3B69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fn,FN"/>
    <w:basedOn w:val="Normal"/>
    <w:link w:val="FootnoteTextChar"/>
    <w:semiHidden/>
    <w:unhideWhenUsed/>
    <w:qFormat/>
    <w:rsid w:val="004D70E4"/>
    <w:pPr>
      <w:spacing w:after="0"/>
    </w:pPr>
    <w:rPr>
      <w:sz w:val="20"/>
      <w:szCs w:val="20"/>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uiPriority w:val="99"/>
    <w:semiHidden/>
    <w:rsid w:val="004D70E4"/>
    <w:rPr>
      <w:rFonts w:ascii="Verdana" w:hAnsi="Verdana"/>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gfield">
    <w:name w:val="gfield"/>
    <w:basedOn w:val="Normal"/>
    <w:rsid w:val="0040009D"/>
    <w:pPr>
      <w:spacing w:before="100" w:beforeAutospacing="1" w:after="100" w:afterAutospacing="1"/>
    </w:pPr>
    <w:rPr>
      <w:rFonts w:ascii="Times New Roman" w:eastAsia="Times New Roman" w:hAnsi="Times New Roman" w:cs="Times New Roman"/>
      <w:kern w:val="0"/>
      <w:szCs w:val="24"/>
      <w:lang w:eastAsia="en-IE"/>
      <w14:ligatures w14:val="none"/>
    </w:rPr>
  </w:style>
  <w:style w:type="paragraph" w:styleId="NormalWeb">
    <w:name w:val="Normal (Web)"/>
    <w:basedOn w:val="Normal"/>
    <w:uiPriority w:val="99"/>
    <w:semiHidden/>
    <w:unhideWhenUsed/>
    <w:rsid w:val="0040009D"/>
    <w:pPr>
      <w:spacing w:before="100" w:beforeAutospacing="1" w:after="100" w:afterAutospacing="1"/>
    </w:pPr>
    <w:rPr>
      <w:rFonts w:ascii="Times New Roman" w:eastAsia="Times New Roman" w:hAnsi="Times New Roman" w:cs="Times New Roman"/>
      <w:kern w:val="0"/>
      <w:szCs w:val="24"/>
      <w:lang w:eastAsia="en-IE"/>
      <w14:ligatures w14:val="none"/>
    </w:rPr>
  </w:style>
  <w:style w:type="character" w:styleId="Strong">
    <w:name w:val="Strong"/>
    <w:basedOn w:val="DefaultParagraphFont"/>
    <w:uiPriority w:val="22"/>
    <w:qFormat/>
    <w:rsid w:val="0040009D"/>
    <w:rPr>
      <w:b/>
      <w:b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9836B9"/>
    <w:pPr>
      <w:spacing w:after="160" w:line="240" w:lineRule="exact"/>
      <w:jc w:val="both"/>
    </w:pPr>
    <w:rPr>
      <w:rFonts w:asciiTheme="minorHAnsi" w:hAnsiTheme="minorHAnsi"/>
      <w:sz w:val="22"/>
      <w:vertAlign w:val="superscript"/>
    </w:rPr>
  </w:style>
  <w:style w:type="paragraph" w:styleId="ListBullet2">
    <w:name w:val="List Bullet 2"/>
    <w:basedOn w:val="Normal"/>
    <w:rsid w:val="009836B9"/>
    <w:pPr>
      <w:numPr>
        <w:numId w:val="18"/>
      </w:numPr>
      <w:spacing w:before="60" w:after="60"/>
    </w:pPr>
    <w:rPr>
      <w:rFonts w:ascii="Gill Sans MT" w:eastAsia="Times New Roman" w:hAnsi="Gill Sans MT" w:cs="Times New Roman"/>
      <w:kern w:val="0"/>
      <w:sz w:val="26"/>
      <w:szCs w:val="24"/>
      <w14:ligatures w14:val="none"/>
    </w:rPr>
  </w:style>
  <w:style w:type="character" w:styleId="UnresolvedMention">
    <w:name w:val="Unresolved Mention"/>
    <w:basedOn w:val="DefaultParagraphFont"/>
    <w:uiPriority w:val="99"/>
    <w:semiHidden/>
    <w:unhideWhenUsed/>
    <w:rsid w:val="00955E67"/>
    <w:rPr>
      <w:color w:val="605E5C"/>
      <w:shd w:val="clear" w:color="auto" w:fill="E1DFDD"/>
    </w:rPr>
  </w:style>
  <w:style w:type="character" w:styleId="FollowedHyperlink">
    <w:name w:val="FollowedHyperlink"/>
    <w:basedOn w:val="DefaultParagraphFont"/>
    <w:uiPriority w:val="99"/>
    <w:semiHidden/>
    <w:unhideWhenUsed/>
    <w:rsid w:val="00955E67"/>
    <w:rPr>
      <w:color w:val="954F72" w:themeColor="followedHyperlink"/>
      <w:u w:val="single"/>
    </w:rPr>
  </w:style>
  <w:style w:type="character" w:styleId="CommentReference">
    <w:name w:val="annotation reference"/>
    <w:basedOn w:val="DefaultParagraphFont"/>
    <w:uiPriority w:val="99"/>
    <w:semiHidden/>
    <w:unhideWhenUsed/>
    <w:rsid w:val="00955E67"/>
    <w:rPr>
      <w:sz w:val="16"/>
      <w:szCs w:val="16"/>
    </w:rPr>
  </w:style>
  <w:style w:type="paragraph" w:styleId="CommentText">
    <w:name w:val="annotation text"/>
    <w:basedOn w:val="Normal"/>
    <w:link w:val="CommentTextChar"/>
    <w:uiPriority w:val="99"/>
    <w:unhideWhenUsed/>
    <w:rsid w:val="00955E67"/>
    <w:rPr>
      <w:sz w:val="20"/>
      <w:szCs w:val="20"/>
    </w:rPr>
  </w:style>
  <w:style w:type="character" w:customStyle="1" w:styleId="CommentTextChar">
    <w:name w:val="Comment Text Char"/>
    <w:basedOn w:val="DefaultParagraphFont"/>
    <w:link w:val="CommentText"/>
    <w:uiPriority w:val="99"/>
    <w:rsid w:val="00955E6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55E67"/>
    <w:rPr>
      <w:b/>
      <w:bCs/>
    </w:rPr>
  </w:style>
  <w:style w:type="character" w:customStyle="1" w:styleId="CommentSubjectChar">
    <w:name w:val="Comment Subject Char"/>
    <w:basedOn w:val="CommentTextChar"/>
    <w:link w:val="CommentSubject"/>
    <w:uiPriority w:val="99"/>
    <w:semiHidden/>
    <w:rsid w:val="00955E67"/>
    <w:rPr>
      <w:rFonts w:ascii="Verdana" w:hAnsi="Verdana"/>
      <w:b/>
      <w:bCs/>
      <w:sz w:val="20"/>
      <w:szCs w:val="20"/>
    </w:rPr>
  </w:style>
  <w:style w:type="paragraph" w:styleId="Revision">
    <w:name w:val="Revision"/>
    <w:hidden/>
    <w:uiPriority w:val="99"/>
    <w:semiHidden/>
    <w:rsid w:val="008452F7"/>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64274">
      <w:bodyDiv w:val="1"/>
      <w:marLeft w:val="0"/>
      <w:marRight w:val="0"/>
      <w:marTop w:val="0"/>
      <w:marBottom w:val="0"/>
      <w:divBdr>
        <w:top w:val="none" w:sz="0" w:space="0" w:color="auto"/>
        <w:left w:val="none" w:sz="0" w:space="0" w:color="auto"/>
        <w:bottom w:val="none" w:sz="0" w:space="0" w:color="auto"/>
        <w:right w:val="none" w:sz="0" w:space="0" w:color="auto"/>
      </w:divBdr>
    </w:div>
    <w:div w:id="999962448">
      <w:bodyDiv w:val="1"/>
      <w:marLeft w:val="0"/>
      <w:marRight w:val="0"/>
      <w:marTop w:val="0"/>
      <w:marBottom w:val="0"/>
      <w:divBdr>
        <w:top w:val="none" w:sz="0" w:space="0" w:color="auto"/>
        <w:left w:val="none" w:sz="0" w:space="0" w:color="auto"/>
        <w:bottom w:val="none" w:sz="0" w:space="0" w:color="auto"/>
        <w:right w:val="none" w:sz="0" w:space="0" w:color="auto"/>
      </w:divBdr>
      <w:divsChild>
        <w:div w:id="313340236">
          <w:marLeft w:val="0"/>
          <w:marRight w:val="0"/>
          <w:marTop w:val="0"/>
          <w:marBottom w:val="135"/>
          <w:divBdr>
            <w:top w:val="none" w:sz="0" w:space="0" w:color="auto"/>
            <w:left w:val="none" w:sz="0" w:space="0" w:color="auto"/>
            <w:bottom w:val="none" w:sz="0" w:space="0" w:color="auto"/>
            <w:right w:val="none" w:sz="0" w:space="0" w:color="auto"/>
          </w:divBdr>
        </w:div>
      </w:divsChild>
    </w:div>
    <w:div w:id="1192761332">
      <w:bodyDiv w:val="1"/>
      <w:marLeft w:val="0"/>
      <w:marRight w:val="0"/>
      <w:marTop w:val="0"/>
      <w:marBottom w:val="0"/>
      <w:divBdr>
        <w:top w:val="none" w:sz="0" w:space="0" w:color="auto"/>
        <w:left w:val="none" w:sz="0" w:space="0" w:color="auto"/>
        <w:bottom w:val="none" w:sz="0" w:space="0" w:color="auto"/>
        <w:right w:val="none" w:sz="0" w:space="0" w:color="auto"/>
      </w:divBdr>
    </w:div>
    <w:div w:id="1266770960">
      <w:bodyDiv w:val="1"/>
      <w:marLeft w:val="0"/>
      <w:marRight w:val="0"/>
      <w:marTop w:val="0"/>
      <w:marBottom w:val="0"/>
      <w:divBdr>
        <w:top w:val="none" w:sz="0" w:space="0" w:color="auto"/>
        <w:left w:val="none" w:sz="0" w:space="0" w:color="auto"/>
        <w:bottom w:val="none" w:sz="0" w:space="0" w:color="auto"/>
        <w:right w:val="none" w:sz="0" w:space="0" w:color="auto"/>
      </w:divBdr>
    </w:div>
    <w:div w:id="1455782304">
      <w:bodyDiv w:val="1"/>
      <w:marLeft w:val="0"/>
      <w:marRight w:val="0"/>
      <w:marTop w:val="0"/>
      <w:marBottom w:val="0"/>
      <w:divBdr>
        <w:top w:val="none" w:sz="0" w:space="0" w:color="auto"/>
        <w:left w:val="none" w:sz="0" w:space="0" w:color="auto"/>
        <w:bottom w:val="none" w:sz="0" w:space="0" w:color="auto"/>
        <w:right w:val="none" w:sz="0" w:space="0" w:color="auto"/>
      </w:divBdr>
      <w:divsChild>
        <w:div w:id="354620596">
          <w:marLeft w:val="0"/>
          <w:marRight w:val="0"/>
          <w:marTop w:val="0"/>
          <w:marBottom w:val="135"/>
          <w:divBdr>
            <w:top w:val="none" w:sz="0" w:space="0" w:color="auto"/>
            <w:left w:val="none" w:sz="0" w:space="0" w:color="auto"/>
            <w:bottom w:val="none" w:sz="0" w:space="0" w:color="auto"/>
            <w:right w:val="none" w:sz="0" w:space="0" w:color="auto"/>
          </w:divBdr>
        </w:div>
      </w:divsChild>
    </w:div>
    <w:div w:id="1592006266">
      <w:bodyDiv w:val="1"/>
      <w:marLeft w:val="0"/>
      <w:marRight w:val="0"/>
      <w:marTop w:val="0"/>
      <w:marBottom w:val="0"/>
      <w:divBdr>
        <w:top w:val="none" w:sz="0" w:space="0" w:color="auto"/>
        <w:left w:val="none" w:sz="0" w:space="0" w:color="auto"/>
        <w:bottom w:val="none" w:sz="0" w:space="0" w:color="auto"/>
        <w:right w:val="none" w:sz="0" w:space="0" w:color="auto"/>
      </w:divBdr>
      <w:divsChild>
        <w:div w:id="1265960482">
          <w:marLeft w:val="0"/>
          <w:marRight w:val="0"/>
          <w:marTop w:val="0"/>
          <w:marBottom w:val="135"/>
          <w:divBdr>
            <w:top w:val="none" w:sz="0" w:space="0" w:color="auto"/>
            <w:left w:val="none" w:sz="0" w:space="0" w:color="auto"/>
            <w:bottom w:val="none" w:sz="0" w:space="0" w:color="auto"/>
            <w:right w:val="none" w:sz="0" w:space="0" w:color="auto"/>
          </w:divBdr>
        </w:div>
      </w:divsChild>
    </w:div>
    <w:div w:id="1714109222">
      <w:bodyDiv w:val="1"/>
      <w:marLeft w:val="0"/>
      <w:marRight w:val="0"/>
      <w:marTop w:val="0"/>
      <w:marBottom w:val="0"/>
      <w:divBdr>
        <w:top w:val="none" w:sz="0" w:space="0" w:color="auto"/>
        <w:left w:val="none" w:sz="0" w:space="0" w:color="auto"/>
        <w:bottom w:val="none" w:sz="0" w:space="0" w:color="auto"/>
        <w:right w:val="none" w:sz="0" w:space="0" w:color="auto"/>
      </w:divBdr>
    </w:div>
    <w:div w:id="1854491099">
      <w:bodyDiv w:val="1"/>
      <w:marLeft w:val="0"/>
      <w:marRight w:val="0"/>
      <w:marTop w:val="0"/>
      <w:marBottom w:val="0"/>
      <w:divBdr>
        <w:top w:val="none" w:sz="0" w:space="0" w:color="auto"/>
        <w:left w:val="none" w:sz="0" w:space="0" w:color="auto"/>
        <w:bottom w:val="none" w:sz="0" w:space="0" w:color="auto"/>
        <w:right w:val="none" w:sz="0" w:space="0" w:color="auto"/>
      </w:divBdr>
    </w:div>
    <w:div w:id="1942906430">
      <w:bodyDiv w:val="1"/>
      <w:marLeft w:val="0"/>
      <w:marRight w:val="0"/>
      <w:marTop w:val="0"/>
      <w:marBottom w:val="0"/>
      <w:divBdr>
        <w:top w:val="none" w:sz="0" w:space="0" w:color="auto"/>
        <w:left w:val="none" w:sz="0" w:space="0" w:color="auto"/>
        <w:bottom w:val="none" w:sz="0" w:space="0" w:color="auto"/>
        <w:right w:val="none" w:sz="0" w:space="0" w:color="auto"/>
      </w:divBdr>
      <w:divsChild>
        <w:div w:id="976447695">
          <w:marLeft w:val="0"/>
          <w:marRight w:val="0"/>
          <w:marTop w:val="0"/>
          <w:marBottom w:val="135"/>
          <w:divBdr>
            <w:top w:val="none" w:sz="0" w:space="0" w:color="auto"/>
            <w:left w:val="none" w:sz="0" w:space="0" w:color="auto"/>
            <w:bottom w:val="none" w:sz="0" w:space="0" w:color="auto"/>
            <w:right w:val="none" w:sz="0" w:space="0" w:color="auto"/>
          </w:divBdr>
        </w:div>
      </w:divsChild>
    </w:div>
    <w:div w:id="1957979320">
      <w:bodyDiv w:val="1"/>
      <w:marLeft w:val="0"/>
      <w:marRight w:val="0"/>
      <w:marTop w:val="0"/>
      <w:marBottom w:val="0"/>
      <w:divBdr>
        <w:top w:val="none" w:sz="0" w:space="0" w:color="auto"/>
        <w:left w:val="none" w:sz="0" w:space="0" w:color="auto"/>
        <w:bottom w:val="none" w:sz="0" w:space="0" w:color="auto"/>
        <w:right w:val="none" w:sz="0" w:space="0" w:color="auto"/>
      </w:divBdr>
      <w:divsChild>
        <w:div w:id="1161383517">
          <w:marLeft w:val="0"/>
          <w:marRight w:val="0"/>
          <w:marTop w:val="0"/>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ingandlearning.ie/consultation/?_gl=1*1y7xb8p*_ga*Nzc3Mzg3NTgzLjE3MzM5OTUzOTM.*_ga_JDMDKG84RG*MTczNzczNjQ4Mi40LjEuMTczNzczNjU5MS4wLjAuM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standards.ie/en-ie/Standards/I-S-EN-17161-2019-1146165_SAIG_NSAI_NSAI_27171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achingandlearning.ie/funding/" TargetMode="External"/><Relationship Id="rId4" Type="http://schemas.openxmlformats.org/officeDocument/2006/relationships/settings" Target="settings.xml"/><Relationship Id="rId9" Type="http://schemas.openxmlformats.org/officeDocument/2006/relationships/hyperlink" Target="https://www.teachingandlearning.ie/wp-content/uploads/NF_Strategy_2019-21_AW-Web.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head.ie/altitude" TargetMode="External"/><Relationship Id="rId7" Type="http://schemas.openxmlformats.org/officeDocument/2006/relationships/hyperlink" Target="https://nda.ie/publications/monitoring-report-eu-wad-ireland-2021-nda-report" TargetMode="External"/><Relationship Id="rId2" Type="http://schemas.openxmlformats.org/officeDocument/2006/relationships/hyperlink" Target="https://hea.ie/policy/access-policy/national-access-plan-2022-2028/" TargetMode="External"/><Relationship Id="rId1" Type="http://schemas.openxmlformats.org/officeDocument/2006/relationships/hyperlink" Target="https://ahead.ie/udl" TargetMode="External"/><Relationship Id="rId6" Type="http://schemas.openxmlformats.org/officeDocument/2006/relationships/hyperlink" Target="https://www.irishstatutebook.ie/eli/2023/si/636/made/en/print" TargetMode="External"/><Relationship Id="rId5" Type="http://schemas.openxmlformats.org/officeDocument/2006/relationships/hyperlink" Target="https://nda.ie/publications/monitoring-report-on-access-officers" TargetMode="External"/><Relationship Id="rId4" Type="http://schemas.openxmlformats.org/officeDocument/2006/relationships/hyperlink" Target="https://universaldesign.ie/communications-digital/customer-communications-toolkit-a-universal-design-appro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10</TotalTime>
  <Pages>7</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Tamming (NDA)</dc:creator>
  <cp:keywords/>
  <dc:description/>
  <cp:lastModifiedBy>Rosalyn Tamming (NDA)</cp:lastModifiedBy>
  <cp:revision>6</cp:revision>
  <dcterms:created xsi:type="dcterms:W3CDTF">2025-01-30T16:21:00Z</dcterms:created>
  <dcterms:modified xsi:type="dcterms:W3CDTF">2025-07-22T16:00:00Z</dcterms:modified>
</cp:coreProperties>
</file>