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3E73" w14:textId="6BC3A449" w:rsidR="00F920D4" w:rsidRPr="00FA5EF5" w:rsidRDefault="00F920D4" w:rsidP="000574F3">
      <w:pPr>
        <w:pStyle w:val="Heade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4206"/>
      <w:bookmarkStart w:id="17" w:name="_Toc81552483"/>
      <w:r>
        <w:rPr>
          <w:lang w:val="ga"/>
        </w:rPr>
        <w:t xml:space="preserve">                                                </w:t>
      </w:r>
      <w:r>
        <w:rPr>
          <w:lang w:val="ga"/>
        </w:rPr>
        <w:tab/>
        <w:t xml:space="preserve">                        </w:t>
      </w:r>
    </w:p>
    <w:p w14:paraId="00DC9B4E" w14:textId="190AC5A0" w:rsidR="00A970B1" w:rsidRPr="00D51778" w:rsidRDefault="004C3F48" w:rsidP="00595E25">
      <w:pPr>
        <w:pStyle w:val="Header"/>
        <w:rPr>
          <w:rFonts w:ascii="Rockwell" w:hAnsi="Rockwell" w:cs="Arial"/>
          <w:b/>
          <w:bCs/>
          <w:color w:val="CC3399"/>
          <w:kern w:val="28"/>
          <w:sz w:val="112"/>
          <w:szCs w:val="112"/>
        </w:rPr>
      </w:pPr>
      <w:r>
        <w:rPr>
          <w:lang w:val="ga"/>
        </w:rPr>
        <w:t xml:space="preserve">   </w:t>
      </w:r>
      <w:bookmarkStart w:id="18" w:name="_Toc82174908"/>
      <w:bookmarkStart w:id="19" w:name="_Toc82165606"/>
      <w:r w:rsidRPr="00D51778">
        <w:rPr>
          <w:rFonts w:ascii="Rockwell" w:hAnsi="Rockwell"/>
          <w:b/>
          <w:bCs/>
          <w:color w:val="CC3399"/>
          <w:kern w:val="28"/>
          <w:sz w:val="112"/>
          <w:szCs w:val="112"/>
          <w:lang w:val="ga"/>
        </w:rPr>
        <w:t>Tuarascáil ar Chomhlíonadh Chuid 5 den Acht um Míchumas 2005 do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D51778">
        <w:rPr>
          <w:rFonts w:ascii="Rockwell" w:hAnsi="Rockwell"/>
          <w:b/>
          <w:bCs/>
          <w:color w:val="CC3399"/>
          <w:kern w:val="28"/>
          <w:sz w:val="112"/>
          <w:szCs w:val="112"/>
          <w:lang w:val="ga"/>
        </w:rPr>
        <w:t>2</w:t>
      </w:r>
      <w:bookmarkEnd w:id="16"/>
      <w:bookmarkEnd w:id="17"/>
      <w:bookmarkEnd w:id="18"/>
      <w:bookmarkEnd w:id="19"/>
      <w:r w:rsidRPr="00D51778">
        <w:rPr>
          <w:rFonts w:ascii="Rockwell" w:hAnsi="Rockwell"/>
          <w:b/>
          <w:bCs/>
          <w:color w:val="CC3399"/>
          <w:kern w:val="28"/>
          <w:sz w:val="112"/>
          <w:szCs w:val="112"/>
          <w:lang w:val="ga"/>
        </w:rPr>
        <w:t>1</w:t>
      </w:r>
    </w:p>
    <w:p w14:paraId="2A3EA481" w14:textId="384BE214" w:rsidR="00A970B1" w:rsidRPr="00D51778" w:rsidRDefault="00A970B1" w:rsidP="00A970B1">
      <w:pPr>
        <w:rPr>
          <w:rFonts w:ascii="Rockwell" w:hAnsi="Rockwell"/>
        </w:rPr>
      </w:pPr>
      <w:r w:rsidRPr="00D51778">
        <w:rPr>
          <w:rFonts w:ascii="Rockwell" w:hAnsi="Rockwell"/>
          <w:noProof/>
          <w:lang w:eastAsia="en-IE"/>
        </w:rPr>
        <w:drawing>
          <wp:inline distT="0" distB="0" distL="0" distR="0" wp14:anchorId="4A02F215" wp14:editId="4A9467E2">
            <wp:extent cx="2294890" cy="1800225"/>
            <wp:effectExtent l="0" t="0" r="0" b="9525"/>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sidRPr="00D51778">
        <w:rPr>
          <w:rFonts w:ascii="Rockwell" w:hAnsi="Rockwell"/>
          <w:lang w:val="ga"/>
        </w:rPr>
        <w:t xml:space="preserve"> </w:t>
      </w:r>
    </w:p>
    <w:p w14:paraId="40399FF0" w14:textId="77777777" w:rsidR="00A970B1" w:rsidRPr="00D51778" w:rsidRDefault="00A970B1" w:rsidP="00A970B1">
      <w:pPr>
        <w:rPr>
          <w:rFonts w:ascii="Rockwell" w:hAnsi="Rockwell"/>
        </w:rPr>
        <w:sectPr w:rsidR="00A970B1" w:rsidRPr="00D51778"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D51778" w:rsidRDefault="006A3E29" w:rsidP="005E3C2C">
      <w:r w:rsidRPr="00D51778">
        <w:rPr>
          <w:rFonts w:ascii="Rockwell" w:hAnsi="Rockwell" w:cs="Arial"/>
          <w:b/>
          <w:bCs/>
          <w:color w:val="CC3399"/>
          <w:kern w:val="32"/>
          <w:sz w:val="56"/>
          <w:szCs w:val="56"/>
          <w:lang w:val="ga"/>
        </w:rPr>
        <w:lastRenderedPageBreak/>
        <w:t>Buíochas</w:t>
      </w:r>
    </w:p>
    <w:p w14:paraId="42BEA2F0" w14:textId="6CDC7983" w:rsidR="009502D9" w:rsidRPr="00D51778" w:rsidRDefault="005E3C2C" w:rsidP="005E3C2C">
      <w:pPr>
        <w:rPr>
          <w:color w:val="000000" w:themeColor="text1"/>
        </w:rPr>
      </w:pPr>
      <w:r w:rsidRPr="00D51778">
        <w:rPr>
          <w:color w:val="000000" w:themeColor="text1"/>
          <w:lang w:val="ga"/>
        </w:rPr>
        <w:t>Is mór ag an Údarás Náisiúnta Míchumais an méid suntasach tacaíochta agus comhair a fuaireamar ó Choistí Faireacháin na Ranna agus ó chomhlachtaí poiblí a chinntigh gur cuireadh tuairisceáin bhliantúla Chuid 5 uathu isteach faoin spriocdháta reachtúil, mar a bhí an 30 Meitheamh 2022.</w:t>
      </w:r>
    </w:p>
    <w:p w14:paraId="7A45747A" w14:textId="46992B5E" w:rsidR="005E3C2C" w:rsidRPr="00D51778" w:rsidRDefault="00F75150" w:rsidP="005E3C2C">
      <w:pPr>
        <w:rPr>
          <w:color w:val="000000" w:themeColor="text1"/>
        </w:rPr>
      </w:pPr>
      <w:r w:rsidRPr="00D51778">
        <w:rPr>
          <w:color w:val="000000" w:themeColor="text1"/>
          <w:lang w:val="ga"/>
        </w:rPr>
        <w:t>Is mór againn freisin na freagraí prasa a fuaireamar ar aon cheisteanna a bhí againn maidir le sonraí le haghaidh thuairisceáin Chuid 5 don bhliain 2021.</w:t>
      </w:r>
    </w:p>
    <w:p w14:paraId="08245294" w14:textId="77777777" w:rsidR="005E3C2C" w:rsidRPr="00D51778" w:rsidRDefault="005E3C2C" w:rsidP="00C27149">
      <w:pPr>
        <w:shd w:val="clear" w:color="auto" w:fill="FFFFFF" w:themeFill="background1"/>
        <w:spacing w:after="0"/>
        <w:rPr>
          <w:rFonts w:ascii="Rockwell" w:hAnsi="Rockwell" w:cs="Arial"/>
          <w:b/>
          <w:bCs/>
          <w:color w:val="CC3399"/>
          <w:kern w:val="32"/>
          <w:sz w:val="56"/>
          <w:szCs w:val="56"/>
        </w:rPr>
      </w:pPr>
    </w:p>
    <w:p w14:paraId="04FFF4AD" w14:textId="77777777" w:rsidR="005E3C2C" w:rsidRPr="00D51778" w:rsidRDefault="005E3C2C">
      <w:pPr>
        <w:spacing w:after="0"/>
        <w:rPr>
          <w:rFonts w:ascii="Rockwell" w:hAnsi="Rockwell" w:cs="Arial"/>
          <w:b/>
          <w:bCs/>
          <w:color w:val="CC3399"/>
          <w:kern w:val="32"/>
          <w:sz w:val="56"/>
          <w:szCs w:val="56"/>
        </w:rPr>
      </w:pPr>
      <w:r w:rsidRPr="00D51778">
        <w:rPr>
          <w:rFonts w:ascii="Rockwell" w:hAnsi="Rockwell" w:cs="Arial"/>
          <w:b/>
          <w:bCs/>
          <w:color w:val="CC3399"/>
          <w:kern w:val="32"/>
          <w:sz w:val="56"/>
          <w:szCs w:val="56"/>
          <w:lang w:val="ga"/>
        </w:rPr>
        <w:br w:type="page"/>
      </w:r>
    </w:p>
    <w:p w14:paraId="1E2947A5" w14:textId="77777777" w:rsidR="00F7547F" w:rsidRPr="00D51778" w:rsidRDefault="00973B13">
      <w:pPr>
        <w:pStyle w:val="TOC1"/>
        <w:rPr>
          <w:rFonts w:ascii="Rockwell" w:hAnsi="Rockwell" w:cs="Arial"/>
          <w:bCs/>
          <w:color w:val="CC3399"/>
          <w:kern w:val="32"/>
          <w:sz w:val="56"/>
          <w:szCs w:val="56"/>
        </w:rPr>
      </w:pPr>
      <w:r w:rsidRPr="00D51778">
        <w:rPr>
          <w:rFonts w:ascii="Rockwell" w:hAnsi="Rockwell" w:cs="Arial"/>
          <w:bCs/>
          <w:color w:val="CC3399"/>
          <w:kern w:val="32"/>
          <w:sz w:val="56"/>
          <w:szCs w:val="56"/>
          <w:lang w:val="ga"/>
        </w:rPr>
        <w:lastRenderedPageBreak/>
        <w:t>Clár Ábhar</w:t>
      </w:r>
    </w:p>
    <w:p w14:paraId="348431A3" w14:textId="0839A6D2" w:rsidR="008A2403" w:rsidRDefault="00973B13">
      <w:pPr>
        <w:pStyle w:val="TOC1"/>
        <w:rPr>
          <w:rFonts w:asciiTheme="minorHAnsi" w:eastAsiaTheme="minorEastAsia" w:hAnsiTheme="minorHAnsi" w:cstheme="minorBidi"/>
          <w:b w:val="0"/>
          <w:noProof/>
          <w:sz w:val="22"/>
          <w:szCs w:val="22"/>
          <w:lang w:eastAsia="en-IE"/>
        </w:rPr>
      </w:pPr>
      <w:r w:rsidRPr="00D51778">
        <w:rPr>
          <w:bCs/>
          <w:lang w:val="ga"/>
        </w:rPr>
        <w:fldChar w:fldCharType="begin"/>
      </w:r>
      <w:r w:rsidRPr="00D51778">
        <w:instrText xml:space="preserve"> TOC \o "1-2" \h \z \u </w:instrText>
      </w:r>
      <w:r w:rsidRPr="00D51778">
        <w:fldChar w:fldCharType="separate"/>
      </w:r>
      <w:hyperlink w:anchor="_Toc124367390" w:history="1">
        <w:r w:rsidR="008A2403" w:rsidRPr="00DF0696">
          <w:rPr>
            <w:rStyle w:val="Hyperlink"/>
            <w:bCs/>
            <w:noProof/>
            <w:lang w:val="ga"/>
          </w:rPr>
          <w:t>Achoimre Fheidhmeach</w:t>
        </w:r>
        <w:r w:rsidR="008A2403">
          <w:rPr>
            <w:noProof/>
            <w:webHidden/>
          </w:rPr>
          <w:tab/>
        </w:r>
        <w:r w:rsidR="008A2403">
          <w:rPr>
            <w:noProof/>
            <w:webHidden/>
          </w:rPr>
          <w:fldChar w:fldCharType="begin"/>
        </w:r>
        <w:r w:rsidR="008A2403">
          <w:rPr>
            <w:noProof/>
            <w:webHidden/>
          </w:rPr>
          <w:instrText xml:space="preserve"> PAGEREF _Toc124367390 \h </w:instrText>
        </w:r>
        <w:r w:rsidR="008A2403">
          <w:rPr>
            <w:noProof/>
            <w:webHidden/>
          </w:rPr>
        </w:r>
        <w:r w:rsidR="008A2403">
          <w:rPr>
            <w:noProof/>
            <w:webHidden/>
          </w:rPr>
          <w:fldChar w:fldCharType="separate"/>
        </w:r>
        <w:r w:rsidR="008A2403">
          <w:rPr>
            <w:noProof/>
            <w:webHidden/>
          </w:rPr>
          <w:t>4</w:t>
        </w:r>
        <w:r w:rsidR="008A2403">
          <w:rPr>
            <w:noProof/>
            <w:webHidden/>
          </w:rPr>
          <w:fldChar w:fldCharType="end"/>
        </w:r>
      </w:hyperlink>
    </w:p>
    <w:p w14:paraId="4E70FA21" w14:textId="398A0125"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1" w:history="1">
        <w:r w:rsidRPr="00DF0696">
          <w:rPr>
            <w:rStyle w:val="Hyperlink"/>
            <w:bCs/>
            <w:noProof/>
            <w:lang w:val="ga"/>
          </w:rPr>
          <w:t>Forbhreathnú ar an anailís</w:t>
        </w:r>
        <w:r>
          <w:rPr>
            <w:noProof/>
            <w:webHidden/>
          </w:rPr>
          <w:tab/>
        </w:r>
        <w:r>
          <w:rPr>
            <w:noProof/>
            <w:webHidden/>
          </w:rPr>
          <w:fldChar w:fldCharType="begin"/>
        </w:r>
        <w:r>
          <w:rPr>
            <w:noProof/>
            <w:webHidden/>
          </w:rPr>
          <w:instrText xml:space="preserve"> PAGEREF _Toc124367391 \h </w:instrText>
        </w:r>
        <w:r>
          <w:rPr>
            <w:noProof/>
            <w:webHidden/>
          </w:rPr>
        </w:r>
        <w:r>
          <w:rPr>
            <w:noProof/>
            <w:webHidden/>
          </w:rPr>
          <w:fldChar w:fldCharType="separate"/>
        </w:r>
        <w:r>
          <w:rPr>
            <w:noProof/>
            <w:webHidden/>
          </w:rPr>
          <w:t>4</w:t>
        </w:r>
        <w:r>
          <w:rPr>
            <w:noProof/>
            <w:webHidden/>
          </w:rPr>
          <w:fldChar w:fldCharType="end"/>
        </w:r>
      </w:hyperlink>
    </w:p>
    <w:p w14:paraId="5F389B81" w14:textId="05C6F0EA"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2" w:history="1">
        <w:r w:rsidRPr="00DF0696">
          <w:rPr>
            <w:rStyle w:val="Hyperlink"/>
            <w:bCs/>
            <w:noProof/>
            <w:lang w:val="ga"/>
          </w:rPr>
          <w:t>Feidhmeannacht na Seirbhíse Sláinte (FSS)</w:t>
        </w:r>
        <w:r>
          <w:rPr>
            <w:noProof/>
            <w:webHidden/>
          </w:rPr>
          <w:tab/>
        </w:r>
        <w:r>
          <w:rPr>
            <w:noProof/>
            <w:webHidden/>
          </w:rPr>
          <w:fldChar w:fldCharType="begin"/>
        </w:r>
        <w:r>
          <w:rPr>
            <w:noProof/>
            <w:webHidden/>
          </w:rPr>
          <w:instrText xml:space="preserve"> PAGEREF _Toc124367392 \h </w:instrText>
        </w:r>
        <w:r>
          <w:rPr>
            <w:noProof/>
            <w:webHidden/>
          </w:rPr>
        </w:r>
        <w:r>
          <w:rPr>
            <w:noProof/>
            <w:webHidden/>
          </w:rPr>
          <w:fldChar w:fldCharType="separate"/>
        </w:r>
        <w:r>
          <w:rPr>
            <w:noProof/>
            <w:webHidden/>
          </w:rPr>
          <w:t>5</w:t>
        </w:r>
        <w:r>
          <w:rPr>
            <w:noProof/>
            <w:webHidden/>
          </w:rPr>
          <w:fldChar w:fldCharType="end"/>
        </w:r>
      </w:hyperlink>
    </w:p>
    <w:p w14:paraId="19B283B3" w14:textId="668A5E7F"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3" w:history="1">
        <w:r w:rsidRPr="00DF0696">
          <w:rPr>
            <w:rStyle w:val="Hyperlink"/>
            <w:bCs/>
            <w:noProof/>
            <w:lang w:val="ga"/>
          </w:rPr>
          <w:t>Athruithe i bhfigiúirí na gcomhlachtaí poiblí</w:t>
        </w:r>
        <w:r>
          <w:rPr>
            <w:noProof/>
            <w:webHidden/>
          </w:rPr>
          <w:tab/>
        </w:r>
        <w:r>
          <w:rPr>
            <w:noProof/>
            <w:webHidden/>
          </w:rPr>
          <w:fldChar w:fldCharType="begin"/>
        </w:r>
        <w:r>
          <w:rPr>
            <w:noProof/>
            <w:webHidden/>
          </w:rPr>
          <w:instrText xml:space="preserve"> PAGEREF _Toc124367393 \h </w:instrText>
        </w:r>
        <w:r>
          <w:rPr>
            <w:noProof/>
            <w:webHidden/>
          </w:rPr>
        </w:r>
        <w:r>
          <w:rPr>
            <w:noProof/>
            <w:webHidden/>
          </w:rPr>
          <w:fldChar w:fldCharType="separate"/>
        </w:r>
        <w:r>
          <w:rPr>
            <w:noProof/>
            <w:webHidden/>
          </w:rPr>
          <w:t>6</w:t>
        </w:r>
        <w:r>
          <w:rPr>
            <w:noProof/>
            <w:webHidden/>
          </w:rPr>
          <w:fldChar w:fldCharType="end"/>
        </w:r>
      </w:hyperlink>
    </w:p>
    <w:p w14:paraId="707329B7" w14:textId="05A8EE76"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4" w:history="1">
        <w:r w:rsidRPr="00DF0696">
          <w:rPr>
            <w:rStyle w:val="Hyperlink"/>
            <w:bCs/>
            <w:noProof/>
            <w:lang w:val="ga"/>
          </w:rPr>
          <w:t>An dul chun cinn ar an íos-sprioc 6% a bhaint amach faoin mbliain 2025</w:t>
        </w:r>
        <w:r>
          <w:rPr>
            <w:noProof/>
            <w:webHidden/>
          </w:rPr>
          <w:tab/>
        </w:r>
        <w:r>
          <w:rPr>
            <w:noProof/>
            <w:webHidden/>
          </w:rPr>
          <w:fldChar w:fldCharType="begin"/>
        </w:r>
        <w:r>
          <w:rPr>
            <w:noProof/>
            <w:webHidden/>
          </w:rPr>
          <w:instrText xml:space="preserve"> PAGEREF _Toc124367394 \h </w:instrText>
        </w:r>
        <w:r>
          <w:rPr>
            <w:noProof/>
            <w:webHidden/>
          </w:rPr>
        </w:r>
        <w:r>
          <w:rPr>
            <w:noProof/>
            <w:webHidden/>
          </w:rPr>
          <w:fldChar w:fldCharType="separate"/>
        </w:r>
        <w:r>
          <w:rPr>
            <w:noProof/>
            <w:webHidden/>
          </w:rPr>
          <w:t>10</w:t>
        </w:r>
        <w:r>
          <w:rPr>
            <w:noProof/>
            <w:webHidden/>
          </w:rPr>
          <w:fldChar w:fldCharType="end"/>
        </w:r>
      </w:hyperlink>
    </w:p>
    <w:p w14:paraId="0D143A75" w14:textId="14B7456E"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5" w:history="1">
        <w:r w:rsidRPr="00DF0696">
          <w:rPr>
            <w:rStyle w:val="Hyperlink"/>
            <w:bCs/>
            <w:noProof/>
            <w:lang w:val="ga"/>
          </w:rPr>
          <w:t>Samhlacha Dea-Chleachtais</w:t>
        </w:r>
        <w:r>
          <w:rPr>
            <w:noProof/>
            <w:webHidden/>
          </w:rPr>
          <w:tab/>
        </w:r>
        <w:r>
          <w:rPr>
            <w:noProof/>
            <w:webHidden/>
          </w:rPr>
          <w:fldChar w:fldCharType="begin"/>
        </w:r>
        <w:r>
          <w:rPr>
            <w:noProof/>
            <w:webHidden/>
          </w:rPr>
          <w:instrText xml:space="preserve"> PAGEREF _Toc124367395 \h </w:instrText>
        </w:r>
        <w:r>
          <w:rPr>
            <w:noProof/>
            <w:webHidden/>
          </w:rPr>
        </w:r>
        <w:r>
          <w:rPr>
            <w:noProof/>
            <w:webHidden/>
          </w:rPr>
          <w:fldChar w:fldCharType="separate"/>
        </w:r>
        <w:r>
          <w:rPr>
            <w:noProof/>
            <w:webHidden/>
          </w:rPr>
          <w:t>11</w:t>
        </w:r>
        <w:r>
          <w:rPr>
            <w:noProof/>
            <w:webHidden/>
          </w:rPr>
          <w:fldChar w:fldCharType="end"/>
        </w:r>
      </w:hyperlink>
    </w:p>
    <w:p w14:paraId="5C136069" w14:textId="54869500"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6" w:history="1">
        <w:r w:rsidRPr="00DF0696">
          <w:rPr>
            <w:rStyle w:val="Hyperlink"/>
            <w:bCs/>
            <w:noProof/>
            <w:lang w:val="ga"/>
          </w:rPr>
          <w:t>An Móiminteam a Choinneáil ar Bun</w:t>
        </w:r>
        <w:r>
          <w:rPr>
            <w:noProof/>
            <w:webHidden/>
          </w:rPr>
          <w:tab/>
        </w:r>
        <w:r>
          <w:rPr>
            <w:noProof/>
            <w:webHidden/>
          </w:rPr>
          <w:fldChar w:fldCharType="begin"/>
        </w:r>
        <w:r>
          <w:rPr>
            <w:noProof/>
            <w:webHidden/>
          </w:rPr>
          <w:instrText xml:space="preserve"> PAGEREF _Toc124367396 \h </w:instrText>
        </w:r>
        <w:r>
          <w:rPr>
            <w:noProof/>
            <w:webHidden/>
          </w:rPr>
        </w:r>
        <w:r>
          <w:rPr>
            <w:noProof/>
            <w:webHidden/>
          </w:rPr>
          <w:fldChar w:fldCharType="separate"/>
        </w:r>
        <w:r>
          <w:rPr>
            <w:noProof/>
            <w:webHidden/>
          </w:rPr>
          <w:t>12</w:t>
        </w:r>
        <w:r>
          <w:rPr>
            <w:noProof/>
            <w:webHidden/>
          </w:rPr>
          <w:fldChar w:fldCharType="end"/>
        </w:r>
      </w:hyperlink>
    </w:p>
    <w:p w14:paraId="6E66880A" w14:textId="19B20863"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7" w:history="1">
        <w:r w:rsidRPr="00DF0696">
          <w:rPr>
            <w:rStyle w:val="Hyperlink"/>
            <w:bCs/>
            <w:noProof/>
            <w:lang w:val="ga"/>
          </w:rPr>
          <w:t>Athbhreithniú ar Chuid 5</w:t>
        </w:r>
        <w:r>
          <w:rPr>
            <w:noProof/>
            <w:webHidden/>
          </w:rPr>
          <w:tab/>
        </w:r>
        <w:r>
          <w:rPr>
            <w:noProof/>
            <w:webHidden/>
          </w:rPr>
          <w:fldChar w:fldCharType="begin"/>
        </w:r>
        <w:r>
          <w:rPr>
            <w:noProof/>
            <w:webHidden/>
          </w:rPr>
          <w:instrText xml:space="preserve"> PAGEREF _Toc124367397 \h </w:instrText>
        </w:r>
        <w:r>
          <w:rPr>
            <w:noProof/>
            <w:webHidden/>
          </w:rPr>
        </w:r>
        <w:r>
          <w:rPr>
            <w:noProof/>
            <w:webHidden/>
          </w:rPr>
          <w:fldChar w:fldCharType="separate"/>
        </w:r>
        <w:r>
          <w:rPr>
            <w:noProof/>
            <w:webHidden/>
          </w:rPr>
          <w:t>14</w:t>
        </w:r>
        <w:r>
          <w:rPr>
            <w:noProof/>
            <w:webHidden/>
          </w:rPr>
          <w:fldChar w:fldCharType="end"/>
        </w:r>
      </w:hyperlink>
    </w:p>
    <w:p w14:paraId="6E7DD70C" w14:textId="33AD3315" w:rsidR="008A2403" w:rsidRDefault="008A2403">
      <w:pPr>
        <w:pStyle w:val="TOC1"/>
        <w:rPr>
          <w:rFonts w:asciiTheme="minorHAnsi" w:eastAsiaTheme="minorEastAsia" w:hAnsiTheme="minorHAnsi" w:cstheme="minorBidi"/>
          <w:b w:val="0"/>
          <w:noProof/>
          <w:sz w:val="22"/>
          <w:szCs w:val="22"/>
          <w:lang w:eastAsia="en-IE"/>
        </w:rPr>
      </w:pPr>
      <w:hyperlink w:anchor="_Toc124367398" w:history="1">
        <w:r w:rsidRPr="00DF0696">
          <w:rPr>
            <w:rStyle w:val="Hyperlink"/>
            <w:bCs/>
            <w:noProof/>
            <w:lang w:val="ga"/>
          </w:rPr>
          <w:t>1 Réamhrá</w:t>
        </w:r>
        <w:r>
          <w:rPr>
            <w:noProof/>
            <w:webHidden/>
          </w:rPr>
          <w:tab/>
        </w:r>
        <w:r>
          <w:rPr>
            <w:noProof/>
            <w:webHidden/>
          </w:rPr>
          <w:fldChar w:fldCharType="begin"/>
        </w:r>
        <w:r>
          <w:rPr>
            <w:noProof/>
            <w:webHidden/>
          </w:rPr>
          <w:instrText xml:space="preserve"> PAGEREF _Toc124367398 \h </w:instrText>
        </w:r>
        <w:r>
          <w:rPr>
            <w:noProof/>
            <w:webHidden/>
          </w:rPr>
        </w:r>
        <w:r>
          <w:rPr>
            <w:noProof/>
            <w:webHidden/>
          </w:rPr>
          <w:fldChar w:fldCharType="separate"/>
        </w:r>
        <w:r>
          <w:rPr>
            <w:noProof/>
            <w:webHidden/>
          </w:rPr>
          <w:t>16</w:t>
        </w:r>
        <w:r>
          <w:rPr>
            <w:noProof/>
            <w:webHidden/>
          </w:rPr>
          <w:fldChar w:fldCharType="end"/>
        </w:r>
      </w:hyperlink>
    </w:p>
    <w:p w14:paraId="6CAFEB75" w14:textId="5B66946F"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399" w:history="1">
        <w:r w:rsidRPr="00DF0696">
          <w:rPr>
            <w:rStyle w:val="Hyperlink"/>
            <w:bCs/>
            <w:noProof/>
            <w:lang w:val="ga"/>
          </w:rPr>
          <w:t>1.1 An cúlra reachtach</w:t>
        </w:r>
        <w:r>
          <w:rPr>
            <w:noProof/>
            <w:webHidden/>
          </w:rPr>
          <w:tab/>
        </w:r>
        <w:r>
          <w:rPr>
            <w:noProof/>
            <w:webHidden/>
          </w:rPr>
          <w:fldChar w:fldCharType="begin"/>
        </w:r>
        <w:r>
          <w:rPr>
            <w:noProof/>
            <w:webHidden/>
          </w:rPr>
          <w:instrText xml:space="preserve"> PAGEREF _Toc124367399 \h </w:instrText>
        </w:r>
        <w:r>
          <w:rPr>
            <w:noProof/>
            <w:webHidden/>
          </w:rPr>
        </w:r>
        <w:r>
          <w:rPr>
            <w:noProof/>
            <w:webHidden/>
          </w:rPr>
          <w:fldChar w:fldCharType="separate"/>
        </w:r>
        <w:r>
          <w:rPr>
            <w:noProof/>
            <w:webHidden/>
          </w:rPr>
          <w:t>16</w:t>
        </w:r>
        <w:r>
          <w:rPr>
            <w:noProof/>
            <w:webHidden/>
          </w:rPr>
          <w:fldChar w:fldCharType="end"/>
        </w:r>
      </w:hyperlink>
    </w:p>
    <w:p w14:paraId="33E8CA56" w14:textId="2F83566C"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0" w:history="1">
        <w:r w:rsidRPr="00DF0696">
          <w:rPr>
            <w:rStyle w:val="Hyperlink"/>
            <w:bCs/>
            <w:noProof/>
            <w:lang w:val="ga"/>
          </w:rPr>
          <w:t>1.2 An líon fostaithe a bhfuil míchumas orthu a chomhaireamh</w:t>
        </w:r>
        <w:r>
          <w:rPr>
            <w:noProof/>
            <w:webHidden/>
          </w:rPr>
          <w:tab/>
        </w:r>
        <w:r>
          <w:rPr>
            <w:noProof/>
            <w:webHidden/>
          </w:rPr>
          <w:fldChar w:fldCharType="begin"/>
        </w:r>
        <w:r>
          <w:rPr>
            <w:noProof/>
            <w:webHidden/>
          </w:rPr>
          <w:instrText xml:space="preserve"> PAGEREF _Toc124367400 \h </w:instrText>
        </w:r>
        <w:r>
          <w:rPr>
            <w:noProof/>
            <w:webHidden/>
          </w:rPr>
        </w:r>
        <w:r>
          <w:rPr>
            <w:noProof/>
            <w:webHidden/>
          </w:rPr>
          <w:fldChar w:fldCharType="separate"/>
        </w:r>
        <w:r>
          <w:rPr>
            <w:noProof/>
            <w:webHidden/>
          </w:rPr>
          <w:t>16</w:t>
        </w:r>
        <w:r>
          <w:rPr>
            <w:noProof/>
            <w:webHidden/>
          </w:rPr>
          <w:fldChar w:fldCharType="end"/>
        </w:r>
      </w:hyperlink>
    </w:p>
    <w:p w14:paraId="04A70F33" w14:textId="13D673DC"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1" w:history="1">
        <w:r w:rsidRPr="00DF0696">
          <w:rPr>
            <w:rStyle w:val="Hyperlink"/>
            <w:bCs/>
            <w:noProof/>
            <w:lang w:val="ga"/>
          </w:rPr>
          <w:t>1.3 Athbhreithniú ar Chuid 5</w:t>
        </w:r>
        <w:r>
          <w:rPr>
            <w:noProof/>
            <w:webHidden/>
          </w:rPr>
          <w:tab/>
        </w:r>
        <w:r>
          <w:rPr>
            <w:noProof/>
            <w:webHidden/>
          </w:rPr>
          <w:fldChar w:fldCharType="begin"/>
        </w:r>
        <w:r>
          <w:rPr>
            <w:noProof/>
            <w:webHidden/>
          </w:rPr>
          <w:instrText xml:space="preserve"> PAGEREF _Toc124367401 \h </w:instrText>
        </w:r>
        <w:r>
          <w:rPr>
            <w:noProof/>
            <w:webHidden/>
          </w:rPr>
        </w:r>
        <w:r>
          <w:rPr>
            <w:noProof/>
            <w:webHidden/>
          </w:rPr>
          <w:fldChar w:fldCharType="separate"/>
        </w:r>
        <w:r>
          <w:rPr>
            <w:noProof/>
            <w:webHidden/>
          </w:rPr>
          <w:t>19</w:t>
        </w:r>
        <w:r>
          <w:rPr>
            <w:noProof/>
            <w:webHidden/>
          </w:rPr>
          <w:fldChar w:fldCharType="end"/>
        </w:r>
      </w:hyperlink>
    </w:p>
    <w:p w14:paraId="17FED5B8" w14:textId="153950D2" w:rsidR="008A2403" w:rsidRDefault="008A2403">
      <w:pPr>
        <w:pStyle w:val="TOC1"/>
        <w:rPr>
          <w:rFonts w:asciiTheme="minorHAnsi" w:eastAsiaTheme="minorEastAsia" w:hAnsiTheme="minorHAnsi" w:cstheme="minorBidi"/>
          <w:b w:val="0"/>
          <w:noProof/>
          <w:sz w:val="22"/>
          <w:szCs w:val="22"/>
          <w:lang w:eastAsia="en-IE"/>
        </w:rPr>
      </w:pPr>
      <w:hyperlink w:anchor="_Toc124367402" w:history="1">
        <w:r w:rsidRPr="00DF0696">
          <w:rPr>
            <w:rStyle w:val="Hyperlink"/>
            <w:bCs/>
            <w:noProof/>
            <w:lang w:val="ga"/>
          </w:rPr>
          <w:t>2. Na Príomhfhionnachtana don bhliain 2021</w:t>
        </w:r>
        <w:r>
          <w:rPr>
            <w:noProof/>
            <w:webHidden/>
          </w:rPr>
          <w:tab/>
        </w:r>
        <w:r>
          <w:rPr>
            <w:noProof/>
            <w:webHidden/>
          </w:rPr>
          <w:fldChar w:fldCharType="begin"/>
        </w:r>
        <w:r>
          <w:rPr>
            <w:noProof/>
            <w:webHidden/>
          </w:rPr>
          <w:instrText xml:space="preserve"> PAGEREF _Toc124367402 \h </w:instrText>
        </w:r>
        <w:r>
          <w:rPr>
            <w:noProof/>
            <w:webHidden/>
          </w:rPr>
        </w:r>
        <w:r>
          <w:rPr>
            <w:noProof/>
            <w:webHidden/>
          </w:rPr>
          <w:fldChar w:fldCharType="separate"/>
        </w:r>
        <w:r>
          <w:rPr>
            <w:noProof/>
            <w:webHidden/>
          </w:rPr>
          <w:t>22</w:t>
        </w:r>
        <w:r>
          <w:rPr>
            <w:noProof/>
            <w:webHidden/>
          </w:rPr>
          <w:fldChar w:fldCharType="end"/>
        </w:r>
      </w:hyperlink>
    </w:p>
    <w:p w14:paraId="2659C48B" w14:textId="17C33E82"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3" w:history="1">
        <w:r w:rsidRPr="00DF0696">
          <w:rPr>
            <w:rStyle w:val="Hyperlink"/>
            <w:bCs/>
            <w:noProof/>
            <w:lang w:val="ga"/>
          </w:rPr>
          <w:t>2.2 Athruithe i gcomhlachtaí poiblí</w:t>
        </w:r>
        <w:r>
          <w:rPr>
            <w:noProof/>
            <w:webHidden/>
          </w:rPr>
          <w:tab/>
        </w:r>
        <w:r>
          <w:rPr>
            <w:noProof/>
            <w:webHidden/>
          </w:rPr>
          <w:fldChar w:fldCharType="begin"/>
        </w:r>
        <w:r>
          <w:rPr>
            <w:noProof/>
            <w:webHidden/>
          </w:rPr>
          <w:instrText xml:space="preserve"> PAGEREF _Toc124367403 \h </w:instrText>
        </w:r>
        <w:r>
          <w:rPr>
            <w:noProof/>
            <w:webHidden/>
          </w:rPr>
        </w:r>
        <w:r>
          <w:rPr>
            <w:noProof/>
            <w:webHidden/>
          </w:rPr>
          <w:fldChar w:fldCharType="separate"/>
        </w:r>
        <w:r>
          <w:rPr>
            <w:noProof/>
            <w:webHidden/>
          </w:rPr>
          <w:t>23</w:t>
        </w:r>
        <w:r>
          <w:rPr>
            <w:noProof/>
            <w:webHidden/>
          </w:rPr>
          <w:fldChar w:fldCharType="end"/>
        </w:r>
      </w:hyperlink>
    </w:p>
    <w:p w14:paraId="5CD5D406" w14:textId="05440099"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4" w:history="1">
        <w:r w:rsidRPr="00DF0696">
          <w:rPr>
            <w:rStyle w:val="Hyperlink"/>
            <w:bCs/>
            <w:noProof/>
            <w:lang w:val="ga"/>
          </w:rPr>
          <w:t>2.3 Anailís de réir an chineáil comhlachta earnála poiblí</w:t>
        </w:r>
        <w:r>
          <w:rPr>
            <w:noProof/>
            <w:webHidden/>
          </w:rPr>
          <w:tab/>
        </w:r>
        <w:r>
          <w:rPr>
            <w:noProof/>
            <w:webHidden/>
          </w:rPr>
          <w:fldChar w:fldCharType="begin"/>
        </w:r>
        <w:r>
          <w:rPr>
            <w:noProof/>
            <w:webHidden/>
          </w:rPr>
          <w:instrText xml:space="preserve"> PAGEREF _Toc124367404 \h </w:instrText>
        </w:r>
        <w:r>
          <w:rPr>
            <w:noProof/>
            <w:webHidden/>
          </w:rPr>
        </w:r>
        <w:r>
          <w:rPr>
            <w:noProof/>
            <w:webHidden/>
          </w:rPr>
          <w:fldChar w:fldCharType="separate"/>
        </w:r>
        <w:r>
          <w:rPr>
            <w:noProof/>
            <w:webHidden/>
          </w:rPr>
          <w:t>27</w:t>
        </w:r>
        <w:r>
          <w:rPr>
            <w:noProof/>
            <w:webHidden/>
          </w:rPr>
          <w:fldChar w:fldCharType="end"/>
        </w:r>
      </w:hyperlink>
    </w:p>
    <w:p w14:paraId="1233C79E" w14:textId="3B28C598"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5" w:history="1">
        <w:r w:rsidRPr="00DF0696">
          <w:rPr>
            <w:rStyle w:val="Hyperlink"/>
            <w:bCs/>
            <w:noProof/>
            <w:lang w:val="ga"/>
          </w:rPr>
          <w:t>2.4 Anailís de réir mhéid an chomhlachta earnála poiblí</w:t>
        </w:r>
        <w:r>
          <w:rPr>
            <w:noProof/>
            <w:webHidden/>
          </w:rPr>
          <w:tab/>
        </w:r>
        <w:r>
          <w:rPr>
            <w:noProof/>
            <w:webHidden/>
          </w:rPr>
          <w:fldChar w:fldCharType="begin"/>
        </w:r>
        <w:r>
          <w:rPr>
            <w:noProof/>
            <w:webHidden/>
          </w:rPr>
          <w:instrText xml:space="preserve"> PAGEREF _Toc124367405 \h </w:instrText>
        </w:r>
        <w:r>
          <w:rPr>
            <w:noProof/>
            <w:webHidden/>
          </w:rPr>
        </w:r>
        <w:r>
          <w:rPr>
            <w:noProof/>
            <w:webHidden/>
          </w:rPr>
          <w:fldChar w:fldCharType="separate"/>
        </w:r>
        <w:r>
          <w:rPr>
            <w:noProof/>
            <w:webHidden/>
          </w:rPr>
          <w:t>31</w:t>
        </w:r>
        <w:r>
          <w:rPr>
            <w:noProof/>
            <w:webHidden/>
          </w:rPr>
          <w:fldChar w:fldCharType="end"/>
        </w:r>
      </w:hyperlink>
    </w:p>
    <w:p w14:paraId="677DBF47" w14:textId="71280991"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6" w:history="1">
        <w:r w:rsidRPr="00DF0696">
          <w:rPr>
            <w:rStyle w:val="Hyperlink"/>
            <w:bCs/>
            <w:noProof/>
            <w:lang w:val="ga"/>
          </w:rPr>
          <w:t>2.5 An dul chun cinn ar an íos-sprioc 6% a bhaint amach faoin mbliain 2025</w:t>
        </w:r>
        <w:r>
          <w:rPr>
            <w:noProof/>
            <w:webHidden/>
          </w:rPr>
          <w:tab/>
        </w:r>
        <w:r>
          <w:rPr>
            <w:noProof/>
            <w:webHidden/>
          </w:rPr>
          <w:fldChar w:fldCharType="begin"/>
        </w:r>
        <w:r>
          <w:rPr>
            <w:noProof/>
            <w:webHidden/>
          </w:rPr>
          <w:instrText xml:space="preserve"> PAGEREF _Toc124367406 \h </w:instrText>
        </w:r>
        <w:r>
          <w:rPr>
            <w:noProof/>
            <w:webHidden/>
          </w:rPr>
        </w:r>
        <w:r>
          <w:rPr>
            <w:noProof/>
            <w:webHidden/>
          </w:rPr>
          <w:fldChar w:fldCharType="separate"/>
        </w:r>
        <w:r>
          <w:rPr>
            <w:noProof/>
            <w:webHidden/>
          </w:rPr>
          <w:t>33</w:t>
        </w:r>
        <w:r>
          <w:rPr>
            <w:noProof/>
            <w:webHidden/>
          </w:rPr>
          <w:fldChar w:fldCharType="end"/>
        </w:r>
      </w:hyperlink>
    </w:p>
    <w:p w14:paraId="5E20008D" w14:textId="365149BD"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7" w:history="1">
        <w:r w:rsidRPr="00DF0696">
          <w:rPr>
            <w:rStyle w:val="Hyperlink"/>
            <w:bCs/>
            <w:noProof/>
            <w:lang w:val="ga"/>
          </w:rPr>
          <w:t>2.6 Samhlacha Dea-Chleachtais</w:t>
        </w:r>
        <w:r>
          <w:rPr>
            <w:noProof/>
            <w:webHidden/>
          </w:rPr>
          <w:tab/>
        </w:r>
        <w:r>
          <w:rPr>
            <w:noProof/>
            <w:webHidden/>
          </w:rPr>
          <w:fldChar w:fldCharType="begin"/>
        </w:r>
        <w:r>
          <w:rPr>
            <w:noProof/>
            <w:webHidden/>
          </w:rPr>
          <w:instrText xml:space="preserve"> PAGEREF _Toc124367407 \h </w:instrText>
        </w:r>
        <w:r>
          <w:rPr>
            <w:noProof/>
            <w:webHidden/>
          </w:rPr>
        </w:r>
        <w:r>
          <w:rPr>
            <w:noProof/>
            <w:webHidden/>
          </w:rPr>
          <w:fldChar w:fldCharType="separate"/>
        </w:r>
        <w:r>
          <w:rPr>
            <w:noProof/>
            <w:webHidden/>
          </w:rPr>
          <w:t>34</w:t>
        </w:r>
        <w:r>
          <w:rPr>
            <w:noProof/>
            <w:webHidden/>
          </w:rPr>
          <w:fldChar w:fldCharType="end"/>
        </w:r>
      </w:hyperlink>
    </w:p>
    <w:p w14:paraId="0CC2016F" w14:textId="21742AC2"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08" w:history="1">
        <w:r w:rsidRPr="00DF0696">
          <w:rPr>
            <w:rStyle w:val="Hyperlink"/>
            <w:bCs/>
            <w:noProof/>
            <w:lang w:val="ga"/>
          </w:rPr>
          <w:t>2.7 An Móiminteam a Choinneáil ar Bun</w:t>
        </w:r>
        <w:r>
          <w:rPr>
            <w:noProof/>
            <w:webHidden/>
          </w:rPr>
          <w:tab/>
        </w:r>
        <w:r>
          <w:rPr>
            <w:noProof/>
            <w:webHidden/>
          </w:rPr>
          <w:fldChar w:fldCharType="begin"/>
        </w:r>
        <w:r>
          <w:rPr>
            <w:noProof/>
            <w:webHidden/>
          </w:rPr>
          <w:instrText xml:space="preserve"> PAGEREF _Toc124367408 \h </w:instrText>
        </w:r>
        <w:r>
          <w:rPr>
            <w:noProof/>
            <w:webHidden/>
          </w:rPr>
        </w:r>
        <w:r>
          <w:rPr>
            <w:noProof/>
            <w:webHidden/>
          </w:rPr>
          <w:fldChar w:fldCharType="separate"/>
        </w:r>
        <w:r>
          <w:rPr>
            <w:noProof/>
            <w:webHidden/>
          </w:rPr>
          <w:t>36</w:t>
        </w:r>
        <w:r>
          <w:rPr>
            <w:noProof/>
            <w:webHidden/>
          </w:rPr>
          <w:fldChar w:fldCharType="end"/>
        </w:r>
      </w:hyperlink>
    </w:p>
    <w:p w14:paraId="09BDBB7F" w14:textId="15C376B8" w:rsidR="008A2403" w:rsidRDefault="008A2403">
      <w:pPr>
        <w:pStyle w:val="TOC1"/>
        <w:rPr>
          <w:rFonts w:asciiTheme="minorHAnsi" w:eastAsiaTheme="minorEastAsia" w:hAnsiTheme="minorHAnsi" w:cstheme="minorBidi"/>
          <w:b w:val="0"/>
          <w:noProof/>
          <w:sz w:val="22"/>
          <w:szCs w:val="22"/>
          <w:lang w:eastAsia="en-IE"/>
        </w:rPr>
      </w:pPr>
      <w:hyperlink w:anchor="_Toc124367409" w:history="1">
        <w:r w:rsidRPr="00DF0696">
          <w:rPr>
            <w:rStyle w:val="Hyperlink"/>
            <w:bCs/>
            <w:noProof/>
            <w:kern w:val="32"/>
            <w:lang w:val="ga"/>
          </w:rPr>
          <w:t xml:space="preserve">3. </w:t>
        </w:r>
        <w:r w:rsidRPr="00DF0696">
          <w:rPr>
            <w:rStyle w:val="Hyperlink"/>
            <w:bCs/>
            <w:noProof/>
            <w:lang w:val="ga"/>
          </w:rPr>
          <w:t>Faireachán agus Comhlíonadh</w:t>
        </w:r>
        <w:r>
          <w:rPr>
            <w:noProof/>
            <w:webHidden/>
          </w:rPr>
          <w:tab/>
        </w:r>
        <w:r>
          <w:rPr>
            <w:noProof/>
            <w:webHidden/>
          </w:rPr>
          <w:fldChar w:fldCharType="begin"/>
        </w:r>
        <w:r>
          <w:rPr>
            <w:noProof/>
            <w:webHidden/>
          </w:rPr>
          <w:instrText xml:space="preserve"> PAGEREF _Toc124367409 \h </w:instrText>
        </w:r>
        <w:r>
          <w:rPr>
            <w:noProof/>
            <w:webHidden/>
          </w:rPr>
        </w:r>
        <w:r>
          <w:rPr>
            <w:noProof/>
            <w:webHidden/>
          </w:rPr>
          <w:fldChar w:fldCharType="separate"/>
        </w:r>
        <w:r>
          <w:rPr>
            <w:noProof/>
            <w:webHidden/>
          </w:rPr>
          <w:t>38</w:t>
        </w:r>
        <w:r>
          <w:rPr>
            <w:noProof/>
            <w:webHidden/>
          </w:rPr>
          <w:fldChar w:fldCharType="end"/>
        </w:r>
      </w:hyperlink>
    </w:p>
    <w:p w14:paraId="4ECEA524" w14:textId="62372004"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0" w:history="1">
        <w:r w:rsidRPr="00DF0696">
          <w:rPr>
            <w:rStyle w:val="Hyperlink"/>
            <w:bCs/>
            <w:noProof/>
            <w:lang w:val="ga"/>
          </w:rPr>
          <w:t>3.1 Comhlíonadh faoi Chuid 5 den Acht um Míchumas</w:t>
        </w:r>
        <w:r>
          <w:rPr>
            <w:noProof/>
            <w:webHidden/>
          </w:rPr>
          <w:tab/>
        </w:r>
        <w:r>
          <w:rPr>
            <w:noProof/>
            <w:webHidden/>
          </w:rPr>
          <w:fldChar w:fldCharType="begin"/>
        </w:r>
        <w:r>
          <w:rPr>
            <w:noProof/>
            <w:webHidden/>
          </w:rPr>
          <w:instrText xml:space="preserve"> PAGEREF _Toc124367410 \h </w:instrText>
        </w:r>
        <w:r>
          <w:rPr>
            <w:noProof/>
            <w:webHidden/>
          </w:rPr>
        </w:r>
        <w:r>
          <w:rPr>
            <w:noProof/>
            <w:webHidden/>
          </w:rPr>
          <w:fldChar w:fldCharType="separate"/>
        </w:r>
        <w:r>
          <w:rPr>
            <w:noProof/>
            <w:webHidden/>
          </w:rPr>
          <w:t>38</w:t>
        </w:r>
        <w:r>
          <w:rPr>
            <w:noProof/>
            <w:webHidden/>
          </w:rPr>
          <w:fldChar w:fldCharType="end"/>
        </w:r>
      </w:hyperlink>
    </w:p>
    <w:p w14:paraId="68A24425" w14:textId="2206490A"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1" w:history="1">
        <w:r w:rsidRPr="00DF0696">
          <w:rPr>
            <w:rStyle w:val="Hyperlink"/>
            <w:bCs/>
            <w:noProof/>
            <w:lang w:val="ga"/>
          </w:rPr>
          <w:t>3.2 Comhlíonadh an Achta - 2019 agus 2020</w:t>
        </w:r>
        <w:r>
          <w:rPr>
            <w:noProof/>
            <w:webHidden/>
          </w:rPr>
          <w:tab/>
        </w:r>
        <w:r>
          <w:rPr>
            <w:noProof/>
            <w:webHidden/>
          </w:rPr>
          <w:fldChar w:fldCharType="begin"/>
        </w:r>
        <w:r>
          <w:rPr>
            <w:noProof/>
            <w:webHidden/>
          </w:rPr>
          <w:instrText xml:space="preserve"> PAGEREF _Toc124367411 \h </w:instrText>
        </w:r>
        <w:r>
          <w:rPr>
            <w:noProof/>
            <w:webHidden/>
          </w:rPr>
        </w:r>
        <w:r>
          <w:rPr>
            <w:noProof/>
            <w:webHidden/>
          </w:rPr>
          <w:fldChar w:fldCharType="separate"/>
        </w:r>
        <w:r>
          <w:rPr>
            <w:noProof/>
            <w:webHidden/>
          </w:rPr>
          <w:t>39</w:t>
        </w:r>
        <w:r>
          <w:rPr>
            <w:noProof/>
            <w:webHidden/>
          </w:rPr>
          <w:fldChar w:fldCharType="end"/>
        </w:r>
      </w:hyperlink>
    </w:p>
    <w:p w14:paraId="341D3920" w14:textId="61E21763"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2" w:history="1">
        <w:r w:rsidRPr="00DF0696">
          <w:rPr>
            <w:rStyle w:val="Hyperlink"/>
            <w:bCs/>
            <w:noProof/>
            <w:lang w:val="ga"/>
          </w:rPr>
          <w:t>3.3 Comhlíonadh an Achta - 2020 agus 2021</w:t>
        </w:r>
        <w:r>
          <w:rPr>
            <w:noProof/>
            <w:webHidden/>
          </w:rPr>
          <w:tab/>
        </w:r>
        <w:r>
          <w:rPr>
            <w:noProof/>
            <w:webHidden/>
          </w:rPr>
          <w:fldChar w:fldCharType="begin"/>
        </w:r>
        <w:r>
          <w:rPr>
            <w:noProof/>
            <w:webHidden/>
          </w:rPr>
          <w:instrText xml:space="preserve"> PAGEREF _Toc124367412 \h </w:instrText>
        </w:r>
        <w:r>
          <w:rPr>
            <w:noProof/>
            <w:webHidden/>
          </w:rPr>
        </w:r>
        <w:r>
          <w:rPr>
            <w:noProof/>
            <w:webHidden/>
          </w:rPr>
          <w:fldChar w:fldCharType="separate"/>
        </w:r>
        <w:r>
          <w:rPr>
            <w:noProof/>
            <w:webHidden/>
          </w:rPr>
          <w:t>41</w:t>
        </w:r>
        <w:r>
          <w:rPr>
            <w:noProof/>
            <w:webHidden/>
          </w:rPr>
          <w:fldChar w:fldCharType="end"/>
        </w:r>
      </w:hyperlink>
    </w:p>
    <w:p w14:paraId="602559DD" w14:textId="5921379B"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3" w:history="1">
        <w:r w:rsidRPr="00DF0696">
          <w:rPr>
            <w:rStyle w:val="Hyperlink"/>
            <w:bCs/>
            <w:noProof/>
            <w:lang w:val="ga"/>
          </w:rPr>
          <w:t>3.4 Coistí Faireacháin</w:t>
        </w:r>
        <w:r>
          <w:rPr>
            <w:noProof/>
            <w:webHidden/>
          </w:rPr>
          <w:tab/>
        </w:r>
        <w:r>
          <w:rPr>
            <w:noProof/>
            <w:webHidden/>
          </w:rPr>
          <w:fldChar w:fldCharType="begin"/>
        </w:r>
        <w:r>
          <w:rPr>
            <w:noProof/>
            <w:webHidden/>
          </w:rPr>
          <w:instrText xml:space="preserve"> PAGEREF _Toc124367413 \h </w:instrText>
        </w:r>
        <w:r>
          <w:rPr>
            <w:noProof/>
            <w:webHidden/>
          </w:rPr>
        </w:r>
        <w:r>
          <w:rPr>
            <w:noProof/>
            <w:webHidden/>
          </w:rPr>
          <w:fldChar w:fldCharType="separate"/>
        </w:r>
        <w:r>
          <w:rPr>
            <w:noProof/>
            <w:webHidden/>
          </w:rPr>
          <w:t>43</w:t>
        </w:r>
        <w:r>
          <w:rPr>
            <w:noProof/>
            <w:webHidden/>
          </w:rPr>
          <w:fldChar w:fldCharType="end"/>
        </w:r>
      </w:hyperlink>
    </w:p>
    <w:p w14:paraId="13F559F1" w14:textId="4A6A6CDF"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4" w:history="1">
        <w:r w:rsidRPr="00DF0696">
          <w:rPr>
            <w:rStyle w:val="Hyperlink"/>
            <w:bCs/>
            <w:noProof/>
            <w:lang w:val="ga"/>
          </w:rPr>
          <w:t>3.5 Earráidí – athruithe i sonraí</w:t>
        </w:r>
        <w:r>
          <w:rPr>
            <w:noProof/>
            <w:webHidden/>
          </w:rPr>
          <w:tab/>
        </w:r>
        <w:r>
          <w:rPr>
            <w:noProof/>
            <w:webHidden/>
          </w:rPr>
          <w:fldChar w:fldCharType="begin"/>
        </w:r>
        <w:r>
          <w:rPr>
            <w:noProof/>
            <w:webHidden/>
          </w:rPr>
          <w:instrText xml:space="preserve"> PAGEREF _Toc124367414 \h </w:instrText>
        </w:r>
        <w:r>
          <w:rPr>
            <w:noProof/>
            <w:webHidden/>
          </w:rPr>
        </w:r>
        <w:r>
          <w:rPr>
            <w:noProof/>
            <w:webHidden/>
          </w:rPr>
          <w:fldChar w:fldCharType="separate"/>
        </w:r>
        <w:r>
          <w:rPr>
            <w:noProof/>
            <w:webHidden/>
          </w:rPr>
          <w:t>43</w:t>
        </w:r>
        <w:r>
          <w:rPr>
            <w:noProof/>
            <w:webHidden/>
          </w:rPr>
          <w:fldChar w:fldCharType="end"/>
        </w:r>
      </w:hyperlink>
    </w:p>
    <w:p w14:paraId="4688202F" w14:textId="034EC62F" w:rsidR="008A2403" w:rsidRDefault="008A2403">
      <w:pPr>
        <w:pStyle w:val="TOC1"/>
        <w:rPr>
          <w:rFonts w:asciiTheme="minorHAnsi" w:eastAsiaTheme="minorEastAsia" w:hAnsiTheme="minorHAnsi" w:cstheme="minorBidi"/>
          <w:b w:val="0"/>
          <w:noProof/>
          <w:sz w:val="22"/>
          <w:szCs w:val="22"/>
          <w:lang w:eastAsia="en-IE"/>
        </w:rPr>
      </w:pPr>
      <w:hyperlink w:anchor="_Toc124367415" w:history="1">
        <w:r w:rsidRPr="00DF0696">
          <w:rPr>
            <w:rStyle w:val="Hyperlink"/>
            <w:bCs/>
            <w:noProof/>
            <w:lang w:val="ga"/>
          </w:rPr>
          <w:t>Aguisín A – Ranna Rialtais</w:t>
        </w:r>
        <w:r>
          <w:rPr>
            <w:noProof/>
            <w:webHidden/>
          </w:rPr>
          <w:tab/>
        </w:r>
        <w:r>
          <w:rPr>
            <w:noProof/>
            <w:webHidden/>
          </w:rPr>
          <w:fldChar w:fldCharType="begin"/>
        </w:r>
        <w:r>
          <w:rPr>
            <w:noProof/>
            <w:webHidden/>
          </w:rPr>
          <w:instrText xml:space="preserve"> PAGEREF _Toc124367415 \h </w:instrText>
        </w:r>
        <w:r>
          <w:rPr>
            <w:noProof/>
            <w:webHidden/>
          </w:rPr>
        </w:r>
        <w:r>
          <w:rPr>
            <w:noProof/>
            <w:webHidden/>
          </w:rPr>
          <w:fldChar w:fldCharType="separate"/>
        </w:r>
        <w:r>
          <w:rPr>
            <w:noProof/>
            <w:webHidden/>
          </w:rPr>
          <w:t>44</w:t>
        </w:r>
        <w:r>
          <w:rPr>
            <w:noProof/>
            <w:webHidden/>
          </w:rPr>
          <w:fldChar w:fldCharType="end"/>
        </w:r>
      </w:hyperlink>
    </w:p>
    <w:p w14:paraId="6F47764D" w14:textId="2EF75728" w:rsidR="008A2403" w:rsidRDefault="008A2403">
      <w:pPr>
        <w:pStyle w:val="TOC1"/>
        <w:rPr>
          <w:rFonts w:asciiTheme="minorHAnsi" w:eastAsiaTheme="minorEastAsia" w:hAnsiTheme="minorHAnsi" w:cstheme="minorBidi"/>
          <w:b w:val="0"/>
          <w:noProof/>
          <w:sz w:val="22"/>
          <w:szCs w:val="22"/>
          <w:lang w:eastAsia="en-IE"/>
        </w:rPr>
      </w:pPr>
      <w:hyperlink w:anchor="_Toc124367416" w:history="1">
        <w:r w:rsidRPr="00DF0696">
          <w:rPr>
            <w:rStyle w:val="Hyperlink"/>
            <w:bCs/>
            <w:noProof/>
            <w:lang w:val="ga"/>
          </w:rPr>
          <w:t>Aguisín B – Comhlachtaí poiblí</w:t>
        </w:r>
        <w:r>
          <w:rPr>
            <w:noProof/>
            <w:webHidden/>
          </w:rPr>
          <w:tab/>
        </w:r>
        <w:r>
          <w:rPr>
            <w:noProof/>
            <w:webHidden/>
          </w:rPr>
          <w:fldChar w:fldCharType="begin"/>
        </w:r>
        <w:r>
          <w:rPr>
            <w:noProof/>
            <w:webHidden/>
          </w:rPr>
          <w:instrText xml:space="preserve"> PAGEREF _Toc124367416 \h </w:instrText>
        </w:r>
        <w:r>
          <w:rPr>
            <w:noProof/>
            <w:webHidden/>
          </w:rPr>
        </w:r>
        <w:r>
          <w:rPr>
            <w:noProof/>
            <w:webHidden/>
          </w:rPr>
          <w:fldChar w:fldCharType="separate"/>
        </w:r>
        <w:r>
          <w:rPr>
            <w:noProof/>
            <w:webHidden/>
          </w:rPr>
          <w:t>47</w:t>
        </w:r>
        <w:r>
          <w:rPr>
            <w:noProof/>
            <w:webHidden/>
          </w:rPr>
          <w:fldChar w:fldCharType="end"/>
        </w:r>
      </w:hyperlink>
    </w:p>
    <w:p w14:paraId="23924FE6" w14:textId="4B25AF8A"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7" w:history="1">
        <w:r w:rsidRPr="00DF0696">
          <w:rPr>
            <w:rStyle w:val="Hyperlink"/>
            <w:bCs/>
            <w:noProof/>
            <w:lang w:val="ga"/>
          </w:rPr>
          <w:t>An Roinn Talmhaíochta, Bia agus Mara</w:t>
        </w:r>
        <w:r>
          <w:rPr>
            <w:noProof/>
            <w:webHidden/>
          </w:rPr>
          <w:tab/>
        </w:r>
        <w:r>
          <w:rPr>
            <w:noProof/>
            <w:webHidden/>
          </w:rPr>
          <w:fldChar w:fldCharType="begin"/>
        </w:r>
        <w:r>
          <w:rPr>
            <w:noProof/>
            <w:webHidden/>
          </w:rPr>
          <w:instrText xml:space="preserve"> PAGEREF _Toc124367417 \h </w:instrText>
        </w:r>
        <w:r>
          <w:rPr>
            <w:noProof/>
            <w:webHidden/>
          </w:rPr>
        </w:r>
        <w:r>
          <w:rPr>
            <w:noProof/>
            <w:webHidden/>
          </w:rPr>
          <w:fldChar w:fldCharType="separate"/>
        </w:r>
        <w:r>
          <w:rPr>
            <w:noProof/>
            <w:webHidden/>
          </w:rPr>
          <w:t>47</w:t>
        </w:r>
        <w:r>
          <w:rPr>
            <w:noProof/>
            <w:webHidden/>
          </w:rPr>
          <w:fldChar w:fldCharType="end"/>
        </w:r>
      </w:hyperlink>
    </w:p>
    <w:p w14:paraId="3F1001FF" w14:textId="3A0E4A35"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8" w:history="1">
        <w:r w:rsidRPr="00DF0696">
          <w:rPr>
            <w:rStyle w:val="Hyperlink"/>
            <w:bCs/>
            <w:noProof/>
            <w:lang w:val="ga"/>
          </w:rPr>
          <w:t>An Roinn Leanaí, Comhionannais, Míchumais, Lánpháirtíochta agus Óige</w:t>
        </w:r>
        <w:r>
          <w:rPr>
            <w:noProof/>
            <w:webHidden/>
          </w:rPr>
          <w:tab/>
        </w:r>
        <w:r>
          <w:rPr>
            <w:noProof/>
            <w:webHidden/>
          </w:rPr>
          <w:fldChar w:fldCharType="begin"/>
        </w:r>
        <w:r>
          <w:rPr>
            <w:noProof/>
            <w:webHidden/>
          </w:rPr>
          <w:instrText xml:space="preserve"> PAGEREF _Toc124367418 \h </w:instrText>
        </w:r>
        <w:r>
          <w:rPr>
            <w:noProof/>
            <w:webHidden/>
          </w:rPr>
        </w:r>
        <w:r>
          <w:rPr>
            <w:noProof/>
            <w:webHidden/>
          </w:rPr>
          <w:fldChar w:fldCharType="separate"/>
        </w:r>
        <w:r>
          <w:rPr>
            <w:noProof/>
            <w:webHidden/>
          </w:rPr>
          <w:t>48</w:t>
        </w:r>
        <w:r>
          <w:rPr>
            <w:noProof/>
            <w:webHidden/>
          </w:rPr>
          <w:fldChar w:fldCharType="end"/>
        </w:r>
      </w:hyperlink>
    </w:p>
    <w:p w14:paraId="64296C80" w14:textId="4975A088"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19" w:history="1">
        <w:r w:rsidRPr="00DF0696">
          <w:rPr>
            <w:rStyle w:val="Hyperlink"/>
            <w:bCs/>
            <w:noProof/>
            <w:lang w:val="ga"/>
          </w:rPr>
          <w:t>An Roinn Fiontar, Trádála agus Fostaíochta</w:t>
        </w:r>
        <w:r>
          <w:rPr>
            <w:noProof/>
            <w:webHidden/>
          </w:rPr>
          <w:tab/>
        </w:r>
        <w:r>
          <w:rPr>
            <w:noProof/>
            <w:webHidden/>
          </w:rPr>
          <w:fldChar w:fldCharType="begin"/>
        </w:r>
        <w:r>
          <w:rPr>
            <w:noProof/>
            <w:webHidden/>
          </w:rPr>
          <w:instrText xml:space="preserve"> PAGEREF _Toc124367419 \h </w:instrText>
        </w:r>
        <w:r>
          <w:rPr>
            <w:noProof/>
            <w:webHidden/>
          </w:rPr>
        </w:r>
        <w:r>
          <w:rPr>
            <w:noProof/>
            <w:webHidden/>
          </w:rPr>
          <w:fldChar w:fldCharType="separate"/>
        </w:r>
        <w:r>
          <w:rPr>
            <w:noProof/>
            <w:webHidden/>
          </w:rPr>
          <w:t>49</w:t>
        </w:r>
        <w:r>
          <w:rPr>
            <w:noProof/>
            <w:webHidden/>
          </w:rPr>
          <w:fldChar w:fldCharType="end"/>
        </w:r>
      </w:hyperlink>
    </w:p>
    <w:p w14:paraId="243454AD" w14:textId="20394360"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0" w:history="1">
        <w:r w:rsidRPr="00DF0696">
          <w:rPr>
            <w:rStyle w:val="Hyperlink"/>
            <w:bCs/>
            <w:noProof/>
            <w:lang w:val="ga"/>
          </w:rPr>
          <w:t>An Roinn Airgeadais</w:t>
        </w:r>
        <w:r>
          <w:rPr>
            <w:noProof/>
            <w:webHidden/>
          </w:rPr>
          <w:tab/>
        </w:r>
        <w:r>
          <w:rPr>
            <w:noProof/>
            <w:webHidden/>
          </w:rPr>
          <w:fldChar w:fldCharType="begin"/>
        </w:r>
        <w:r>
          <w:rPr>
            <w:noProof/>
            <w:webHidden/>
          </w:rPr>
          <w:instrText xml:space="preserve"> PAGEREF _Toc124367420 \h </w:instrText>
        </w:r>
        <w:r>
          <w:rPr>
            <w:noProof/>
            <w:webHidden/>
          </w:rPr>
        </w:r>
        <w:r>
          <w:rPr>
            <w:noProof/>
            <w:webHidden/>
          </w:rPr>
          <w:fldChar w:fldCharType="separate"/>
        </w:r>
        <w:r>
          <w:rPr>
            <w:noProof/>
            <w:webHidden/>
          </w:rPr>
          <w:t>50</w:t>
        </w:r>
        <w:r>
          <w:rPr>
            <w:noProof/>
            <w:webHidden/>
          </w:rPr>
          <w:fldChar w:fldCharType="end"/>
        </w:r>
      </w:hyperlink>
    </w:p>
    <w:p w14:paraId="06A13317" w14:textId="61636DB2"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1" w:history="1">
        <w:r w:rsidRPr="00DF0696">
          <w:rPr>
            <w:rStyle w:val="Hyperlink"/>
            <w:bCs/>
            <w:noProof/>
            <w:lang w:val="ga"/>
          </w:rPr>
          <w:t>An Roinn Breisoideachais agus Ardoideachais, Taighde, Nuálaíochta agus Eolaíochta</w:t>
        </w:r>
        <w:r>
          <w:rPr>
            <w:noProof/>
            <w:webHidden/>
          </w:rPr>
          <w:tab/>
        </w:r>
        <w:r>
          <w:rPr>
            <w:noProof/>
            <w:webHidden/>
          </w:rPr>
          <w:fldChar w:fldCharType="begin"/>
        </w:r>
        <w:r>
          <w:rPr>
            <w:noProof/>
            <w:webHidden/>
          </w:rPr>
          <w:instrText xml:space="preserve"> PAGEREF _Toc124367421 \h </w:instrText>
        </w:r>
        <w:r>
          <w:rPr>
            <w:noProof/>
            <w:webHidden/>
          </w:rPr>
        </w:r>
        <w:r>
          <w:rPr>
            <w:noProof/>
            <w:webHidden/>
          </w:rPr>
          <w:fldChar w:fldCharType="separate"/>
        </w:r>
        <w:r>
          <w:rPr>
            <w:noProof/>
            <w:webHidden/>
          </w:rPr>
          <w:t>51</w:t>
        </w:r>
        <w:r>
          <w:rPr>
            <w:noProof/>
            <w:webHidden/>
          </w:rPr>
          <w:fldChar w:fldCharType="end"/>
        </w:r>
      </w:hyperlink>
    </w:p>
    <w:p w14:paraId="71319C58" w14:textId="0DA1F7B9"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2" w:history="1">
        <w:r w:rsidRPr="00DF0696">
          <w:rPr>
            <w:rStyle w:val="Hyperlink"/>
            <w:bCs/>
            <w:noProof/>
            <w:lang w:val="ga"/>
          </w:rPr>
          <w:t>An Roinn Sláinte</w:t>
        </w:r>
        <w:r>
          <w:rPr>
            <w:noProof/>
            <w:webHidden/>
          </w:rPr>
          <w:tab/>
        </w:r>
        <w:r>
          <w:rPr>
            <w:noProof/>
            <w:webHidden/>
          </w:rPr>
          <w:fldChar w:fldCharType="begin"/>
        </w:r>
        <w:r>
          <w:rPr>
            <w:noProof/>
            <w:webHidden/>
          </w:rPr>
          <w:instrText xml:space="preserve"> PAGEREF _Toc124367422 \h </w:instrText>
        </w:r>
        <w:r>
          <w:rPr>
            <w:noProof/>
            <w:webHidden/>
          </w:rPr>
        </w:r>
        <w:r>
          <w:rPr>
            <w:noProof/>
            <w:webHidden/>
          </w:rPr>
          <w:fldChar w:fldCharType="separate"/>
        </w:r>
        <w:r>
          <w:rPr>
            <w:noProof/>
            <w:webHidden/>
          </w:rPr>
          <w:t>56</w:t>
        </w:r>
        <w:r>
          <w:rPr>
            <w:noProof/>
            <w:webHidden/>
          </w:rPr>
          <w:fldChar w:fldCharType="end"/>
        </w:r>
      </w:hyperlink>
    </w:p>
    <w:p w14:paraId="1747D581" w14:textId="5415E0FE"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3" w:history="1">
        <w:r w:rsidRPr="00DF0696">
          <w:rPr>
            <w:rStyle w:val="Hyperlink"/>
            <w:bCs/>
            <w:noProof/>
            <w:lang w:val="ga"/>
          </w:rPr>
          <w:t>An Roinn Tithíochta, Rialtais Áitiúil agus Oidhreachta</w:t>
        </w:r>
        <w:r>
          <w:rPr>
            <w:noProof/>
            <w:webHidden/>
          </w:rPr>
          <w:tab/>
        </w:r>
        <w:r>
          <w:rPr>
            <w:noProof/>
            <w:webHidden/>
          </w:rPr>
          <w:fldChar w:fldCharType="begin"/>
        </w:r>
        <w:r>
          <w:rPr>
            <w:noProof/>
            <w:webHidden/>
          </w:rPr>
          <w:instrText xml:space="preserve"> PAGEREF _Toc124367423 \h </w:instrText>
        </w:r>
        <w:r>
          <w:rPr>
            <w:noProof/>
            <w:webHidden/>
          </w:rPr>
        </w:r>
        <w:r>
          <w:rPr>
            <w:noProof/>
            <w:webHidden/>
          </w:rPr>
          <w:fldChar w:fldCharType="separate"/>
        </w:r>
        <w:r>
          <w:rPr>
            <w:noProof/>
            <w:webHidden/>
          </w:rPr>
          <w:t>59</w:t>
        </w:r>
        <w:r>
          <w:rPr>
            <w:noProof/>
            <w:webHidden/>
          </w:rPr>
          <w:fldChar w:fldCharType="end"/>
        </w:r>
      </w:hyperlink>
    </w:p>
    <w:p w14:paraId="39D68151" w14:textId="06784AC5"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4" w:history="1">
        <w:r w:rsidRPr="00DF0696">
          <w:rPr>
            <w:rStyle w:val="Hyperlink"/>
            <w:bCs/>
            <w:noProof/>
            <w:lang w:val="ga"/>
          </w:rPr>
          <w:t>An Roinn Caiteachais Phoiblí agus Athchóirithe</w:t>
        </w:r>
        <w:r>
          <w:rPr>
            <w:noProof/>
            <w:webHidden/>
          </w:rPr>
          <w:tab/>
        </w:r>
        <w:r>
          <w:rPr>
            <w:noProof/>
            <w:webHidden/>
          </w:rPr>
          <w:fldChar w:fldCharType="begin"/>
        </w:r>
        <w:r>
          <w:rPr>
            <w:noProof/>
            <w:webHidden/>
          </w:rPr>
          <w:instrText xml:space="preserve"> PAGEREF _Toc124367424 \h </w:instrText>
        </w:r>
        <w:r>
          <w:rPr>
            <w:noProof/>
            <w:webHidden/>
          </w:rPr>
        </w:r>
        <w:r>
          <w:rPr>
            <w:noProof/>
            <w:webHidden/>
          </w:rPr>
          <w:fldChar w:fldCharType="separate"/>
        </w:r>
        <w:r>
          <w:rPr>
            <w:noProof/>
            <w:webHidden/>
          </w:rPr>
          <w:t>63</w:t>
        </w:r>
        <w:r>
          <w:rPr>
            <w:noProof/>
            <w:webHidden/>
          </w:rPr>
          <w:fldChar w:fldCharType="end"/>
        </w:r>
      </w:hyperlink>
    </w:p>
    <w:p w14:paraId="752BD6E4" w14:textId="020FE362"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5" w:history="1">
        <w:r w:rsidRPr="00DF0696">
          <w:rPr>
            <w:rStyle w:val="Hyperlink"/>
            <w:bCs/>
            <w:noProof/>
            <w:lang w:val="ga"/>
          </w:rPr>
          <w:t>An Roinn Forbartha Tuaithe agus Pobail</w:t>
        </w:r>
        <w:r>
          <w:rPr>
            <w:noProof/>
            <w:webHidden/>
          </w:rPr>
          <w:tab/>
        </w:r>
        <w:r>
          <w:rPr>
            <w:noProof/>
            <w:webHidden/>
          </w:rPr>
          <w:fldChar w:fldCharType="begin"/>
        </w:r>
        <w:r>
          <w:rPr>
            <w:noProof/>
            <w:webHidden/>
          </w:rPr>
          <w:instrText xml:space="preserve"> PAGEREF _Toc124367425 \h </w:instrText>
        </w:r>
        <w:r>
          <w:rPr>
            <w:noProof/>
            <w:webHidden/>
          </w:rPr>
        </w:r>
        <w:r>
          <w:rPr>
            <w:noProof/>
            <w:webHidden/>
          </w:rPr>
          <w:fldChar w:fldCharType="separate"/>
        </w:r>
        <w:r>
          <w:rPr>
            <w:noProof/>
            <w:webHidden/>
          </w:rPr>
          <w:t>68</w:t>
        </w:r>
        <w:r>
          <w:rPr>
            <w:noProof/>
            <w:webHidden/>
          </w:rPr>
          <w:fldChar w:fldCharType="end"/>
        </w:r>
      </w:hyperlink>
    </w:p>
    <w:p w14:paraId="2DDFDA32" w14:textId="14B0DA5E"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6" w:history="1">
        <w:r w:rsidRPr="00DF0696">
          <w:rPr>
            <w:rStyle w:val="Hyperlink"/>
            <w:bCs/>
            <w:noProof/>
            <w:lang w:val="ga"/>
          </w:rPr>
          <w:t>An Roinn Coimirce Sóisialaí</w:t>
        </w:r>
        <w:r>
          <w:rPr>
            <w:noProof/>
            <w:webHidden/>
          </w:rPr>
          <w:tab/>
        </w:r>
        <w:r>
          <w:rPr>
            <w:noProof/>
            <w:webHidden/>
          </w:rPr>
          <w:fldChar w:fldCharType="begin"/>
        </w:r>
        <w:r>
          <w:rPr>
            <w:noProof/>
            <w:webHidden/>
          </w:rPr>
          <w:instrText xml:space="preserve"> PAGEREF _Toc124367426 \h </w:instrText>
        </w:r>
        <w:r>
          <w:rPr>
            <w:noProof/>
            <w:webHidden/>
          </w:rPr>
        </w:r>
        <w:r>
          <w:rPr>
            <w:noProof/>
            <w:webHidden/>
          </w:rPr>
          <w:fldChar w:fldCharType="separate"/>
        </w:r>
        <w:r>
          <w:rPr>
            <w:noProof/>
            <w:webHidden/>
          </w:rPr>
          <w:t>68</w:t>
        </w:r>
        <w:r>
          <w:rPr>
            <w:noProof/>
            <w:webHidden/>
          </w:rPr>
          <w:fldChar w:fldCharType="end"/>
        </w:r>
      </w:hyperlink>
    </w:p>
    <w:p w14:paraId="7FC28342" w14:textId="330662AE"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7" w:history="1">
        <w:r w:rsidRPr="00DF0696">
          <w:rPr>
            <w:rStyle w:val="Hyperlink"/>
            <w:bCs/>
            <w:noProof/>
            <w:lang w:val="ga"/>
          </w:rPr>
          <w:t>An Roinn Comhshaoil, Aeráide agus Cumarsáide</w:t>
        </w:r>
        <w:r>
          <w:rPr>
            <w:noProof/>
            <w:webHidden/>
          </w:rPr>
          <w:tab/>
        </w:r>
        <w:r>
          <w:rPr>
            <w:noProof/>
            <w:webHidden/>
          </w:rPr>
          <w:fldChar w:fldCharType="begin"/>
        </w:r>
        <w:r>
          <w:rPr>
            <w:noProof/>
            <w:webHidden/>
          </w:rPr>
          <w:instrText xml:space="preserve"> PAGEREF _Toc124367427 \h </w:instrText>
        </w:r>
        <w:r>
          <w:rPr>
            <w:noProof/>
            <w:webHidden/>
          </w:rPr>
        </w:r>
        <w:r>
          <w:rPr>
            <w:noProof/>
            <w:webHidden/>
          </w:rPr>
          <w:fldChar w:fldCharType="separate"/>
        </w:r>
        <w:r>
          <w:rPr>
            <w:noProof/>
            <w:webHidden/>
          </w:rPr>
          <w:t>69</w:t>
        </w:r>
        <w:r>
          <w:rPr>
            <w:noProof/>
            <w:webHidden/>
          </w:rPr>
          <w:fldChar w:fldCharType="end"/>
        </w:r>
      </w:hyperlink>
    </w:p>
    <w:p w14:paraId="643265AC" w14:textId="683DAAA8"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8" w:history="1">
        <w:r w:rsidRPr="00DF0696">
          <w:rPr>
            <w:rStyle w:val="Hyperlink"/>
            <w:bCs/>
            <w:noProof/>
            <w:lang w:val="ga"/>
          </w:rPr>
          <w:t>Roinn an Taoisigh</w:t>
        </w:r>
        <w:r>
          <w:rPr>
            <w:noProof/>
            <w:webHidden/>
          </w:rPr>
          <w:tab/>
        </w:r>
        <w:r>
          <w:rPr>
            <w:noProof/>
            <w:webHidden/>
          </w:rPr>
          <w:fldChar w:fldCharType="begin"/>
        </w:r>
        <w:r>
          <w:rPr>
            <w:noProof/>
            <w:webHidden/>
          </w:rPr>
          <w:instrText xml:space="preserve"> PAGEREF _Toc124367428 \h </w:instrText>
        </w:r>
        <w:r>
          <w:rPr>
            <w:noProof/>
            <w:webHidden/>
          </w:rPr>
        </w:r>
        <w:r>
          <w:rPr>
            <w:noProof/>
            <w:webHidden/>
          </w:rPr>
          <w:fldChar w:fldCharType="separate"/>
        </w:r>
        <w:r>
          <w:rPr>
            <w:noProof/>
            <w:webHidden/>
          </w:rPr>
          <w:t>70</w:t>
        </w:r>
        <w:r>
          <w:rPr>
            <w:noProof/>
            <w:webHidden/>
          </w:rPr>
          <w:fldChar w:fldCharType="end"/>
        </w:r>
      </w:hyperlink>
    </w:p>
    <w:p w14:paraId="7C736A7F" w14:textId="690E706E"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29" w:history="1">
        <w:r w:rsidRPr="00DF0696">
          <w:rPr>
            <w:rStyle w:val="Hyperlink"/>
            <w:bCs/>
            <w:noProof/>
            <w:lang w:val="ga"/>
          </w:rPr>
          <w:t>An Roinn Turasóireachta, Cultúir, Ealaíon, Gaeltachta, Spóirt agus Meán</w:t>
        </w:r>
        <w:r>
          <w:rPr>
            <w:noProof/>
            <w:webHidden/>
          </w:rPr>
          <w:tab/>
        </w:r>
        <w:r>
          <w:rPr>
            <w:noProof/>
            <w:webHidden/>
          </w:rPr>
          <w:fldChar w:fldCharType="begin"/>
        </w:r>
        <w:r>
          <w:rPr>
            <w:noProof/>
            <w:webHidden/>
          </w:rPr>
          <w:instrText xml:space="preserve"> PAGEREF _Toc124367429 \h </w:instrText>
        </w:r>
        <w:r>
          <w:rPr>
            <w:noProof/>
            <w:webHidden/>
          </w:rPr>
        </w:r>
        <w:r>
          <w:rPr>
            <w:noProof/>
            <w:webHidden/>
          </w:rPr>
          <w:fldChar w:fldCharType="separate"/>
        </w:r>
        <w:r>
          <w:rPr>
            <w:noProof/>
            <w:webHidden/>
          </w:rPr>
          <w:t>71</w:t>
        </w:r>
        <w:r>
          <w:rPr>
            <w:noProof/>
            <w:webHidden/>
          </w:rPr>
          <w:fldChar w:fldCharType="end"/>
        </w:r>
      </w:hyperlink>
    </w:p>
    <w:p w14:paraId="72C9835E" w14:textId="0A351633" w:rsidR="008A2403" w:rsidRDefault="008A2403">
      <w:pPr>
        <w:pStyle w:val="TOC2"/>
        <w:tabs>
          <w:tab w:val="right" w:leader="dot" w:pos="8714"/>
        </w:tabs>
        <w:rPr>
          <w:rFonts w:asciiTheme="minorHAnsi" w:eastAsiaTheme="minorEastAsia" w:hAnsiTheme="minorHAnsi" w:cstheme="minorBidi"/>
          <w:noProof/>
          <w:sz w:val="22"/>
          <w:szCs w:val="22"/>
          <w:lang w:eastAsia="en-IE"/>
        </w:rPr>
      </w:pPr>
      <w:hyperlink w:anchor="_Toc124367430" w:history="1">
        <w:r w:rsidRPr="00DF0696">
          <w:rPr>
            <w:rStyle w:val="Hyperlink"/>
            <w:bCs/>
            <w:noProof/>
            <w:lang w:val="ga"/>
          </w:rPr>
          <w:t>An Roinn Iompair</w:t>
        </w:r>
        <w:r>
          <w:rPr>
            <w:noProof/>
            <w:webHidden/>
          </w:rPr>
          <w:tab/>
        </w:r>
        <w:r>
          <w:rPr>
            <w:noProof/>
            <w:webHidden/>
          </w:rPr>
          <w:fldChar w:fldCharType="begin"/>
        </w:r>
        <w:r>
          <w:rPr>
            <w:noProof/>
            <w:webHidden/>
          </w:rPr>
          <w:instrText xml:space="preserve"> PAGEREF _Toc124367430 \h </w:instrText>
        </w:r>
        <w:r>
          <w:rPr>
            <w:noProof/>
            <w:webHidden/>
          </w:rPr>
        </w:r>
        <w:r>
          <w:rPr>
            <w:noProof/>
            <w:webHidden/>
          </w:rPr>
          <w:fldChar w:fldCharType="separate"/>
        </w:r>
        <w:r>
          <w:rPr>
            <w:noProof/>
            <w:webHidden/>
          </w:rPr>
          <w:t>73</w:t>
        </w:r>
        <w:r>
          <w:rPr>
            <w:noProof/>
            <w:webHidden/>
          </w:rPr>
          <w:fldChar w:fldCharType="end"/>
        </w:r>
      </w:hyperlink>
    </w:p>
    <w:p w14:paraId="5FBF8660" w14:textId="267A14FF" w:rsidR="00973B13" w:rsidRPr="00D51778" w:rsidRDefault="00973B13" w:rsidP="00973B13">
      <w:pPr>
        <w:rPr>
          <w:rFonts w:ascii="Gill Sans" w:hAnsi="Gill Sans"/>
        </w:rPr>
      </w:pPr>
      <w:r w:rsidRPr="00D51778">
        <w:rPr>
          <w:rFonts w:ascii="Gill Sans" w:hAnsi="Gill Sans"/>
        </w:rPr>
        <w:fldChar w:fldCharType="end"/>
      </w:r>
    </w:p>
    <w:p w14:paraId="5192EFF5" w14:textId="77777777" w:rsidR="00973B13" w:rsidRPr="00D51778"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D51778" w:rsidSect="00D316AD">
          <w:footerReference w:type="default" r:id="rId10"/>
          <w:pgSz w:w="12240" w:h="15840"/>
          <w:pgMar w:top="1418" w:right="1758" w:bottom="1418" w:left="1758" w:header="709" w:footer="709" w:gutter="0"/>
          <w:pgNumType w:start="1"/>
          <w:cols w:space="708"/>
          <w:titlePg/>
          <w:docGrid w:linePitch="360"/>
        </w:sectPr>
      </w:pPr>
    </w:p>
    <w:p w14:paraId="3241E5E8" w14:textId="77777777" w:rsidR="00973B13" w:rsidRPr="00D51778" w:rsidRDefault="00973B13" w:rsidP="00973B13">
      <w:pPr>
        <w:pStyle w:val="Heading1"/>
      </w:pPr>
      <w:bookmarkStart w:id="20" w:name="_Toc124367390"/>
      <w:r w:rsidRPr="00D51778">
        <w:rPr>
          <w:bCs/>
          <w:lang w:val="ga"/>
        </w:rPr>
        <w:lastRenderedPageBreak/>
        <w:t>Achoimre Fheidhmeach</w:t>
      </w:r>
      <w:bookmarkEnd w:id="20"/>
    </w:p>
    <w:p w14:paraId="251DB75F" w14:textId="10E96462" w:rsidR="00973B13" w:rsidRPr="00D51778" w:rsidRDefault="00E3525E" w:rsidP="005629B1">
      <w:r w:rsidRPr="00D51778">
        <w:rPr>
          <w:lang w:val="ga"/>
        </w:rPr>
        <w:t>Is í seo an séú tuarascáil bhliantúil déag ón Údarás Náisiúnta Míchumais (ÚNM) ar fhostú daoine a bhfuil míchumas orthu san earnáil phoiblí. Tá ról reachtúil ag ÚNM i bhfaireachán a dhéanamh ar fhostú daoine a bhfuil míchumas orthu san earnáil phoiblí, ar ról é a eascraíonn as Cuid 5 den Acht um Míchumas 2005.</w:t>
      </w:r>
    </w:p>
    <w:p w14:paraId="001072EF" w14:textId="1F5D5A3F" w:rsidR="00973B13" w:rsidRPr="00D51778" w:rsidRDefault="003E1B0B" w:rsidP="00973B13">
      <w:pPr>
        <w:pStyle w:val="Heading2"/>
        <w:rPr>
          <w:color w:val="000000" w:themeColor="text1"/>
        </w:rPr>
      </w:pPr>
      <w:bookmarkStart w:id="21" w:name="_Toc124367391"/>
      <w:r w:rsidRPr="00D51778">
        <w:rPr>
          <w:bCs/>
          <w:lang w:val="ga"/>
        </w:rPr>
        <w:t>Forbhreathnú ar an anailís</w:t>
      </w:r>
      <w:bookmarkEnd w:id="21"/>
      <w:r w:rsidRPr="00D51778">
        <w:rPr>
          <w:bCs/>
          <w:lang w:val="ga"/>
        </w:rPr>
        <w:t xml:space="preserve"> </w:t>
      </w:r>
    </w:p>
    <w:p w14:paraId="4DBB4FF0" w14:textId="74F1C3ED" w:rsidR="00463BA2" w:rsidRPr="00D51778" w:rsidRDefault="00246A78" w:rsidP="005629B1">
      <w:pPr>
        <w:pStyle w:val="ListBullet"/>
        <w:rPr>
          <w:color w:val="000000" w:themeColor="text1"/>
        </w:rPr>
      </w:pPr>
      <w:r w:rsidRPr="00D51778">
        <w:rPr>
          <w:lang w:val="ga"/>
        </w:rPr>
        <w:t>Ag deireadh na bliana 2021, b’ionann an líon iomlán fostaithe sna comhlachtaí iomchuí earnála poiblí agus 251,552 fhostaí. Is méadú 6,362 fhostaí (+2.6%) é sin i gcompar</w:t>
      </w:r>
      <w:r w:rsidR="008D4408">
        <w:rPr>
          <w:lang w:val="ga"/>
        </w:rPr>
        <w:t>áid le figiúirí na bliana 2020</w:t>
      </w:r>
    </w:p>
    <w:p w14:paraId="28CB6572" w14:textId="77777777" w:rsidR="00463BA2" w:rsidRPr="00D51778" w:rsidRDefault="00844979" w:rsidP="005629B1">
      <w:pPr>
        <w:pStyle w:val="ListBullet"/>
        <w:rPr>
          <w:color w:val="000000" w:themeColor="text1"/>
        </w:rPr>
      </w:pPr>
      <w:r w:rsidRPr="00D51778">
        <w:rPr>
          <w:rFonts w:cs="Arial"/>
          <w:lang w:val="ga"/>
        </w:rPr>
        <w:t xml:space="preserve">Sa bhliain 2021, b’ionann an líon fostaithe a thuairiscigh míchumas agus 9,011 fhostaí (3.6%), ar méadú 1,374 fhostaí (+18.0%) é i gcomparáid le figiúirí na bliana 2020 </w:t>
      </w:r>
    </w:p>
    <w:p w14:paraId="07D7D371" w14:textId="5B3D5603" w:rsidR="00463BA2" w:rsidRPr="00D51778" w:rsidRDefault="00463BA2" w:rsidP="005629B1">
      <w:pPr>
        <w:pStyle w:val="ListBullet"/>
        <w:rPr>
          <w:color w:val="000000" w:themeColor="text1"/>
        </w:rPr>
      </w:pPr>
      <w:r w:rsidRPr="00D51778">
        <w:rPr>
          <w:color w:val="000000" w:themeColor="text1"/>
          <w:lang w:val="ga"/>
        </w:rPr>
        <w:t xml:space="preserve">Sa bhliain 2021, rinne 186 </w:t>
      </w:r>
      <w:r w:rsidR="00C70D0C" w:rsidRPr="00D51778">
        <w:rPr>
          <w:color w:val="000000" w:themeColor="text1"/>
          <w:lang w:val="ga"/>
        </w:rPr>
        <w:t xml:space="preserve">(87.3%) </w:t>
      </w:r>
      <w:r w:rsidRPr="00D51778">
        <w:rPr>
          <w:color w:val="000000" w:themeColor="text1"/>
          <w:lang w:val="ga"/>
        </w:rPr>
        <w:t xml:space="preserve">chomhlacht phoiblí an íos-sprioc 3% a bhaint amach nó a shárú, i gcomparáid le 182 </w:t>
      </w:r>
      <w:r w:rsidR="00C70D0C" w:rsidRPr="00D51778">
        <w:rPr>
          <w:color w:val="000000" w:themeColor="text1"/>
          <w:lang w:val="ga"/>
        </w:rPr>
        <w:t xml:space="preserve">(84.7%) </w:t>
      </w:r>
      <w:r w:rsidRPr="00D51778">
        <w:rPr>
          <w:color w:val="000000" w:themeColor="text1"/>
          <w:lang w:val="ga"/>
        </w:rPr>
        <w:t>chomhlacht sa bhliain 2020.</w:t>
      </w:r>
    </w:p>
    <w:p w14:paraId="77883F4A" w14:textId="43175ED3" w:rsidR="00463BA2" w:rsidRPr="00D51778" w:rsidRDefault="00463BA2" w:rsidP="005629B1">
      <w:pPr>
        <w:pStyle w:val="ListBullet"/>
        <w:rPr>
          <w:color w:val="000000" w:themeColor="text1"/>
        </w:rPr>
      </w:pPr>
      <w:r w:rsidRPr="00D51778">
        <w:rPr>
          <w:color w:val="000000" w:themeColor="text1"/>
          <w:lang w:val="ga"/>
        </w:rPr>
        <w:t xml:space="preserve">Sa bhliain 2021, níor shroich 27 </w:t>
      </w:r>
      <w:r w:rsidR="00C70D0C" w:rsidRPr="00D51778">
        <w:rPr>
          <w:color w:val="000000" w:themeColor="text1"/>
          <w:lang w:val="ga"/>
        </w:rPr>
        <w:t xml:space="preserve">(12.7%) </w:t>
      </w:r>
      <w:r w:rsidRPr="00D51778">
        <w:rPr>
          <w:color w:val="000000" w:themeColor="text1"/>
          <w:lang w:val="ga"/>
        </w:rPr>
        <w:t>gcomhlacht phoiblí an íos-sprioc 3%, i gcomparáid le 33</w:t>
      </w:r>
      <w:r w:rsidR="00C70D0C">
        <w:rPr>
          <w:color w:val="000000" w:themeColor="text1"/>
          <w:lang w:val="ga"/>
        </w:rPr>
        <w:t xml:space="preserve"> </w:t>
      </w:r>
      <w:r w:rsidR="00C70D0C" w:rsidRPr="00D51778">
        <w:rPr>
          <w:color w:val="000000" w:themeColor="text1"/>
          <w:lang w:val="ga"/>
        </w:rPr>
        <w:t xml:space="preserve">(15.3%) </w:t>
      </w:r>
      <w:r w:rsidRPr="00D51778">
        <w:rPr>
          <w:color w:val="000000" w:themeColor="text1"/>
          <w:lang w:val="ga"/>
        </w:rPr>
        <w:t>chomhlacht p</w:t>
      </w:r>
      <w:r w:rsidR="00971024">
        <w:rPr>
          <w:color w:val="000000" w:themeColor="text1"/>
          <w:lang w:val="ga"/>
        </w:rPr>
        <w:t>h</w:t>
      </w:r>
      <w:r w:rsidRPr="00D51778">
        <w:rPr>
          <w:color w:val="000000" w:themeColor="text1"/>
          <w:lang w:val="ga"/>
        </w:rPr>
        <w:t>oiblí sa bhliain 2020</w:t>
      </w:r>
    </w:p>
    <w:p w14:paraId="7CF4AAAF" w14:textId="56806F36" w:rsidR="003E1B0B" w:rsidRPr="00D51778" w:rsidRDefault="003E1B0B" w:rsidP="005629B1">
      <w:pPr>
        <w:pStyle w:val="ListBullet"/>
        <w:rPr>
          <w:color w:val="000000" w:themeColor="text1"/>
        </w:rPr>
      </w:pPr>
      <w:r w:rsidRPr="00D51778">
        <w:rPr>
          <w:lang w:val="ga"/>
        </w:rPr>
        <w:t xml:space="preserve">Sa bhliain 2021, thuairiscigh 78 </w:t>
      </w:r>
      <w:r w:rsidR="00C70D0C" w:rsidRPr="00D51778">
        <w:rPr>
          <w:lang w:val="ga"/>
        </w:rPr>
        <w:t xml:space="preserve">(36.5%) </w:t>
      </w:r>
      <w:r w:rsidRPr="00D51778">
        <w:rPr>
          <w:lang w:val="ga"/>
        </w:rPr>
        <w:t>gcomhlacht phoiblí gur daoine a bhfuil míchumas orthu a bhí i 6% ar a laghad dá bhfostaithe. Is méadú é sin i gcomparáid leis an mbl</w:t>
      </w:r>
      <w:r w:rsidR="001A39F4">
        <w:rPr>
          <w:lang w:val="ga"/>
        </w:rPr>
        <w:t>iain 2020, inar thuairiscigh 61</w:t>
      </w:r>
      <w:r w:rsidR="00C70D0C" w:rsidRPr="00D51778">
        <w:rPr>
          <w:lang w:val="ga"/>
        </w:rPr>
        <w:t xml:space="preserve">(28.4%) </w:t>
      </w:r>
      <w:r w:rsidRPr="00D51778">
        <w:rPr>
          <w:lang w:val="ga"/>
        </w:rPr>
        <w:t>chomhlacht phoiblí gur thuairiscigh 6% ar a laghad dá bhfostaithe míchumas</w:t>
      </w:r>
    </w:p>
    <w:p w14:paraId="65824638" w14:textId="77777777" w:rsidR="00E36609" w:rsidRPr="00D51778" w:rsidRDefault="00986077" w:rsidP="005629B1">
      <w:pPr>
        <w:pStyle w:val="ListBullet"/>
        <w:rPr>
          <w:color w:val="000000" w:themeColor="text1"/>
        </w:rPr>
      </w:pPr>
      <w:r w:rsidRPr="00D51778">
        <w:rPr>
          <w:rFonts w:cs="Arial"/>
          <w:lang w:val="ga"/>
        </w:rPr>
        <w:t>Sháraigh an earnáil phoiblí ar an iomlán an íos-sprioc 3% don aonú bliain déag as a chéile.</w:t>
      </w:r>
    </w:p>
    <w:p w14:paraId="1F8C7FDA" w14:textId="1432375A" w:rsidR="00973B13" w:rsidRPr="00D51778" w:rsidRDefault="004846CB" w:rsidP="005629B1">
      <w:pPr>
        <w:pStyle w:val="ListBullet"/>
        <w:rPr>
          <w:color w:val="000000" w:themeColor="text1"/>
        </w:rPr>
      </w:pPr>
      <w:r w:rsidRPr="00D51778">
        <w:rPr>
          <w:color w:val="000000" w:themeColor="text1"/>
          <w:lang w:val="ga"/>
        </w:rPr>
        <w:t xml:space="preserve">Sa bhliain 2021, bhain ceithre cinn de na cúig chineál comhlachta phoiblí an íos-sprioc 3% amach (Comhlachtaí Tráchtála, Ranna Rialtais, Rialtas Áitiúil, agus Comhlachtaí Poiblí a bhfuil Státseirbhísigh mar fhoireann dóibh). B’ionann an staid sin agus staid na bliana 2020. </w:t>
      </w:r>
      <w:r w:rsidRPr="00D51778">
        <w:rPr>
          <w:lang w:val="ga"/>
        </w:rPr>
        <w:t xml:space="preserve"> </w:t>
      </w:r>
    </w:p>
    <w:p w14:paraId="6C118BC9" w14:textId="77777777" w:rsidR="00973B13" w:rsidRPr="00D51778" w:rsidRDefault="00973B13" w:rsidP="00E36609">
      <w:pPr>
        <w:pStyle w:val="ListBullet"/>
      </w:pPr>
      <w:r w:rsidRPr="00D51778">
        <w:rPr>
          <w:lang w:val="ga"/>
        </w:rPr>
        <w:t>Sa tuarascáil seo, catagóirítear comhlachtaí poiblí ina gceithre mhéid dhifriúla freisin:</w:t>
      </w:r>
    </w:p>
    <w:p w14:paraId="782C83B2" w14:textId="77777777" w:rsidR="00973B13" w:rsidRPr="00D51778" w:rsidRDefault="00973B13" w:rsidP="005629B1">
      <w:pPr>
        <w:pStyle w:val="ListBullet2"/>
      </w:pPr>
      <w:r w:rsidRPr="00D51778">
        <w:rPr>
          <w:lang w:val="ga"/>
        </w:rPr>
        <w:t>0-99 fostaí</w:t>
      </w:r>
    </w:p>
    <w:p w14:paraId="5EC5303C" w14:textId="77777777" w:rsidR="00973B13" w:rsidRPr="00D51778" w:rsidRDefault="00973B13" w:rsidP="005629B1">
      <w:pPr>
        <w:pStyle w:val="ListBullet2"/>
      </w:pPr>
      <w:r w:rsidRPr="00D51778">
        <w:rPr>
          <w:lang w:val="ga"/>
        </w:rPr>
        <w:t>100-999 fostaí</w:t>
      </w:r>
    </w:p>
    <w:p w14:paraId="4DD84F47" w14:textId="77777777" w:rsidR="00973B13" w:rsidRPr="00D51778" w:rsidRDefault="00973B13" w:rsidP="005629B1">
      <w:pPr>
        <w:pStyle w:val="ListBullet2"/>
      </w:pPr>
      <w:r w:rsidRPr="00D51778">
        <w:rPr>
          <w:lang w:val="ga"/>
        </w:rPr>
        <w:t>1000-4,999 fostaí</w:t>
      </w:r>
    </w:p>
    <w:p w14:paraId="7E663CB1" w14:textId="77777777" w:rsidR="00973B13" w:rsidRPr="00D51778" w:rsidRDefault="00973B13" w:rsidP="005629B1">
      <w:pPr>
        <w:pStyle w:val="ListBullet2"/>
      </w:pPr>
      <w:r w:rsidRPr="00D51778">
        <w:rPr>
          <w:lang w:val="ga"/>
        </w:rPr>
        <w:t>5,000 fostaí nó níos mó.</w:t>
      </w:r>
    </w:p>
    <w:p w14:paraId="6EA3E65A" w14:textId="47F2FB07" w:rsidR="00064C9A" w:rsidRPr="005629B1" w:rsidRDefault="00FD140B" w:rsidP="007E02F0">
      <w:pPr>
        <w:ind w:left="357"/>
        <w:rPr>
          <w:rFonts w:ascii="Gill Sans" w:hAnsi="Gill Sans"/>
        </w:rPr>
      </w:pPr>
      <w:r w:rsidRPr="005629B1">
        <w:t>Sa bhliain 2021, rinne trí cinn de na ceithre chatagóir méide an íos-sprioc 3% a chomhlíonadh nó a shárú. B’ionann an figiúr sin agus figiúr na bliana 2020. Sa dá bhliain sin, níorbh ann ach do chomhlacht poiblí amháin, mar a bhí</w:t>
      </w:r>
      <w:r w:rsidRPr="00D51778">
        <w:rPr>
          <w:color w:val="000000" w:themeColor="text1"/>
          <w:lang w:val="ga"/>
        </w:rPr>
        <w:t xml:space="preserve"> </w:t>
      </w:r>
      <w:r w:rsidRPr="005629B1">
        <w:lastRenderedPageBreak/>
        <w:t>Feidhmeannacht na Seirbhíse Sláinte (FSS), nár chomhlíon an íos-sprioc 3% sa chatagóir um chomhlachtaí poiblí a bhfuil 5,000 fostaí nó níos mó acu.</w:t>
      </w:r>
    </w:p>
    <w:p w14:paraId="2966571F" w14:textId="2BF4EFE5" w:rsidR="00973B13" w:rsidRPr="00D51778" w:rsidRDefault="00973B13" w:rsidP="00973B13">
      <w:pPr>
        <w:pStyle w:val="Heading2"/>
      </w:pPr>
      <w:bookmarkStart w:id="22" w:name="_Toc124367392"/>
      <w:r w:rsidRPr="00D51778">
        <w:rPr>
          <w:bCs/>
          <w:lang w:val="ga"/>
        </w:rPr>
        <w:t>Feidhmeannacht na Seirbhíse Sláinte (FSS)</w:t>
      </w:r>
      <w:bookmarkEnd w:id="22"/>
      <w:r w:rsidRPr="00D51778">
        <w:rPr>
          <w:bCs/>
          <w:lang w:val="ga"/>
        </w:rPr>
        <w:t xml:space="preserve"> </w:t>
      </w:r>
    </w:p>
    <w:p w14:paraId="5629184D" w14:textId="0FC5CBC1" w:rsidR="00973B13" w:rsidRPr="00D51778" w:rsidRDefault="00973B13" w:rsidP="005629B1">
      <w:pPr>
        <w:rPr>
          <w:color w:val="000000" w:themeColor="text1"/>
        </w:rPr>
      </w:pPr>
      <w:r w:rsidRPr="00D51778">
        <w:rPr>
          <w:lang w:val="ga"/>
        </w:rPr>
        <w:t xml:space="preserve">Is é FSS an comhlacht is mó san earnáil phoiblí. Sa bhliain 2021, thuairiscigh an comhlacht poiblí sin méadú +4,063 fhostaí ina líon fostaithe, ó 92,612 fhostaí sa bhliain 2020 go 96,675 fhostaí sa bhliain 2021. </w:t>
      </w:r>
      <w:r w:rsidRPr="00D51778">
        <w:rPr>
          <w:color w:val="000000" w:themeColor="text1"/>
          <w:lang w:val="ga"/>
        </w:rPr>
        <w:t xml:space="preserve">Chomh maith leis sin, thuairiscigh an comhlacht poiblí sin méadú idir an bhliain 2020 agus an bhliain 2021 sa líon fostaithe (+994 fhostaí), agus sa chéatadán d’fhostaithe (+1.9%), a thuairiscigh míchumas. Sa bhliain 2020, thuairiscigh 514 fhostaí (0.6%) míchumas. Sa bhliain 2021, tháinig méadú ar an bhfigiúr sin go 1,508 bhfostaí (1.6%). Tá áthas ar ÚNM an méadú sin sa líon fostaithe, agus sa chéatadán d’fhostaithe, a thuairiscigh míchumas a thabhairt dá aire. </w:t>
      </w:r>
    </w:p>
    <w:p w14:paraId="3F4FD370" w14:textId="77777777" w:rsidR="00973B13" w:rsidRPr="00D51778" w:rsidRDefault="00973B13" w:rsidP="00973B13">
      <w:pPr>
        <w:pStyle w:val="Heading3"/>
      </w:pPr>
      <w:r w:rsidRPr="00D51778">
        <w:rPr>
          <w:bCs/>
          <w:lang w:val="ga"/>
        </w:rPr>
        <w:t>Idirchaidreamh ÚNM le FSS</w:t>
      </w:r>
    </w:p>
    <w:p w14:paraId="746F39F0" w14:textId="5B9A5261" w:rsidR="00973B13" w:rsidRPr="00D51778" w:rsidRDefault="00973B13" w:rsidP="005629B1">
      <w:r w:rsidRPr="00D51778">
        <w:rPr>
          <w:lang w:val="ga"/>
        </w:rPr>
        <w:t>Tá ÚNM ag cur comhairle ar FSS arís agus arís eile maidir le bearta a d’fhéadfadh sé a chur chun feidhme chun forbairt a dhéanamh ar phróisis bhailithe sonraí ar féidir leo a léiriú go cruinn cén tionchar atá ag na bearta atá á ndéanamh ag an gcomhlacht poiblí sin chun timpeallacht chuimsitheach oibre a chruthú, ar timpeallacht í ina measann fostaithe go bhfaigheann siad tacaíocht le linn dóibh a stádas míchumais a chur in iúl agus ina ndéantar earcú agus coinneáil daoine a bhfuil míchumas orthu a chur chun cinn agus a chur ar aghaidh freisin.</w:t>
      </w:r>
    </w:p>
    <w:p w14:paraId="2BF3F14F" w14:textId="265882E8" w:rsidR="00177FE8" w:rsidRPr="00D51778" w:rsidRDefault="00973B13" w:rsidP="005629B1">
      <w:r w:rsidRPr="00D51778">
        <w:rPr>
          <w:color w:val="000000" w:themeColor="text1"/>
          <w:lang w:val="ga"/>
        </w:rPr>
        <w:t>I mí an Mheithimh 2020, thionscain ÚNM próiseas straitéiseach idirchaidrimh le foireann ainmnithe a ceapadh in FSS chun díriú ar fheabhas a chur ar fheidhmíocht an chomhlachta phoiblí sin faoi Chuid 5, agus tá sé ag glacadh páirt sa phróiseas sin ón uair sin i leith.</w:t>
      </w:r>
      <w:r w:rsidRPr="00D51778">
        <w:rPr>
          <w:lang w:val="ga"/>
        </w:rPr>
        <w:t xml:space="preserve"> Bhí sraith cruinnithe táirgiúla ag ÚNM le FSS mar chuid dár bpróiseas um idirchaidreamh marthanach leis an gcomhlacht poiblí sin. </w:t>
      </w:r>
    </w:p>
    <w:p w14:paraId="42E50F00" w14:textId="059F8C9F" w:rsidR="007E02F0" w:rsidRDefault="00CD7485" w:rsidP="005629B1">
      <w:pPr>
        <w:rPr>
          <w:lang w:val="ga"/>
        </w:rPr>
      </w:pPr>
      <w:r w:rsidRPr="00D51778">
        <w:rPr>
          <w:lang w:val="ga"/>
        </w:rPr>
        <w:t>Tugann ÚNM dá aire go bhfuil dul chun cinn á dhéanamh ag FSS ar na hoibleagáidí atá air faoi Chuid 5 a chomhlíonadh. Sna blianta 2020 agus 2021, thosaigh an comhlacht poiblí sin ag tuairisciú méadú beag sa líon fostaithe, agus sa chéatadán d’fhostaithe, a thuairiscigh míchumas. Achoimrítear i dTábla 1 thíos feidhmíocht FSS ón mbliain 2018 go dtí an bhliain 2021 chun an feabhsú ar fheidhmíocht an chomhlachta phoiblí sin le dhá bhliain anuas a thaispeáint.</w:t>
      </w:r>
    </w:p>
    <w:p w14:paraId="54E26329" w14:textId="77777777" w:rsidR="007E02F0" w:rsidRDefault="007E02F0">
      <w:pPr>
        <w:spacing w:after="0"/>
        <w:rPr>
          <w:lang w:val="ga"/>
        </w:rPr>
      </w:pPr>
      <w:r>
        <w:rPr>
          <w:lang w:val="ga"/>
        </w:rPr>
        <w:br w:type="page"/>
      </w:r>
    </w:p>
    <w:p w14:paraId="52E1F3B5" w14:textId="4F24D945" w:rsidR="00DC1609" w:rsidRPr="00D51778" w:rsidRDefault="00A90D29" w:rsidP="000E613B">
      <w:pPr>
        <w:pStyle w:val="TableTitle"/>
      </w:pPr>
      <w:r w:rsidRPr="00D51778">
        <w:rPr>
          <w:bCs/>
          <w:lang w:val="ga"/>
        </w:rPr>
        <w:lastRenderedPageBreak/>
        <w:t>Tábla 1. Achoimre ar fheidhmíocht FSS, 2018 – 2021</w:t>
      </w:r>
    </w:p>
    <w:tbl>
      <w:tblPr>
        <w:tblW w:w="8640"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28"/>
        <w:gridCol w:w="1728"/>
        <w:gridCol w:w="1728"/>
        <w:gridCol w:w="1728"/>
        <w:gridCol w:w="1728"/>
      </w:tblGrid>
      <w:tr w:rsidR="000E613B" w:rsidRPr="00D51778" w14:paraId="72578E51" w14:textId="77777777" w:rsidTr="000E613B">
        <w:trPr>
          <w:tblHeader/>
        </w:trPr>
        <w:tc>
          <w:tcPr>
            <w:tcW w:w="1728" w:type="dxa"/>
            <w:tcBorders>
              <w:bottom w:val="single" w:sz="12" w:space="0" w:color="000000"/>
            </w:tcBorders>
          </w:tcPr>
          <w:p w14:paraId="209A1F92" w14:textId="77777777" w:rsidR="000E613B" w:rsidRPr="00D51778" w:rsidRDefault="000E613B" w:rsidP="000E613B">
            <w:pPr>
              <w:pStyle w:val="TableHead"/>
              <w:jc w:val="right"/>
            </w:pPr>
          </w:p>
        </w:tc>
        <w:tc>
          <w:tcPr>
            <w:tcW w:w="1728" w:type="dxa"/>
            <w:tcBorders>
              <w:bottom w:val="single" w:sz="12" w:space="0" w:color="000000"/>
            </w:tcBorders>
          </w:tcPr>
          <w:p w14:paraId="53B9D950" w14:textId="253986E1" w:rsidR="000E613B" w:rsidRPr="00D51778" w:rsidRDefault="000E613B" w:rsidP="000E613B">
            <w:pPr>
              <w:pStyle w:val="TableHead"/>
              <w:jc w:val="right"/>
              <w:rPr>
                <w:sz w:val="22"/>
                <w:szCs w:val="22"/>
              </w:rPr>
            </w:pPr>
            <w:r w:rsidRPr="00D51778">
              <w:rPr>
                <w:bCs/>
                <w:sz w:val="22"/>
                <w:szCs w:val="22"/>
                <w:lang w:val="ga"/>
              </w:rPr>
              <w:t>2018</w:t>
            </w:r>
          </w:p>
        </w:tc>
        <w:tc>
          <w:tcPr>
            <w:tcW w:w="1728" w:type="dxa"/>
            <w:tcBorders>
              <w:bottom w:val="single" w:sz="12" w:space="0" w:color="000000"/>
            </w:tcBorders>
          </w:tcPr>
          <w:p w14:paraId="1BD2B186" w14:textId="1738C439" w:rsidR="000E613B" w:rsidRPr="00D51778" w:rsidRDefault="00B21969" w:rsidP="000E613B">
            <w:pPr>
              <w:pStyle w:val="TableHead"/>
              <w:jc w:val="right"/>
              <w:rPr>
                <w:sz w:val="22"/>
                <w:szCs w:val="22"/>
              </w:rPr>
            </w:pPr>
            <w:r w:rsidRPr="00D51778">
              <w:rPr>
                <w:bCs/>
                <w:sz w:val="22"/>
                <w:szCs w:val="22"/>
                <w:lang w:val="ga"/>
              </w:rPr>
              <w:t>2019</w:t>
            </w:r>
          </w:p>
        </w:tc>
        <w:tc>
          <w:tcPr>
            <w:tcW w:w="1728" w:type="dxa"/>
            <w:tcBorders>
              <w:bottom w:val="single" w:sz="12" w:space="0" w:color="000000"/>
            </w:tcBorders>
          </w:tcPr>
          <w:p w14:paraId="7CF124E3" w14:textId="53A0AF3D" w:rsidR="000E613B" w:rsidRPr="00D51778" w:rsidRDefault="00B21969" w:rsidP="000E613B">
            <w:pPr>
              <w:pStyle w:val="TableHead"/>
              <w:jc w:val="right"/>
              <w:rPr>
                <w:sz w:val="22"/>
                <w:szCs w:val="22"/>
              </w:rPr>
            </w:pPr>
            <w:r w:rsidRPr="00D51778">
              <w:rPr>
                <w:bCs/>
                <w:sz w:val="22"/>
                <w:szCs w:val="22"/>
                <w:lang w:val="ga"/>
              </w:rPr>
              <w:t>2020</w:t>
            </w:r>
          </w:p>
        </w:tc>
        <w:tc>
          <w:tcPr>
            <w:tcW w:w="1728" w:type="dxa"/>
            <w:tcBorders>
              <w:bottom w:val="single" w:sz="12" w:space="0" w:color="000000"/>
            </w:tcBorders>
          </w:tcPr>
          <w:p w14:paraId="4A21160B" w14:textId="64614230" w:rsidR="000E613B" w:rsidRPr="00D51778" w:rsidRDefault="00B21969" w:rsidP="000E613B">
            <w:pPr>
              <w:pStyle w:val="TableHead"/>
              <w:jc w:val="right"/>
              <w:rPr>
                <w:sz w:val="22"/>
                <w:szCs w:val="22"/>
              </w:rPr>
            </w:pPr>
            <w:r w:rsidRPr="00D51778">
              <w:rPr>
                <w:bCs/>
                <w:sz w:val="22"/>
                <w:szCs w:val="22"/>
                <w:lang w:val="ga"/>
              </w:rPr>
              <w:t>2021</w:t>
            </w:r>
          </w:p>
        </w:tc>
      </w:tr>
      <w:tr w:rsidR="00705309" w:rsidRPr="00D51778" w14:paraId="27E10E67" w14:textId="77777777" w:rsidTr="000E613B">
        <w:tc>
          <w:tcPr>
            <w:tcW w:w="1728" w:type="dxa"/>
            <w:tcBorders>
              <w:top w:val="single" w:sz="12" w:space="0" w:color="000000"/>
            </w:tcBorders>
          </w:tcPr>
          <w:p w14:paraId="23FBAFF7" w14:textId="157A4FFE" w:rsidR="00705309" w:rsidRPr="00D51778" w:rsidRDefault="00705309" w:rsidP="00705309">
            <w:pPr>
              <w:spacing w:after="0"/>
              <w:rPr>
                <w:b/>
                <w:sz w:val="22"/>
                <w:szCs w:val="22"/>
              </w:rPr>
            </w:pPr>
            <w:r w:rsidRPr="00D51778">
              <w:rPr>
                <w:b/>
                <w:bCs/>
                <w:sz w:val="22"/>
                <w:szCs w:val="22"/>
                <w:lang w:val="ga"/>
              </w:rPr>
              <w:t>An líon iomlán fostaithe</w:t>
            </w:r>
          </w:p>
        </w:tc>
        <w:tc>
          <w:tcPr>
            <w:tcW w:w="1728" w:type="dxa"/>
            <w:tcBorders>
              <w:top w:val="single" w:sz="12" w:space="0" w:color="000000"/>
            </w:tcBorders>
          </w:tcPr>
          <w:p w14:paraId="099A57FF" w14:textId="3A20201F" w:rsidR="00705309" w:rsidRPr="00D51778" w:rsidRDefault="00705309" w:rsidP="00705309">
            <w:pPr>
              <w:pStyle w:val="TableCell"/>
              <w:jc w:val="right"/>
            </w:pPr>
            <w:r w:rsidRPr="00D51778">
              <w:rPr>
                <w:rFonts w:cs="Arial"/>
                <w:sz w:val="22"/>
                <w:szCs w:val="22"/>
                <w:lang w:val="ga"/>
              </w:rPr>
              <w:t>87,821</w:t>
            </w:r>
          </w:p>
        </w:tc>
        <w:tc>
          <w:tcPr>
            <w:tcW w:w="1728" w:type="dxa"/>
            <w:tcBorders>
              <w:top w:val="single" w:sz="12" w:space="0" w:color="000000"/>
            </w:tcBorders>
          </w:tcPr>
          <w:p w14:paraId="012E8D22" w14:textId="713CEBCC" w:rsidR="00705309" w:rsidRPr="00D51778" w:rsidRDefault="00705309" w:rsidP="00705309">
            <w:pPr>
              <w:pStyle w:val="TableCell"/>
              <w:jc w:val="right"/>
            </w:pPr>
            <w:r w:rsidRPr="00D51778">
              <w:rPr>
                <w:rFonts w:cs="Arial"/>
                <w:sz w:val="22"/>
                <w:szCs w:val="22"/>
                <w:lang w:val="ga"/>
              </w:rPr>
              <w:t>88,215</w:t>
            </w:r>
          </w:p>
        </w:tc>
        <w:tc>
          <w:tcPr>
            <w:tcW w:w="1728" w:type="dxa"/>
            <w:tcBorders>
              <w:top w:val="single" w:sz="12" w:space="0" w:color="000000"/>
            </w:tcBorders>
          </w:tcPr>
          <w:p w14:paraId="0866A63D" w14:textId="24D27464" w:rsidR="00705309" w:rsidRPr="00D51778" w:rsidRDefault="00705309" w:rsidP="00705309">
            <w:pPr>
              <w:spacing w:after="0"/>
              <w:jc w:val="right"/>
              <w:rPr>
                <w:rFonts w:cs="Calibri"/>
                <w:color w:val="000000"/>
                <w:sz w:val="22"/>
                <w:szCs w:val="22"/>
              </w:rPr>
            </w:pPr>
            <w:r w:rsidRPr="00D51778">
              <w:rPr>
                <w:rFonts w:cs="Calibri"/>
                <w:color w:val="000000"/>
                <w:sz w:val="22"/>
                <w:szCs w:val="22"/>
                <w:lang w:val="ga"/>
              </w:rPr>
              <w:t>92,612</w:t>
            </w:r>
          </w:p>
          <w:p w14:paraId="71E90D5E" w14:textId="77777777" w:rsidR="00705309" w:rsidRPr="00D51778" w:rsidRDefault="00705309" w:rsidP="00705309">
            <w:pPr>
              <w:pStyle w:val="TableCell"/>
              <w:jc w:val="right"/>
            </w:pPr>
          </w:p>
        </w:tc>
        <w:tc>
          <w:tcPr>
            <w:tcW w:w="1728" w:type="dxa"/>
            <w:tcBorders>
              <w:top w:val="single" w:sz="12" w:space="0" w:color="000000"/>
            </w:tcBorders>
          </w:tcPr>
          <w:p w14:paraId="397B020D" w14:textId="788CB7AC" w:rsidR="00705309" w:rsidRPr="00D51778" w:rsidRDefault="00705309" w:rsidP="00705309">
            <w:pPr>
              <w:spacing w:after="0"/>
              <w:jc w:val="right"/>
              <w:rPr>
                <w:rFonts w:cs="Calibri"/>
                <w:color w:val="000000"/>
                <w:sz w:val="22"/>
                <w:szCs w:val="22"/>
              </w:rPr>
            </w:pPr>
            <w:r w:rsidRPr="00D51778">
              <w:rPr>
                <w:rFonts w:cs="Calibri"/>
                <w:color w:val="000000"/>
                <w:sz w:val="22"/>
                <w:szCs w:val="22"/>
                <w:lang w:val="ga"/>
              </w:rPr>
              <w:t>96,675</w:t>
            </w:r>
          </w:p>
          <w:p w14:paraId="14B2BBF3" w14:textId="77777777" w:rsidR="00705309" w:rsidRPr="00D51778" w:rsidRDefault="00705309" w:rsidP="00705309">
            <w:pPr>
              <w:pStyle w:val="TableCell"/>
              <w:jc w:val="right"/>
            </w:pPr>
          </w:p>
        </w:tc>
      </w:tr>
      <w:tr w:rsidR="00705309" w:rsidRPr="00D51778" w14:paraId="6E83EAB1" w14:textId="77777777" w:rsidTr="000E613B">
        <w:tc>
          <w:tcPr>
            <w:tcW w:w="1728" w:type="dxa"/>
          </w:tcPr>
          <w:p w14:paraId="7FF256F0" w14:textId="53C046A8" w:rsidR="00705309" w:rsidRPr="00D51778" w:rsidRDefault="00705309" w:rsidP="00705309">
            <w:pPr>
              <w:spacing w:after="0"/>
              <w:rPr>
                <w:b/>
                <w:sz w:val="22"/>
                <w:szCs w:val="22"/>
              </w:rPr>
            </w:pPr>
            <w:r w:rsidRPr="00D51778">
              <w:rPr>
                <w:b/>
                <w:bCs/>
                <w:sz w:val="22"/>
                <w:szCs w:val="22"/>
                <w:lang w:val="ga"/>
              </w:rPr>
              <w:t>An líon fostaithe, agus an % d’fhostaithe, a thuairiscigh míchumas</w:t>
            </w:r>
          </w:p>
        </w:tc>
        <w:tc>
          <w:tcPr>
            <w:tcW w:w="1728" w:type="dxa"/>
          </w:tcPr>
          <w:p w14:paraId="0EFE2702" w14:textId="5843B594" w:rsidR="00705309" w:rsidRPr="00D51778" w:rsidRDefault="00705309" w:rsidP="00705309">
            <w:pPr>
              <w:pStyle w:val="TableCell"/>
              <w:jc w:val="right"/>
            </w:pPr>
            <w:r w:rsidRPr="00D51778">
              <w:rPr>
                <w:rFonts w:cs="Arial"/>
                <w:sz w:val="22"/>
                <w:szCs w:val="22"/>
                <w:lang w:val="ga"/>
              </w:rPr>
              <w:t>1,176 (1.3%)</w:t>
            </w:r>
          </w:p>
        </w:tc>
        <w:tc>
          <w:tcPr>
            <w:tcW w:w="1728" w:type="dxa"/>
          </w:tcPr>
          <w:p w14:paraId="472B27E8" w14:textId="64EA3EF1" w:rsidR="00705309" w:rsidRPr="00D51778" w:rsidRDefault="00705309" w:rsidP="00705309">
            <w:pPr>
              <w:pStyle w:val="TableCell"/>
              <w:jc w:val="right"/>
            </w:pPr>
            <w:r w:rsidRPr="00D51778">
              <w:rPr>
                <w:color w:val="000000"/>
                <w:sz w:val="22"/>
                <w:szCs w:val="22"/>
                <w:lang w:val="ga"/>
              </w:rPr>
              <w:t>464 (0.5%)</w:t>
            </w:r>
          </w:p>
        </w:tc>
        <w:tc>
          <w:tcPr>
            <w:tcW w:w="1728" w:type="dxa"/>
          </w:tcPr>
          <w:p w14:paraId="7640E9B4" w14:textId="68F4F266" w:rsidR="00705309" w:rsidRPr="00D51778" w:rsidRDefault="00705309" w:rsidP="00705309">
            <w:pPr>
              <w:spacing w:after="0"/>
              <w:jc w:val="right"/>
              <w:rPr>
                <w:rFonts w:cs="Calibri"/>
                <w:color w:val="000000"/>
                <w:sz w:val="22"/>
                <w:szCs w:val="22"/>
              </w:rPr>
            </w:pPr>
            <w:r w:rsidRPr="00D51778">
              <w:rPr>
                <w:rFonts w:cs="Calibri"/>
                <w:color w:val="000000"/>
                <w:sz w:val="22"/>
                <w:szCs w:val="22"/>
                <w:lang w:val="ga"/>
              </w:rPr>
              <w:t>514 (0.6%)</w:t>
            </w:r>
          </w:p>
          <w:p w14:paraId="5DA6C140" w14:textId="77777777" w:rsidR="00705309" w:rsidRPr="00D51778" w:rsidRDefault="00705309" w:rsidP="00705309">
            <w:pPr>
              <w:pStyle w:val="TableCell"/>
              <w:jc w:val="right"/>
            </w:pPr>
          </w:p>
        </w:tc>
        <w:tc>
          <w:tcPr>
            <w:tcW w:w="1728" w:type="dxa"/>
          </w:tcPr>
          <w:p w14:paraId="22437619" w14:textId="401321E4" w:rsidR="00705309" w:rsidRPr="00D51778" w:rsidRDefault="00705309" w:rsidP="00705309">
            <w:pPr>
              <w:spacing w:after="0"/>
              <w:jc w:val="right"/>
              <w:rPr>
                <w:rFonts w:cs="Calibri"/>
                <w:color w:val="000000"/>
                <w:sz w:val="22"/>
                <w:szCs w:val="22"/>
              </w:rPr>
            </w:pPr>
            <w:r w:rsidRPr="00D51778">
              <w:rPr>
                <w:rFonts w:cs="Calibri"/>
                <w:color w:val="000000"/>
                <w:sz w:val="22"/>
                <w:szCs w:val="22"/>
                <w:lang w:val="ga"/>
              </w:rPr>
              <w:t>1,508 (1.6%)</w:t>
            </w:r>
          </w:p>
          <w:p w14:paraId="6150A983" w14:textId="77777777" w:rsidR="00705309" w:rsidRPr="00D51778" w:rsidRDefault="00705309" w:rsidP="00705309">
            <w:pPr>
              <w:pStyle w:val="TableCell"/>
              <w:jc w:val="right"/>
            </w:pPr>
          </w:p>
        </w:tc>
      </w:tr>
    </w:tbl>
    <w:p w14:paraId="340E5EB8" w14:textId="63A435C9" w:rsidR="000E613B" w:rsidRPr="00D51778" w:rsidRDefault="000E613B" w:rsidP="00675088">
      <w:pPr>
        <w:pStyle w:val="TableNote"/>
        <w:spacing w:after="0"/>
        <w:jc w:val="left"/>
      </w:pPr>
    </w:p>
    <w:p w14:paraId="56A66EDA" w14:textId="69358308" w:rsidR="00973B13" w:rsidRPr="00D51778" w:rsidRDefault="00675088" w:rsidP="005629B1">
      <w:r w:rsidRPr="00D51778">
        <w:rPr>
          <w:lang w:val="ga"/>
        </w:rPr>
        <w:t>Sa bhliain atá imithe thart, thug ÚNM comhairle do FSS maidir le roinnt príomh-mhíreanna. Áiríodh leo sin an Creat um Éagsúlacht, Comhionannas agus Cuimsiú ó FSS. Táthar dóchasach go gcuirfidh FSS feabhas ar a fheidhmíocht faoi Chuid 5 den Acht um Míchumas 2005, agus leas á bhaint aige as tacaíocht leantach ó ÚNM.</w:t>
      </w:r>
    </w:p>
    <w:p w14:paraId="5C34BE32" w14:textId="18E53E8A" w:rsidR="00A71D44" w:rsidRPr="00D51778" w:rsidRDefault="00870EBF" w:rsidP="00A71D44">
      <w:pPr>
        <w:pStyle w:val="Heading2"/>
      </w:pPr>
      <w:bookmarkStart w:id="23" w:name="_Toc124367393"/>
      <w:r w:rsidRPr="00D51778">
        <w:rPr>
          <w:bCs/>
          <w:lang w:val="ga"/>
        </w:rPr>
        <w:t>Athruithe i bhfigiúirí na gcomhlachtaí poiblí</w:t>
      </w:r>
      <w:bookmarkEnd w:id="23"/>
    </w:p>
    <w:p w14:paraId="483B4CAF" w14:textId="35853197" w:rsidR="00A71D44" w:rsidRPr="00D51778" w:rsidRDefault="00A71D44" w:rsidP="005629B1">
      <w:r w:rsidRPr="00D51778">
        <w:rPr>
          <w:lang w:val="ga"/>
        </w:rPr>
        <w:t>Is féidir leis an líon iomlán fostaithe agus leis an líon fostaithe, agus leis an gcéatadán d’fhostaithe, a thuairiscigh míchumas i gcomhlacht poiblí athrú ó bhliain go bliain. Tarlaíonn na hathruithe sin ar a lán cúiseanna, agus mionsonraítear roinnt samplaí i dTábla 2.</w:t>
      </w:r>
    </w:p>
    <w:p w14:paraId="7A72B861" w14:textId="07683ABA" w:rsidR="00041B93" w:rsidRPr="00D51778" w:rsidRDefault="00961DC1" w:rsidP="00041B93">
      <w:pPr>
        <w:pStyle w:val="TableTitle"/>
      </w:pPr>
      <w:r w:rsidRPr="00D51778">
        <w:rPr>
          <w:bCs/>
          <w:lang w:val="ga"/>
        </w:rPr>
        <w:lastRenderedPageBreak/>
        <w:t xml:space="preserve">Tábla 2. Athruithe i bhfigiúirí na gcomhlachtaí poiblí </w:t>
      </w:r>
    </w:p>
    <w:tbl>
      <w:tblPr>
        <w:tblW w:w="11341"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18"/>
        <w:gridCol w:w="1134"/>
        <w:gridCol w:w="1559"/>
        <w:gridCol w:w="1418"/>
        <w:gridCol w:w="1559"/>
        <w:gridCol w:w="1559"/>
        <w:gridCol w:w="2694"/>
      </w:tblGrid>
      <w:tr w:rsidR="00C312D0" w:rsidRPr="00D51778" w14:paraId="453F1426" w14:textId="77777777" w:rsidTr="00B05A2D">
        <w:trPr>
          <w:tblHeader/>
        </w:trPr>
        <w:tc>
          <w:tcPr>
            <w:tcW w:w="1418" w:type="dxa"/>
            <w:tcBorders>
              <w:bottom w:val="single" w:sz="12" w:space="0" w:color="000000"/>
            </w:tcBorders>
          </w:tcPr>
          <w:p w14:paraId="19D26FEC" w14:textId="299A1495" w:rsidR="00C312D0" w:rsidRPr="00D51778" w:rsidRDefault="00C312D0" w:rsidP="00C312D0">
            <w:pPr>
              <w:pStyle w:val="TableHead"/>
              <w:rPr>
                <w:sz w:val="20"/>
                <w:szCs w:val="20"/>
              </w:rPr>
            </w:pPr>
            <w:r w:rsidRPr="00D51778">
              <w:rPr>
                <w:bCs/>
                <w:sz w:val="20"/>
                <w:szCs w:val="20"/>
                <w:lang w:val="ga"/>
              </w:rPr>
              <w:t xml:space="preserve">Comhlacht poiblí </w:t>
            </w:r>
          </w:p>
        </w:tc>
        <w:tc>
          <w:tcPr>
            <w:tcW w:w="1134" w:type="dxa"/>
            <w:tcBorders>
              <w:bottom w:val="single" w:sz="12" w:space="0" w:color="000000"/>
            </w:tcBorders>
          </w:tcPr>
          <w:p w14:paraId="391C7106" w14:textId="7296D2EA" w:rsidR="00C312D0" w:rsidRPr="00D51778" w:rsidRDefault="00C312D0" w:rsidP="00C312D0">
            <w:pPr>
              <w:pStyle w:val="TableHead"/>
              <w:rPr>
                <w:sz w:val="20"/>
                <w:szCs w:val="20"/>
              </w:rPr>
            </w:pPr>
            <w:r w:rsidRPr="00D51778">
              <w:rPr>
                <w:bCs/>
                <w:sz w:val="20"/>
                <w:szCs w:val="20"/>
                <w:lang w:val="ga"/>
              </w:rPr>
              <w:t>An líon iomlán fostaithe 2020</w:t>
            </w:r>
          </w:p>
        </w:tc>
        <w:tc>
          <w:tcPr>
            <w:tcW w:w="1559" w:type="dxa"/>
            <w:tcBorders>
              <w:bottom w:val="single" w:sz="12" w:space="0" w:color="000000"/>
            </w:tcBorders>
          </w:tcPr>
          <w:p w14:paraId="1F266028" w14:textId="77777777" w:rsidR="00C312D0" w:rsidRPr="00D51778" w:rsidRDefault="00C312D0" w:rsidP="00C312D0">
            <w:pPr>
              <w:pStyle w:val="TableHead"/>
              <w:rPr>
                <w:sz w:val="20"/>
                <w:szCs w:val="20"/>
              </w:rPr>
            </w:pPr>
            <w:r w:rsidRPr="00D51778">
              <w:rPr>
                <w:bCs/>
                <w:sz w:val="20"/>
                <w:szCs w:val="20"/>
                <w:lang w:val="ga"/>
              </w:rPr>
              <w:t>An líon fostaithe, agus an % d’fhostaithe, a thuairiscigh míchumas</w:t>
            </w:r>
          </w:p>
          <w:p w14:paraId="1328C72D" w14:textId="1E43AFD5" w:rsidR="00C312D0" w:rsidRPr="00D51778" w:rsidRDefault="00C312D0" w:rsidP="00C312D0">
            <w:pPr>
              <w:pStyle w:val="TableHead"/>
              <w:rPr>
                <w:sz w:val="20"/>
                <w:szCs w:val="20"/>
              </w:rPr>
            </w:pPr>
            <w:r w:rsidRPr="00D51778">
              <w:rPr>
                <w:bCs/>
                <w:sz w:val="20"/>
                <w:szCs w:val="20"/>
                <w:lang w:val="ga"/>
              </w:rPr>
              <w:t xml:space="preserve"> 2020</w:t>
            </w:r>
          </w:p>
        </w:tc>
        <w:tc>
          <w:tcPr>
            <w:tcW w:w="1418" w:type="dxa"/>
            <w:tcBorders>
              <w:bottom w:val="single" w:sz="12" w:space="0" w:color="000000"/>
            </w:tcBorders>
          </w:tcPr>
          <w:p w14:paraId="1E6DD494" w14:textId="25BD34EE" w:rsidR="00C312D0" w:rsidRPr="00D51778" w:rsidRDefault="00C312D0" w:rsidP="00C312D0">
            <w:pPr>
              <w:pStyle w:val="TableHead"/>
              <w:rPr>
                <w:sz w:val="20"/>
                <w:szCs w:val="20"/>
              </w:rPr>
            </w:pPr>
            <w:r w:rsidRPr="00D51778">
              <w:rPr>
                <w:bCs/>
                <w:sz w:val="20"/>
                <w:szCs w:val="20"/>
                <w:lang w:val="ga"/>
              </w:rPr>
              <w:t>An líon iomlán fostaithe 2021</w:t>
            </w:r>
          </w:p>
        </w:tc>
        <w:tc>
          <w:tcPr>
            <w:tcW w:w="1559" w:type="dxa"/>
            <w:tcBorders>
              <w:bottom w:val="single" w:sz="12" w:space="0" w:color="000000"/>
            </w:tcBorders>
          </w:tcPr>
          <w:p w14:paraId="7680F353" w14:textId="66A44AED" w:rsidR="00C312D0" w:rsidRPr="00D51778" w:rsidRDefault="00C312D0" w:rsidP="00C312D0">
            <w:pPr>
              <w:pStyle w:val="TableHead"/>
              <w:rPr>
                <w:sz w:val="20"/>
                <w:szCs w:val="20"/>
              </w:rPr>
            </w:pPr>
            <w:r w:rsidRPr="00D51778">
              <w:rPr>
                <w:bCs/>
                <w:sz w:val="20"/>
                <w:szCs w:val="20"/>
                <w:lang w:val="ga"/>
              </w:rPr>
              <w:t>An líon fostaithe, agus an % d’fhostaithe, a thuairiscigh míchumas 2021</w:t>
            </w:r>
          </w:p>
        </w:tc>
        <w:tc>
          <w:tcPr>
            <w:tcW w:w="1559" w:type="dxa"/>
            <w:tcBorders>
              <w:bottom w:val="single" w:sz="12" w:space="0" w:color="000000"/>
            </w:tcBorders>
          </w:tcPr>
          <w:p w14:paraId="2569FA2A" w14:textId="0F22BF5E" w:rsidR="00C312D0" w:rsidRPr="00D51778" w:rsidRDefault="00C312D0" w:rsidP="00C312D0">
            <w:pPr>
              <w:pStyle w:val="TableHead"/>
              <w:rPr>
                <w:sz w:val="20"/>
                <w:szCs w:val="20"/>
              </w:rPr>
            </w:pPr>
            <w:r w:rsidRPr="00D51778">
              <w:rPr>
                <w:bCs/>
                <w:sz w:val="20"/>
                <w:szCs w:val="20"/>
                <w:lang w:val="ga"/>
              </w:rPr>
              <w:t>Athruithe sa bhliain 2021</w:t>
            </w:r>
          </w:p>
        </w:tc>
        <w:tc>
          <w:tcPr>
            <w:tcW w:w="2694" w:type="dxa"/>
            <w:tcBorders>
              <w:bottom w:val="single" w:sz="12" w:space="0" w:color="000000"/>
            </w:tcBorders>
          </w:tcPr>
          <w:p w14:paraId="4C03B4E2" w14:textId="2F8C8BE8" w:rsidR="00C312D0" w:rsidRPr="00D51778" w:rsidRDefault="00C312D0" w:rsidP="00C312D0">
            <w:pPr>
              <w:pStyle w:val="TableHead"/>
              <w:rPr>
                <w:sz w:val="20"/>
                <w:szCs w:val="20"/>
              </w:rPr>
            </w:pPr>
            <w:r w:rsidRPr="00D51778">
              <w:rPr>
                <w:bCs/>
                <w:sz w:val="20"/>
                <w:szCs w:val="20"/>
                <w:lang w:val="ga"/>
              </w:rPr>
              <w:t>Cúiseanna le hathruithe sa bhliain 2021</w:t>
            </w:r>
          </w:p>
        </w:tc>
      </w:tr>
      <w:tr w:rsidR="00DC295F" w:rsidRPr="00D51778" w14:paraId="7762AFB6" w14:textId="77777777" w:rsidTr="00B05A2D">
        <w:tc>
          <w:tcPr>
            <w:tcW w:w="1418" w:type="dxa"/>
            <w:tcBorders>
              <w:top w:val="single" w:sz="12" w:space="0" w:color="000000"/>
            </w:tcBorders>
          </w:tcPr>
          <w:p w14:paraId="265149A0" w14:textId="23C3AF2B" w:rsidR="00DC295F" w:rsidRPr="00D51778" w:rsidRDefault="008C24A0" w:rsidP="00C312D0">
            <w:pPr>
              <w:pStyle w:val="TableRowHead"/>
              <w:rPr>
                <w:rFonts w:ascii="Gill Sans MT" w:hAnsi="Gill Sans MT"/>
                <w:b w:val="0"/>
                <w:sz w:val="20"/>
                <w:szCs w:val="20"/>
              </w:rPr>
            </w:pPr>
            <w:r w:rsidRPr="00D51778">
              <w:rPr>
                <w:rFonts w:ascii="Gill Sans MT" w:hAnsi="Gill Sans MT"/>
                <w:b w:val="0"/>
                <w:sz w:val="20"/>
                <w:szCs w:val="20"/>
                <w:lang w:val="ga"/>
              </w:rPr>
              <w:t>Bus Átha Cliath</w:t>
            </w:r>
          </w:p>
        </w:tc>
        <w:tc>
          <w:tcPr>
            <w:tcW w:w="1134" w:type="dxa"/>
            <w:tcBorders>
              <w:top w:val="single" w:sz="12" w:space="0" w:color="000000"/>
            </w:tcBorders>
          </w:tcPr>
          <w:p w14:paraId="178235C0" w14:textId="08DA768A" w:rsidR="00DC295F" w:rsidRPr="00D51778" w:rsidRDefault="008C24A0" w:rsidP="00020926">
            <w:pPr>
              <w:pStyle w:val="TableCell"/>
              <w:jc w:val="right"/>
              <w:rPr>
                <w:sz w:val="20"/>
                <w:szCs w:val="20"/>
              </w:rPr>
            </w:pPr>
            <w:r w:rsidRPr="00D51778">
              <w:rPr>
                <w:sz w:val="20"/>
                <w:szCs w:val="20"/>
                <w:lang w:val="ga"/>
              </w:rPr>
              <w:t>3,590</w:t>
            </w:r>
          </w:p>
        </w:tc>
        <w:tc>
          <w:tcPr>
            <w:tcW w:w="1559" w:type="dxa"/>
            <w:tcBorders>
              <w:top w:val="single" w:sz="12" w:space="0" w:color="000000"/>
            </w:tcBorders>
          </w:tcPr>
          <w:p w14:paraId="7954CA2F" w14:textId="7D1D9EA6" w:rsidR="00DC295F" w:rsidRPr="00D51778" w:rsidRDefault="008C24A0" w:rsidP="00020926">
            <w:pPr>
              <w:pStyle w:val="TableCell"/>
              <w:jc w:val="right"/>
              <w:rPr>
                <w:sz w:val="20"/>
                <w:szCs w:val="20"/>
              </w:rPr>
            </w:pPr>
            <w:r w:rsidRPr="00D51778">
              <w:rPr>
                <w:sz w:val="20"/>
                <w:szCs w:val="20"/>
                <w:lang w:val="ga"/>
              </w:rPr>
              <w:t>221 (6.2%)</w:t>
            </w:r>
          </w:p>
        </w:tc>
        <w:tc>
          <w:tcPr>
            <w:tcW w:w="1418" w:type="dxa"/>
            <w:tcBorders>
              <w:top w:val="single" w:sz="12" w:space="0" w:color="000000"/>
            </w:tcBorders>
          </w:tcPr>
          <w:p w14:paraId="44DD5932" w14:textId="59C8D602" w:rsidR="00DC295F" w:rsidRPr="00D51778" w:rsidRDefault="008C24A0" w:rsidP="00020926">
            <w:pPr>
              <w:pStyle w:val="TableCell"/>
              <w:jc w:val="right"/>
              <w:rPr>
                <w:sz w:val="20"/>
                <w:szCs w:val="20"/>
              </w:rPr>
            </w:pPr>
            <w:r w:rsidRPr="00D51778">
              <w:rPr>
                <w:sz w:val="20"/>
                <w:szCs w:val="20"/>
                <w:lang w:val="ga"/>
              </w:rPr>
              <w:t>3,680</w:t>
            </w:r>
          </w:p>
        </w:tc>
        <w:tc>
          <w:tcPr>
            <w:tcW w:w="1559" w:type="dxa"/>
            <w:tcBorders>
              <w:top w:val="single" w:sz="12" w:space="0" w:color="000000"/>
            </w:tcBorders>
          </w:tcPr>
          <w:p w14:paraId="7AB3B132" w14:textId="4F21CD6A" w:rsidR="00DC295F" w:rsidRPr="00D51778" w:rsidRDefault="001F4090" w:rsidP="00020926">
            <w:pPr>
              <w:pStyle w:val="TableCell"/>
              <w:jc w:val="right"/>
              <w:rPr>
                <w:sz w:val="20"/>
                <w:szCs w:val="20"/>
              </w:rPr>
            </w:pPr>
            <w:r w:rsidRPr="00D51778">
              <w:rPr>
                <w:sz w:val="20"/>
                <w:szCs w:val="20"/>
                <w:lang w:val="ga"/>
              </w:rPr>
              <w:t>241 (6.5%)</w:t>
            </w:r>
          </w:p>
        </w:tc>
        <w:tc>
          <w:tcPr>
            <w:tcW w:w="1559" w:type="dxa"/>
            <w:tcBorders>
              <w:top w:val="single" w:sz="12" w:space="0" w:color="000000"/>
            </w:tcBorders>
          </w:tcPr>
          <w:p w14:paraId="5AA1C9CB" w14:textId="7926028B" w:rsidR="00DC295F" w:rsidRPr="00D51778" w:rsidRDefault="001F4090" w:rsidP="00DE712B">
            <w:pPr>
              <w:pStyle w:val="TableCell"/>
              <w:rPr>
                <w:sz w:val="20"/>
                <w:szCs w:val="20"/>
              </w:rPr>
            </w:pPr>
            <w:r w:rsidRPr="00D51778">
              <w:rPr>
                <w:sz w:val="20"/>
                <w:szCs w:val="20"/>
                <w:lang w:val="ga"/>
              </w:rPr>
              <w:t xml:space="preserve">Tháinig méadú 90 duine ar an líon iomlán fostaithe agus tháinig méadú 20 duine ar an líon fostaithe a thuairiscigh míchumas freisin </w:t>
            </w:r>
          </w:p>
        </w:tc>
        <w:tc>
          <w:tcPr>
            <w:tcW w:w="2694" w:type="dxa"/>
            <w:tcBorders>
              <w:top w:val="single" w:sz="12" w:space="0" w:color="000000"/>
            </w:tcBorders>
          </w:tcPr>
          <w:p w14:paraId="124FC3AE" w14:textId="6E095724" w:rsidR="00F20CF2" w:rsidRPr="00D51778" w:rsidRDefault="00F20CF2" w:rsidP="00C312D0">
            <w:pPr>
              <w:pStyle w:val="TableCell"/>
              <w:rPr>
                <w:b/>
                <w:sz w:val="20"/>
                <w:szCs w:val="20"/>
              </w:rPr>
            </w:pPr>
            <w:r w:rsidRPr="00D51778">
              <w:rPr>
                <w:b/>
                <w:bCs/>
                <w:sz w:val="20"/>
                <w:szCs w:val="20"/>
                <w:lang w:val="ga"/>
              </w:rPr>
              <w:t>Cleachtais earcaíochta cuimsithí agus cleachtais choinneála</w:t>
            </w:r>
          </w:p>
          <w:p w14:paraId="7760F4BD" w14:textId="13AAC601" w:rsidR="00F20CF2" w:rsidRPr="00D51778" w:rsidRDefault="00F20CF2" w:rsidP="00C312D0">
            <w:pPr>
              <w:pStyle w:val="TableCell"/>
              <w:rPr>
                <w:sz w:val="20"/>
                <w:szCs w:val="20"/>
              </w:rPr>
            </w:pPr>
            <w:r w:rsidRPr="00D51778">
              <w:rPr>
                <w:sz w:val="20"/>
                <w:szCs w:val="20"/>
                <w:lang w:val="ga"/>
              </w:rPr>
              <w:t>Sa bhliain 2021, thuairiscigh an comhlacht poiblí seo gur lean sé ar aghaidh ag tabhairt tacaíocht do dhaoine a bhfuil míchumas orthu a fhostú trí chleachtais earcaíochta cuimsithí a bheith aige. Áiríodh leo sin a chinntiú gurbh inrochtana a bheadh an t-ábhar earcaíochta ar fad agus go gcuirfí oiliúint i bhfeasacht ar mhíchumas ar na baill foirne uile a bhfuil baint acu le painéil earcaíochta agus agallaimh.</w:t>
            </w:r>
          </w:p>
          <w:p w14:paraId="0BC749B1" w14:textId="2CE495FA" w:rsidR="00F20CF2" w:rsidRPr="00D51778" w:rsidRDefault="008A675C" w:rsidP="008A675C">
            <w:pPr>
              <w:pStyle w:val="TableCell"/>
              <w:rPr>
                <w:b/>
                <w:sz w:val="20"/>
                <w:szCs w:val="20"/>
              </w:rPr>
            </w:pPr>
            <w:r w:rsidRPr="00D51778">
              <w:rPr>
                <w:sz w:val="20"/>
                <w:szCs w:val="20"/>
                <w:lang w:val="ga"/>
              </w:rPr>
              <w:t>Chomh maith leis sin, tugtar eolas d’fhostaithe faoi bheartais agus próisis an chomhlachta phoiblí maidir le coinneáil agus le socruithe réasúnacha. Chabhraigh sé sin le níos mó fostaithe a mhothú go rabhthas ag tacú leo le linn dóibh a stádas míchumais a chur in iúl.</w:t>
            </w:r>
            <w:r w:rsidRPr="00D51778">
              <w:rPr>
                <w:b/>
                <w:bCs/>
                <w:sz w:val="20"/>
                <w:szCs w:val="20"/>
                <w:lang w:val="ga"/>
              </w:rPr>
              <w:t xml:space="preserve"> </w:t>
            </w:r>
          </w:p>
        </w:tc>
      </w:tr>
    </w:tbl>
    <w:p w14:paraId="1F48DE23" w14:textId="77777777" w:rsidR="00116AE6" w:rsidRDefault="00116AE6">
      <w:r>
        <w:rPr>
          <w:b/>
        </w:rPr>
        <w:br w:type="page"/>
      </w:r>
    </w:p>
    <w:tbl>
      <w:tblPr>
        <w:tblW w:w="11341"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418"/>
        <w:gridCol w:w="1134"/>
        <w:gridCol w:w="1559"/>
        <w:gridCol w:w="1418"/>
        <w:gridCol w:w="1559"/>
        <w:gridCol w:w="1559"/>
        <w:gridCol w:w="2694"/>
      </w:tblGrid>
      <w:tr w:rsidR="00F3195B" w:rsidRPr="00D51778" w14:paraId="70205CAD" w14:textId="77777777" w:rsidTr="006016C5">
        <w:tc>
          <w:tcPr>
            <w:tcW w:w="1418" w:type="dxa"/>
            <w:tcBorders>
              <w:top w:val="single" w:sz="12" w:space="0" w:color="000000"/>
              <w:bottom w:val="single" w:sz="12" w:space="0" w:color="000000"/>
            </w:tcBorders>
          </w:tcPr>
          <w:p w14:paraId="26AB5186" w14:textId="5DA41C53" w:rsidR="00F3195B" w:rsidRPr="00F3195B" w:rsidRDefault="00F3195B" w:rsidP="00F3195B">
            <w:pPr>
              <w:pStyle w:val="TableRowHead"/>
              <w:rPr>
                <w:rFonts w:ascii="Gill Sans MT" w:hAnsi="Gill Sans MT"/>
                <w:b w:val="0"/>
                <w:sz w:val="20"/>
                <w:szCs w:val="20"/>
                <w:lang w:val="ga"/>
              </w:rPr>
            </w:pPr>
            <w:r w:rsidRPr="00F3195B">
              <w:rPr>
                <w:rFonts w:ascii="Gill Sans MT" w:hAnsi="Gill Sans MT"/>
                <w:bCs/>
                <w:sz w:val="20"/>
                <w:szCs w:val="20"/>
                <w:lang w:val="ga"/>
              </w:rPr>
              <w:lastRenderedPageBreak/>
              <w:t xml:space="preserve">Comhlacht poiblí </w:t>
            </w:r>
          </w:p>
        </w:tc>
        <w:tc>
          <w:tcPr>
            <w:tcW w:w="1134" w:type="dxa"/>
            <w:tcBorders>
              <w:top w:val="single" w:sz="12" w:space="0" w:color="000000"/>
              <w:bottom w:val="single" w:sz="12" w:space="0" w:color="000000"/>
            </w:tcBorders>
          </w:tcPr>
          <w:p w14:paraId="15634664" w14:textId="7BDF79E2" w:rsidR="00F3195B" w:rsidRPr="00F3195B" w:rsidRDefault="00F3195B" w:rsidP="00F3195B">
            <w:pPr>
              <w:pStyle w:val="TableCell"/>
              <w:rPr>
                <w:b/>
                <w:sz w:val="20"/>
                <w:szCs w:val="20"/>
                <w:lang w:val="ga"/>
              </w:rPr>
            </w:pPr>
            <w:r w:rsidRPr="00F3195B">
              <w:rPr>
                <w:b/>
                <w:bCs/>
                <w:sz w:val="20"/>
                <w:szCs w:val="20"/>
                <w:lang w:val="ga"/>
              </w:rPr>
              <w:t>An líon iomlán fostaithe 2020</w:t>
            </w:r>
          </w:p>
        </w:tc>
        <w:tc>
          <w:tcPr>
            <w:tcW w:w="1559" w:type="dxa"/>
            <w:tcBorders>
              <w:top w:val="single" w:sz="12" w:space="0" w:color="000000"/>
              <w:bottom w:val="single" w:sz="12" w:space="0" w:color="000000"/>
            </w:tcBorders>
          </w:tcPr>
          <w:p w14:paraId="4753DC38" w14:textId="77777777" w:rsidR="00F3195B" w:rsidRPr="00F3195B" w:rsidRDefault="00F3195B" w:rsidP="00F3195B">
            <w:pPr>
              <w:pStyle w:val="TableHead"/>
              <w:rPr>
                <w:sz w:val="20"/>
                <w:szCs w:val="20"/>
              </w:rPr>
            </w:pPr>
            <w:r w:rsidRPr="00F3195B">
              <w:rPr>
                <w:bCs/>
                <w:sz w:val="20"/>
                <w:szCs w:val="20"/>
                <w:lang w:val="ga"/>
              </w:rPr>
              <w:t>An líon fostaithe, agus an % d’fhostaithe, a thuairiscigh míchumas</w:t>
            </w:r>
          </w:p>
          <w:p w14:paraId="1C903376" w14:textId="773439C4" w:rsidR="00F3195B" w:rsidRPr="00F3195B" w:rsidRDefault="00F3195B" w:rsidP="00F3195B">
            <w:pPr>
              <w:pStyle w:val="TableCell"/>
              <w:rPr>
                <w:b/>
                <w:sz w:val="20"/>
                <w:szCs w:val="20"/>
                <w:lang w:val="ga"/>
              </w:rPr>
            </w:pPr>
            <w:r w:rsidRPr="00F3195B">
              <w:rPr>
                <w:b/>
                <w:bCs/>
                <w:sz w:val="20"/>
                <w:szCs w:val="20"/>
                <w:lang w:val="ga"/>
              </w:rPr>
              <w:t xml:space="preserve"> 2020</w:t>
            </w:r>
          </w:p>
        </w:tc>
        <w:tc>
          <w:tcPr>
            <w:tcW w:w="1418" w:type="dxa"/>
            <w:tcBorders>
              <w:top w:val="single" w:sz="12" w:space="0" w:color="000000"/>
              <w:bottom w:val="single" w:sz="12" w:space="0" w:color="000000"/>
            </w:tcBorders>
          </w:tcPr>
          <w:p w14:paraId="6312F421" w14:textId="299903D9" w:rsidR="00F3195B" w:rsidRPr="00F3195B" w:rsidRDefault="00F3195B" w:rsidP="00F3195B">
            <w:pPr>
              <w:pStyle w:val="TableCell"/>
              <w:rPr>
                <w:b/>
                <w:sz w:val="20"/>
                <w:szCs w:val="20"/>
                <w:lang w:val="ga"/>
              </w:rPr>
            </w:pPr>
            <w:r w:rsidRPr="00F3195B">
              <w:rPr>
                <w:b/>
                <w:bCs/>
                <w:sz w:val="20"/>
                <w:szCs w:val="20"/>
                <w:lang w:val="ga"/>
              </w:rPr>
              <w:t>An líon iomlán fostaithe 2021</w:t>
            </w:r>
          </w:p>
        </w:tc>
        <w:tc>
          <w:tcPr>
            <w:tcW w:w="1559" w:type="dxa"/>
            <w:tcBorders>
              <w:top w:val="single" w:sz="12" w:space="0" w:color="000000"/>
              <w:bottom w:val="single" w:sz="12" w:space="0" w:color="000000"/>
            </w:tcBorders>
          </w:tcPr>
          <w:p w14:paraId="692C9404" w14:textId="6E35682E" w:rsidR="00F3195B" w:rsidRPr="00F3195B" w:rsidRDefault="00F3195B" w:rsidP="00F3195B">
            <w:pPr>
              <w:pStyle w:val="TableCell"/>
              <w:rPr>
                <w:b/>
                <w:sz w:val="20"/>
                <w:szCs w:val="20"/>
                <w:lang w:val="ga"/>
              </w:rPr>
            </w:pPr>
            <w:r w:rsidRPr="00F3195B">
              <w:rPr>
                <w:b/>
                <w:bCs/>
                <w:sz w:val="20"/>
                <w:szCs w:val="20"/>
                <w:lang w:val="ga"/>
              </w:rPr>
              <w:t>An líon fostaithe, agus an % d’fhostaithe, a thuairiscigh míchumas 2021</w:t>
            </w:r>
          </w:p>
        </w:tc>
        <w:tc>
          <w:tcPr>
            <w:tcW w:w="1559" w:type="dxa"/>
            <w:tcBorders>
              <w:top w:val="single" w:sz="12" w:space="0" w:color="000000"/>
              <w:bottom w:val="single" w:sz="12" w:space="0" w:color="000000"/>
            </w:tcBorders>
          </w:tcPr>
          <w:p w14:paraId="6E374B38" w14:textId="11EAB070" w:rsidR="00F3195B" w:rsidRPr="00F3195B" w:rsidRDefault="00F3195B" w:rsidP="00F3195B">
            <w:pPr>
              <w:pStyle w:val="TableCell"/>
              <w:rPr>
                <w:b/>
                <w:sz w:val="20"/>
                <w:szCs w:val="20"/>
                <w:lang w:val="ga"/>
              </w:rPr>
            </w:pPr>
            <w:r w:rsidRPr="00F3195B">
              <w:rPr>
                <w:b/>
                <w:bCs/>
                <w:sz w:val="20"/>
                <w:szCs w:val="20"/>
                <w:lang w:val="ga"/>
              </w:rPr>
              <w:t>Athruithe sa bhliain 2021</w:t>
            </w:r>
          </w:p>
        </w:tc>
        <w:tc>
          <w:tcPr>
            <w:tcW w:w="2694" w:type="dxa"/>
            <w:tcBorders>
              <w:top w:val="single" w:sz="12" w:space="0" w:color="000000"/>
              <w:bottom w:val="single" w:sz="12" w:space="0" w:color="000000"/>
            </w:tcBorders>
          </w:tcPr>
          <w:p w14:paraId="5A4DA784" w14:textId="737F78C0" w:rsidR="00F3195B" w:rsidRPr="00F3195B" w:rsidRDefault="00F3195B" w:rsidP="00F3195B">
            <w:pPr>
              <w:spacing w:after="0"/>
              <w:rPr>
                <w:b/>
                <w:sz w:val="20"/>
                <w:szCs w:val="20"/>
                <w:lang w:val="ga"/>
              </w:rPr>
            </w:pPr>
            <w:r w:rsidRPr="00F3195B">
              <w:rPr>
                <w:b/>
                <w:bCs/>
                <w:sz w:val="20"/>
                <w:szCs w:val="20"/>
                <w:lang w:val="ga"/>
              </w:rPr>
              <w:t>Cúiseanna le hathruithe sa bhliain 2021</w:t>
            </w:r>
          </w:p>
        </w:tc>
      </w:tr>
      <w:tr w:rsidR="00F3195B" w:rsidRPr="00D51778" w14:paraId="36A8148C" w14:textId="77777777" w:rsidTr="006016C5">
        <w:tc>
          <w:tcPr>
            <w:tcW w:w="1418" w:type="dxa"/>
            <w:tcBorders>
              <w:top w:val="single" w:sz="12" w:space="0" w:color="000000"/>
              <w:bottom w:val="single" w:sz="12" w:space="0" w:color="000000"/>
            </w:tcBorders>
          </w:tcPr>
          <w:p w14:paraId="61CFB21D" w14:textId="58D93165" w:rsidR="00F3195B" w:rsidRPr="00D51778" w:rsidRDefault="00F3195B" w:rsidP="00F3195B">
            <w:pPr>
              <w:pStyle w:val="TableRowHead"/>
              <w:rPr>
                <w:rFonts w:ascii="Gill Sans MT" w:hAnsi="Gill Sans MT"/>
                <w:b w:val="0"/>
                <w:sz w:val="20"/>
                <w:szCs w:val="20"/>
              </w:rPr>
            </w:pPr>
            <w:r w:rsidRPr="00D51778">
              <w:rPr>
                <w:rFonts w:ascii="Gill Sans MT" w:hAnsi="Gill Sans MT"/>
                <w:b w:val="0"/>
                <w:sz w:val="20"/>
                <w:szCs w:val="20"/>
                <w:lang w:val="ga"/>
              </w:rPr>
              <w:t xml:space="preserve">Comhairle Cathrach agus Contae Luimnigh </w:t>
            </w:r>
          </w:p>
        </w:tc>
        <w:tc>
          <w:tcPr>
            <w:tcW w:w="1134" w:type="dxa"/>
            <w:tcBorders>
              <w:top w:val="single" w:sz="12" w:space="0" w:color="000000"/>
              <w:bottom w:val="single" w:sz="12" w:space="0" w:color="000000"/>
            </w:tcBorders>
          </w:tcPr>
          <w:p w14:paraId="77F0EB95" w14:textId="77777777" w:rsidR="00F3195B" w:rsidRPr="00D51778" w:rsidRDefault="00F3195B" w:rsidP="00F3195B">
            <w:pPr>
              <w:pStyle w:val="TableCell"/>
              <w:jc w:val="right"/>
              <w:rPr>
                <w:sz w:val="20"/>
                <w:szCs w:val="20"/>
              </w:rPr>
            </w:pPr>
            <w:r w:rsidRPr="00D51778">
              <w:rPr>
                <w:sz w:val="20"/>
                <w:szCs w:val="20"/>
                <w:lang w:val="ga"/>
              </w:rPr>
              <w:t>1,407</w:t>
            </w:r>
          </w:p>
        </w:tc>
        <w:tc>
          <w:tcPr>
            <w:tcW w:w="1559" w:type="dxa"/>
            <w:tcBorders>
              <w:top w:val="single" w:sz="12" w:space="0" w:color="000000"/>
              <w:bottom w:val="single" w:sz="12" w:space="0" w:color="000000"/>
            </w:tcBorders>
          </w:tcPr>
          <w:p w14:paraId="708AA64B" w14:textId="77777777" w:rsidR="00F3195B" w:rsidRPr="00D51778" w:rsidRDefault="00F3195B" w:rsidP="00F3195B">
            <w:pPr>
              <w:pStyle w:val="TableCell"/>
              <w:jc w:val="right"/>
              <w:rPr>
                <w:sz w:val="20"/>
                <w:szCs w:val="20"/>
              </w:rPr>
            </w:pPr>
            <w:r w:rsidRPr="00D51778">
              <w:rPr>
                <w:sz w:val="20"/>
                <w:szCs w:val="20"/>
                <w:lang w:val="ga"/>
              </w:rPr>
              <w:t>33 (2.3%)</w:t>
            </w:r>
          </w:p>
        </w:tc>
        <w:tc>
          <w:tcPr>
            <w:tcW w:w="1418" w:type="dxa"/>
            <w:tcBorders>
              <w:top w:val="single" w:sz="12" w:space="0" w:color="000000"/>
              <w:bottom w:val="single" w:sz="12" w:space="0" w:color="000000"/>
            </w:tcBorders>
          </w:tcPr>
          <w:p w14:paraId="121A6C22" w14:textId="77777777" w:rsidR="00F3195B" w:rsidRPr="00D51778" w:rsidRDefault="00F3195B" w:rsidP="00F3195B">
            <w:pPr>
              <w:pStyle w:val="TableCell"/>
              <w:jc w:val="right"/>
              <w:rPr>
                <w:sz w:val="20"/>
                <w:szCs w:val="20"/>
              </w:rPr>
            </w:pPr>
            <w:r w:rsidRPr="00D51778">
              <w:rPr>
                <w:sz w:val="20"/>
                <w:szCs w:val="20"/>
                <w:lang w:val="ga"/>
              </w:rPr>
              <w:t>1,457</w:t>
            </w:r>
          </w:p>
        </w:tc>
        <w:tc>
          <w:tcPr>
            <w:tcW w:w="1559" w:type="dxa"/>
            <w:tcBorders>
              <w:top w:val="single" w:sz="12" w:space="0" w:color="000000"/>
              <w:bottom w:val="single" w:sz="12" w:space="0" w:color="000000"/>
            </w:tcBorders>
          </w:tcPr>
          <w:p w14:paraId="1AB30296" w14:textId="77777777" w:rsidR="00F3195B" w:rsidRPr="00D51778" w:rsidRDefault="00F3195B" w:rsidP="00F3195B">
            <w:pPr>
              <w:pStyle w:val="TableCell"/>
              <w:jc w:val="right"/>
              <w:rPr>
                <w:sz w:val="20"/>
                <w:szCs w:val="20"/>
              </w:rPr>
            </w:pPr>
            <w:r w:rsidRPr="00D51778">
              <w:rPr>
                <w:sz w:val="20"/>
                <w:szCs w:val="20"/>
                <w:lang w:val="ga"/>
              </w:rPr>
              <w:t>95 (6.5%)</w:t>
            </w:r>
          </w:p>
        </w:tc>
        <w:tc>
          <w:tcPr>
            <w:tcW w:w="1559" w:type="dxa"/>
            <w:tcBorders>
              <w:top w:val="single" w:sz="12" w:space="0" w:color="000000"/>
              <w:bottom w:val="single" w:sz="12" w:space="0" w:color="000000"/>
            </w:tcBorders>
          </w:tcPr>
          <w:p w14:paraId="6076EABD" w14:textId="77777777" w:rsidR="00F3195B" w:rsidRPr="00D51778" w:rsidRDefault="00F3195B" w:rsidP="00F3195B">
            <w:pPr>
              <w:pStyle w:val="TableCell"/>
              <w:rPr>
                <w:sz w:val="20"/>
                <w:szCs w:val="20"/>
              </w:rPr>
            </w:pPr>
            <w:r w:rsidRPr="00D51778">
              <w:rPr>
                <w:sz w:val="20"/>
                <w:szCs w:val="20"/>
                <w:lang w:val="ga"/>
              </w:rPr>
              <w:t xml:space="preserve">Tháinig méadú 50 duine ar an líon iomlán fostaithe agus tháinig méadú 62 dhuine ar an líon fostaithe a thuairiscigh míchumas freisin </w:t>
            </w:r>
          </w:p>
        </w:tc>
        <w:tc>
          <w:tcPr>
            <w:tcW w:w="2694" w:type="dxa"/>
            <w:tcBorders>
              <w:top w:val="single" w:sz="12" w:space="0" w:color="000000"/>
              <w:bottom w:val="single" w:sz="12" w:space="0" w:color="000000"/>
            </w:tcBorders>
          </w:tcPr>
          <w:p w14:paraId="4D1841FB" w14:textId="5050EEA8" w:rsidR="00F3195B" w:rsidRPr="00D51778" w:rsidRDefault="00F3195B" w:rsidP="00F3195B">
            <w:pPr>
              <w:spacing w:after="0"/>
              <w:rPr>
                <w:b/>
                <w:sz w:val="20"/>
                <w:szCs w:val="20"/>
              </w:rPr>
            </w:pPr>
            <w:r w:rsidRPr="00D51778">
              <w:rPr>
                <w:sz w:val="20"/>
                <w:szCs w:val="20"/>
                <w:lang w:val="ga"/>
              </w:rPr>
              <w:t xml:space="preserve">Níor bhain an comhlacht poiblí seo an íos-sprioc 3% amach sa bhliain 2020. Sa bhliain 2021, chuir an comhlacht poiblí straitéis cumarsáide chun feidhme chun fostaithe a spreagadh chun áireamh foirne anaithnid a chomhlánú. Seoladh foirmeacha anaithnide chuig baill foirne lasmuigh agus tugadh clúdach faoi stampa is seoladh dóibh le haghaidh na foirmeacha a sheoladh ar ais. Tháinig méadú ó 158 bhfostaí (11.2%) sa bhliain 2020 go 404 fhostaí (27.7%) sa bhliain 2021 ar an líon fostaithe a thug freagra ar an áireamh foirne. Bhain an comhlacht poiblí seo an íos-sprioc 6% amach freisin. </w:t>
            </w:r>
          </w:p>
        </w:tc>
      </w:tr>
      <w:tr w:rsidR="00F3195B" w:rsidRPr="00D51778" w14:paraId="2674499F" w14:textId="77777777" w:rsidTr="006016C5">
        <w:tc>
          <w:tcPr>
            <w:tcW w:w="1418" w:type="dxa"/>
            <w:tcBorders>
              <w:top w:val="single" w:sz="12" w:space="0" w:color="000000"/>
            </w:tcBorders>
          </w:tcPr>
          <w:p w14:paraId="40CA7B23" w14:textId="46B07253" w:rsidR="00F3195B" w:rsidRPr="00D51778" w:rsidRDefault="00F3195B" w:rsidP="00F3195B">
            <w:pPr>
              <w:pStyle w:val="TableRowHead"/>
              <w:rPr>
                <w:rFonts w:ascii="Gill Sans MT" w:hAnsi="Gill Sans MT"/>
                <w:b w:val="0"/>
                <w:sz w:val="20"/>
                <w:szCs w:val="20"/>
                <w:lang w:val="ga"/>
              </w:rPr>
            </w:pPr>
            <w:r w:rsidRPr="00D51778">
              <w:rPr>
                <w:rFonts w:ascii="Gill Sans MT" w:hAnsi="Gill Sans MT"/>
                <w:b w:val="0"/>
                <w:lang w:val="ga"/>
              </w:rPr>
              <w:br w:type="page"/>
            </w:r>
            <w:r w:rsidRPr="00D51778">
              <w:rPr>
                <w:rFonts w:ascii="Gill Sans MT" w:hAnsi="Gill Sans MT"/>
                <w:b w:val="0"/>
                <w:sz w:val="20"/>
                <w:szCs w:val="20"/>
                <w:lang w:val="ga"/>
              </w:rPr>
              <w:t>Rásaíocht Con Éireann</w:t>
            </w:r>
          </w:p>
        </w:tc>
        <w:tc>
          <w:tcPr>
            <w:tcW w:w="1134" w:type="dxa"/>
            <w:tcBorders>
              <w:top w:val="single" w:sz="12" w:space="0" w:color="000000"/>
            </w:tcBorders>
          </w:tcPr>
          <w:p w14:paraId="32E2BA38" w14:textId="7A1EB018" w:rsidR="00F3195B" w:rsidRPr="00D51778" w:rsidRDefault="00F3195B" w:rsidP="00F3195B">
            <w:pPr>
              <w:pStyle w:val="TableCell"/>
              <w:jc w:val="right"/>
              <w:rPr>
                <w:sz w:val="20"/>
                <w:szCs w:val="20"/>
                <w:lang w:val="ga"/>
              </w:rPr>
            </w:pPr>
            <w:r w:rsidRPr="00D51778">
              <w:rPr>
                <w:sz w:val="20"/>
                <w:szCs w:val="20"/>
                <w:lang w:val="ga"/>
              </w:rPr>
              <w:t>162</w:t>
            </w:r>
          </w:p>
        </w:tc>
        <w:tc>
          <w:tcPr>
            <w:tcW w:w="1559" w:type="dxa"/>
            <w:tcBorders>
              <w:top w:val="single" w:sz="12" w:space="0" w:color="000000"/>
            </w:tcBorders>
          </w:tcPr>
          <w:p w14:paraId="3F0EBB47" w14:textId="06566FAD" w:rsidR="00F3195B" w:rsidRPr="00D51778" w:rsidRDefault="00F3195B" w:rsidP="00F3195B">
            <w:pPr>
              <w:pStyle w:val="TableCell"/>
              <w:jc w:val="right"/>
              <w:rPr>
                <w:sz w:val="20"/>
                <w:szCs w:val="20"/>
                <w:lang w:val="ga"/>
              </w:rPr>
            </w:pPr>
            <w:r w:rsidRPr="00D51778">
              <w:rPr>
                <w:sz w:val="20"/>
                <w:szCs w:val="20"/>
                <w:lang w:val="ga"/>
              </w:rPr>
              <w:t>19 (11.7%)</w:t>
            </w:r>
          </w:p>
        </w:tc>
        <w:tc>
          <w:tcPr>
            <w:tcW w:w="1418" w:type="dxa"/>
            <w:tcBorders>
              <w:top w:val="single" w:sz="12" w:space="0" w:color="000000"/>
            </w:tcBorders>
          </w:tcPr>
          <w:p w14:paraId="333370D4" w14:textId="3D06E324" w:rsidR="00F3195B" w:rsidRPr="00D51778" w:rsidRDefault="00F3195B" w:rsidP="00F3195B">
            <w:pPr>
              <w:pStyle w:val="TableCell"/>
              <w:jc w:val="right"/>
              <w:rPr>
                <w:sz w:val="20"/>
                <w:szCs w:val="20"/>
                <w:lang w:val="ga"/>
              </w:rPr>
            </w:pPr>
            <w:r w:rsidRPr="00D51778">
              <w:rPr>
                <w:sz w:val="20"/>
                <w:szCs w:val="20"/>
                <w:lang w:val="ga"/>
              </w:rPr>
              <w:t>560</w:t>
            </w:r>
          </w:p>
        </w:tc>
        <w:tc>
          <w:tcPr>
            <w:tcW w:w="1559" w:type="dxa"/>
            <w:tcBorders>
              <w:top w:val="single" w:sz="12" w:space="0" w:color="000000"/>
            </w:tcBorders>
          </w:tcPr>
          <w:p w14:paraId="577C4D48" w14:textId="4C44A4C2" w:rsidR="00F3195B" w:rsidRPr="00D51778" w:rsidRDefault="00F3195B" w:rsidP="00F3195B">
            <w:pPr>
              <w:pStyle w:val="TableCell"/>
              <w:jc w:val="right"/>
              <w:rPr>
                <w:sz w:val="20"/>
                <w:szCs w:val="20"/>
                <w:lang w:val="ga"/>
              </w:rPr>
            </w:pPr>
            <w:r w:rsidRPr="00D51778">
              <w:rPr>
                <w:sz w:val="20"/>
                <w:szCs w:val="20"/>
                <w:lang w:val="ga"/>
              </w:rPr>
              <w:t>19 (3.4%).</w:t>
            </w:r>
          </w:p>
        </w:tc>
        <w:tc>
          <w:tcPr>
            <w:tcW w:w="1559" w:type="dxa"/>
            <w:tcBorders>
              <w:top w:val="single" w:sz="12" w:space="0" w:color="000000"/>
            </w:tcBorders>
          </w:tcPr>
          <w:p w14:paraId="56AD9BF2" w14:textId="007187AA" w:rsidR="00F3195B" w:rsidRPr="00D51778" w:rsidRDefault="00F3195B" w:rsidP="00F3195B">
            <w:pPr>
              <w:pStyle w:val="TableCell"/>
              <w:rPr>
                <w:sz w:val="20"/>
                <w:szCs w:val="20"/>
                <w:lang w:val="ga"/>
              </w:rPr>
            </w:pPr>
            <w:r w:rsidRPr="00D51778">
              <w:rPr>
                <w:sz w:val="20"/>
                <w:szCs w:val="20"/>
                <w:lang w:val="ga"/>
              </w:rPr>
              <w:t>Tháinig méadú 380 duine ar an líon iomlán fostaithe ach d’fhan an líon fostaithe a thuairiscigh míchumas mar a bhí sé.</w:t>
            </w:r>
          </w:p>
        </w:tc>
        <w:tc>
          <w:tcPr>
            <w:tcW w:w="2694" w:type="dxa"/>
            <w:tcBorders>
              <w:top w:val="single" w:sz="12" w:space="0" w:color="000000"/>
            </w:tcBorders>
          </w:tcPr>
          <w:p w14:paraId="1E6E286D" w14:textId="77777777" w:rsidR="00F3195B" w:rsidRPr="00D51778" w:rsidRDefault="00F3195B" w:rsidP="00F3195B">
            <w:pPr>
              <w:pStyle w:val="TableCell"/>
              <w:rPr>
                <w:b/>
                <w:sz w:val="20"/>
                <w:szCs w:val="20"/>
              </w:rPr>
            </w:pPr>
            <w:r w:rsidRPr="00D51778">
              <w:rPr>
                <w:b/>
                <w:bCs/>
                <w:sz w:val="20"/>
                <w:szCs w:val="20"/>
                <w:lang w:val="ga"/>
              </w:rPr>
              <w:t>Paindéim COVID-19</w:t>
            </w:r>
          </w:p>
          <w:p w14:paraId="5D44761E" w14:textId="0311A2C3" w:rsidR="00F3195B" w:rsidRPr="00D51778" w:rsidRDefault="00F3195B" w:rsidP="00F3195B">
            <w:pPr>
              <w:spacing w:after="0"/>
              <w:rPr>
                <w:sz w:val="20"/>
                <w:szCs w:val="20"/>
                <w:lang w:val="ga"/>
              </w:rPr>
            </w:pPr>
            <w:r w:rsidRPr="00D51778">
              <w:rPr>
                <w:sz w:val="20"/>
                <w:szCs w:val="20"/>
                <w:lang w:val="ga"/>
              </w:rPr>
              <w:t xml:space="preserve">Sa bhliain 2020, thuairiscigh an comhlacht poiblí sin go raibh air scor d’oibríochtaí rásaíochta de bharr na paindéime. Thuairiscigh sé, mar sin, gur chaill sé 528 bhfostaí idir na blianta 2019 agus 2020. D’athoscail sé a ghnó sa bhliain 2021, agus é dírithe ar bhreith suas le hearcaíocht tar éis na paindéime. Is féidir go rachaidh tamall maith thart tar éis na paindéime sula mbeidh fostaithe ar a gcompord a stádas míchumais a chur in iúl, beag beann ar na bearta atá i bhfeidhm ag an gcomhlacht poiblí sin cheana féin. </w:t>
            </w:r>
          </w:p>
        </w:tc>
      </w:tr>
    </w:tbl>
    <w:p w14:paraId="11BA3163" w14:textId="00C9A2D7" w:rsidR="003852EB" w:rsidRPr="00D51778" w:rsidRDefault="00B3524D" w:rsidP="00ED1A9E">
      <w:r w:rsidRPr="00D51778">
        <w:rPr>
          <w:b/>
          <w:bCs/>
          <w:lang w:val="ga"/>
        </w:rPr>
        <w:t xml:space="preserve"> </w:t>
      </w:r>
      <w:r w:rsidRPr="00D51778">
        <w:rPr>
          <w:b/>
          <w:bCs/>
          <w:lang w:val="ga"/>
        </w:rPr>
        <w:br w:type="page"/>
      </w:r>
    </w:p>
    <w:p w14:paraId="796018AA" w14:textId="7A08F178" w:rsidR="00064C1F" w:rsidRPr="00D51778" w:rsidRDefault="00064C1F" w:rsidP="005629B1">
      <w:pPr>
        <w:rPr>
          <w:i/>
        </w:rPr>
      </w:pPr>
      <w:r w:rsidRPr="00D51778">
        <w:rPr>
          <w:lang w:val="ga"/>
        </w:rPr>
        <w:lastRenderedPageBreak/>
        <w:t xml:space="preserve">Léirigh Bus Átha Cliath gur féidir le tiomantas seasta do thús áite a thabhairt d’earcú agus coinneáil daoine a bhfuil míchumas orthu cabhrú le comhlacht poiblí méadú a dhéanamh ar an líon daoine a thuairiscíonn míchumas. </w:t>
      </w:r>
    </w:p>
    <w:p w14:paraId="53BD5DA5" w14:textId="725FD84C" w:rsidR="00FD34FC" w:rsidRPr="00D51778" w:rsidRDefault="002D24C0" w:rsidP="005629B1">
      <w:r w:rsidRPr="00D51778">
        <w:rPr>
          <w:lang w:val="ga"/>
        </w:rPr>
        <w:t>Tháinig méadú suntasach ar an líon fostaithe a thuairiscigh míchumas freisin mar thoradh ar an díriú a leag Comhairle Cathrach agus Contae Luimnigh ar spreagadh agus tacaíocht a thabhairt dá fostaithe an t-áireamh foirne a chomhlánú agus ar fheabhas a chur ar a modhanna bailithe sonraí.</w:t>
      </w:r>
    </w:p>
    <w:p w14:paraId="0B16B048" w14:textId="2E0F308F" w:rsidR="001900FA" w:rsidRPr="00D51778" w:rsidRDefault="001900FA" w:rsidP="005629B1">
      <w:r w:rsidRPr="00D51778">
        <w:rPr>
          <w:lang w:val="ga"/>
        </w:rPr>
        <w:t>Tá bearta eile i bhfeidhm ag an dá chomhlacht phoiblí sin freisin, lena n-áirítear cuspóir straitéiseach a bheith acu sa straitéis acmhainní daonna/straitéis chorparáideach uathu faoi seach chun deiseanna fostaíochta a mhéadú do dhaoine a bhfuil míchumas orthu agus a chinntiú go ndéantar na modúil oiliúna feasachta ar mhíchumas a sholáthraítear d’fhostaithe a mheas agus a thabhairt cothrom le dáta ar bhonn tráthrialta.</w:t>
      </w:r>
    </w:p>
    <w:p w14:paraId="50E71FCF" w14:textId="2BB02ED3" w:rsidR="00524157" w:rsidRPr="00D51778" w:rsidRDefault="001900FA" w:rsidP="005629B1">
      <w:r w:rsidRPr="00D51778">
        <w:rPr>
          <w:lang w:val="ga"/>
        </w:rPr>
        <w:t xml:space="preserve">Cé gur thuairiscigh </w:t>
      </w:r>
      <w:r w:rsidRPr="00D51778">
        <w:rPr>
          <w:szCs w:val="26"/>
          <w:lang w:val="ga"/>
        </w:rPr>
        <w:t>Rásaíocht Con Éireann</w:t>
      </w:r>
      <w:r w:rsidRPr="00D51778">
        <w:rPr>
          <w:lang w:val="ga"/>
        </w:rPr>
        <w:t xml:space="preserve"> laghdú sna céatadáin d’fhostaithe a thuairiscigh míchumas sa bhliain 2021, d’éirigh léi an íos-sprioc 3% a bhaint amach nó a shárú go fóill toisc go raibh roinnt beart i bhfeidhm aici chun a hoibleagáidí faoi Chuid 5 a chomhlíonadh.  Tá sé beartaithe ag an gcomhlacht poiblí sin leanúint le cláir thaithí oibre a sholáthar i gcomhar le seirbhísí réigiúnacha Infhostaitheachta agus le hOiliúint Éagsúlachta agus Cuimsithe a chur ar a chuid fostaithe.</w:t>
      </w:r>
    </w:p>
    <w:p w14:paraId="0F271AA8" w14:textId="581FA418" w:rsidR="00253FF3" w:rsidRPr="00D51778" w:rsidRDefault="00922FC2" w:rsidP="00253FF3">
      <w:pPr>
        <w:pStyle w:val="Heading3"/>
      </w:pPr>
      <w:r w:rsidRPr="00D51778">
        <w:rPr>
          <w:bCs/>
          <w:lang w:val="ga"/>
        </w:rPr>
        <w:t xml:space="preserve">Cúiseanna Ilghnéitheacha </w:t>
      </w:r>
    </w:p>
    <w:p w14:paraId="75644CDB" w14:textId="6AD44081" w:rsidR="00875527" w:rsidRPr="00D51778" w:rsidRDefault="00BD318B" w:rsidP="005629B1">
      <w:r w:rsidRPr="00D51778">
        <w:rPr>
          <w:lang w:val="ga"/>
        </w:rPr>
        <w:t xml:space="preserve">Sa bhliain 2021, thuairiscigh comhlachtaí poiblí cúiseanna ilghnéitheacha eile a bhí taobh thiar de mhéadú nó laghdú sa líon iomlán fostaithe agus sa líon fostaithe, agus sa chéatadán d’fhostaithe, a thuairiscigh míchumas. Áiríodh iad seo a leanas leis na cúiseanna sin: d’fhág fostaithe a bhfuil míchumas orthu an comhlacht poiblí; chumaisc an comhlacht poiblí le comhlacht eile; tháinig saincheisteanna chun cinn maidir le bailiú sonraí; agus níor chuir fostaithe a stádas míchumais in iúl.  </w:t>
      </w:r>
    </w:p>
    <w:p w14:paraId="24F3B8A2" w14:textId="07F759DE" w:rsidR="00BD318B" w:rsidRPr="00D51778" w:rsidRDefault="00875527" w:rsidP="005629B1">
      <w:r w:rsidRPr="00D51778">
        <w:rPr>
          <w:lang w:val="ga"/>
        </w:rPr>
        <w:t>Maidir le formhór na gcomhlachtaí poiblí a thuairiscigh athruithe sa líon iomlán fostaithe agus sa líon fostaithe, agus sa chéatadán d’fhostaithe, a thuairiscigh míchumas, d’éirigh leo an íos-sprioc 3% a bhaint amach nó a shárú go fóill toisc go raibh bearta dóthanacha i bhfeidhm acu chun a hoibleagáidí faoi Chuid 5 a chomhlíonadh.</w:t>
      </w:r>
    </w:p>
    <w:p w14:paraId="657F37F6" w14:textId="1AF8DD6C" w:rsidR="00EB68F2" w:rsidRPr="00D51778" w:rsidRDefault="00BD318B" w:rsidP="005629B1">
      <w:r w:rsidRPr="00D51778">
        <w:rPr>
          <w:lang w:val="ga"/>
        </w:rPr>
        <w:t>Tugann ÚNM dá aire gur fadhbanna do chomhlachtaí poiblí is ea cásanna nach gcuireann fostaithe a stádas míchumais in iúl iontu agus dúshláin a bhaineann le bailiú sonraí. Thug ÚNM comhairle agus treoir do chomhlachtaí poiblí arís agus arís eile maidir le conas aghaidh a thabhairt ar na fadhbanna sin. Dá bhrí sin, níor cheart go gcuirfeadh na fadhbanna sin leo féin cosc ar chomhlacht poiblí an íos-</w:t>
      </w:r>
      <w:r w:rsidRPr="005629B1">
        <w:lastRenderedPageBreak/>
        <w:t>sprioc 3% a shárú ná dul chun cinn a dhéanamh i dtreo an íos-sprioc 6% atá le teacht a bhaint amach.</w:t>
      </w:r>
    </w:p>
    <w:p w14:paraId="33B127FA" w14:textId="78D39045" w:rsidR="00536540" w:rsidRPr="00D51778" w:rsidRDefault="00870EBF" w:rsidP="00661B22">
      <w:pPr>
        <w:pStyle w:val="Heading2"/>
      </w:pPr>
      <w:bookmarkStart w:id="24" w:name="_Toc124367394"/>
      <w:r w:rsidRPr="00D51778">
        <w:rPr>
          <w:bCs/>
          <w:lang w:val="ga"/>
        </w:rPr>
        <w:t>An dul chun cinn ar an íos-sprioc 6% a bhaint amach faoin mbliain 202</w:t>
      </w:r>
      <w:r w:rsidR="003D2C9D">
        <w:rPr>
          <w:bCs/>
          <w:lang w:val="ga"/>
        </w:rPr>
        <w:t>5</w:t>
      </w:r>
      <w:bookmarkEnd w:id="24"/>
    </w:p>
    <w:p w14:paraId="2A41D7D1" w14:textId="2B8757B3" w:rsidR="00F468B7" w:rsidRPr="003D2C9D" w:rsidRDefault="008C5013" w:rsidP="005629B1">
      <w:pPr>
        <w:rPr>
          <w:lang w:eastAsia="en-IE"/>
        </w:rPr>
      </w:pPr>
      <w:bookmarkStart w:id="25" w:name="_Toc526435812"/>
      <w:r w:rsidRPr="00D51778">
        <w:rPr>
          <w:lang w:val="ga"/>
        </w:rPr>
        <w:t xml:space="preserve">Faoin </w:t>
      </w:r>
      <w:r w:rsidRPr="00D51778">
        <w:rPr>
          <w:b/>
          <w:bCs/>
          <w:lang w:val="ga"/>
        </w:rPr>
        <w:t>Straitéis Chuimsitheach Fostaíochta do Dhaoine faoi Mhíchumas 2015 – 2024</w:t>
      </w:r>
      <w:r w:rsidRPr="00D51778">
        <w:rPr>
          <w:lang w:val="ga"/>
        </w:rPr>
        <w:t xml:space="preserve">, ghabh an Rialtas air féin an sprioc reachtúil fostaíochta a mhéadú chun gur daoine faoi mhíchumas a bheidh i 6% ar a laghad d’fhostaithe san earnáil phoiblí faoin mbliain 2024. </w:t>
      </w:r>
      <w:r w:rsidR="00732860">
        <w:rPr>
          <w:lang w:val="ga-IE" w:eastAsia="en-IE"/>
        </w:rPr>
        <w:t>Leagtar amach san Acht</w:t>
      </w:r>
      <w:r w:rsidR="00732860" w:rsidRPr="00ED53BE">
        <w:rPr>
          <w:lang w:val="ga-IE" w:eastAsia="en-IE"/>
        </w:rPr>
        <w:t xml:space="preserve"> um Chinnteoir</w:t>
      </w:r>
      <w:r w:rsidR="00732860">
        <w:rPr>
          <w:lang w:val="ga-IE" w:eastAsia="en-IE"/>
        </w:rPr>
        <w:t xml:space="preserve">eacht Cuidithe (Cumas) (Leasú) </w:t>
      </w:r>
      <w:r w:rsidR="00732860" w:rsidRPr="00ED53BE">
        <w:rPr>
          <w:lang w:val="ga-IE" w:eastAsia="en-IE"/>
        </w:rPr>
        <w:t xml:space="preserve">2022 </w:t>
      </w:r>
      <w:r w:rsidR="00732860">
        <w:rPr>
          <w:lang w:val="ga-IE" w:eastAsia="en-IE"/>
        </w:rPr>
        <w:t xml:space="preserve">a </w:t>
      </w:r>
      <w:r w:rsidR="003D2C9D" w:rsidRPr="007357A8">
        <w:rPr>
          <w:lang w:val="ga-IE" w:eastAsia="en-IE"/>
        </w:rPr>
        <w:t xml:space="preserve">achtaíodh le déanaí, </w:t>
      </w:r>
      <w:r w:rsidR="003D2C9D" w:rsidRPr="003D2C9D">
        <w:rPr>
          <w:b/>
          <w:lang w:val="ga-IE" w:eastAsia="en-IE"/>
        </w:rPr>
        <w:t>go mbeidh an sprioc fostaíochta reachtúil ag méadú go 6% faoi 2025.</w:t>
      </w:r>
      <w:r w:rsidR="003D2C9D" w:rsidRPr="003D2C9D">
        <w:rPr>
          <w:b/>
          <w:lang w:eastAsia="en-IE"/>
        </w:rPr>
        <w:t xml:space="preserve"> </w:t>
      </w:r>
      <w:r w:rsidRPr="00D51778">
        <w:rPr>
          <w:lang w:val="ga"/>
        </w:rPr>
        <w:t xml:space="preserve">Gealltanas eile faoi </w:t>
      </w:r>
      <w:r w:rsidRPr="00D51778">
        <w:rPr>
          <w:b/>
          <w:bCs/>
          <w:lang w:val="ga"/>
        </w:rPr>
        <w:t>Chlár an Rialtais 2020</w:t>
      </w:r>
      <w:r w:rsidRPr="00D51778">
        <w:rPr>
          <w:lang w:val="ga"/>
        </w:rPr>
        <w:t xml:space="preserve"> is ea an íos-sprioc reachtúil fostaíochta a mhéadú go 6%.</w:t>
      </w:r>
    </w:p>
    <w:p w14:paraId="1782F4EA" w14:textId="3CE2ACE2" w:rsidR="00582D13" w:rsidRPr="00D51778" w:rsidRDefault="008C5013" w:rsidP="005629B1">
      <w:r w:rsidRPr="00D51778">
        <w:rPr>
          <w:lang w:val="ga"/>
        </w:rPr>
        <w:t xml:space="preserve">Tá áthas ar ÚNM a thabhairt dá aire gurbh amhlaidh sa bhliain 2021 a thuairiscigh 78 </w:t>
      </w:r>
      <w:r w:rsidR="00E70DA0" w:rsidRPr="00D51778">
        <w:rPr>
          <w:lang w:val="ga"/>
        </w:rPr>
        <w:t xml:space="preserve">(36.5%) </w:t>
      </w:r>
      <w:r w:rsidRPr="00D51778">
        <w:rPr>
          <w:lang w:val="ga"/>
        </w:rPr>
        <w:t xml:space="preserve">gcomhlacht phoiblí gur daoine a bhfuil míchumas orthu a bhí i 6% ar a laghad dá bhfostaithe. Is méadú é sin i gcomparáid leis an mbliain 2020, inar thuairiscigh 61 </w:t>
      </w:r>
      <w:r w:rsidR="00E70DA0" w:rsidRPr="00D51778">
        <w:rPr>
          <w:lang w:val="ga"/>
        </w:rPr>
        <w:t xml:space="preserve">(28.4%) </w:t>
      </w:r>
      <w:r w:rsidRPr="00D51778">
        <w:rPr>
          <w:lang w:val="ga"/>
        </w:rPr>
        <w:t>chomhlacht phoiblí gur thuairiscigh 6% ar a laghad dá bhfostaithe míchumas.</w:t>
      </w:r>
    </w:p>
    <w:p w14:paraId="3B46CF83" w14:textId="4D3D31A1" w:rsidR="00582D13" w:rsidRPr="00D51778" w:rsidRDefault="00582D13" w:rsidP="005629B1">
      <w:r w:rsidRPr="00D51778">
        <w:rPr>
          <w:lang w:val="ga"/>
        </w:rPr>
        <w:t>Chuir ÚNM in iúl do chomhlachtaí poiblí arís agus arís eile, agus thug sé treoir chuimsitheach dóibh ina leith, gur íos-sprioc é an figiúr 3% agus gur cheart dóibh díriú ar an sprioc sin a shárú agus ar bhogadh i dtreo an íos-sprioc 6% a</w:t>
      </w:r>
      <w:r w:rsidR="003D2C9D">
        <w:rPr>
          <w:lang w:val="ga"/>
        </w:rPr>
        <w:t xml:space="preserve"> bhaint amach faoin mbliain 2025</w:t>
      </w:r>
      <w:r w:rsidRPr="00D51778">
        <w:rPr>
          <w:lang w:val="ga"/>
        </w:rPr>
        <w:t>. Chuireamar in iúl do chomhlachtaí poiblí freisin gur gá dóibh na bearta atá i bhfeidhm acu agus an dul chun cinn atá á dhéanamh acu chun na hoibleagáidí atá orthu faoi Chuid 5 a chomhlíonadh a thaifeadadh, anuas ar fhaisnéis staitistiúil a sholáthar. Tá ár gcuid comhairle agus treorach ag teacht le ceanglais an Achta um Míchumas 2005, áit nach mór do chomhlachtaí poiblí a thaispeáint cé na bearta atá i bhfeidhm acu chun fostú daoine a bhfuil míchumas orthu a chur chun cinn agus a chur ar aghaidh go gníomhach.</w:t>
      </w:r>
    </w:p>
    <w:p w14:paraId="5995FF72" w14:textId="68A7A70A" w:rsidR="00C36E15" w:rsidRPr="005629B1" w:rsidRDefault="00841963" w:rsidP="005629B1">
      <w:r w:rsidRPr="00D51778">
        <w:rPr>
          <w:lang w:val="ga"/>
        </w:rPr>
        <w:t xml:space="preserve">Admhaíonn ÚNM gur sholáthair níos mó comhlachtaí poiblí faisnéis mhionsonraithe achomair i dtuairisceáin Chuid 5 uathu don bhliain 2021 faoi na bearta atá curtha chun feidhme acu nó atá á gcur chun feidhme acu chun cultúr Comhionann Éagsúil Cuimsitheach oibre a chruthú, ar cultúr é lena gcuirtear earcú agus coinneáil daoine a bhfuil míchumas orthu chun cinn agus lena dtacaítear le fostaithe a bhfuil míchumas orthu bheith ar a gcompord le linn dóibh a stádas míchumais a chur in iúl. Chuireamar in iúl do chomhlachtaí poiblí freisin go rachfaí chun tairbhe dóibh agus iad ag iarraidh cultúir chomhionanna éagsúla chuimsitheacha oibre a chruthú agus feabhas a chur ar a bhfeidhmíocht faoi Chuid 5 dá n-úsáidfeadh siad cur chuige Dearaidh Uilíoch. Nuair a úsáideann comhlachtaí poiblí an cineál sin cur chuige, tá siad á chinntiú go ndearfar go huilíoch gach ceann dá gcuid táirgí, seirbhísí, cumarsáidí agus timpeallachtaí fisiciúla (digiteacha, scríofa, labhartha agus comharthaithe, spásanna poiblí agus an </w:t>
      </w:r>
      <w:r w:rsidRPr="005629B1">
        <w:lastRenderedPageBreak/>
        <w:t>timpeallacht thógtha) agus, dá bhrí sin, go mbeidh siad éasca le rochtain, le tuiscint agus le húsáid do gach duine, beag beann ar aois, ar mhéid, ar chumas nó ar mhíchumas.</w:t>
      </w:r>
      <w:bookmarkEnd w:id="25"/>
    </w:p>
    <w:p w14:paraId="50D2DA32" w14:textId="5267D5C3" w:rsidR="00FD2D17" w:rsidRPr="00D51778" w:rsidRDefault="0013116C" w:rsidP="00FD2D17">
      <w:pPr>
        <w:pStyle w:val="Heading2"/>
      </w:pPr>
      <w:bookmarkStart w:id="26" w:name="_Toc124367395"/>
      <w:r w:rsidRPr="00D51778">
        <w:rPr>
          <w:bCs/>
          <w:lang w:val="ga"/>
        </w:rPr>
        <w:t>Samhlacha Dea-Chleachtais</w:t>
      </w:r>
      <w:bookmarkEnd w:id="26"/>
    </w:p>
    <w:p w14:paraId="795A2595" w14:textId="569AE183" w:rsidR="00064C9A" w:rsidRPr="00D51778" w:rsidRDefault="0013116C" w:rsidP="005629B1">
      <w:r w:rsidRPr="00D51778">
        <w:rPr>
          <w:lang w:val="ga"/>
        </w:rPr>
        <w:t>Tá áthas ar ÚNM a thabhairt dá aire go bhfuil an chuma air gur chuir a lán Ranna Rialtais agus a lán comhlachtaí poiblí chun feidhme an chomhairle agus an treoir a thugamar dóibh maidir le cultúr comhionann éagsúil cuimsitheach oibre a chruthú trí Chur Chuige Dearaidh Uilíoch a úsáid. Is mian linn aitheantas a thabhairt do na samhlacha dea-chleachtais a chuir comhlachtaí poiblí chun feidhme sa bhliain 2021, ar dá mbarr a tháinig méadú ar an líon iomlán fostaithe, agus ar an gcéatadán d’fhostaithe, a thuairiscigh míchumas san earnáil phoiblí.</w:t>
      </w:r>
    </w:p>
    <w:p w14:paraId="3AAB61D6" w14:textId="697D34EF" w:rsidR="00BE597B" w:rsidRPr="00D51778" w:rsidRDefault="00CE16B9" w:rsidP="005629B1">
      <w:r w:rsidRPr="00D51778">
        <w:rPr>
          <w:lang w:val="ga"/>
        </w:rPr>
        <w:t>Thuairiscigh an-chuid de na Ranna Rialtais gur úsáid siad na samhlacha dea-chleachtais seo a leanas chun na hoibleagáidí atá orthu faoi Chuid 5 a chomhlíonadh:</w:t>
      </w:r>
    </w:p>
    <w:p w14:paraId="4C3DA052" w14:textId="7279C1B7" w:rsidR="00953992" w:rsidRPr="00D51778" w:rsidRDefault="00953992" w:rsidP="005629B1">
      <w:pPr>
        <w:pStyle w:val="ListBullet"/>
      </w:pPr>
      <w:r w:rsidRPr="00D51778">
        <w:rPr>
          <w:lang w:val="ga"/>
        </w:rPr>
        <w:t>Oifigeach Idirchaidrimh do Dhaoine faoi Mhíchumas a bheith acu, agus a chinntiú go mbeadh na sonraí teagmhála don bhall foirne sin ag gach fostaí chun go bhféadfadh siad teagmháil a dhéanamh leis/léi, más rogha leo déanamh amhlaidh</w:t>
      </w:r>
    </w:p>
    <w:p w14:paraId="2F49157C" w14:textId="043CE8E9" w:rsidR="00953992" w:rsidRPr="00D51778" w:rsidRDefault="00953992" w:rsidP="005629B1">
      <w:pPr>
        <w:pStyle w:val="ListBullet"/>
      </w:pPr>
      <w:r w:rsidRPr="00D51778">
        <w:rPr>
          <w:lang w:val="ga"/>
        </w:rPr>
        <w:t>Na cineálacha tacaíochta atá ar fáil do gach fostaí a chur in iúl dóibh, lena n-áirítear socruithe réasúnacha, a mbeartais choinneála agus an próiseas arb é atá ann cabhrú le fostaithe bheith ar a gcompord le linn dóibh a stádas míchumais a chur in iúl</w:t>
      </w:r>
    </w:p>
    <w:p w14:paraId="2FBFE79F" w14:textId="6897C8EC" w:rsidR="002D2C69" w:rsidRPr="00D51778" w:rsidRDefault="002D2C69" w:rsidP="005629B1">
      <w:pPr>
        <w:pStyle w:val="ListBullet"/>
      </w:pPr>
      <w:r w:rsidRPr="00D51778">
        <w:rPr>
          <w:lang w:val="ga"/>
        </w:rPr>
        <w:t>Deiseanna taithí oibre a sholáthar do dhaoine a bhfuil míchumas orthu tríd an gclár ‘Willing Able Mentoring’ de chuid an Chumainn um Rochtain ar Ardoideachas agus Míchumas (AHEAD), trí Chlár Foghlama Oibre an Oireachtais (OWL), trí sheirbhísí réigiúnacha Infhostaitheachta, trí WALK agus tríd an Open Doors Initiative.</w:t>
      </w:r>
      <w:r w:rsidRPr="00D51778">
        <w:rPr>
          <w:shd w:val="clear" w:color="auto" w:fill="FFFFFF"/>
          <w:lang w:val="ga"/>
        </w:rPr>
        <w:t xml:space="preserve"> Idirchaidreamh a dhéanamh leis na heagraíochtaí sin chun forbairt agus cur chun feidhme a dhéanamh ar phróisis chuimsitheacha earcaíochta, amhail a chinntiú gur cruinn, soiléir agus ar fáil i bhformáidí inrochtana a bheidh sainchuntais phoist agus fógraí poist</w:t>
      </w:r>
    </w:p>
    <w:p w14:paraId="436D1B1E" w14:textId="334F9E3C" w:rsidR="00507EBA" w:rsidRPr="00D51778" w:rsidRDefault="00D20D29" w:rsidP="005629B1">
      <w:pPr>
        <w:pStyle w:val="ListBullet"/>
      </w:pPr>
      <w:r w:rsidRPr="00D51778">
        <w:rPr>
          <w:shd w:val="clear" w:color="auto" w:fill="FFFFFF"/>
          <w:lang w:val="ga"/>
        </w:rPr>
        <w:t>Aonad Éagsúlachta agus Cuimsithe a bheith acu ina rannóg acmhainní daonna faoi seach, nó grúpa oibre sonrach um chomhionannas, éagsúlacht agus cuimsiú a bhunú ina n-eagraíocht chun straitéisí comhionannais, éagsúla</w:t>
      </w:r>
      <w:r w:rsidR="008D4408">
        <w:rPr>
          <w:shd w:val="clear" w:color="auto" w:fill="FFFFFF"/>
          <w:lang w:val="ga"/>
        </w:rPr>
        <w:t>chta agus cuimsithe a fhorbairt</w:t>
      </w:r>
    </w:p>
    <w:p w14:paraId="6D8BFB69" w14:textId="39F88957" w:rsidR="002F2D37" w:rsidRPr="00D51778" w:rsidRDefault="002F2D37" w:rsidP="005629B1">
      <w:pPr>
        <w:pStyle w:val="ListBullet"/>
      </w:pPr>
      <w:r w:rsidRPr="00D51778">
        <w:rPr>
          <w:lang w:val="ga"/>
        </w:rPr>
        <w:t xml:space="preserve">Beartais Dearaidh Uilíoch agus Pleananna Gníomhaíochta a chur chun feidhme chun a chinntiú go ndéanfaí seirbhísí, cumarsáidí, spásanna poiblí agus an timpeallacht thógtha a dhearadh go huilíoch. De bhreis ar phróisis earcaíochta cuimsithí a bheith i bhfeidhm acu, is toradh féideartha ar chur chuige Dearaidh </w:t>
      </w:r>
      <w:r w:rsidRPr="00D51778">
        <w:rPr>
          <w:lang w:val="ga"/>
        </w:rPr>
        <w:lastRenderedPageBreak/>
        <w:t>Uilíoch a chur chun feidhme ná go gcabhraítear le comhlachtaí poiblí fórsa saothair níos éagsúla a mhealladh, lena n-áirítear daoine a bhfuil míchumas orthu.</w:t>
      </w:r>
    </w:p>
    <w:p w14:paraId="33846097" w14:textId="2CBF441B" w:rsidR="00ED2BDC" w:rsidRPr="00D51778" w:rsidRDefault="00D20D29" w:rsidP="005629B1">
      <w:r w:rsidRPr="00D51778">
        <w:rPr>
          <w:lang w:val="ga"/>
        </w:rPr>
        <w:t>Thuairiscigh comhlachtaí poiblí faoi shainchúram Ranna Rialtais freisin go raibh bearta cosúla i bhfeidhm acu chun na hoibleagáidí atá orthu faoi Chuid 5 a chomhlíonadh.</w:t>
      </w:r>
    </w:p>
    <w:p w14:paraId="213D80B2" w14:textId="39807707" w:rsidR="00765D4E" w:rsidRPr="00D51778" w:rsidRDefault="00A64B0D" w:rsidP="005629B1">
      <w:r w:rsidRPr="00D51778">
        <w:rPr>
          <w:lang w:val="ga"/>
        </w:rPr>
        <w:t>Tá roinnt beart i bhfeidhm ag Seirbhís Chúirteanna na hÉireann chun na deiseanna earcaíochta agus coinneála do dhaoine a bhfuil míchumas orthu a mhéadú. Ina measc sin bhí clár oiliúna dar teideal ‘</w:t>
      </w:r>
      <w:r w:rsidRPr="00D51778">
        <w:rPr>
          <w:b/>
          <w:bCs/>
          <w:lang w:val="ga"/>
        </w:rPr>
        <w:t>Developing your Career Path</w:t>
      </w:r>
      <w:r w:rsidRPr="00D51778">
        <w:rPr>
          <w:lang w:val="ga"/>
        </w:rPr>
        <w:t xml:space="preserve">’, rud lena dtugtar deis d’fhostaithe, fostaithe a bhfuil míchumas orthu san áireamh, chun sainaithint agus sealbhú a dhéanamh ar an oiliúint agus na scileanna a theastaíonn uathu chun dul chun cinn a dhéanamh ar a ngairm. Tá beartais agus próisis i bhfeidhm ag an gcomhlacht poiblí sin chun dul chun cinn gairme a éascú. Áirítear leo sin beartas maidir le soghluaisteacht chliathánach lena gcuirtear ar chumas fostaithe, idir fhostaithe a bhfuil míchumas orthu agus fhostaithe nach bhfuil míchumas orthu, aistriú chuig oifig eile nó chuig seirbhís cúirte eile ar mhaithe le scileanna nua a fhorbairt nó le taithí nua a ghnóthú. Luaigh an comhlacht poiblí sin freisin go bhfuil sé de rún aige fórsa saothair agus seirbhís do chustaiméirí atá cuimsitheach agus éagsúil a chruthú trí úsáid a bhaint as prionsabail an Dearaidh Uilíoch, a bhfuil mar aidhm leo feabhas a chur ar an rochtain ar an gceartas do gach duine in Éirinn. </w:t>
      </w:r>
    </w:p>
    <w:p w14:paraId="3AE72567" w14:textId="33BBDDE2" w:rsidR="005D787C" w:rsidRPr="00D51778" w:rsidRDefault="002C6A96" w:rsidP="005629B1">
      <w:r w:rsidRPr="00D51778">
        <w:rPr>
          <w:lang w:val="ga"/>
        </w:rPr>
        <w:t>Lean roinnt comhlachtaí poiblí, an Bord Taighde Sláinte san áireamh, ar aghaidh ag mionchoigeartú a straitéisí cumarsáide chun a n-áirimh foirne a chur chun cinn agus chun feabhas a chur ar na rátaí freagartha óna bhfostaithe faoi seach, go háirithe daoine a bhfuil míchumas orthu. Ní dhearna an Coimisiún um Iomaíocht agus Cosaint Tomhaltóirí áireamh foirne le roinnt blianta. Sa bhliain 2021, rinne an comhlacht poiblí seo áireamh foirne go rathúil. D’éirigh leis dea-ráta freagartha a fháil óna fhostaithe, agus 97 nduine (70.8%) den 137 bhfostaí a bhí aige ag comhlánú an áirimh.</w:t>
      </w:r>
    </w:p>
    <w:p w14:paraId="00527A87" w14:textId="3126F4DE" w:rsidR="001A3442" w:rsidRPr="00D51778" w:rsidRDefault="001A3442" w:rsidP="001A3442">
      <w:pPr>
        <w:pStyle w:val="Heading2"/>
      </w:pPr>
      <w:bookmarkStart w:id="27" w:name="_Toc124367396"/>
      <w:r w:rsidRPr="00D51778">
        <w:rPr>
          <w:bCs/>
          <w:lang w:val="ga"/>
        </w:rPr>
        <w:t>An Móiminteam a Choinneáil ar Bun</w:t>
      </w:r>
      <w:bookmarkEnd w:id="27"/>
      <w:r w:rsidRPr="00D51778">
        <w:rPr>
          <w:bCs/>
          <w:lang w:val="ga"/>
        </w:rPr>
        <w:t xml:space="preserve"> </w:t>
      </w:r>
    </w:p>
    <w:p w14:paraId="4972DDB3" w14:textId="75EB46AE" w:rsidR="005136C6" w:rsidRPr="00D51778" w:rsidRDefault="005136C6" w:rsidP="005629B1">
      <w:r w:rsidRPr="00D51778">
        <w:rPr>
          <w:lang w:val="ga"/>
        </w:rPr>
        <w:t xml:space="preserve">Aithníonn ÚNM an dul chun cinn a rinne comhlachtaí poiblí sa bhliain 2021. Cuirimid in iúl arís agus arís eile, áfach, go gcaithfidh níos mó comhlachtaí poiblí díriú ar fhianaise a thabhairt go bhfuil bearta praiticiúla á gcur chun feidhme acu chun an cuspóir sin a bhaint amach má tá an earnáil phoiblí ina hiomláine chun dul chun cinn a dhéanamh maidir leis an íos-sprioc 6% a bhaint amach. </w:t>
      </w:r>
    </w:p>
    <w:p w14:paraId="5F6B5758" w14:textId="46DB1FCC" w:rsidR="00D234F8" w:rsidRPr="00D51778" w:rsidRDefault="00D234F8" w:rsidP="00D234F8">
      <w:pPr>
        <w:pStyle w:val="Heading3"/>
      </w:pPr>
      <w:r w:rsidRPr="00D51778">
        <w:rPr>
          <w:bCs/>
          <w:lang w:val="ga"/>
        </w:rPr>
        <w:t>Freagracht as sonraí cruinne a sholáthar</w:t>
      </w:r>
    </w:p>
    <w:p w14:paraId="682F9B35" w14:textId="464EFDCC" w:rsidR="00EE4468" w:rsidRPr="00D51778" w:rsidRDefault="00562B27" w:rsidP="005629B1">
      <w:r w:rsidRPr="00D51778">
        <w:rPr>
          <w:lang w:val="ga"/>
        </w:rPr>
        <w:t xml:space="preserve">Cuid ríthábhachtach den phróiseas sin is ea sonraí cruinne a sholáthar. Chuir ÚNM in iúl do chomhlachtaí poiblí agus do Choistí Faireacháin na Ranna arís agus arís eile go bhfuil sé de fhreagracht orthu a chinntiú gur cruinn atá sonraí bliantúla </w:t>
      </w:r>
      <w:r w:rsidRPr="00D51778">
        <w:rPr>
          <w:lang w:val="ga"/>
        </w:rPr>
        <w:lastRenderedPageBreak/>
        <w:t xml:space="preserve">Chuid 5 uathu. Thugamar treoir agus tacaíocht dóibh freisin chun cabhrú leo ina leith sin.  </w:t>
      </w:r>
    </w:p>
    <w:p w14:paraId="0C612900" w14:textId="6269A064" w:rsidR="00070557" w:rsidRPr="00D51778" w:rsidRDefault="000D2658" w:rsidP="005629B1">
      <w:r w:rsidRPr="00D51778">
        <w:rPr>
          <w:lang w:val="ga"/>
        </w:rPr>
        <w:t xml:space="preserve">Tugann ÚNM dá aire go ndearna roinnt comhlachtaí poiblí teagmháil linn le linn phróiseas tuairiscithe na bliana 2021 chun a chur in iúl gur mhíchruinn a bhí na sonraí tosaigh a sheol siad. Maidir leis an bpróiseas arb é atá ann sonraí ceartaithe a chur isteach chuig Coistí Faireacháin na Ranna agus iad a chur ar aghaidh chuig ÚNM, is féidir leis moilleanna breise a chur ar an tuarascáil reachtúil ar chomhlíonadh a chur le chéile. </w:t>
      </w:r>
    </w:p>
    <w:p w14:paraId="512E23D8" w14:textId="7E554DBC" w:rsidR="00CA2631" w:rsidRPr="00D51778" w:rsidRDefault="009413F4" w:rsidP="005629B1">
      <w:pPr>
        <w:rPr>
          <w:b/>
        </w:rPr>
      </w:pPr>
      <w:r w:rsidRPr="00D51778">
        <w:rPr>
          <w:lang w:val="ga"/>
        </w:rPr>
        <w:t>Oibleagáid reachtúil ar gach comhlacht poiblí is ea sonraí cruinne a sholáthar chun críocha Chuid 5. Dá bhrí sin, tá sé le leas na gcomhlachtaí poiblí a thaispeáint cén dul chun cinn atá á dhéanamh acu gach bliain maidir le feabhas a chur ar a bpróisis bhailithe sonraí, le sonraí cruinne a chur isteach agus lena thaispeáint cé na bearta atá á gcur chun feidhme acu chun na hoibleagáidí atá orthu faoi Chuid 5 a chomhlíonadh. Tá freagracht ar chomhlachtaí poiblí freisin as a bpróisis bhailithe sonraí féin a chur chun feidhme.</w:t>
      </w:r>
    </w:p>
    <w:p w14:paraId="784772B4" w14:textId="7B703BFC" w:rsidR="00C31D87" w:rsidRPr="005629B1" w:rsidRDefault="00002A59" w:rsidP="005629B1">
      <w:r w:rsidRPr="00D51778">
        <w:rPr>
          <w:lang w:val="ga"/>
        </w:rPr>
        <w:t xml:space="preserve">Má tá comhlachtaí poiblí chun an móiminteam a choinneáil ar bun agus chun leanúint le feabhas a chur ar a bhfeidhmíocht faoi Chuid 5, molann ÚNM go mbeadh pearsanra ainmnithe ag comhlachtaí poiblí agus go mbeadh i bhfeidhm acu próiseas soiléir a chuirtear in iúl do gach fostaí maidir lena bpróiseas bliantúil um </w:t>
      </w:r>
      <w:r w:rsidRPr="005629B1">
        <w:t>shonraí Chuid 5 atá athraithe chun dáta a bhailiú, a sheiceáil agus a chur isteach.</w:t>
      </w:r>
    </w:p>
    <w:p w14:paraId="1BBA366C" w14:textId="5706A336" w:rsidR="005C3644" w:rsidRPr="00D51778" w:rsidRDefault="005C3644" w:rsidP="005C3644">
      <w:pPr>
        <w:pStyle w:val="Heading3"/>
      </w:pPr>
      <w:r w:rsidRPr="00D51778">
        <w:rPr>
          <w:bCs/>
          <w:lang w:val="ga"/>
        </w:rPr>
        <w:t>Díriú ar chleachtais earcaíochta cuimsithí</w:t>
      </w:r>
    </w:p>
    <w:p w14:paraId="3B38626B" w14:textId="7CF6B4CB" w:rsidR="00002A59" w:rsidRPr="00D51778" w:rsidRDefault="0021273E" w:rsidP="005629B1">
      <w:r w:rsidRPr="00D51778">
        <w:rPr>
          <w:lang w:val="ga"/>
        </w:rPr>
        <w:t>Luann ÚNM freisin go bhfuil imní air gur thuairiscigh líon beag comhlachtaí poiblí gur éiligh siad iarrthóirí a bhfuil saincháilíochtaí acu agus iad i mbun earcaíochta. Thuairiscigh na comhlachtaí poiblí sin freisin gurbh í sin an phríomhchúis nár bhain siad an íos-sprioc 3% amach sna blianta 2020 agus 2021. Thug ÚNM comhairle do chomhlachtaí poiblí arís agus arís eile maidir le bearta earcaíochta cuimsithí, lena n-áirítear deiseanna taithí oibre a sholáthar do dhaoine a bhfuil míchumas orthu, chun cabhrú leo iarrthóirí a bhfuil na cáilíochtaí oiriúnacha acu a aimsiú le haghaidh poist dhifriúla, sainróil san áireamh. Soláthraíonn an Open Doors Initiative, Employers for Change, AHEAD agus eagraíochtaí eile cineálacha éagsúla tacaíochta d’fhostóirí earnála poiblí ina leith sin.</w:t>
      </w:r>
    </w:p>
    <w:p w14:paraId="4E8B2418" w14:textId="1915B9AD" w:rsidR="00CA2631" w:rsidRPr="00D51778" w:rsidRDefault="00364FBA" w:rsidP="005629B1">
      <w:r w:rsidRPr="00D51778">
        <w:rPr>
          <w:lang w:val="ga"/>
        </w:rPr>
        <w:t>Sa chomhthéacs sin, ní hionann ráitis á rá go n-éileofaí sainriachtanais le haghaidh post a d’fhéadfaí a fhágáil go n-eisiafaí daoine a bhfuil míchumas orthu ón mbuíon earcach féideartha agus cúis a dteipeann ar chomhlachtaí poiblí an íos-sprioc reachtúil fostaíochta a bhaint amach. Molann ÚNM nach mór do na comhlachtaí poiblí sin próisis earcaíochta atá níos réamhghníomhaí agus níos cuimsithí a thaispeáint sa bhliain atá le teacht.</w:t>
      </w:r>
    </w:p>
    <w:p w14:paraId="5B302B0C" w14:textId="4337952F" w:rsidR="005C3644" w:rsidRPr="00D51778" w:rsidRDefault="00F7020D" w:rsidP="005629B1">
      <w:r w:rsidRPr="00D51778">
        <w:rPr>
          <w:lang w:val="ga"/>
        </w:rPr>
        <w:lastRenderedPageBreak/>
        <w:t>Leanfaidh ÚNM ar aghaidh ag déanamh faireachán ar na comhlachtaí poiblí sin agus tá sé ag súil le feabhsú ina bhfeidhmíocht a fheiceáil sa bhliain atá le teacht.</w:t>
      </w:r>
      <w:bookmarkStart w:id="28" w:name="_Toc526435808"/>
      <w:bookmarkStart w:id="29" w:name="_Toc18680242"/>
      <w:bookmarkStart w:id="30" w:name="_Toc498585826"/>
    </w:p>
    <w:p w14:paraId="659A57DA" w14:textId="65FAA245" w:rsidR="003A5392" w:rsidRPr="00D51778" w:rsidRDefault="003A5392" w:rsidP="003A5392">
      <w:pPr>
        <w:pStyle w:val="Heading2"/>
      </w:pPr>
      <w:bookmarkStart w:id="31" w:name="_Toc124367397"/>
      <w:r w:rsidRPr="00D51778">
        <w:rPr>
          <w:bCs/>
          <w:lang w:val="ga"/>
        </w:rPr>
        <w:t>Athbhreithniú ar Chuid 5</w:t>
      </w:r>
      <w:bookmarkEnd w:id="31"/>
      <w:r w:rsidRPr="00D51778">
        <w:rPr>
          <w:bCs/>
          <w:lang w:val="ga"/>
        </w:rPr>
        <w:t xml:space="preserve"> </w:t>
      </w:r>
    </w:p>
    <w:p w14:paraId="4F635A87" w14:textId="4856EB09" w:rsidR="003A5392" w:rsidRPr="00D51778" w:rsidRDefault="003A5392" w:rsidP="005629B1">
      <w:r w:rsidRPr="00D51778">
        <w:rPr>
          <w:lang w:val="ga"/>
        </w:rPr>
        <w:t xml:space="preserve">Sa bhliain 2019, choimisiúnaigh ÚNM Athbhreithniú ar oibriú Chuid 5 den Acht um Míchumas 2005. Ba iad cuspóirí an Athbhreithnithe sin ná treorú a dhéanamh ar phróiseas a fhorbairt agus a chur chun feidhme, ar próiseas é a d’fhéadfaimis a úsáid chun sonraí i bhfad níos saibhre a fháil faoi na bearta atá i bhfeidhm ag comhlachtaí poiblí chun na hoibleagáidí atá orthu faoi Chuid 5 a chomhlíonadh, agus próiseas a bheadh níos áisiúla don úsáideoir, níos cuíchóirithe, níos éifeachtúla agus níos sodhéanta ar an iomlán a threorú lena bhainistiú ag ÚNM. </w:t>
      </w:r>
      <w:r w:rsidRPr="00D51778">
        <w:rPr>
          <w:color w:val="000000" w:themeColor="text1"/>
          <w:lang w:val="ga"/>
        </w:rPr>
        <w:t xml:space="preserve">Páipéar ina mionsonraítear na fionnachtana taighde a forbraíodh mar chuid den Athbhreithniú agus ina leagtar amach moltaí le haghaidh na gcéad chéimeanna eile, foilsíodh é ar shuíomh Gréasáin ÚNM i gcomhthráth le Comhdháil Bhliantúil 2022 de chuid ÚNM, inar díríodh ar an topaic seo: </w:t>
      </w:r>
      <w:r w:rsidRPr="00D51778">
        <w:rPr>
          <w:b/>
          <w:bCs/>
          <w:color w:val="000000" w:themeColor="text1"/>
          <w:lang w:val="ga"/>
        </w:rPr>
        <w:t>Ó Inrochtaineacht go cur chuige Dearaidh Uilíoch – foghlaim ón earnáil phoiblí agus ón earnáil phríobháideach</w:t>
      </w:r>
      <w:r w:rsidRPr="00D51778">
        <w:rPr>
          <w:color w:val="000000" w:themeColor="text1"/>
          <w:lang w:val="ga"/>
        </w:rPr>
        <w:t>. Cuireadh an Chomhdháil sin ar siúl an 20 Deireadh Fómhair 2022 in Ionad Comhdhála Pháirc an Chrócaigh i mBaile Átha Cliath.</w:t>
      </w:r>
    </w:p>
    <w:p w14:paraId="24C4CD51" w14:textId="49D00999" w:rsidR="00E561E3" w:rsidRPr="00D51778" w:rsidRDefault="003A5392" w:rsidP="005629B1">
      <w:r w:rsidRPr="00D51778">
        <w:rPr>
          <w:lang w:val="ga"/>
        </w:rPr>
        <w:t>Ón mbliain 2021 i leith, tá ÚNM ag cur roinnt de na moltaí ón Athbhreithniú ar Chuid 5 chun feidhme. Áirítear leo sin comhairle a chur ar Oifig an Choimisiúin um Cheapacháin Seirbhíse Poiblí maidir le Cód Cleachtais aonair le haghaidh Ceapacháin i bPoist sa Státseirbhís agus Ceisteanna Coitianta</w:t>
      </w:r>
      <w:r w:rsidRPr="00D51778">
        <w:rPr>
          <w:rStyle w:val="FootnoteReference"/>
          <w:lang w:val="ga"/>
        </w:rPr>
        <w:footnoteReference w:id="2"/>
      </w:r>
      <w:r w:rsidRPr="00D51778">
        <w:rPr>
          <w:lang w:val="ga"/>
        </w:rPr>
        <w:t xml:space="preserve"> a fhorbairt chun cabhrú leis an earnáil phoiblí cleachtais earcaíochta cuimsithí a fhorbairt agus a chur chun feidhme agus timpeallachtaí comhionanna éagsúla cuimsitheacha oibre a chruthú trí chur chuige Dearaidh Uilíoch a úsáid. Foilsíodh an Cód athbhreithnithe agus na Ceisteanna Coitianta i mí Mheán Fómhair 2021.  Sa bhliain atá le teacht, tosóidh ÚNM ag dul i gcomhairle le sraith éagsúil geallsealbhóirí chun na moltaí seo a leanas ón Athbhreithniú ar Chuid 5 a fhorbairt, a thriail agus a chur chun feidhme:</w:t>
      </w:r>
    </w:p>
    <w:p w14:paraId="782A3EDA" w14:textId="471BD7C6" w:rsidR="00F975B3" w:rsidRPr="00D51778" w:rsidRDefault="00E6294F" w:rsidP="008E7550">
      <w:pPr>
        <w:pStyle w:val="ListBullet"/>
      </w:pPr>
      <w:r w:rsidRPr="00D51778">
        <w:rPr>
          <w:lang w:val="ga"/>
        </w:rPr>
        <w:t>Ceisteanna Chuid 5 a athbhreithniú chun cabhrú le sonraí níos saibhre a fháil ó chomhlachtaí poiblí faoi na bearta atá i bhfeidhm acu chun cultúr comhionann éagsúil cuimsitheach oibre a chruthú trí chur chuige Dearaidh Uilíoch a úsáid</w:t>
      </w:r>
    </w:p>
    <w:p w14:paraId="78AB08C6" w14:textId="05DB6BBF" w:rsidR="007D0C8A" w:rsidRPr="00D51778" w:rsidRDefault="003A5392" w:rsidP="008E7550">
      <w:pPr>
        <w:pStyle w:val="ListBullet"/>
      </w:pPr>
      <w:r w:rsidRPr="00D51778">
        <w:rPr>
          <w:lang w:val="ga"/>
        </w:rPr>
        <w:t xml:space="preserve">Scópáil agus forbairt a dhéanamh ar chóras faireacháin ar líne lena gcuíchóireofar an próiseas bailithe agus fíoraithe sonraí agus lena n-éascófar anailís níos cuimsithí le haghaidh shonraí Chuid 5 agus le haghaidh na sonraí arna mbailiú faoi fheidhmeanna faireacháin eile ÚNM, lena n-áirítear Cuid 3 </w:t>
      </w:r>
      <w:r w:rsidRPr="00D51778">
        <w:rPr>
          <w:lang w:val="ga"/>
        </w:rPr>
        <w:lastRenderedPageBreak/>
        <w:t>(inrochtaineacht seirbhísí poiblí, inrochtaineacht faisnéise, inrochtaineacht spásanna poiblí agus inrochtaineacht na timpeallachta tógtha); agus Rialacháin an Aontais Eorpaigh (Inrochtaineacht Suíomhanna Gréasáin agus Feidhmchlár Móibíleach de chuid Co</w:t>
      </w:r>
      <w:r w:rsidR="008D4408">
        <w:rPr>
          <w:lang w:val="ga"/>
        </w:rPr>
        <w:t>mhlachtaí san Earnáil Phoiblí)</w:t>
      </w:r>
    </w:p>
    <w:p w14:paraId="11D8517F" w14:textId="473E75B2" w:rsidR="00B13116" w:rsidRPr="00B13116" w:rsidRDefault="008312C8" w:rsidP="008E7550">
      <w:pPr>
        <w:pStyle w:val="ListBullet"/>
        <w:rPr>
          <w:b/>
          <w:lang w:eastAsia="en-IE"/>
        </w:rPr>
      </w:pPr>
      <w:r w:rsidRPr="00B4417C">
        <w:rPr>
          <w:lang w:val="ga-IE" w:eastAsia="en-IE"/>
        </w:rPr>
        <w:t xml:space="preserve">Féachaint leis an bhféidearthacht go bhféadfadh an córas monatóireachta ar líne seo bailiú agus anailísiú sonraí a chumasú, a thabharfaidh eolas freisin do róil an </w:t>
      </w:r>
      <w:r>
        <w:rPr>
          <w:lang w:eastAsia="en-IE"/>
        </w:rPr>
        <w:t>ÚNM</w:t>
      </w:r>
      <w:r w:rsidRPr="00B4417C">
        <w:rPr>
          <w:lang w:val="ga-IE" w:eastAsia="en-IE"/>
        </w:rPr>
        <w:t xml:space="preserve"> maidir le faireachán a dhéanamh ar an dul chun cinn atá á dhéanamh ag comhlachtaí poiblí i gcomhlíonadh a n-oibleagáidí faoin </w:t>
      </w:r>
      <w:r w:rsidR="00B13116">
        <w:rPr>
          <w:b/>
          <w:lang w:val="ga-IE" w:eastAsia="en-IE"/>
        </w:rPr>
        <w:t>UNC</w:t>
      </w:r>
      <w:r w:rsidRPr="00B4417C">
        <w:rPr>
          <w:b/>
          <w:lang w:val="ga-IE" w:eastAsia="en-IE"/>
        </w:rPr>
        <w:t>R</w:t>
      </w:r>
      <w:r w:rsidR="00B13116">
        <w:rPr>
          <w:b/>
          <w:lang w:eastAsia="en-IE"/>
        </w:rPr>
        <w:t>P</w:t>
      </w:r>
      <w:r w:rsidRPr="00B4417C">
        <w:rPr>
          <w:b/>
          <w:lang w:val="ga-IE" w:eastAsia="en-IE"/>
        </w:rPr>
        <w:t>D, Straitéis Chuimsitheach Fostaíochta um Fhostú Daoine faoi Mhíchumas. 2015 – 2024</w:t>
      </w:r>
      <w:r w:rsidRPr="00B4417C">
        <w:rPr>
          <w:lang w:val="ga-IE" w:eastAsia="en-IE"/>
        </w:rPr>
        <w:t xml:space="preserve"> agus </w:t>
      </w:r>
      <w:r w:rsidR="00B13116" w:rsidRPr="00B13116">
        <w:rPr>
          <w:b/>
          <w:lang w:val="ga-IE" w:eastAsia="en-IE"/>
        </w:rPr>
        <w:t>an Straitéis nua Forfheidhmithe UNCRPD</w:t>
      </w:r>
      <w:r w:rsidR="00B13116" w:rsidRPr="008D4408">
        <w:rPr>
          <w:lang w:val="ga-IE" w:eastAsia="en-IE"/>
        </w:rPr>
        <w:t>.</w:t>
      </w:r>
    </w:p>
    <w:p w14:paraId="55E486EF" w14:textId="34F826B4" w:rsidR="002659BA" w:rsidRPr="00B13116" w:rsidRDefault="003E5646" w:rsidP="008E7550">
      <w:pPr>
        <w:rPr>
          <w:rFonts w:cs="Courier New"/>
          <w:lang w:eastAsia="en-IE"/>
        </w:rPr>
      </w:pPr>
      <w:r w:rsidRPr="00D51778">
        <w:rPr>
          <w:lang w:val="ga"/>
        </w:rPr>
        <w:t xml:space="preserve">I measc na ngeallsealbhóirí sa phróiseas comhairliúcháin sin beidh Eagraíochtaí do Dhaoine faoi Mhíchumas, daoine aonair a bhfuil míchumas orthu, </w:t>
      </w:r>
      <w:r w:rsidR="00B13116" w:rsidRPr="00B13116">
        <w:rPr>
          <w:rStyle w:val="y2iqfc"/>
        </w:rPr>
        <w:t>geallsealbhóirí míchumais</w:t>
      </w:r>
      <w:r w:rsidR="00F516B8">
        <w:rPr>
          <w:rFonts w:cs="Courier New"/>
          <w:lang w:eastAsia="en-IE"/>
        </w:rPr>
        <w:t xml:space="preserve">, </w:t>
      </w:r>
      <w:r w:rsidRPr="00D51778">
        <w:rPr>
          <w:lang w:val="ga"/>
        </w:rPr>
        <w:t>Bainisteoirí Sinsearacha, fostaithe a bhfuil míchumas orthu agus fostaithe nach bhfuil míchumas orthu san earnáil phoiblí agus ceardchumainn earnála poiblí.</w:t>
      </w:r>
    </w:p>
    <w:p w14:paraId="275605FA" w14:textId="7CCC6EEC" w:rsidR="00B63BFC" w:rsidRPr="00D51778" w:rsidRDefault="00B63BFC">
      <w:pPr>
        <w:spacing w:after="0"/>
        <w:rPr>
          <w:rFonts w:eastAsia="SimSun"/>
        </w:rPr>
      </w:pPr>
      <w:r w:rsidRPr="00D51778">
        <w:rPr>
          <w:rFonts w:eastAsia="SimSun"/>
          <w:lang w:val="ga"/>
        </w:rPr>
        <w:br w:type="page"/>
      </w:r>
    </w:p>
    <w:p w14:paraId="57A4513E" w14:textId="4CC3BBAF" w:rsidR="00973B13" w:rsidRPr="00D51778" w:rsidRDefault="00973B13" w:rsidP="00366C86">
      <w:pPr>
        <w:pStyle w:val="Heading1"/>
        <w:rPr>
          <w:b w:val="0"/>
        </w:rPr>
      </w:pPr>
      <w:bookmarkStart w:id="32" w:name="_Toc124367398"/>
      <w:r w:rsidRPr="00D51778">
        <w:rPr>
          <w:rStyle w:val="Heading1Char"/>
          <w:b/>
          <w:bCs/>
          <w:lang w:val="ga"/>
        </w:rPr>
        <w:lastRenderedPageBreak/>
        <w:t>1 Réamhrá</w:t>
      </w:r>
      <w:bookmarkEnd w:id="28"/>
      <w:bookmarkEnd w:id="29"/>
      <w:bookmarkEnd w:id="30"/>
      <w:bookmarkEnd w:id="32"/>
    </w:p>
    <w:p w14:paraId="55CDA0CC" w14:textId="77777777" w:rsidR="00973B13" w:rsidRPr="00D51778" w:rsidRDefault="00973B13" w:rsidP="00973B13">
      <w:pPr>
        <w:pStyle w:val="Heading2"/>
      </w:pPr>
      <w:bookmarkStart w:id="33" w:name="_Toc18680243"/>
      <w:bookmarkStart w:id="34" w:name="_Toc526435809"/>
      <w:bookmarkStart w:id="35" w:name="_Toc498585827"/>
      <w:bookmarkStart w:id="36" w:name="_Toc124367399"/>
      <w:r w:rsidRPr="00D51778">
        <w:rPr>
          <w:bCs/>
          <w:lang w:val="ga"/>
        </w:rPr>
        <w:t>1.1 An cúlra reachtach</w:t>
      </w:r>
      <w:bookmarkEnd w:id="33"/>
      <w:bookmarkEnd w:id="34"/>
      <w:bookmarkEnd w:id="35"/>
      <w:bookmarkEnd w:id="36"/>
    </w:p>
    <w:p w14:paraId="4C9E93D1" w14:textId="3608BCC7" w:rsidR="00973B13" w:rsidRPr="00D51778" w:rsidRDefault="00973B13" w:rsidP="008E7550">
      <w:r w:rsidRPr="00D51778">
        <w:rPr>
          <w:lang w:val="ga"/>
        </w:rPr>
        <w:t>I gCuid 5 den Acht um Míchumas 2005, tugtar ról reachtúil don Údarás Náisiúnta Míchumais (ÚNM) i bhfaireachán a dhéanamh ar fhostú daoine a bhfuil míchumas orthu san earnáil phoiblí. Leagtar amach inti freisin na hoibleagáidí tuairiscithe agus faireacháin atá ar chomhlachtaí poiblí agus Ranna Rialtais ó thaobh fostaíochta de.</w:t>
      </w:r>
    </w:p>
    <w:p w14:paraId="7A998D5E" w14:textId="77777777" w:rsidR="00973B13" w:rsidRPr="00D51778" w:rsidRDefault="00973B13" w:rsidP="008E7550">
      <w:r w:rsidRPr="00D51778">
        <w:rPr>
          <w:lang w:val="ga"/>
        </w:rPr>
        <w:t>Mar achoimre, is iad seo na hoibleagáidí atá mionsonraithe san Acht:</w:t>
      </w:r>
    </w:p>
    <w:p w14:paraId="6FD1442F" w14:textId="77777777" w:rsidR="00973B13" w:rsidRPr="00D51778" w:rsidRDefault="00973B13" w:rsidP="008E7550">
      <w:pPr>
        <w:pStyle w:val="ListBullet"/>
      </w:pPr>
      <w:r w:rsidRPr="00D51778">
        <w:rPr>
          <w:lang w:val="ga"/>
        </w:rPr>
        <w:t>A mhéid is féidir, déanfaidh comhlachtaí poiblí gach beart réasúnach chun fostú daoine a bhfuil míchumas orthu acu a chur chun cinn agus chun tacú leis an bhfostú sin (alt 47.1a)</w:t>
      </w:r>
    </w:p>
    <w:p w14:paraId="4A31B4C9" w14:textId="77777777" w:rsidR="00973B13" w:rsidRPr="00D51778" w:rsidRDefault="00973B13" w:rsidP="008E7550">
      <w:pPr>
        <w:pStyle w:val="ListBullet"/>
      </w:pPr>
      <w:r w:rsidRPr="00D51778">
        <w:rPr>
          <w:lang w:val="ga"/>
        </w:rPr>
        <w:t xml:space="preserve">Cinnteoidh comhlachtaí poiblí go mbainfidh siad aon spriocanna forordaithe comhlíonta amach, ach amháin i gcás go mbeidh dea-chúis ann le gan an méid sin a dhéanamh (alt 47.2) </w:t>
      </w:r>
    </w:p>
    <w:p w14:paraId="6FF16AA5" w14:textId="77777777" w:rsidR="00973B13" w:rsidRPr="00D51778" w:rsidRDefault="00973B13" w:rsidP="008E7550">
      <w:pPr>
        <w:pStyle w:val="ListBullet"/>
      </w:pPr>
      <w:r w:rsidRPr="00D51778">
        <w:rPr>
          <w:lang w:val="ga"/>
        </w:rPr>
        <w:t>Bunóidh Airí Coiste Faireacháin ina Roinn féin (alt 48.1)</w:t>
      </w:r>
    </w:p>
    <w:p w14:paraId="1B951DCD" w14:textId="77777777" w:rsidR="00973B13" w:rsidRPr="00D51778" w:rsidRDefault="00973B13" w:rsidP="008E7550">
      <w:pPr>
        <w:pStyle w:val="ListBullet"/>
      </w:pPr>
      <w:r w:rsidRPr="00D51778">
        <w:rPr>
          <w:lang w:val="ga"/>
        </w:rPr>
        <w:t>Cuirfidh comhlachtaí poiblí tuarascáil bhliantúil ar chomhlíonadh faoi bhráid Choiste Faireacháin a Roinne faoin 31 Márta gach bliain (alt 48.2)</w:t>
      </w:r>
    </w:p>
    <w:p w14:paraId="42A4FDA4" w14:textId="77777777" w:rsidR="00973B13" w:rsidRPr="00D51778" w:rsidRDefault="00973B13" w:rsidP="008E7550">
      <w:pPr>
        <w:pStyle w:val="ListBullet"/>
      </w:pPr>
      <w:r w:rsidRPr="00D51778">
        <w:rPr>
          <w:lang w:val="ga"/>
        </w:rPr>
        <w:t xml:space="preserve">Cuirfidh an Coiste Faireacháin tuarascáil bhliantúil faoi bhráid ÚNM faoin 30 Meitheamh gach bliain (alt 48.5d) </w:t>
      </w:r>
    </w:p>
    <w:p w14:paraId="4EA350F2" w14:textId="77777777" w:rsidR="00973B13" w:rsidRPr="00D51778" w:rsidRDefault="00973B13" w:rsidP="008E7550">
      <w:pPr>
        <w:pStyle w:val="ListBullet"/>
      </w:pPr>
      <w:r w:rsidRPr="00D51778">
        <w:rPr>
          <w:lang w:val="ga"/>
        </w:rPr>
        <w:t>I gcás go n-iarrfaidh Aire nó ÚNM tuilleadh faisnéise faoi chomhlíonadh, soláthróidh comhlacht poiblí an fhaisnéis sin laistigh de thréimhse trí mhí (alt 49.1)</w:t>
      </w:r>
    </w:p>
    <w:p w14:paraId="6A6541FB" w14:textId="77777777" w:rsidR="00973B13" w:rsidRPr="00D51778" w:rsidRDefault="00973B13" w:rsidP="008E7550">
      <w:pPr>
        <w:pStyle w:val="ListBullet"/>
      </w:pPr>
      <w:r w:rsidRPr="00D51778">
        <w:rPr>
          <w:lang w:val="ga"/>
        </w:rPr>
        <w:t>I gcás go mbeidh ÚNM den tuairim nach bhfuil comhlacht poiblí comhlíontach tar éis don chomhlacht mainneachtain comhlíonadh ar feadh dhá bhliain as a chéile, féadfaidh sé a iarraidh go ndéanfadh an comhlacht poiblí ‘bearta sonracha’ chun comhlíonadh a bhaint amach.</w:t>
      </w:r>
    </w:p>
    <w:p w14:paraId="49A133DE" w14:textId="77777777" w:rsidR="00973B13" w:rsidRPr="00D51778" w:rsidRDefault="00973B13" w:rsidP="00973B13">
      <w:pPr>
        <w:pStyle w:val="Heading2"/>
      </w:pPr>
      <w:bookmarkStart w:id="37" w:name="_Toc18680244"/>
      <w:bookmarkStart w:id="38" w:name="_Toc526435810"/>
      <w:bookmarkStart w:id="39" w:name="_Toc498585828"/>
      <w:bookmarkStart w:id="40" w:name="_Toc124367400"/>
      <w:r w:rsidRPr="00D51778">
        <w:rPr>
          <w:bCs/>
          <w:lang w:val="ga"/>
        </w:rPr>
        <w:t>1.2 An líon fostaithe a bhfuil míchumas orthu a chomhaireamh</w:t>
      </w:r>
      <w:bookmarkEnd w:id="37"/>
      <w:bookmarkEnd w:id="38"/>
      <w:bookmarkEnd w:id="39"/>
      <w:bookmarkEnd w:id="40"/>
    </w:p>
    <w:p w14:paraId="484FA4E3" w14:textId="3C4BF10D" w:rsidR="00973B13" w:rsidRPr="00D51778" w:rsidRDefault="00973B13" w:rsidP="00973B13">
      <w:r w:rsidRPr="008E7550">
        <w:t xml:space="preserve">Luaitear in alt 48(2) den Acht um Míchumas 2005 nach mór do chomhlachtaí poiblí sonraí a bhailiú faoi fhostaithe, agus go háirithe fostaithe a bhfuil míchumas orthu, </w:t>
      </w:r>
      <w:r w:rsidRPr="008E7550">
        <w:rPr>
          <w:b/>
          <w:bCs/>
        </w:rPr>
        <w:t>ar bhonn bliantúil</w:t>
      </w:r>
      <w:r w:rsidRPr="00D51778">
        <w:rPr>
          <w:lang w:val="ga"/>
        </w:rPr>
        <w:t>.</w:t>
      </w:r>
    </w:p>
    <w:p w14:paraId="32757F1E" w14:textId="566B5389" w:rsidR="00973B13" w:rsidRPr="00D51778" w:rsidRDefault="00973B13" w:rsidP="003339C2">
      <w:pPr>
        <w:pStyle w:val="BlockQuote"/>
      </w:pPr>
      <w:r w:rsidRPr="00D51778">
        <w:rPr>
          <w:lang w:val="ga"/>
        </w:rPr>
        <w:t xml:space="preserve"> “</w:t>
      </w:r>
      <w:r w:rsidRPr="008E7550">
        <w:t xml:space="preserve">Faoi réir </w:t>
      </w:r>
      <w:r w:rsidRPr="008E7550">
        <w:rPr>
          <w:i/>
          <w:iCs/>
        </w:rPr>
        <w:t>fho-alt (7)</w:t>
      </w:r>
      <w:r w:rsidRPr="008E7550">
        <w:t xml:space="preserve">, déanfaidh comhlacht poiblí, tráth nach déanaí ná an 31 Márta gach bliain, tuarascáil i scríbhinn a tharraingt suas maidir leis an dóigh ar chomhlíon sé an Chuid seo le linn </w:t>
      </w:r>
      <w:r w:rsidRPr="008E7550">
        <w:rPr>
          <w:b/>
          <w:bCs/>
        </w:rPr>
        <w:t xml:space="preserve">na bliana </w:t>
      </w:r>
      <w:r w:rsidRPr="008E7550">
        <w:rPr>
          <w:b/>
          <w:bCs/>
        </w:rPr>
        <w:lastRenderedPageBreak/>
        <w:t>roimhe sin</w:t>
      </w:r>
      <w:r w:rsidRPr="008E7550">
        <w:t xml:space="preserve"> agus cuirfidh sé an tuarascáil sin faoi bhráid an choiste faireacháin ábhartha</w:t>
      </w:r>
      <w:r w:rsidR="008D4408" w:rsidRPr="008E7550">
        <w:t>.</w:t>
      </w:r>
      <w:r w:rsidRPr="00D51778">
        <w:rPr>
          <w:lang w:val="ga"/>
        </w:rPr>
        <w:t>”</w:t>
      </w:r>
    </w:p>
    <w:p w14:paraId="609A75E4" w14:textId="4CFF0F8B" w:rsidR="00973B13" w:rsidRPr="00D51778" w:rsidRDefault="00973B13" w:rsidP="008E7550">
      <w:r w:rsidRPr="00D51778">
        <w:rPr>
          <w:lang w:val="ga"/>
        </w:rPr>
        <w:t>Cé nach leagtar amach san Acht aon mhodhanna ar leith le haghaidh fostaithe a bhfuil míchumas orthu a chomhaireamh nó a shainaithint, chuir ÚNM comhlachtaí poiblí ar an eolas roimhe seo faoi mhodhanna éagsúla a fhéadfar a úsáid chun sonraí a bhailiú agus a thabhairt cothrom le dáta ar bhonn bliantúil. Tá gach comhlacht poiblí freagrach as roghnú a dhéanamh ar mhodh cuí le haghaidh an líon fostaithe a bhfuil míchumas orthu ina n-eagraíocht a chomhaireamh gach bliain. Mhol ÚNM do chomhlachtaí poiblí cineálacha comhsheasmhacha cur chuige a chothabháil le himeacht ama nuair is féidir, ar mhaithe le móréagsúlachtaí a sheachaint sna sonraí tuairiscithe. Mar sin féin, glacann ÚNM leis gur féidir nach mbeidh sé sin indéanta nó cuí i gcónaí nuair a bheifear ag iarraidh feabhas a chur ar chruinneas na dtuairisceán.</w:t>
      </w:r>
    </w:p>
    <w:p w14:paraId="20A99D6C" w14:textId="535B4210" w:rsidR="00973B13" w:rsidRPr="00D51778" w:rsidRDefault="00973B13" w:rsidP="008E7550">
      <w:r w:rsidRPr="00D51778">
        <w:rPr>
          <w:lang w:val="ga"/>
        </w:rPr>
        <w:t>Beart tábhachtach maidir le fostaithe a bhfuil míchumas orthu a shainaithint is ea áireamh a dhéanamh ar gach fostaí, áit a dtugtar cuireadh do gach fostaí a chur in iúl cé acu atá nó nach bhfuil míchumas orthu. Léirítear sna tuairisceáin ó chomhlachtaí poiblí go bhfuil éagsúlacht leathan ann sna rátaí freagartha áirimh i measc fostaithe. Tá sé dúshlánach timpeallacht a chruthú ina bhfuil fostaithe ar a gcompord a stádas míchumais a chur in iúl. Bunaithe ar ár dtaithí féin, baintear na torthaí is fearr amach:</w:t>
      </w:r>
    </w:p>
    <w:p w14:paraId="2608F9CC" w14:textId="6E045C6C" w:rsidR="00973B13" w:rsidRPr="00D51778" w:rsidRDefault="00973B13" w:rsidP="008E7550">
      <w:pPr>
        <w:pStyle w:val="ListBullet"/>
      </w:pPr>
      <w:r w:rsidRPr="00D51778">
        <w:rPr>
          <w:lang w:val="ga"/>
        </w:rPr>
        <w:t>Nuair a ghabhann leis an áireamh clár leathan cumarsáide maidir leis na cúiseanna leis an áireamh, maidir le slándáil na faisnéise a sholáthrófar mar chuid den áireamh agus maidir leis na tairbhí a bhainfidh fostaithe agus an eagraíocht ina hiomláine as an áireamh. Is fiú comhpháirtíocht a bhunú le ceardchumainn agus le geallsealbhóirí eile ina leith sin freisin</w:t>
      </w:r>
    </w:p>
    <w:p w14:paraId="4163DE7A" w14:textId="77777777" w:rsidR="00973B13" w:rsidRPr="00D51778" w:rsidRDefault="00973B13" w:rsidP="008E7550">
      <w:pPr>
        <w:pStyle w:val="ListBullet"/>
      </w:pPr>
      <w:r w:rsidRPr="00D51778">
        <w:rPr>
          <w:lang w:val="ga"/>
        </w:rPr>
        <w:t>Nuair a chruthaíonn an fostóir cultúr agus timpeallacht ina bhfuil an fostaí ar a c(h)ompord a dhearbhú nach n-imreoidh an míchumas atá air/uirthi aon tionchar diúltach ar a f(h)ostaíocht.</w:t>
      </w:r>
    </w:p>
    <w:p w14:paraId="2F5AC038" w14:textId="76E5EE58" w:rsidR="00973B13" w:rsidRPr="00D51778" w:rsidRDefault="00973B13" w:rsidP="008E7550">
      <w:r w:rsidRPr="00D51778">
        <w:rPr>
          <w:lang w:val="ga"/>
        </w:rPr>
        <w:t xml:space="preserve">Ní bhíonn sé riachtanach i ngach cás áireamh iomlán a dhéanamh gach bliain. Déanfaidh comhlachtaí poiblí áirithe áireamh ar bhonn tréimhsiúil agus bainfidh siad úsáid as na taifid acmhainní daonna de chuid ball foirne a chuaigh isteach sa chomhlacht nó a d’fhág an comhlacht nó as iarrataí ar shocruithe réasúnacha chun sainaithint a dhéanamh gach bliain ar athruithe san idirthréimhse, agus bearta cuí cosanta sonraí i bhfeidhm acu. I gcás nach ndearnadh áireamh le roinnt blianta, is féidir gur fiú ceann a sheoladh chun aird a tharraingt ar an tábhacht a bhaineann le fostú daoine a bhfuil míchumas orthu. Is féidir áireamh a úsáid freisin chun tacú le níos mó fostaithe bheith ar a gcompord le linn dóibh a stádas míchumais a chur in iúl. Is cuma cén modh bailithe sonraí a úsáideann comhlacht poiblí, sonraítear sa </w:t>
      </w:r>
      <w:r w:rsidRPr="00D51778">
        <w:rPr>
          <w:lang w:val="ga"/>
        </w:rPr>
        <w:lastRenderedPageBreak/>
        <w:t>reachtaíocht gur cheart faisnéis a thabhairt cothrom le dáta agus a chur faoi bhráid ÚNM ar bhonn bliantúil.</w:t>
      </w:r>
    </w:p>
    <w:p w14:paraId="779F5B22" w14:textId="700417BE" w:rsidR="004E4BC4" w:rsidRPr="00D51778" w:rsidRDefault="00973B13" w:rsidP="008E7550">
      <w:r w:rsidRPr="00D51778">
        <w:rPr>
          <w:lang w:val="ga"/>
        </w:rPr>
        <w:t xml:space="preserve">Chuir ÚNM in iúl freisin go bhfuil sé riachtanach go gcuirfí fostaithe ar an eolas faoi cén fáth a bhfuil a sonraí á mbailiú agus faoin gcuspóir ar lena aghaidh atá a sonraí á n-úsáid. </w:t>
      </w:r>
    </w:p>
    <w:p w14:paraId="4137BCD2" w14:textId="45145CCD" w:rsidR="002678F1" w:rsidRPr="00D51778" w:rsidRDefault="002678F1" w:rsidP="008E7550">
      <w:r w:rsidRPr="00D51778">
        <w:rPr>
          <w:lang w:val="ga"/>
        </w:rPr>
        <w:t xml:space="preserve">Mar a bhí amhlaidh i mblianta roimhe sin, lean ÚNM le soiléiriú a thabhairt ar conas a fhéadfaidh fostaithe an sainmhíniú ar mhíchumas a chur i bhfeidhm faoin Acht um Míchumas 2005, atá mar a leanas: </w:t>
      </w:r>
    </w:p>
    <w:p w14:paraId="12539357" w14:textId="41BFA8CA" w:rsidR="002678F1" w:rsidRPr="00D51778" w:rsidRDefault="002678F1" w:rsidP="008E7550">
      <w:pPr>
        <w:pStyle w:val="BlockQuote"/>
      </w:pPr>
      <w:r w:rsidRPr="00D51778">
        <w:rPr>
          <w:lang w:val="ga"/>
        </w:rPr>
        <w:t>“srianadh substaintiúil ar chumas an duine chun gairm, gnó nó slí bheatha a sheoladh sa Stát nó chun páirt a ghlacadh sa saol sóisialta nó cultúrtha sa Stát mar gheall ar lagú fisiciúil, céadfach, meabhairshláinte nó intleachta seasmhach</w:t>
      </w:r>
      <w:r w:rsidR="008D4408">
        <w:rPr>
          <w:lang w:val="ga"/>
        </w:rPr>
        <w:t>.</w:t>
      </w:r>
      <w:r w:rsidRPr="00D51778">
        <w:rPr>
          <w:lang w:val="ga"/>
        </w:rPr>
        <w:t>”</w:t>
      </w:r>
    </w:p>
    <w:p w14:paraId="2B483C49" w14:textId="1C2FC5C3" w:rsidR="002678F1" w:rsidRPr="00D51778" w:rsidRDefault="002678F1" w:rsidP="008E7550">
      <w:r w:rsidRPr="00D51778">
        <w:rPr>
          <w:lang w:val="ga"/>
        </w:rPr>
        <w:t xml:space="preserve">Chuir ÚNM in iúl go mbeadh sé tábhachtach an téarma </w:t>
      </w:r>
      <w:r w:rsidRPr="00D51778">
        <w:rPr>
          <w:b/>
          <w:bCs/>
          <w:lang w:val="ga"/>
        </w:rPr>
        <w:t>“srianadh substaintiúil”</w:t>
      </w:r>
      <w:r w:rsidRPr="00D51778">
        <w:rPr>
          <w:lang w:val="ga"/>
        </w:rPr>
        <w:t xml:space="preserve"> a athbhreithniú maidir leis n</w:t>
      </w:r>
      <w:r w:rsidR="008E7550">
        <w:rPr>
          <w:lang w:val="ga"/>
        </w:rPr>
        <w:t>a bacainní atá ann cheana, e.g.:</w:t>
      </w:r>
      <w:r w:rsidRPr="00D51778">
        <w:rPr>
          <w:lang w:val="ga"/>
        </w:rPr>
        <w:t xml:space="preserve"> </w:t>
      </w:r>
    </w:p>
    <w:p w14:paraId="0D3D8188" w14:textId="2A966178" w:rsidR="002678F1" w:rsidRPr="00D51778" w:rsidRDefault="002678F1" w:rsidP="008E7550">
      <w:pPr>
        <w:pStyle w:val="ListBullet"/>
      </w:pPr>
      <w:r w:rsidRPr="00D51778">
        <w:rPr>
          <w:lang w:val="ga"/>
        </w:rPr>
        <w:t>Cumarsáidí dorochtana scríofa, labhartha agus digiteacha (suíomhanna Gréasáin, aipeanna móibíleacha) a fhágann nach féidir le daoine a bhfuil míchumas orthu fógraí poist a rochtain, iarratas a dhéanamh ar phoist, agus faisnéis taistil a rochtain, i measc nithe eile</w:t>
      </w:r>
    </w:p>
    <w:p w14:paraId="0B9EFD0D" w14:textId="77777777" w:rsidR="002678F1" w:rsidRPr="00D51778" w:rsidRDefault="002678F1" w:rsidP="008E7550">
      <w:pPr>
        <w:pStyle w:val="ListBullet"/>
      </w:pPr>
      <w:r w:rsidRPr="00D51778">
        <w:rPr>
          <w:lang w:val="ga"/>
        </w:rPr>
        <w:t xml:space="preserve">An easpa rochtana ar sheirbhísí iompair phoiblí, rud a dhéanann difear do dhaoine a bhfuil míchumas orthu agus iad ag iarraidh taisteal chuig a n-áit oibre agus chuig scoileanna, coláistí, ollscoileanna, imeachtaí sóisialta agus coinní leighis  </w:t>
      </w:r>
    </w:p>
    <w:p w14:paraId="6D5E8980" w14:textId="77DD4ECA" w:rsidR="002678F1" w:rsidRPr="00D51778" w:rsidRDefault="002678F1" w:rsidP="008E7550">
      <w:pPr>
        <w:pStyle w:val="ListBullet"/>
      </w:pPr>
      <w:r w:rsidRPr="00D51778">
        <w:rPr>
          <w:lang w:val="ga"/>
        </w:rPr>
        <w:t>Spásanna poiblí dorochtana a fhágann nach bhfuil daoine a bhfuil míchumas or</w:t>
      </w:r>
      <w:r w:rsidR="008D4408">
        <w:rPr>
          <w:lang w:val="ga"/>
        </w:rPr>
        <w:t>thu ábalta foirgnimh a rochtain.</w:t>
      </w:r>
    </w:p>
    <w:p w14:paraId="5ECDF307" w14:textId="77777777" w:rsidR="002678F1" w:rsidRPr="00D51778" w:rsidRDefault="002678F1" w:rsidP="008E7550">
      <w:r w:rsidRPr="00D51778">
        <w:rPr>
          <w:lang w:val="ga"/>
        </w:rPr>
        <w:t xml:space="preserve">Is féidir leis na srianta móra sin a fhágáil nach féidir le daoine a bhfuil míchumas orthu deiseanna fostaíochta a rochtain agus a choinneáil agus páirt a ghlacadh sa tsochaí príomhshrutha. </w:t>
      </w:r>
    </w:p>
    <w:p w14:paraId="1DF13361" w14:textId="77777777" w:rsidR="002678F1" w:rsidRPr="00D51778" w:rsidRDefault="002678F1" w:rsidP="008E7550">
      <w:r w:rsidRPr="00D51778">
        <w:rPr>
          <w:lang w:val="ga"/>
        </w:rPr>
        <w:t xml:space="preserve">Dírítear ar Shainmhínithe in Airteagal 2 de Choinbhinsiún na Náisiún Aontaithe ar Chearta Daoine faoi Mhíchumas. Faoin Airteagal seo, ciallaíonn idirdhealú ar bhonn míchumais aon idirdhealú, eisiamh nó </w:t>
      </w:r>
      <w:r w:rsidRPr="00D51778">
        <w:rPr>
          <w:b/>
          <w:bCs/>
          <w:lang w:val="ga"/>
        </w:rPr>
        <w:t>srianadh</w:t>
      </w:r>
      <w:r w:rsidRPr="00D51778">
        <w:rPr>
          <w:lang w:val="ga"/>
        </w:rPr>
        <w:t xml:space="preserve"> ar bhonn míchumais a bhfuil de chuspóir nó d’éifeacht aige aithint, feidhmiú nó cleachtadh gach cirt dhaonna agus gach saoire bunúsaí ar bhonn comhionann le daoine eile a lagú nó a chur ar neamhní sa réimse polaitiúil, sa réimse eacnamaíoch, sa réimse sóisialta, sa réimse cultúrtha, sa réimse sibhialta nó in aon réimse eile. Folaíonn sé gach cineál idirdhealaithe, lena n-áirítear diúltú do shocrú réasúnach.</w:t>
      </w:r>
    </w:p>
    <w:p w14:paraId="494CCFED" w14:textId="5CF48BCA" w:rsidR="002678F1" w:rsidRPr="00D51778" w:rsidRDefault="008D4408" w:rsidP="008E7550">
      <w:r>
        <w:rPr>
          <w:lang w:val="ga"/>
        </w:rPr>
        <w:lastRenderedPageBreak/>
        <w:t xml:space="preserve">Dírítear </w:t>
      </w:r>
      <w:r w:rsidR="002678F1" w:rsidRPr="00D51778">
        <w:rPr>
          <w:lang w:val="ga"/>
        </w:rPr>
        <w:t>ar Oibleagáidí Ginearálta in Airteagal 4 de Choinbhinsiún na Náisiún Aontaithe ar Chearta Daoine faoi Mhíchumas. Sonraítear san Airteagal sin nár cheart aon srianta a bheith ar chearta na ndaoine a bhfuil míchumas orthu agus iad ag iarraidh seirbhísí poiblí príomhshrutha a rochtain agus páirt a ghlacadh sa tsochaí.</w:t>
      </w:r>
    </w:p>
    <w:p w14:paraId="22D1A013" w14:textId="77777777" w:rsidR="002678F1" w:rsidRPr="00D51778" w:rsidRDefault="002678F1" w:rsidP="008E7550">
      <w:r w:rsidRPr="00D51778">
        <w:rPr>
          <w:lang w:val="ga"/>
        </w:rPr>
        <w:t>An chuid lárnach den chomhairle agus an treoir a thugann ÚNM maidir le timpeallachtaí comhionanna éagsúla cuimsitheacha oibre a chruthú ina ndéantar earcú méadaithe agus coinneáil mhéadaithe daoine a bhfuil míchumas orthu a chur chun cinn agus a chur ar aghaidh agus ina dtacaítear le daoine bheith ar a gcompord le linn dóibh a stádas míchumais a chur in iúl is ea sainaithint a dhéanamh ar dhóigheanna ar féidir deireadh a chur leis na srianta sin ar fhostaíocht agus seirbhísí poiblí príomhshrutha eile a rochtain, mar atá mionsonraithe faoi Airteagail 2 agus 4 de Choinbhinsiún na Náisiún Aontaithe.</w:t>
      </w:r>
    </w:p>
    <w:p w14:paraId="628DFF66" w14:textId="58882787" w:rsidR="00B63BFC" w:rsidRPr="00D51778" w:rsidRDefault="002678F1" w:rsidP="008E7550">
      <w:r w:rsidRPr="00D51778">
        <w:rPr>
          <w:lang w:val="ga"/>
        </w:rPr>
        <w:t>Toradh eile atá ar an gcomhairle agus an treoir ó ÚNM ná go dtugtar do chomhlachtaí poiblí faisnéis faoi bhearta réamhghníomhacha praiticiúla is féidir leo a úsáid chun cabhrú leo seirbhísí poiblí inrochtana a sholáthar, ar aon dul leis na hoibleagáidí atá orthu faoi Airteagal 9 de Choinbhinsiún na Náisiún Aontaithe.</w:t>
      </w:r>
    </w:p>
    <w:p w14:paraId="4B8BC639" w14:textId="4A7B6C0D" w:rsidR="00662C8A" w:rsidRPr="00D51778" w:rsidRDefault="00AB5C9B" w:rsidP="00662C8A">
      <w:pPr>
        <w:pStyle w:val="Heading2"/>
      </w:pPr>
      <w:bookmarkStart w:id="41" w:name="_Toc124367401"/>
      <w:r>
        <w:rPr>
          <w:bCs/>
          <w:lang w:val="ga"/>
        </w:rPr>
        <w:t xml:space="preserve">1.3 </w:t>
      </w:r>
      <w:r w:rsidR="00662C8A" w:rsidRPr="00D51778">
        <w:rPr>
          <w:bCs/>
          <w:lang w:val="ga"/>
        </w:rPr>
        <w:t>Athbhreithniú ar Chuid 5</w:t>
      </w:r>
      <w:bookmarkEnd w:id="41"/>
      <w:r w:rsidR="00662C8A" w:rsidRPr="00D51778">
        <w:rPr>
          <w:bCs/>
          <w:lang w:val="ga"/>
        </w:rPr>
        <w:t xml:space="preserve"> </w:t>
      </w:r>
    </w:p>
    <w:p w14:paraId="4BD39CE0" w14:textId="08EF83B9" w:rsidR="00662C8A" w:rsidRPr="00D51778" w:rsidRDefault="008447EA" w:rsidP="008E7550">
      <w:pPr>
        <w:rPr>
          <w:rFonts w:eastAsia="SimSun"/>
        </w:rPr>
      </w:pPr>
      <w:r w:rsidRPr="00D51778">
        <w:rPr>
          <w:lang w:val="ga"/>
        </w:rPr>
        <w:t>Choimisiúnaigh ÚNM conraitheoir chun Athbhreithniú a dhéanamh ar oibriú Chuid 5 den Acht um Míchumas 2005. Bhí sé mar chuspóir leis an Athbhreithniú sin treorú a dhéanamh ar fhorbairt agus cur chun feidhme an phróisis ar leith a d’fhéadfadh cabhrú leis na nithe seo a dhéanamh:</w:t>
      </w:r>
    </w:p>
    <w:p w14:paraId="10360F93" w14:textId="77777777" w:rsidR="00662C8A" w:rsidRPr="00D51778" w:rsidRDefault="00662C8A" w:rsidP="008E7550">
      <w:pPr>
        <w:pStyle w:val="ListBullet"/>
      </w:pPr>
      <w:r w:rsidRPr="00D51778">
        <w:rPr>
          <w:lang w:val="ga"/>
        </w:rPr>
        <w:t>Saibhriú a dhéanamh ar na sonraí agus an fhoghlaim inaistrithe a thagann chun cinn maidir le príomhghnéithe in eagraíochtaí a dhéanann cruthú agus cothabháil ar thimpeallachtaí cuimsitheacha oibre ina ndéantar earcú agus coinneáil daoine a bhfuil míchumas orthu a chur chun cinn agus a chur ar aghaidh agus ina bhfuil fostaithe a bhfuil míchumas orthu ar a gcompord agus ina measann siad go bhfaigheann siad tacaíocht le linn dóibh a stádas míchumais a chur in iúl</w:t>
      </w:r>
    </w:p>
    <w:p w14:paraId="050037D9" w14:textId="77777777" w:rsidR="00662C8A" w:rsidRPr="00D51778" w:rsidRDefault="00662C8A" w:rsidP="008E7550">
      <w:pPr>
        <w:pStyle w:val="ListBullet"/>
      </w:pPr>
      <w:r w:rsidRPr="00D51778">
        <w:rPr>
          <w:lang w:val="ga"/>
        </w:rPr>
        <w:t>Feabhsú leanúnach ar fud na hearnála poiblí a threorú a oiread agus is féidir le linn na timpeallachtaí cuimsitheacha oibre sin a chruthú agus a chothabháil</w:t>
      </w:r>
    </w:p>
    <w:p w14:paraId="746B3135" w14:textId="77777777" w:rsidR="00662C8A" w:rsidRPr="00D51778" w:rsidRDefault="00662C8A" w:rsidP="008E7550">
      <w:pPr>
        <w:pStyle w:val="ListBullet"/>
      </w:pPr>
      <w:r w:rsidRPr="00D51778">
        <w:rPr>
          <w:lang w:val="ga"/>
        </w:rPr>
        <w:t>Deiseanna fostaíochta do dhaoine a bhfuil míchumas orthu a mhéadú a oiread agus is féidir</w:t>
      </w:r>
    </w:p>
    <w:p w14:paraId="4F4BB2FE" w14:textId="107A9577" w:rsidR="00662C8A" w:rsidRPr="00D51778" w:rsidRDefault="00662C8A" w:rsidP="008E7550">
      <w:pPr>
        <w:pStyle w:val="ListBullet"/>
      </w:pPr>
      <w:r w:rsidRPr="00D51778">
        <w:rPr>
          <w:lang w:val="ga"/>
        </w:rPr>
        <w:t>Sainaithint a dhéanamh ar bhearta sonracha a d’fhéadfadh a bheith ag teastáil chun cabhrú le comhlachtaí poiblí an dóigh a gcomhlíonann siad an íos-sprioc reachtúil fostaíochta 3% a fheabhsú agus bogadh i dtreo an íos-sprioc 6% a</w:t>
      </w:r>
      <w:r w:rsidR="003D2C9D">
        <w:rPr>
          <w:lang w:val="ga"/>
        </w:rPr>
        <w:t xml:space="preserve"> bhaint amach faoin mbliain 2025</w:t>
      </w:r>
    </w:p>
    <w:p w14:paraId="261E941D" w14:textId="77777777" w:rsidR="00662C8A" w:rsidRPr="00D51778" w:rsidRDefault="00662C8A" w:rsidP="008E7550">
      <w:pPr>
        <w:pStyle w:val="ListBullet"/>
      </w:pPr>
      <w:r w:rsidRPr="00D51778">
        <w:rPr>
          <w:lang w:val="ga"/>
        </w:rPr>
        <w:lastRenderedPageBreak/>
        <w:t>Próiseas a bheidh níos áisiúla don úsáideoir, níos cuíchóirithe, níos éifeachtúla agus níos sodhéanta ar an iomlán a threorú lena bhainistiú ag ÚNM.</w:t>
      </w:r>
    </w:p>
    <w:p w14:paraId="7E24EE34" w14:textId="77777777" w:rsidR="00662C8A" w:rsidRPr="00D51778" w:rsidRDefault="00662C8A" w:rsidP="008E7550">
      <w:pPr>
        <w:rPr>
          <w:szCs w:val="26"/>
        </w:rPr>
      </w:pPr>
      <w:r w:rsidRPr="00D51778">
        <w:rPr>
          <w:lang w:val="ga"/>
        </w:rPr>
        <w:t xml:space="preserve">Páipéar ina mionsonraítear na fionnachtana taighde a forbraíodh mar chuid den Athbhreithniú agus ina leagtar amach moltaí le haghaidh na gcéad chéimeanna eile, foilsíodh é ar shuíomh Gréasáin ÚNM i gcomhthráth le Comhdháil Bhliantúil ÚNM. Cuireadh an ócáid hibrideach sin ar siúl an 20 Deireadh Fómhair 2022 in Ionad Comhdhála Pháirc an Chrócaigh i mBaile Átha Cliath. Ba é teideal na Comhdhála ná </w:t>
      </w:r>
      <w:r w:rsidRPr="00D51778">
        <w:rPr>
          <w:b/>
          <w:bCs/>
          <w:lang w:val="ga"/>
        </w:rPr>
        <w:t>“Ó Inrochtaineacht go cur chuige Dearaidh Uilíoch – foghlaim ón earnáil phoiblí agus ón earnáil phríobháideach”</w:t>
      </w:r>
      <w:r w:rsidRPr="00D51778">
        <w:rPr>
          <w:lang w:val="ga"/>
        </w:rPr>
        <w:t>.  Ceann de phríomhthéamaí na Comhdhála sin ba ea faireachán a dhéanamh ar an dul chun cinn atá á dhéanamh ag an earnáil phoiblí agus ag an earnáil phríobháideach ar chultúir oibre, seirbhísí poiblí, faisnéis agus timpeallacht thógtha a sholáthar atá deartha go huilíoch agus, dá bhrí sin, atá éasca le rochtain, le tuiscint agus le húsáid do gach duine, beag beann ar aois, ar mhéid, ar chumas nó ar mhíchumas.</w:t>
      </w:r>
    </w:p>
    <w:p w14:paraId="69D340A4" w14:textId="77777777" w:rsidR="00662C8A" w:rsidRPr="00D51778" w:rsidRDefault="00662C8A" w:rsidP="008E7550">
      <w:r w:rsidRPr="00D51778">
        <w:rPr>
          <w:lang w:val="ga"/>
        </w:rPr>
        <w:t>Maidir leis na moltaí i ndáil leis na chéad chéimeanna eile le haghaidh phróiseas Chuid 5, díríodh iontu ar fheabhas a chur ar phróiseas Chuid 5 mar phríomhthoisc taobh thiar den chlár oibre Comhionannais, Éagsúlachta agus Cuimsithe san earnáil phoiblí. Ón mbliain 2021 i leith, tá ÚNM ag cur roinnt de na moltaí sin chun feidhme. Áiríodh leis an obair sin a chur in iúl do chomhlachtaí poiblí gur féidir sonraí Chuid 5 a bhailiú gan ainm a chur leo, i.e., ní gá d’fhostaithe a n-ainm a shíniú ar fhoirmeacha, etc., rud a d’fhéadfadh cabhrú le tuilleadh fostaithe bheith ar a gcompord le linn dóibh a stádas míchumais a chur in iúl.</w:t>
      </w:r>
    </w:p>
    <w:p w14:paraId="6863C83D" w14:textId="77777777" w:rsidR="00662C8A" w:rsidRPr="00D51778" w:rsidRDefault="00662C8A" w:rsidP="008E7550">
      <w:r w:rsidRPr="00D51778">
        <w:rPr>
          <w:lang w:val="ga"/>
        </w:rPr>
        <w:t>Thug ÚNM comhairle agus treoir do chomhlachtaí poiblí freisin maidir le feabhas a chur ar cháilíocht agus ábhar thuairisceán bliantúil Chuid 5 uathu agus maidir lena chinntiú go mbeidh na sonraí a sholáthraíonn siad ag comhlíonadh an Rialacháin Ghinearálta maidir le Cosaint Sonraí. D’iarramar ar chomhlachtaí poiblí an fhaisnéis seo a leanas a sholáthar i dtuairisceáin bhliantúla Chuid 5 uathu:</w:t>
      </w:r>
    </w:p>
    <w:p w14:paraId="5705C53E" w14:textId="77777777" w:rsidR="00662C8A" w:rsidRPr="00D51778" w:rsidRDefault="00662C8A" w:rsidP="008E7550">
      <w:pPr>
        <w:pStyle w:val="ListBullet"/>
      </w:pPr>
      <w:r w:rsidRPr="00D51778">
        <w:rPr>
          <w:lang w:val="ga"/>
        </w:rPr>
        <w:t>Na bearta a bhí i bhfeidhm acu nó a bhí á gcur chun feidhme acu chun cultúir chomhionanna éagsúla chuimsitheacha a chruthú agus chun an clár oibre Comhionannais, Éagsúlachta agus Cuimsithe san earnáil phoiblí a bhrú chun cinn</w:t>
      </w:r>
    </w:p>
    <w:p w14:paraId="136CC9BF" w14:textId="77777777" w:rsidR="00662C8A" w:rsidRPr="00D51778" w:rsidRDefault="00662C8A" w:rsidP="008E7550">
      <w:pPr>
        <w:pStyle w:val="ListBullet"/>
      </w:pPr>
      <w:r w:rsidRPr="00D51778">
        <w:rPr>
          <w:lang w:val="ga"/>
        </w:rPr>
        <w:t>Na bearta a bhí i bhfeidhm acu chun a chinntiú go ndearfaí go huilíoch seirbhísí; táirgí; próisis soláthair, cumarsáidí (scríofa, labhartha, digiteacha agus sínithe); an timpeallacht thógtha agus spásanna poiblí agus, dá bhrí sin, go mbeadh siad éasca le rochtain, le tuiscint agus le húsáid do gach duine, beag beann ar aois, ar mhéid, ar chumas nó ar mhíchumas</w:t>
      </w:r>
      <w:r w:rsidRPr="00D51778">
        <w:rPr>
          <w:szCs w:val="26"/>
          <w:lang w:val="ga"/>
        </w:rPr>
        <w:t xml:space="preserve"> </w:t>
      </w:r>
    </w:p>
    <w:p w14:paraId="4F845F48" w14:textId="64ADD0C4" w:rsidR="00662C8A" w:rsidRPr="00D51778" w:rsidRDefault="00662C8A" w:rsidP="008E7550">
      <w:pPr>
        <w:pStyle w:val="ListBullet"/>
      </w:pPr>
      <w:r w:rsidRPr="00D51778">
        <w:rPr>
          <w:szCs w:val="26"/>
          <w:lang w:val="ga"/>
        </w:rPr>
        <w:t>Míniúcháin má bhí difríochtaí móra ann sna sonraí ó bhliain go bliain</w:t>
      </w:r>
      <w:r w:rsidR="008E7550">
        <w:rPr>
          <w:szCs w:val="26"/>
          <w:lang w:val="ga"/>
        </w:rPr>
        <w:t>.</w:t>
      </w:r>
    </w:p>
    <w:p w14:paraId="24481E28" w14:textId="32D9CA78" w:rsidR="00662C8A" w:rsidRPr="00D51778" w:rsidRDefault="00662C8A" w:rsidP="008E7550">
      <w:pPr>
        <w:rPr>
          <w:szCs w:val="26"/>
        </w:rPr>
      </w:pPr>
      <w:r w:rsidRPr="00D51778">
        <w:rPr>
          <w:lang w:val="ga"/>
        </w:rPr>
        <w:t xml:space="preserve">Rinne ÚNM dul chun cinn ar ár gcaidreamh leis an tSeirbhís um Cheapacháin Phoiblí freisin. Táimid inár mball anois den líonra Earcaíochta Earnála Poiblí ar </w:t>
      </w:r>
      <w:r w:rsidRPr="00D51778">
        <w:rPr>
          <w:lang w:val="ga"/>
        </w:rPr>
        <w:lastRenderedPageBreak/>
        <w:t>bhunaigh an tSeirbhís um Cheapacháin Phoiblí é chun cabhrú le comhlachtaí poiblí cleachtais earcaíochta níos cuimsithí a fhorbairt agus a chur chun feidhme. Tá an líonra sin comhdhéanta de 40 comhlacht poiblí faoi láthair ach tá ag méadú ar an líon ball fós. Ag obair dó tríd an líonra sin, beidh ÚNM in ann cabhrú le níos mó comhlachtaí poiblí na hoibleagáidí atá orthu faoi Chuid 5 a chomhlíonadh, go háirithe maidir le hearcú agus coinneáil daoine a bhfuil míchumas orthu a mhéadú, le tacú le fostaithe a stádas míchumais a chur in iúl, agus le dul chun cinn a dhéanamh i dtreo an íos-sprioc 6% a</w:t>
      </w:r>
      <w:r w:rsidR="003D2C9D">
        <w:rPr>
          <w:lang w:val="ga"/>
        </w:rPr>
        <w:t xml:space="preserve"> bhaint amach faoin mbliain 2025</w:t>
      </w:r>
      <w:r w:rsidRPr="00D51778">
        <w:rPr>
          <w:lang w:val="ga"/>
        </w:rPr>
        <w:t>.</w:t>
      </w:r>
    </w:p>
    <w:p w14:paraId="7DB9A591" w14:textId="4AF7ADFA" w:rsidR="00662C8A" w:rsidRPr="00D51778" w:rsidRDefault="00662C8A" w:rsidP="008E7550">
      <w:r w:rsidRPr="00D51778">
        <w:rPr>
          <w:lang w:val="ga"/>
        </w:rPr>
        <w:t xml:space="preserve">Sa bhliain atá le teacht, tosóidh ÚNM ag dul i gcomhairle le sraith éagsúil geallsealbhóirí chun moltaí breise ón Athbhreithniú ar Chuid 5 a fhorbairt, a thriail agus a chur chun feidhme. I measc na ngeallsealbhóirí beidh Eagraíochtaí do Dhaoine faoi Mhíchumas, daoine aonair a bhfuil míchumas orthu, </w:t>
      </w:r>
      <w:r w:rsidR="00F516B8" w:rsidRPr="00B13116">
        <w:rPr>
          <w:rStyle w:val="y2iqfc"/>
        </w:rPr>
        <w:t>geallsealbhóirí míchumais</w:t>
      </w:r>
      <w:r w:rsidR="00F516B8">
        <w:rPr>
          <w:rFonts w:cs="Courier New"/>
          <w:lang w:eastAsia="en-IE"/>
        </w:rPr>
        <w:t xml:space="preserve">, </w:t>
      </w:r>
      <w:r w:rsidRPr="00D51778">
        <w:rPr>
          <w:lang w:val="ga"/>
        </w:rPr>
        <w:t xml:space="preserve">Bainisteoirí Sinsearacha, fostaithe a bhfuil míchumas orthu agus fostaithe nach bhfuil míchumas orthu san earnáil phoiblí agus ceardchumainn earnála poiblí. Rachaidh ÚNM i gcomhairle lenár ngeallsealbhóirí maidir leis na moltaí seo a leanas a fhorbairt, a thriail agus a chur chun feidhme: </w:t>
      </w:r>
    </w:p>
    <w:p w14:paraId="56119EFD" w14:textId="77777777" w:rsidR="00662C8A" w:rsidRPr="00D51778" w:rsidRDefault="00662C8A" w:rsidP="008E7550">
      <w:pPr>
        <w:pStyle w:val="ListBullet"/>
      </w:pPr>
      <w:r w:rsidRPr="00D51778">
        <w:rPr>
          <w:lang w:val="ga"/>
        </w:rPr>
        <w:t>Ceisteanna chun sonraí níos saibhre a fháil ó chomhlachtaí poiblí faoi na bearta atá i bhfeidhm acu chun cultúr comhionann éagsúil cuimsitheach oibre a chruthú trí chur chuige Dearaidh Uilíoch a úsáid</w:t>
      </w:r>
    </w:p>
    <w:p w14:paraId="7D0D3EBA" w14:textId="77777777" w:rsidR="00662C8A" w:rsidRPr="00D51778" w:rsidRDefault="00662C8A" w:rsidP="008E7550">
      <w:pPr>
        <w:pStyle w:val="ListBullet"/>
      </w:pPr>
      <w:r w:rsidRPr="00D51778">
        <w:rPr>
          <w:lang w:val="ga"/>
        </w:rPr>
        <w:t>Ceisteanna chun tuairimí na bhfostaithe earnála poiblí a fháil ar a n-eagraíocht faoi seach agus ar an dul chun cinn atá á dhéanamh aici ar chultúr comhionann éagsúil cuimsitheach oibre a chruthú</w:t>
      </w:r>
    </w:p>
    <w:p w14:paraId="60C223F2" w14:textId="1DA71DF0" w:rsidR="008312C8" w:rsidRPr="00B13116" w:rsidRDefault="008312C8" w:rsidP="008E7550">
      <w:pPr>
        <w:pStyle w:val="ListBullet"/>
        <w:rPr>
          <w:b/>
          <w:lang w:eastAsia="en-IE"/>
        </w:rPr>
      </w:pPr>
      <w:r w:rsidRPr="00916C83">
        <w:t xml:space="preserve">Córas monatóireachta ar líne a fhorbairt agus a chur i bhfeidhm a dhéanfaidh cuíchóiriú ar an bpróiseas bailithe agus fíoraithe sonraí agus a éascóidh anailís níos doimhne ar roinnt d’fheidhmeanna monatóireachta an NDA, lena n-áirítear Cuid 5 (fostaíocht daoine faoi mhíchumas), Cuid 3 (inrochtaineacht seirbhísí poiblí, faisnéis, spásanna poiblí agus an timpeallacht thógtha) agus Rialachán an Aontais Eorpaigh (Inrochtaineacht ar Shuíomh Gréasáin agus Feidhmchláir Soghluaiste Comhlachtaí Poiblí). D’fhéadfadh an córas monatóireachta ar líne seo bailiú agus anailís sonraí a chumasú freisin a bheidh mar bhonn eolais do róil an NDA maidir le faireachán a dhéanamh ar an dul chun cinn atá á dhéanamh ag comhlachtaí poiblí i gcomhlíonadh a n-oibleagáidí faoin </w:t>
      </w:r>
      <w:r w:rsidR="00B13116">
        <w:rPr>
          <w:b/>
        </w:rPr>
        <w:t>UNC</w:t>
      </w:r>
      <w:r w:rsidRPr="001D1A05">
        <w:rPr>
          <w:b/>
        </w:rPr>
        <w:t>R</w:t>
      </w:r>
      <w:r w:rsidR="00B13116">
        <w:rPr>
          <w:b/>
        </w:rPr>
        <w:t>P</w:t>
      </w:r>
      <w:r w:rsidRPr="001D1A05">
        <w:rPr>
          <w:b/>
        </w:rPr>
        <w:t>D</w:t>
      </w:r>
      <w:r w:rsidRPr="00916C83">
        <w:t xml:space="preserve">, </w:t>
      </w:r>
      <w:r w:rsidRPr="001D1A05">
        <w:rPr>
          <w:b/>
        </w:rPr>
        <w:t>Straitéis Chuimsitheach Fostaíochta um Fhostú Daoine faoi Mhíchumas 2015 – 2024</w:t>
      </w:r>
      <w:r w:rsidRPr="00916C83">
        <w:t xml:space="preserve"> agus </w:t>
      </w:r>
      <w:r w:rsidR="00B13116" w:rsidRPr="00B13116">
        <w:rPr>
          <w:b/>
          <w:lang w:val="ga-IE" w:eastAsia="en-IE"/>
        </w:rPr>
        <w:t>an Straitéis nua Forfheidhmithe UNCRPD.</w:t>
      </w:r>
    </w:p>
    <w:p w14:paraId="4040E629" w14:textId="77777777" w:rsidR="00662C8A" w:rsidRPr="00D51778" w:rsidRDefault="00662C8A" w:rsidP="00662C8A">
      <w:pPr>
        <w:spacing w:before="240"/>
      </w:pPr>
      <w:r w:rsidRPr="008E7550">
        <w:t>Cuirfear na fionnachtana ón bpróiseas comhairliúcháin agus ón bpróiseas trialach san áireamh nuair a bheifear ag déanamh athruithe ar Chuid 5. Meastar go ndéanfar na hathruithe sin sna trí bliana romhainn</w:t>
      </w:r>
      <w:r w:rsidRPr="00D51778">
        <w:rPr>
          <w:lang w:val="ga"/>
        </w:rPr>
        <w:t>.</w:t>
      </w:r>
    </w:p>
    <w:p w14:paraId="49C25DA9" w14:textId="419C4B3B" w:rsidR="007F4313" w:rsidRPr="00D51778" w:rsidRDefault="007F4313" w:rsidP="001D1C7F">
      <w:pPr>
        <w:pStyle w:val="Heading1"/>
      </w:pPr>
      <w:bookmarkStart w:id="42" w:name="_Toc124367402"/>
      <w:r w:rsidRPr="00D51778">
        <w:rPr>
          <w:bCs/>
          <w:lang w:val="ga"/>
        </w:rPr>
        <w:lastRenderedPageBreak/>
        <w:t>2. Na Príomhfhionnachtana don bhliain 2021</w:t>
      </w:r>
      <w:bookmarkEnd w:id="42"/>
    </w:p>
    <w:p w14:paraId="06E74A06" w14:textId="7706B58A" w:rsidR="001D1C7F" w:rsidRPr="00D51778" w:rsidRDefault="001D1C7F" w:rsidP="00050A05">
      <w:pPr>
        <w:pStyle w:val="Heading3"/>
      </w:pPr>
      <w:r w:rsidRPr="00D51778">
        <w:rPr>
          <w:bCs/>
          <w:lang w:val="ga"/>
        </w:rPr>
        <w:t>2.1 Na Príomhfhionnachtana don bhliain 2021</w:t>
      </w:r>
    </w:p>
    <w:p w14:paraId="0E34CF29" w14:textId="4F490A13" w:rsidR="001D1C7F" w:rsidRPr="00D51778" w:rsidRDefault="001D1C7F" w:rsidP="008E7550">
      <w:pPr>
        <w:pStyle w:val="ListBullet"/>
        <w:rPr>
          <w:rFonts w:cs="Arial"/>
        </w:rPr>
      </w:pPr>
      <w:r w:rsidRPr="00D51778">
        <w:rPr>
          <w:lang w:val="ga"/>
        </w:rPr>
        <w:t>Ag deireadh na bliana 2021, b’ionann an líon iomlán fostaithe sna comhlachtaí iomchuí earnála poiblí agus 251,552 fhostaí. Is méadú 6,362 fhostaí (+2.6%) é sin i gcompa</w:t>
      </w:r>
      <w:r w:rsidR="008E7550">
        <w:rPr>
          <w:lang w:val="ga"/>
        </w:rPr>
        <w:t>ráid le figiúirí na bliana 2020</w:t>
      </w:r>
    </w:p>
    <w:p w14:paraId="1AFC22D3" w14:textId="129558BE" w:rsidR="001D1C7F" w:rsidRPr="00D51778" w:rsidRDefault="001D1C7F" w:rsidP="008E7550">
      <w:pPr>
        <w:pStyle w:val="ListBullet"/>
        <w:rPr>
          <w:rFonts w:cs="Arial"/>
        </w:rPr>
      </w:pPr>
      <w:r w:rsidRPr="00D51778">
        <w:rPr>
          <w:lang w:val="ga"/>
        </w:rPr>
        <w:t xml:space="preserve"> Sa bhliain 2021, b’ionann an líon fostaithe a thuairiscigh míchumas agus 9,011 fhostaí (3.6%), ar méadú 1,374 fhostaí (+18.0%) é i gcomparáid le figiúirí na bliana 2020. Tá áthas ar ÚNM a thabhairt dá aire gur tháinig méadú 1,374 fhostaí (18.0%) ar an líon fostaithe a thuairiscigh míchumas sa bhliain 2021 i gcomparáid le figiúirí na bliana 2020, agus é ag ardú go 9,011 fhostaí. Mhéadaigh an céatadán foriomlán d’fhostaithe san earnáil phoiblí a thuairiscigh míchumas ó 3.1% sa bhliai</w:t>
      </w:r>
      <w:r w:rsidR="008E7550">
        <w:rPr>
          <w:lang w:val="ga"/>
        </w:rPr>
        <w:t>n 2020 go 3.6% sa bhliain 2021</w:t>
      </w:r>
    </w:p>
    <w:p w14:paraId="55D0C4B4" w14:textId="5A1146FD" w:rsidR="001D1C7F" w:rsidRPr="00D51778" w:rsidRDefault="001D1C7F" w:rsidP="008E7550">
      <w:pPr>
        <w:pStyle w:val="ListBullet"/>
        <w:rPr>
          <w:rFonts w:cs="Arial"/>
        </w:rPr>
      </w:pPr>
      <w:r w:rsidRPr="00D51778">
        <w:rPr>
          <w:lang w:val="ga"/>
        </w:rPr>
        <w:t xml:space="preserve">Sháraigh an céatadán d’fhostaithe a dhearbhaigh míchumas sa tseirbhís phoiblí an íos-sprioc 3% don aonú bliain déag as a chéile, agus an leibhéal don bhliain 2021 á dheimhniú a bheith cothrom le 3.6%.  </w:t>
      </w:r>
    </w:p>
    <w:p w14:paraId="7BE54D58" w14:textId="2B13CA84" w:rsidR="001D1C7F" w:rsidRPr="00D51778" w:rsidRDefault="001D1C7F" w:rsidP="008E7550">
      <w:pPr>
        <w:rPr>
          <w:rFonts w:cs="Arial"/>
          <w:szCs w:val="26"/>
        </w:rPr>
      </w:pPr>
      <w:r w:rsidRPr="00D51778">
        <w:rPr>
          <w:lang w:val="ga"/>
        </w:rPr>
        <w:t>I dTábla 3, léirítear na príomhfhionnachtana sin don bhliain 2021 agus an dul chun cinn a rinne an earnáil phoiblí ar an íos-sprioc 3% a bhaint amach idir na blianta 2007 agus 2021. Sa bhliain 2007, chuir ÚNM tús le faireachán a dhéanamh ar fhostú daoine a bhfuil míchumas orthu.</w:t>
      </w:r>
      <w:r w:rsidRPr="00D51778">
        <w:rPr>
          <w:szCs w:val="26"/>
          <w:lang w:val="ga"/>
        </w:rPr>
        <w:t xml:space="preserve"> </w:t>
      </w:r>
    </w:p>
    <w:p w14:paraId="54CAA5F7" w14:textId="1417E73E" w:rsidR="00A32E79" w:rsidRPr="00D51778" w:rsidRDefault="001D1C7F" w:rsidP="008E7550">
      <w:pPr>
        <w:rPr>
          <w:rFonts w:cs="Arial"/>
          <w:szCs w:val="26"/>
        </w:rPr>
      </w:pPr>
      <w:r w:rsidRPr="00D51778">
        <w:rPr>
          <w:szCs w:val="26"/>
          <w:lang w:val="ga"/>
        </w:rPr>
        <w:t xml:space="preserve">Mar atá mionsonraithe i dTábla 3, </w:t>
      </w:r>
      <w:r w:rsidRPr="00D51778">
        <w:rPr>
          <w:lang w:val="ga"/>
        </w:rPr>
        <w:t xml:space="preserve">tháinig laghdú bliain ar bhliain ar an líon iomlán fostaithe san earnáil phoiblí idir na blianta 2007 agus 2013. Bhí luaineacht ann sa líon iomlán fostaithe a thuairiscigh míchumas thar an tréimhse chéanna. Tháinig méadú bliain ar bhliain ar an líon iomlán fostaithe san earnáil phoiblí ón mbliain 2014 i leith. </w:t>
      </w:r>
      <w:r w:rsidRPr="00D51778">
        <w:rPr>
          <w:szCs w:val="26"/>
          <w:lang w:val="ga"/>
        </w:rPr>
        <w:t>Ag deireadh na bliana 2021, b’ionann an líon iomlán fostaithe sna comhlachtaí iomchuí earnála poiblí agus 251,552 fhostaí. Is méadú 6,362 fhostaí (+2.6%) é sin i gcomparáid le figiúirí na bliana 2020.</w:t>
      </w:r>
    </w:p>
    <w:p w14:paraId="108DF515" w14:textId="7CF6E443" w:rsidR="004F4FCD" w:rsidRPr="00D51778" w:rsidRDefault="00A32E79" w:rsidP="008E7550">
      <w:pPr>
        <w:rPr>
          <w:rFonts w:cs="Arial"/>
          <w:szCs w:val="26"/>
        </w:rPr>
      </w:pPr>
      <w:r w:rsidRPr="00D51778">
        <w:rPr>
          <w:lang w:val="ga"/>
        </w:rPr>
        <w:t xml:space="preserve">Tháinig méadú ó bhliain go bliain ón mbliain 2014 go dtí an bhliain 2017 ar an líon fostaithe a thuairiscigh míchumas. Dá ainneoin sin, tháinig laghdú ar an líon agus céatadán sin go 3.3% sa bhliain 2018 agus go 3.1% sa bhliain 2019. Tháinig méadú sa bhliain 2020 an athuair ar an líon fostaithe a thuairiscigh míchumas. Mar gheall ar an méadú foriomlán sa líon fostaithe san earnáil phoiblí, áfach, bhí an céatadán foriomlán d’fhostaithe a thuairiscigh míchumas cothrom le 3.1% go fóill. Tá áthas ar ÚNM an dul chun cinn a rinne an earnáil phoiblí sa bhliain 2021 maidir le méadú sa líon fostaithe, agus sa chéatadán d’fhostaithe, a thuairiscigh míchumas a thabhairt dá aire. </w:t>
      </w:r>
    </w:p>
    <w:p w14:paraId="48814AF9" w14:textId="77777777" w:rsidR="00971024" w:rsidRDefault="00971024" w:rsidP="00973B13">
      <w:pPr>
        <w:keepNext/>
        <w:keepLines/>
        <w:spacing w:after="120"/>
        <w:rPr>
          <w:rFonts w:ascii="Gill Sans" w:hAnsi="Gill Sans"/>
          <w:b/>
          <w:bCs/>
          <w:lang w:val="ga"/>
        </w:rPr>
      </w:pPr>
    </w:p>
    <w:p w14:paraId="743C058A" w14:textId="254AFAB9" w:rsidR="00973B13" w:rsidRPr="00D51778" w:rsidRDefault="00961DC1" w:rsidP="00973B13">
      <w:pPr>
        <w:keepNext/>
        <w:keepLines/>
        <w:spacing w:after="120"/>
        <w:rPr>
          <w:rFonts w:ascii="Gill Sans" w:hAnsi="Gill Sans"/>
          <w:b/>
        </w:rPr>
      </w:pPr>
      <w:r w:rsidRPr="00D51778">
        <w:rPr>
          <w:rFonts w:ascii="Gill Sans" w:hAnsi="Gill Sans"/>
          <w:b/>
          <w:bCs/>
          <w:lang w:val="ga"/>
        </w:rPr>
        <w:t>Tábla 3. Dul chun cinn i dtreo an íos-sprioc 3% a chomhlíonadh, 2007-2021</w:t>
      </w:r>
    </w:p>
    <w:tbl>
      <w:tblPr>
        <w:tblW w:w="93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2410"/>
        <w:gridCol w:w="2410"/>
        <w:gridCol w:w="2504"/>
        <w:gridCol w:w="1984"/>
      </w:tblGrid>
      <w:tr w:rsidR="00973B13" w:rsidRPr="00D51778" w14:paraId="2FE2AE82" w14:textId="77777777" w:rsidTr="00984D04">
        <w:trPr>
          <w:tblHeader/>
          <w:jc w:val="center"/>
        </w:trPr>
        <w:tc>
          <w:tcPr>
            <w:tcW w:w="2410" w:type="dxa"/>
            <w:tcBorders>
              <w:bottom w:val="single" w:sz="12" w:space="0" w:color="000000"/>
            </w:tcBorders>
          </w:tcPr>
          <w:p w14:paraId="3DAD72F9" w14:textId="77777777" w:rsidR="00973B13" w:rsidRPr="00D51778" w:rsidRDefault="00973B13" w:rsidP="00DD1EE1">
            <w:pPr>
              <w:spacing w:after="0"/>
              <w:rPr>
                <w:b/>
                <w:color w:val="000000"/>
                <w:sz w:val="24"/>
              </w:rPr>
            </w:pPr>
            <w:r w:rsidRPr="00D51778">
              <w:rPr>
                <w:b/>
                <w:bCs/>
                <w:color w:val="000000"/>
                <w:sz w:val="24"/>
                <w:lang w:val="ga"/>
              </w:rPr>
              <w:t>Bliain</w:t>
            </w:r>
          </w:p>
        </w:tc>
        <w:tc>
          <w:tcPr>
            <w:tcW w:w="2410" w:type="dxa"/>
            <w:tcBorders>
              <w:bottom w:val="single" w:sz="12" w:space="0" w:color="000000"/>
            </w:tcBorders>
          </w:tcPr>
          <w:p w14:paraId="42208D67" w14:textId="45EE9686" w:rsidR="00973B13" w:rsidRPr="00D51778" w:rsidRDefault="00973B13" w:rsidP="00DD1EE1">
            <w:pPr>
              <w:spacing w:after="0"/>
              <w:rPr>
                <w:b/>
                <w:color w:val="000000"/>
                <w:sz w:val="24"/>
              </w:rPr>
            </w:pPr>
            <w:r w:rsidRPr="00D51778">
              <w:rPr>
                <w:b/>
                <w:bCs/>
                <w:color w:val="000000"/>
                <w:sz w:val="24"/>
                <w:lang w:val="ga"/>
              </w:rPr>
              <w:t>An líon iomlán fostaithe</w:t>
            </w:r>
          </w:p>
        </w:tc>
        <w:tc>
          <w:tcPr>
            <w:tcW w:w="2504" w:type="dxa"/>
            <w:tcBorders>
              <w:bottom w:val="single" w:sz="12" w:space="0" w:color="000000"/>
            </w:tcBorders>
          </w:tcPr>
          <w:p w14:paraId="75DD852D" w14:textId="40E426E7" w:rsidR="00973B13" w:rsidRPr="00D51778" w:rsidRDefault="00FE708A" w:rsidP="00DD1EE1">
            <w:pPr>
              <w:spacing w:after="0"/>
              <w:rPr>
                <w:b/>
                <w:color w:val="000000"/>
                <w:sz w:val="24"/>
              </w:rPr>
            </w:pPr>
            <w:r w:rsidRPr="00D51778">
              <w:rPr>
                <w:b/>
                <w:bCs/>
                <w:color w:val="000000"/>
                <w:sz w:val="24"/>
                <w:lang w:val="ga"/>
              </w:rPr>
              <w:t>An líon fostaithe a thuairiscigh míchumas</w:t>
            </w:r>
          </w:p>
        </w:tc>
        <w:tc>
          <w:tcPr>
            <w:tcW w:w="1984" w:type="dxa"/>
            <w:tcBorders>
              <w:bottom w:val="single" w:sz="12" w:space="0" w:color="000000"/>
            </w:tcBorders>
          </w:tcPr>
          <w:p w14:paraId="4E4B0A9B" w14:textId="1130F4A9" w:rsidR="00973B13" w:rsidRPr="00D51778" w:rsidRDefault="00973B13" w:rsidP="00DD1EE1">
            <w:pPr>
              <w:spacing w:after="0"/>
              <w:rPr>
                <w:b/>
                <w:color w:val="000000"/>
                <w:sz w:val="24"/>
              </w:rPr>
            </w:pPr>
            <w:r w:rsidRPr="00D51778">
              <w:rPr>
                <w:b/>
                <w:bCs/>
                <w:color w:val="000000"/>
                <w:sz w:val="24"/>
                <w:lang w:val="ga"/>
              </w:rPr>
              <w:t>An % d’iomlán na bhfostaithe a thuairiscigh míchumas</w:t>
            </w:r>
          </w:p>
        </w:tc>
      </w:tr>
      <w:tr w:rsidR="00973B13" w:rsidRPr="00D51778" w14:paraId="4B17D5CD" w14:textId="77777777" w:rsidTr="00984D04">
        <w:trPr>
          <w:jc w:val="center"/>
        </w:trPr>
        <w:tc>
          <w:tcPr>
            <w:tcW w:w="2410" w:type="dxa"/>
            <w:tcBorders>
              <w:top w:val="single" w:sz="12" w:space="0" w:color="000000"/>
              <w:bottom w:val="single" w:sz="4" w:space="0" w:color="auto"/>
            </w:tcBorders>
          </w:tcPr>
          <w:p w14:paraId="264D6EAB" w14:textId="77777777" w:rsidR="00973B13" w:rsidRPr="00D51778" w:rsidRDefault="00973B13" w:rsidP="00AD2F28">
            <w:pPr>
              <w:spacing w:after="0"/>
              <w:jc w:val="right"/>
              <w:rPr>
                <w:color w:val="000000"/>
                <w:sz w:val="24"/>
              </w:rPr>
            </w:pPr>
            <w:r w:rsidRPr="00D51778">
              <w:rPr>
                <w:color w:val="000000"/>
                <w:sz w:val="24"/>
                <w:lang w:val="ga"/>
              </w:rPr>
              <w:t>2007</w:t>
            </w:r>
          </w:p>
        </w:tc>
        <w:tc>
          <w:tcPr>
            <w:tcW w:w="2410" w:type="dxa"/>
            <w:tcBorders>
              <w:top w:val="single" w:sz="12" w:space="0" w:color="000000"/>
              <w:bottom w:val="single" w:sz="4" w:space="0" w:color="auto"/>
            </w:tcBorders>
          </w:tcPr>
          <w:p w14:paraId="039B6DDE" w14:textId="77777777" w:rsidR="00973B13" w:rsidRPr="00D51778" w:rsidRDefault="00973B13" w:rsidP="00AD2F28">
            <w:pPr>
              <w:spacing w:after="0"/>
              <w:jc w:val="right"/>
              <w:rPr>
                <w:color w:val="000000"/>
                <w:sz w:val="24"/>
              </w:rPr>
            </w:pPr>
            <w:r w:rsidRPr="00D51778">
              <w:rPr>
                <w:color w:val="000000"/>
                <w:sz w:val="24"/>
                <w:lang w:val="ga"/>
              </w:rPr>
              <w:t>238,833</w:t>
            </w:r>
          </w:p>
        </w:tc>
        <w:tc>
          <w:tcPr>
            <w:tcW w:w="2504" w:type="dxa"/>
            <w:tcBorders>
              <w:top w:val="single" w:sz="12" w:space="0" w:color="000000"/>
              <w:bottom w:val="single" w:sz="4" w:space="0" w:color="auto"/>
            </w:tcBorders>
          </w:tcPr>
          <w:p w14:paraId="7CD285A8" w14:textId="77777777" w:rsidR="00973B13" w:rsidRPr="00D51778" w:rsidRDefault="00973B13" w:rsidP="00AD2F28">
            <w:pPr>
              <w:spacing w:after="0"/>
              <w:jc w:val="right"/>
              <w:rPr>
                <w:color w:val="000000"/>
                <w:sz w:val="24"/>
              </w:rPr>
            </w:pPr>
            <w:r w:rsidRPr="00D51778">
              <w:rPr>
                <w:color w:val="000000"/>
                <w:sz w:val="24"/>
                <w:lang w:val="ga"/>
              </w:rPr>
              <w:t xml:space="preserve">5,879 </w:t>
            </w:r>
          </w:p>
        </w:tc>
        <w:tc>
          <w:tcPr>
            <w:tcW w:w="1984" w:type="dxa"/>
            <w:tcBorders>
              <w:top w:val="single" w:sz="12" w:space="0" w:color="000000"/>
              <w:bottom w:val="single" w:sz="4" w:space="0" w:color="auto"/>
            </w:tcBorders>
          </w:tcPr>
          <w:p w14:paraId="335E7E16" w14:textId="77777777" w:rsidR="00973B13" w:rsidRPr="00D51778" w:rsidRDefault="00973B13" w:rsidP="00AD2F28">
            <w:pPr>
              <w:spacing w:after="0"/>
              <w:jc w:val="right"/>
              <w:rPr>
                <w:color w:val="000000"/>
                <w:sz w:val="24"/>
              </w:rPr>
            </w:pPr>
            <w:r w:rsidRPr="00D51778">
              <w:rPr>
                <w:color w:val="000000"/>
                <w:sz w:val="24"/>
                <w:lang w:val="ga"/>
              </w:rPr>
              <w:t>2.5%</w:t>
            </w:r>
          </w:p>
        </w:tc>
      </w:tr>
      <w:tr w:rsidR="00973B13" w:rsidRPr="00D51778" w14:paraId="1C502877" w14:textId="77777777" w:rsidTr="00984D04">
        <w:trPr>
          <w:jc w:val="center"/>
        </w:trPr>
        <w:tc>
          <w:tcPr>
            <w:tcW w:w="2410" w:type="dxa"/>
            <w:tcBorders>
              <w:top w:val="single" w:sz="4" w:space="0" w:color="auto"/>
              <w:bottom w:val="single" w:sz="4" w:space="0" w:color="auto"/>
            </w:tcBorders>
          </w:tcPr>
          <w:p w14:paraId="6C720212" w14:textId="77777777" w:rsidR="00973B13" w:rsidRPr="00D51778" w:rsidRDefault="00973B13" w:rsidP="00AD2F28">
            <w:pPr>
              <w:spacing w:after="0"/>
              <w:jc w:val="right"/>
              <w:rPr>
                <w:color w:val="000000"/>
                <w:sz w:val="24"/>
              </w:rPr>
            </w:pPr>
            <w:r w:rsidRPr="00D51778">
              <w:rPr>
                <w:color w:val="000000"/>
                <w:sz w:val="24"/>
                <w:lang w:val="ga"/>
              </w:rPr>
              <w:t>2008</w:t>
            </w:r>
          </w:p>
        </w:tc>
        <w:tc>
          <w:tcPr>
            <w:tcW w:w="2410" w:type="dxa"/>
            <w:tcBorders>
              <w:top w:val="single" w:sz="4" w:space="0" w:color="auto"/>
              <w:bottom w:val="single" w:sz="4" w:space="0" w:color="auto"/>
            </w:tcBorders>
          </w:tcPr>
          <w:p w14:paraId="6CC65C41" w14:textId="77777777" w:rsidR="00973B13" w:rsidRPr="00D51778" w:rsidRDefault="00973B13" w:rsidP="00AD2F28">
            <w:pPr>
              <w:spacing w:after="0"/>
              <w:jc w:val="right"/>
              <w:rPr>
                <w:color w:val="000000"/>
                <w:sz w:val="24"/>
              </w:rPr>
            </w:pPr>
            <w:r w:rsidRPr="00D51778">
              <w:rPr>
                <w:color w:val="000000"/>
                <w:sz w:val="24"/>
                <w:lang w:val="ga"/>
              </w:rPr>
              <w:t>229,000</w:t>
            </w:r>
          </w:p>
        </w:tc>
        <w:tc>
          <w:tcPr>
            <w:tcW w:w="2504" w:type="dxa"/>
            <w:tcBorders>
              <w:top w:val="single" w:sz="4" w:space="0" w:color="auto"/>
              <w:bottom w:val="single" w:sz="4" w:space="0" w:color="auto"/>
            </w:tcBorders>
          </w:tcPr>
          <w:p w14:paraId="10CE233A" w14:textId="77777777" w:rsidR="00973B13" w:rsidRPr="00D51778" w:rsidRDefault="00973B13" w:rsidP="00AD2F28">
            <w:pPr>
              <w:spacing w:after="0"/>
              <w:jc w:val="right"/>
              <w:rPr>
                <w:color w:val="000000"/>
                <w:sz w:val="24"/>
              </w:rPr>
            </w:pPr>
            <w:r w:rsidRPr="00D51778">
              <w:rPr>
                <w:color w:val="000000"/>
                <w:sz w:val="24"/>
                <w:lang w:val="ga"/>
              </w:rPr>
              <w:t xml:space="preserve"> 6,083 </w:t>
            </w:r>
          </w:p>
        </w:tc>
        <w:tc>
          <w:tcPr>
            <w:tcW w:w="1984" w:type="dxa"/>
            <w:tcBorders>
              <w:top w:val="single" w:sz="4" w:space="0" w:color="auto"/>
              <w:bottom w:val="single" w:sz="4" w:space="0" w:color="auto"/>
            </w:tcBorders>
          </w:tcPr>
          <w:p w14:paraId="4F2A140D" w14:textId="77777777" w:rsidR="00973B13" w:rsidRPr="00D51778" w:rsidRDefault="00973B13" w:rsidP="00AD2F28">
            <w:pPr>
              <w:spacing w:after="0"/>
              <w:jc w:val="right"/>
              <w:rPr>
                <w:color w:val="000000"/>
                <w:sz w:val="24"/>
              </w:rPr>
            </w:pPr>
            <w:r w:rsidRPr="00D51778">
              <w:rPr>
                <w:color w:val="000000"/>
                <w:sz w:val="24"/>
                <w:lang w:val="ga"/>
              </w:rPr>
              <w:t>2.7%</w:t>
            </w:r>
          </w:p>
        </w:tc>
      </w:tr>
      <w:tr w:rsidR="00973B13" w:rsidRPr="00D51778" w14:paraId="68F2699F" w14:textId="77777777" w:rsidTr="00984D04">
        <w:trPr>
          <w:jc w:val="center"/>
        </w:trPr>
        <w:tc>
          <w:tcPr>
            <w:tcW w:w="2410" w:type="dxa"/>
            <w:tcBorders>
              <w:top w:val="single" w:sz="4" w:space="0" w:color="auto"/>
              <w:bottom w:val="single" w:sz="6" w:space="0" w:color="000000"/>
            </w:tcBorders>
          </w:tcPr>
          <w:p w14:paraId="4A2D2CBB" w14:textId="77777777" w:rsidR="00973B13" w:rsidRPr="00D51778" w:rsidRDefault="00973B13" w:rsidP="00AD2F28">
            <w:pPr>
              <w:spacing w:after="0"/>
              <w:jc w:val="right"/>
              <w:rPr>
                <w:color w:val="000000"/>
                <w:sz w:val="24"/>
              </w:rPr>
            </w:pPr>
            <w:r w:rsidRPr="00D51778">
              <w:rPr>
                <w:color w:val="000000"/>
                <w:sz w:val="24"/>
                <w:lang w:val="ga"/>
              </w:rPr>
              <w:t>2009</w:t>
            </w:r>
          </w:p>
        </w:tc>
        <w:tc>
          <w:tcPr>
            <w:tcW w:w="2410" w:type="dxa"/>
            <w:tcBorders>
              <w:top w:val="single" w:sz="4" w:space="0" w:color="auto"/>
              <w:bottom w:val="single" w:sz="6" w:space="0" w:color="000000"/>
            </w:tcBorders>
          </w:tcPr>
          <w:p w14:paraId="4219D10F" w14:textId="77777777" w:rsidR="00973B13" w:rsidRPr="00D51778" w:rsidRDefault="00973B13" w:rsidP="00AD2F28">
            <w:pPr>
              <w:spacing w:after="0"/>
              <w:jc w:val="right"/>
              <w:rPr>
                <w:color w:val="000000"/>
                <w:sz w:val="24"/>
              </w:rPr>
            </w:pPr>
            <w:r w:rsidRPr="00D51778">
              <w:rPr>
                <w:color w:val="000000"/>
                <w:sz w:val="24"/>
                <w:lang w:val="ga"/>
              </w:rPr>
              <w:t>219,653</w:t>
            </w:r>
          </w:p>
        </w:tc>
        <w:tc>
          <w:tcPr>
            <w:tcW w:w="2504" w:type="dxa"/>
            <w:tcBorders>
              <w:top w:val="single" w:sz="4" w:space="0" w:color="auto"/>
              <w:bottom w:val="single" w:sz="6" w:space="0" w:color="000000"/>
            </w:tcBorders>
          </w:tcPr>
          <w:p w14:paraId="7375FF18" w14:textId="77777777" w:rsidR="00973B13" w:rsidRPr="00D51778" w:rsidRDefault="00973B13" w:rsidP="00AD2F28">
            <w:pPr>
              <w:spacing w:after="0"/>
              <w:jc w:val="right"/>
              <w:rPr>
                <w:color w:val="000000"/>
                <w:sz w:val="24"/>
              </w:rPr>
            </w:pPr>
            <w:r w:rsidRPr="00D51778">
              <w:rPr>
                <w:color w:val="000000"/>
                <w:sz w:val="24"/>
                <w:lang w:val="ga"/>
              </w:rPr>
              <w:t xml:space="preserve">6,380 </w:t>
            </w:r>
          </w:p>
        </w:tc>
        <w:tc>
          <w:tcPr>
            <w:tcW w:w="1984" w:type="dxa"/>
            <w:tcBorders>
              <w:top w:val="single" w:sz="4" w:space="0" w:color="auto"/>
              <w:bottom w:val="single" w:sz="6" w:space="0" w:color="000000"/>
            </w:tcBorders>
          </w:tcPr>
          <w:p w14:paraId="10C822F9" w14:textId="77777777" w:rsidR="00973B13" w:rsidRPr="00D51778" w:rsidRDefault="00973B13" w:rsidP="00AD2F28">
            <w:pPr>
              <w:spacing w:after="0"/>
              <w:jc w:val="right"/>
              <w:rPr>
                <w:color w:val="000000"/>
                <w:sz w:val="24"/>
              </w:rPr>
            </w:pPr>
            <w:r w:rsidRPr="00D51778">
              <w:rPr>
                <w:color w:val="000000"/>
                <w:sz w:val="24"/>
                <w:lang w:val="ga"/>
              </w:rPr>
              <w:t>2.9%</w:t>
            </w:r>
          </w:p>
        </w:tc>
      </w:tr>
      <w:tr w:rsidR="00973B13" w:rsidRPr="00D51778" w14:paraId="287B34AC" w14:textId="77777777" w:rsidTr="00984D04">
        <w:trPr>
          <w:jc w:val="center"/>
        </w:trPr>
        <w:tc>
          <w:tcPr>
            <w:tcW w:w="2410" w:type="dxa"/>
            <w:tcBorders>
              <w:top w:val="single" w:sz="6" w:space="0" w:color="000000"/>
            </w:tcBorders>
          </w:tcPr>
          <w:p w14:paraId="36CAD752" w14:textId="77777777" w:rsidR="00973B13" w:rsidRPr="00D51778" w:rsidRDefault="00973B13" w:rsidP="00AD2F28">
            <w:pPr>
              <w:spacing w:after="0"/>
              <w:jc w:val="right"/>
              <w:rPr>
                <w:color w:val="000000"/>
                <w:sz w:val="24"/>
              </w:rPr>
            </w:pPr>
            <w:r w:rsidRPr="00D51778">
              <w:rPr>
                <w:color w:val="000000"/>
                <w:sz w:val="24"/>
                <w:lang w:val="ga"/>
              </w:rPr>
              <w:t>2010</w:t>
            </w:r>
          </w:p>
        </w:tc>
        <w:tc>
          <w:tcPr>
            <w:tcW w:w="2410" w:type="dxa"/>
            <w:tcBorders>
              <w:top w:val="single" w:sz="6" w:space="0" w:color="000000"/>
            </w:tcBorders>
          </w:tcPr>
          <w:p w14:paraId="1EB34779" w14:textId="77777777" w:rsidR="00973B13" w:rsidRPr="00D51778" w:rsidRDefault="00973B13" w:rsidP="00AD2F28">
            <w:pPr>
              <w:spacing w:after="0"/>
              <w:jc w:val="right"/>
              <w:rPr>
                <w:color w:val="000000"/>
                <w:sz w:val="24"/>
              </w:rPr>
            </w:pPr>
            <w:r w:rsidRPr="00D51778">
              <w:rPr>
                <w:color w:val="000000"/>
                <w:sz w:val="24"/>
                <w:lang w:val="ga"/>
              </w:rPr>
              <w:t>210,249</w:t>
            </w:r>
          </w:p>
        </w:tc>
        <w:tc>
          <w:tcPr>
            <w:tcW w:w="2504" w:type="dxa"/>
            <w:tcBorders>
              <w:top w:val="single" w:sz="6" w:space="0" w:color="000000"/>
            </w:tcBorders>
          </w:tcPr>
          <w:p w14:paraId="5EC9A8E6" w14:textId="77777777" w:rsidR="00973B13" w:rsidRPr="00D51778" w:rsidRDefault="00973B13" w:rsidP="00AD2F28">
            <w:pPr>
              <w:spacing w:after="0"/>
              <w:jc w:val="right"/>
              <w:rPr>
                <w:color w:val="000000"/>
                <w:sz w:val="24"/>
              </w:rPr>
            </w:pPr>
            <w:r w:rsidRPr="00D51778">
              <w:rPr>
                <w:color w:val="000000"/>
                <w:sz w:val="24"/>
                <w:lang w:val="ga"/>
              </w:rPr>
              <w:t xml:space="preserve">5,748 </w:t>
            </w:r>
          </w:p>
        </w:tc>
        <w:tc>
          <w:tcPr>
            <w:tcW w:w="1984" w:type="dxa"/>
            <w:tcBorders>
              <w:top w:val="single" w:sz="6" w:space="0" w:color="000000"/>
            </w:tcBorders>
          </w:tcPr>
          <w:p w14:paraId="79616561" w14:textId="77777777" w:rsidR="00973B13" w:rsidRPr="00D51778" w:rsidRDefault="00973B13" w:rsidP="00AD2F28">
            <w:pPr>
              <w:spacing w:after="0"/>
              <w:jc w:val="right"/>
              <w:rPr>
                <w:color w:val="000000"/>
                <w:sz w:val="24"/>
              </w:rPr>
            </w:pPr>
            <w:r w:rsidRPr="00D51778">
              <w:rPr>
                <w:color w:val="000000"/>
                <w:sz w:val="24"/>
                <w:lang w:val="ga"/>
              </w:rPr>
              <w:t>2.7%</w:t>
            </w:r>
          </w:p>
        </w:tc>
      </w:tr>
      <w:tr w:rsidR="00973B13" w:rsidRPr="00D51778" w14:paraId="06A99A90" w14:textId="77777777" w:rsidTr="00984D04">
        <w:trPr>
          <w:jc w:val="center"/>
        </w:trPr>
        <w:tc>
          <w:tcPr>
            <w:tcW w:w="2410" w:type="dxa"/>
          </w:tcPr>
          <w:p w14:paraId="19A07CD5" w14:textId="77777777" w:rsidR="00973B13" w:rsidRPr="00D51778" w:rsidRDefault="00973B13" w:rsidP="00AD2F28">
            <w:pPr>
              <w:spacing w:after="0"/>
              <w:jc w:val="right"/>
              <w:rPr>
                <w:color w:val="000000"/>
                <w:sz w:val="24"/>
              </w:rPr>
            </w:pPr>
            <w:r w:rsidRPr="00D51778">
              <w:rPr>
                <w:color w:val="000000"/>
                <w:sz w:val="24"/>
                <w:lang w:val="ga"/>
              </w:rPr>
              <w:t>2011</w:t>
            </w:r>
          </w:p>
        </w:tc>
        <w:tc>
          <w:tcPr>
            <w:tcW w:w="2410" w:type="dxa"/>
          </w:tcPr>
          <w:p w14:paraId="3CE1C2C2" w14:textId="77777777" w:rsidR="00973B13" w:rsidRPr="00D51778" w:rsidRDefault="00973B13" w:rsidP="00AD2F28">
            <w:pPr>
              <w:spacing w:after="0"/>
              <w:jc w:val="right"/>
              <w:rPr>
                <w:color w:val="000000"/>
                <w:sz w:val="24"/>
              </w:rPr>
            </w:pPr>
            <w:r w:rsidRPr="00D51778">
              <w:rPr>
                <w:color w:val="000000"/>
                <w:sz w:val="24"/>
                <w:lang w:val="ga"/>
              </w:rPr>
              <w:t>205,068</w:t>
            </w:r>
          </w:p>
        </w:tc>
        <w:tc>
          <w:tcPr>
            <w:tcW w:w="2504" w:type="dxa"/>
          </w:tcPr>
          <w:p w14:paraId="3BF95BFA" w14:textId="77777777" w:rsidR="00973B13" w:rsidRPr="00D51778" w:rsidRDefault="00973B13" w:rsidP="00AD2F28">
            <w:pPr>
              <w:spacing w:after="0"/>
              <w:jc w:val="right"/>
              <w:rPr>
                <w:color w:val="000000"/>
                <w:sz w:val="24"/>
              </w:rPr>
            </w:pPr>
            <w:r w:rsidRPr="00D51778">
              <w:rPr>
                <w:color w:val="000000"/>
                <w:sz w:val="24"/>
                <w:lang w:val="ga"/>
              </w:rPr>
              <w:t xml:space="preserve">6,171 </w:t>
            </w:r>
          </w:p>
        </w:tc>
        <w:tc>
          <w:tcPr>
            <w:tcW w:w="1984" w:type="dxa"/>
          </w:tcPr>
          <w:p w14:paraId="684A54F1" w14:textId="77777777" w:rsidR="00973B13" w:rsidRPr="00D51778" w:rsidRDefault="00973B13" w:rsidP="00AD2F28">
            <w:pPr>
              <w:spacing w:after="0"/>
              <w:jc w:val="right"/>
              <w:rPr>
                <w:color w:val="000000"/>
                <w:sz w:val="24"/>
              </w:rPr>
            </w:pPr>
            <w:r w:rsidRPr="00D51778">
              <w:rPr>
                <w:color w:val="000000"/>
                <w:sz w:val="24"/>
                <w:lang w:val="ga"/>
              </w:rPr>
              <w:t>3.0%</w:t>
            </w:r>
          </w:p>
        </w:tc>
      </w:tr>
      <w:tr w:rsidR="00973B13" w:rsidRPr="00D51778" w14:paraId="670559A9" w14:textId="77777777" w:rsidTr="00984D04">
        <w:trPr>
          <w:jc w:val="center"/>
        </w:trPr>
        <w:tc>
          <w:tcPr>
            <w:tcW w:w="2410" w:type="dxa"/>
          </w:tcPr>
          <w:p w14:paraId="339B4734" w14:textId="77777777" w:rsidR="00973B13" w:rsidRPr="00D51778" w:rsidRDefault="00973B13" w:rsidP="00AD2F28">
            <w:pPr>
              <w:spacing w:after="0"/>
              <w:jc w:val="right"/>
              <w:rPr>
                <w:color w:val="000000"/>
                <w:sz w:val="24"/>
              </w:rPr>
            </w:pPr>
            <w:r w:rsidRPr="00D51778">
              <w:rPr>
                <w:color w:val="000000"/>
                <w:sz w:val="24"/>
                <w:lang w:val="ga"/>
              </w:rPr>
              <w:t>2012</w:t>
            </w:r>
          </w:p>
        </w:tc>
        <w:tc>
          <w:tcPr>
            <w:tcW w:w="2410" w:type="dxa"/>
          </w:tcPr>
          <w:p w14:paraId="670754E7" w14:textId="77777777" w:rsidR="00973B13" w:rsidRPr="00D51778" w:rsidRDefault="00973B13" w:rsidP="00AD2F28">
            <w:pPr>
              <w:spacing w:after="0"/>
              <w:jc w:val="right"/>
              <w:rPr>
                <w:color w:val="000000"/>
                <w:sz w:val="24"/>
              </w:rPr>
            </w:pPr>
            <w:r w:rsidRPr="00D51778">
              <w:rPr>
                <w:color w:val="000000"/>
                <w:sz w:val="24"/>
                <w:lang w:val="ga"/>
              </w:rPr>
              <w:t>197,588</w:t>
            </w:r>
          </w:p>
        </w:tc>
        <w:tc>
          <w:tcPr>
            <w:tcW w:w="2504" w:type="dxa"/>
          </w:tcPr>
          <w:p w14:paraId="1F5118E8" w14:textId="77777777" w:rsidR="00973B13" w:rsidRPr="00D51778" w:rsidRDefault="00973B13" w:rsidP="00AD2F28">
            <w:pPr>
              <w:spacing w:after="0"/>
              <w:jc w:val="right"/>
              <w:rPr>
                <w:color w:val="000000"/>
                <w:sz w:val="24"/>
              </w:rPr>
            </w:pPr>
            <w:r w:rsidRPr="00D51778">
              <w:rPr>
                <w:color w:val="000000"/>
                <w:sz w:val="24"/>
                <w:lang w:val="ga"/>
              </w:rPr>
              <w:t>6,611</w:t>
            </w:r>
          </w:p>
        </w:tc>
        <w:tc>
          <w:tcPr>
            <w:tcW w:w="1984" w:type="dxa"/>
          </w:tcPr>
          <w:p w14:paraId="053540D8" w14:textId="77777777" w:rsidR="00973B13" w:rsidRPr="00D51778" w:rsidRDefault="00973B13" w:rsidP="00AD2F28">
            <w:pPr>
              <w:spacing w:after="0"/>
              <w:jc w:val="right"/>
              <w:rPr>
                <w:color w:val="000000"/>
                <w:sz w:val="24"/>
              </w:rPr>
            </w:pPr>
            <w:r w:rsidRPr="00D51778">
              <w:rPr>
                <w:color w:val="000000"/>
                <w:sz w:val="24"/>
                <w:lang w:val="ga"/>
              </w:rPr>
              <w:t>3.3%</w:t>
            </w:r>
          </w:p>
        </w:tc>
      </w:tr>
      <w:tr w:rsidR="00973B13" w:rsidRPr="00D51778" w14:paraId="6B177568" w14:textId="77777777" w:rsidTr="00984D04">
        <w:trPr>
          <w:jc w:val="center"/>
        </w:trPr>
        <w:tc>
          <w:tcPr>
            <w:tcW w:w="2410" w:type="dxa"/>
          </w:tcPr>
          <w:p w14:paraId="534D9544" w14:textId="77777777" w:rsidR="00973B13" w:rsidRPr="00D51778" w:rsidRDefault="00973B13" w:rsidP="00AD2F28">
            <w:pPr>
              <w:spacing w:after="0"/>
              <w:jc w:val="right"/>
              <w:rPr>
                <w:color w:val="000000"/>
                <w:sz w:val="24"/>
              </w:rPr>
            </w:pPr>
            <w:r w:rsidRPr="00D51778">
              <w:rPr>
                <w:color w:val="000000"/>
                <w:sz w:val="24"/>
                <w:lang w:val="ga"/>
              </w:rPr>
              <w:t>2013</w:t>
            </w:r>
          </w:p>
        </w:tc>
        <w:tc>
          <w:tcPr>
            <w:tcW w:w="2410" w:type="dxa"/>
          </w:tcPr>
          <w:p w14:paraId="6264289E" w14:textId="77777777" w:rsidR="00973B13" w:rsidRPr="00D51778" w:rsidRDefault="00973B13" w:rsidP="00AD2F28">
            <w:pPr>
              <w:spacing w:after="0"/>
              <w:jc w:val="right"/>
              <w:rPr>
                <w:color w:val="000000"/>
                <w:sz w:val="24"/>
              </w:rPr>
            </w:pPr>
            <w:r w:rsidRPr="00D51778">
              <w:rPr>
                <w:color w:val="000000"/>
                <w:sz w:val="24"/>
                <w:lang w:val="ga"/>
              </w:rPr>
              <w:t>192,576</w:t>
            </w:r>
          </w:p>
        </w:tc>
        <w:tc>
          <w:tcPr>
            <w:tcW w:w="2504" w:type="dxa"/>
          </w:tcPr>
          <w:p w14:paraId="37772A36" w14:textId="77777777" w:rsidR="00973B13" w:rsidRPr="00D51778" w:rsidRDefault="00973B13" w:rsidP="00AD2F28">
            <w:pPr>
              <w:spacing w:after="0"/>
              <w:jc w:val="right"/>
              <w:rPr>
                <w:color w:val="000000"/>
                <w:sz w:val="24"/>
              </w:rPr>
            </w:pPr>
            <w:r w:rsidRPr="00D51778">
              <w:rPr>
                <w:color w:val="000000"/>
                <w:sz w:val="24"/>
                <w:lang w:val="ga"/>
              </w:rPr>
              <w:t>6,464</w:t>
            </w:r>
          </w:p>
        </w:tc>
        <w:tc>
          <w:tcPr>
            <w:tcW w:w="1984" w:type="dxa"/>
          </w:tcPr>
          <w:p w14:paraId="719B3A46" w14:textId="77777777" w:rsidR="00973B13" w:rsidRPr="00D51778" w:rsidRDefault="00973B13" w:rsidP="00AD2F28">
            <w:pPr>
              <w:spacing w:after="0"/>
              <w:jc w:val="right"/>
              <w:rPr>
                <w:color w:val="000000"/>
                <w:sz w:val="24"/>
              </w:rPr>
            </w:pPr>
            <w:r w:rsidRPr="00D51778">
              <w:rPr>
                <w:color w:val="000000"/>
                <w:sz w:val="24"/>
                <w:lang w:val="ga"/>
              </w:rPr>
              <w:t>3.4%</w:t>
            </w:r>
          </w:p>
        </w:tc>
      </w:tr>
      <w:tr w:rsidR="00973B13" w:rsidRPr="00D51778" w14:paraId="0E26FE31" w14:textId="77777777" w:rsidTr="00984D04">
        <w:trPr>
          <w:jc w:val="center"/>
        </w:trPr>
        <w:tc>
          <w:tcPr>
            <w:tcW w:w="2410" w:type="dxa"/>
          </w:tcPr>
          <w:p w14:paraId="7DFFF8DC" w14:textId="77777777" w:rsidR="00973B13" w:rsidRPr="00D51778" w:rsidRDefault="00973B13" w:rsidP="00AD2F28">
            <w:pPr>
              <w:spacing w:after="0"/>
              <w:jc w:val="right"/>
              <w:rPr>
                <w:color w:val="000000"/>
                <w:sz w:val="24"/>
              </w:rPr>
            </w:pPr>
            <w:r w:rsidRPr="00D51778">
              <w:rPr>
                <w:color w:val="000000"/>
                <w:sz w:val="24"/>
                <w:lang w:val="ga"/>
              </w:rPr>
              <w:t>2014</w:t>
            </w:r>
          </w:p>
        </w:tc>
        <w:tc>
          <w:tcPr>
            <w:tcW w:w="2410" w:type="dxa"/>
          </w:tcPr>
          <w:p w14:paraId="5FFB0748" w14:textId="77777777" w:rsidR="00973B13" w:rsidRPr="00D51778" w:rsidRDefault="00973B13" w:rsidP="00AD2F28">
            <w:pPr>
              <w:spacing w:after="0"/>
              <w:jc w:val="right"/>
              <w:rPr>
                <w:color w:val="000000"/>
                <w:sz w:val="24"/>
              </w:rPr>
            </w:pPr>
            <w:r w:rsidRPr="00D51778">
              <w:rPr>
                <w:color w:val="000000"/>
                <w:sz w:val="24"/>
                <w:lang w:val="ga"/>
              </w:rPr>
              <w:t>195,278</w:t>
            </w:r>
          </w:p>
        </w:tc>
        <w:tc>
          <w:tcPr>
            <w:tcW w:w="2504" w:type="dxa"/>
          </w:tcPr>
          <w:p w14:paraId="3C533CA2" w14:textId="77777777" w:rsidR="00973B13" w:rsidRPr="00D51778" w:rsidRDefault="00973B13" w:rsidP="00AD2F28">
            <w:pPr>
              <w:spacing w:after="0"/>
              <w:jc w:val="right"/>
              <w:rPr>
                <w:color w:val="000000"/>
                <w:sz w:val="24"/>
              </w:rPr>
            </w:pPr>
            <w:r w:rsidRPr="00D51778">
              <w:rPr>
                <w:color w:val="000000"/>
                <w:sz w:val="24"/>
                <w:lang w:val="ga"/>
              </w:rPr>
              <w:t>6,771</w:t>
            </w:r>
          </w:p>
        </w:tc>
        <w:tc>
          <w:tcPr>
            <w:tcW w:w="1984" w:type="dxa"/>
          </w:tcPr>
          <w:p w14:paraId="6049E6C5" w14:textId="77777777" w:rsidR="00973B13" w:rsidRPr="00D51778" w:rsidRDefault="00973B13" w:rsidP="00AD2F28">
            <w:pPr>
              <w:spacing w:after="0"/>
              <w:jc w:val="right"/>
              <w:rPr>
                <w:color w:val="000000"/>
                <w:sz w:val="24"/>
              </w:rPr>
            </w:pPr>
            <w:r w:rsidRPr="00D51778">
              <w:rPr>
                <w:color w:val="000000"/>
                <w:sz w:val="24"/>
                <w:lang w:val="ga"/>
              </w:rPr>
              <w:t>3.5%</w:t>
            </w:r>
          </w:p>
        </w:tc>
      </w:tr>
      <w:tr w:rsidR="00973B13" w:rsidRPr="00D51778" w14:paraId="2BE8A968" w14:textId="77777777" w:rsidTr="00984D04">
        <w:trPr>
          <w:jc w:val="center"/>
        </w:trPr>
        <w:tc>
          <w:tcPr>
            <w:tcW w:w="2410" w:type="dxa"/>
          </w:tcPr>
          <w:p w14:paraId="08F2637D" w14:textId="77777777" w:rsidR="00973B13" w:rsidRPr="00D51778" w:rsidRDefault="00973B13" w:rsidP="00AD2F28">
            <w:pPr>
              <w:spacing w:after="0"/>
              <w:jc w:val="right"/>
              <w:rPr>
                <w:color w:val="000000"/>
                <w:sz w:val="24"/>
              </w:rPr>
            </w:pPr>
            <w:r w:rsidRPr="00D51778">
              <w:rPr>
                <w:color w:val="000000"/>
                <w:sz w:val="24"/>
                <w:lang w:val="ga"/>
              </w:rPr>
              <w:t>2015</w:t>
            </w:r>
          </w:p>
        </w:tc>
        <w:tc>
          <w:tcPr>
            <w:tcW w:w="2410" w:type="dxa"/>
          </w:tcPr>
          <w:p w14:paraId="55DF630A" w14:textId="77777777" w:rsidR="00973B13" w:rsidRPr="00D51778" w:rsidRDefault="00973B13" w:rsidP="00AD2F28">
            <w:pPr>
              <w:spacing w:after="0"/>
              <w:jc w:val="right"/>
              <w:rPr>
                <w:color w:val="000000"/>
                <w:sz w:val="24"/>
              </w:rPr>
            </w:pPr>
            <w:r w:rsidRPr="00D51778">
              <w:rPr>
                <w:color w:val="000000"/>
                <w:sz w:val="24"/>
                <w:lang w:val="ga"/>
              </w:rPr>
              <w:t>201,341</w:t>
            </w:r>
          </w:p>
        </w:tc>
        <w:tc>
          <w:tcPr>
            <w:tcW w:w="2504" w:type="dxa"/>
          </w:tcPr>
          <w:p w14:paraId="75E74C0C" w14:textId="77777777" w:rsidR="00973B13" w:rsidRPr="00D51778" w:rsidRDefault="00973B13" w:rsidP="00AD2F28">
            <w:pPr>
              <w:spacing w:after="0"/>
              <w:jc w:val="right"/>
              <w:rPr>
                <w:color w:val="000000"/>
                <w:sz w:val="24"/>
              </w:rPr>
            </w:pPr>
            <w:r w:rsidRPr="00D51778">
              <w:rPr>
                <w:color w:val="000000"/>
                <w:sz w:val="24"/>
                <w:lang w:val="ga"/>
              </w:rPr>
              <w:t>7,245</w:t>
            </w:r>
          </w:p>
        </w:tc>
        <w:tc>
          <w:tcPr>
            <w:tcW w:w="1984" w:type="dxa"/>
          </w:tcPr>
          <w:p w14:paraId="455D6B42" w14:textId="77777777" w:rsidR="00973B13" w:rsidRPr="00D51778" w:rsidRDefault="00973B13" w:rsidP="00AD2F28">
            <w:pPr>
              <w:spacing w:after="0"/>
              <w:jc w:val="right"/>
              <w:rPr>
                <w:color w:val="000000"/>
                <w:sz w:val="24"/>
              </w:rPr>
            </w:pPr>
            <w:r w:rsidRPr="00D51778">
              <w:rPr>
                <w:color w:val="000000"/>
                <w:sz w:val="24"/>
                <w:lang w:val="ga"/>
              </w:rPr>
              <w:t>3.6%</w:t>
            </w:r>
          </w:p>
        </w:tc>
      </w:tr>
      <w:tr w:rsidR="00973B13" w:rsidRPr="00D51778" w14:paraId="010886C7" w14:textId="77777777" w:rsidTr="00984D04">
        <w:trPr>
          <w:jc w:val="center"/>
        </w:trPr>
        <w:tc>
          <w:tcPr>
            <w:tcW w:w="2410" w:type="dxa"/>
          </w:tcPr>
          <w:p w14:paraId="17B7B9E0" w14:textId="77777777" w:rsidR="00973B13" w:rsidRPr="00D51778" w:rsidDel="006E420A" w:rsidRDefault="00973B13" w:rsidP="00AD2F28">
            <w:pPr>
              <w:spacing w:after="0"/>
              <w:jc w:val="right"/>
              <w:rPr>
                <w:color w:val="000000"/>
                <w:sz w:val="24"/>
              </w:rPr>
            </w:pPr>
            <w:r w:rsidRPr="00D51778">
              <w:rPr>
                <w:color w:val="000000"/>
                <w:sz w:val="24"/>
                <w:lang w:val="ga"/>
              </w:rPr>
              <w:t>2016</w:t>
            </w:r>
          </w:p>
        </w:tc>
        <w:tc>
          <w:tcPr>
            <w:tcW w:w="2410" w:type="dxa"/>
          </w:tcPr>
          <w:p w14:paraId="7E627799" w14:textId="77777777" w:rsidR="00973B13" w:rsidRPr="00D51778" w:rsidRDefault="00973B13" w:rsidP="00AD2F28">
            <w:pPr>
              <w:spacing w:after="0"/>
              <w:jc w:val="right"/>
              <w:rPr>
                <w:color w:val="000000"/>
                <w:sz w:val="24"/>
              </w:rPr>
            </w:pPr>
            <w:r w:rsidRPr="00D51778">
              <w:rPr>
                <w:color w:val="000000"/>
                <w:sz w:val="24"/>
                <w:lang w:val="ga"/>
              </w:rPr>
              <w:t>213,991</w:t>
            </w:r>
          </w:p>
        </w:tc>
        <w:tc>
          <w:tcPr>
            <w:tcW w:w="2504" w:type="dxa"/>
          </w:tcPr>
          <w:p w14:paraId="229335C0" w14:textId="77777777" w:rsidR="00973B13" w:rsidRPr="00D51778" w:rsidRDefault="00973B13" w:rsidP="00AD2F28">
            <w:pPr>
              <w:spacing w:after="0"/>
              <w:jc w:val="right"/>
              <w:rPr>
                <w:color w:val="000000"/>
                <w:sz w:val="24"/>
              </w:rPr>
            </w:pPr>
            <w:r w:rsidRPr="00D51778">
              <w:rPr>
                <w:color w:val="000000"/>
                <w:sz w:val="24"/>
                <w:lang w:val="ga"/>
              </w:rPr>
              <w:t>7,457</w:t>
            </w:r>
          </w:p>
        </w:tc>
        <w:tc>
          <w:tcPr>
            <w:tcW w:w="1984" w:type="dxa"/>
          </w:tcPr>
          <w:p w14:paraId="0481C252" w14:textId="77777777" w:rsidR="00973B13" w:rsidRPr="00D51778" w:rsidRDefault="00973B13" w:rsidP="00AD2F28">
            <w:pPr>
              <w:spacing w:after="0"/>
              <w:jc w:val="right"/>
              <w:rPr>
                <w:color w:val="000000"/>
                <w:sz w:val="24"/>
              </w:rPr>
            </w:pPr>
            <w:r w:rsidRPr="00D51778">
              <w:rPr>
                <w:color w:val="000000"/>
                <w:sz w:val="24"/>
                <w:lang w:val="ga"/>
              </w:rPr>
              <w:t>3.5%</w:t>
            </w:r>
          </w:p>
        </w:tc>
      </w:tr>
      <w:tr w:rsidR="00973B13" w:rsidRPr="00D51778" w14:paraId="50C5B1DD" w14:textId="77777777" w:rsidTr="00984D04">
        <w:trPr>
          <w:jc w:val="center"/>
        </w:trPr>
        <w:tc>
          <w:tcPr>
            <w:tcW w:w="2410" w:type="dxa"/>
            <w:tcBorders>
              <w:bottom w:val="single" w:sz="6" w:space="0" w:color="000000"/>
            </w:tcBorders>
          </w:tcPr>
          <w:p w14:paraId="3F27429B" w14:textId="77777777" w:rsidR="00973B13" w:rsidRPr="00D51778" w:rsidRDefault="00973B13" w:rsidP="00AD2F28">
            <w:pPr>
              <w:spacing w:after="0"/>
              <w:jc w:val="right"/>
              <w:rPr>
                <w:color w:val="000000"/>
                <w:sz w:val="24"/>
              </w:rPr>
            </w:pPr>
            <w:r w:rsidRPr="00D51778">
              <w:rPr>
                <w:color w:val="000000"/>
                <w:sz w:val="24"/>
                <w:lang w:val="ga"/>
              </w:rPr>
              <w:t>2017</w:t>
            </w:r>
          </w:p>
        </w:tc>
        <w:tc>
          <w:tcPr>
            <w:tcW w:w="2410" w:type="dxa"/>
            <w:tcBorders>
              <w:bottom w:val="single" w:sz="6" w:space="0" w:color="000000"/>
            </w:tcBorders>
          </w:tcPr>
          <w:p w14:paraId="603304A2" w14:textId="77777777" w:rsidR="00973B13" w:rsidRPr="00D51778" w:rsidRDefault="00973B13" w:rsidP="00AD2F28">
            <w:pPr>
              <w:spacing w:after="0"/>
              <w:jc w:val="right"/>
              <w:rPr>
                <w:color w:val="000000"/>
                <w:sz w:val="24"/>
              </w:rPr>
            </w:pPr>
            <w:r w:rsidRPr="00D51778">
              <w:rPr>
                <w:rFonts w:cs="Arial"/>
                <w:sz w:val="24"/>
                <w:lang w:val="ga"/>
              </w:rPr>
              <w:t>225,809</w:t>
            </w:r>
          </w:p>
        </w:tc>
        <w:tc>
          <w:tcPr>
            <w:tcW w:w="2504" w:type="dxa"/>
            <w:tcBorders>
              <w:bottom w:val="single" w:sz="6" w:space="0" w:color="000000"/>
            </w:tcBorders>
          </w:tcPr>
          <w:p w14:paraId="2045955E" w14:textId="77777777" w:rsidR="00973B13" w:rsidRPr="00D51778" w:rsidRDefault="00973B13" w:rsidP="00AD2F28">
            <w:pPr>
              <w:spacing w:after="0"/>
              <w:jc w:val="right"/>
              <w:rPr>
                <w:color w:val="000000"/>
                <w:sz w:val="24"/>
              </w:rPr>
            </w:pPr>
            <w:r w:rsidRPr="00D51778">
              <w:rPr>
                <w:rFonts w:cs="Arial"/>
                <w:sz w:val="24"/>
                <w:lang w:val="ga"/>
              </w:rPr>
              <w:t>7,796</w:t>
            </w:r>
          </w:p>
        </w:tc>
        <w:tc>
          <w:tcPr>
            <w:tcW w:w="1984" w:type="dxa"/>
            <w:tcBorders>
              <w:bottom w:val="single" w:sz="6" w:space="0" w:color="000000"/>
            </w:tcBorders>
          </w:tcPr>
          <w:p w14:paraId="287FFACF" w14:textId="77777777" w:rsidR="00973B13" w:rsidRPr="00D51778" w:rsidRDefault="00973B13" w:rsidP="00AD2F28">
            <w:pPr>
              <w:spacing w:after="0"/>
              <w:jc w:val="right"/>
              <w:rPr>
                <w:color w:val="000000"/>
                <w:sz w:val="24"/>
              </w:rPr>
            </w:pPr>
            <w:r w:rsidRPr="00D51778">
              <w:rPr>
                <w:rFonts w:cs="Arial"/>
                <w:sz w:val="24"/>
                <w:lang w:val="ga"/>
              </w:rPr>
              <w:t>3.5%</w:t>
            </w:r>
          </w:p>
        </w:tc>
      </w:tr>
      <w:tr w:rsidR="00973B13" w:rsidRPr="00D51778" w14:paraId="4D95133C" w14:textId="77777777" w:rsidTr="00984D04">
        <w:trPr>
          <w:jc w:val="center"/>
        </w:trPr>
        <w:tc>
          <w:tcPr>
            <w:tcW w:w="2410" w:type="dxa"/>
            <w:tcBorders>
              <w:top w:val="single" w:sz="6" w:space="0" w:color="000000"/>
              <w:bottom w:val="single" w:sz="4" w:space="0" w:color="auto"/>
            </w:tcBorders>
          </w:tcPr>
          <w:p w14:paraId="4B453CE2" w14:textId="77777777" w:rsidR="00973B13" w:rsidRPr="00D51778" w:rsidRDefault="00973B13" w:rsidP="00AD2F28">
            <w:pPr>
              <w:spacing w:after="0"/>
              <w:jc w:val="right"/>
              <w:rPr>
                <w:color w:val="000000"/>
                <w:sz w:val="24"/>
              </w:rPr>
            </w:pPr>
            <w:r w:rsidRPr="00D51778">
              <w:rPr>
                <w:color w:val="000000"/>
                <w:sz w:val="24"/>
                <w:lang w:val="ga"/>
              </w:rPr>
              <w:t>2018</w:t>
            </w:r>
          </w:p>
        </w:tc>
        <w:tc>
          <w:tcPr>
            <w:tcW w:w="2410" w:type="dxa"/>
            <w:tcBorders>
              <w:top w:val="single" w:sz="6" w:space="0" w:color="000000"/>
              <w:bottom w:val="single" w:sz="4" w:space="0" w:color="auto"/>
            </w:tcBorders>
          </w:tcPr>
          <w:p w14:paraId="3A3D7C86" w14:textId="77777777" w:rsidR="00973B13" w:rsidRPr="00D51778" w:rsidRDefault="00973B13" w:rsidP="00AD2F28">
            <w:pPr>
              <w:spacing w:after="0"/>
              <w:jc w:val="right"/>
              <w:rPr>
                <w:rFonts w:cs="Arial"/>
                <w:sz w:val="24"/>
              </w:rPr>
            </w:pPr>
            <w:r w:rsidRPr="00D51778">
              <w:rPr>
                <w:sz w:val="24"/>
                <w:lang w:val="ga"/>
              </w:rPr>
              <w:t>231,784</w:t>
            </w:r>
          </w:p>
        </w:tc>
        <w:tc>
          <w:tcPr>
            <w:tcW w:w="2504" w:type="dxa"/>
            <w:tcBorders>
              <w:top w:val="single" w:sz="6" w:space="0" w:color="000000"/>
              <w:bottom w:val="single" w:sz="4" w:space="0" w:color="auto"/>
            </w:tcBorders>
          </w:tcPr>
          <w:p w14:paraId="63DEF306" w14:textId="77777777" w:rsidR="00973B13" w:rsidRPr="00D51778" w:rsidRDefault="00973B13" w:rsidP="00AD2F28">
            <w:pPr>
              <w:spacing w:after="0"/>
              <w:jc w:val="right"/>
              <w:rPr>
                <w:rFonts w:cs="Arial"/>
                <w:sz w:val="24"/>
              </w:rPr>
            </w:pPr>
            <w:r w:rsidRPr="00D51778">
              <w:rPr>
                <w:sz w:val="24"/>
                <w:lang w:val="ga"/>
              </w:rPr>
              <w:t>7,584</w:t>
            </w:r>
          </w:p>
        </w:tc>
        <w:tc>
          <w:tcPr>
            <w:tcW w:w="1984" w:type="dxa"/>
            <w:tcBorders>
              <w:top w:val="single" w:sz="6" w:space="0" w:color="000000"/>
              <w:bottom w:val="single" w:sz="4" w:space="0" w:color="auto"/>
            </w:tcBorders>
          </w:tcPr>
          <w:p w14:paraId="7B1E1EEB" w14:textId="77777777" w:rsidR="00973B13" w:rsidRPr="00D51778" w:rsidRDefault="00973B13" w:rsidP="00AD2F28">
            <w:pPr>
              <w:spacing w:after="0"/>
              <w:jc w:val="right"/>
              <w:rPr>
                <w:rFonts w:cs="Arial"/>
                <w:sz w:val="24"/>
              </w:rPr>
            </w:pPr>
            <w:r w:rsidRPr="00D51778">
              <w:rPr>
                <w:rFonts w:cs="Arial"/>
                <w:sz w:val="24"/>
                <w:lang w:val="ga"/>
              </w:rPr>
              <w:t>3.3%</w:t>
            </w:r>
          </w:p>
        </w:tc>
      </w:tr>
      <w:tr w:rsidR="00973B13" w:rsidRPr="00D51778" w14:paraId="1E8B1061" w14:textId="77777777" w:rsidTr="00984D04">
        <w:trPr>
          <w:jc w:val="center"/>
        </w:trPr>
        <w:tc>
          <w:tcPr>
            <w:tcW w:w="2410" w:type="dxa"/>
            <w:tcBorders>
              <w:top w:val="single" w:sz="6" w:space="0" w:color="000000"/>
              <w:bottom w:val="single" w:sz="6" w:space="0" w:color="000000"/>
            </w:tcBorders>
          </w:tcPr>
          <w:p w14:paraId="6B0FB3FE" w14:textId="77777777" w:rsidR="00973B13" w:rsidRPr="00D51778" w:rsidRDefault="00973B13" w:rsidP="00AD2F28">
            <w:pPr>
              <w:spacing w:after="0"/>
              <w:jc w:val="right"/>
              <w:rPr>
                <w:color w:val="000000"/>
                <w:sz w:val="24"/>
              </w:rPr>
            </w:pPr>
            <w:r w:rsidRPr="00D51778">
              <w:rPr>
                <w:color w:val="000000"/>
                <w:sz w:val="24"/>
                <w:lang w:val="ga"/>
              </w:rPr>
              <w:t>2019</w:t>
            </w:r>
          </w:p>
        </w:tc>
        <w:tc>
          <w:tcPr>
            <w:tcW w:w="2410" w:type="dxa"/>
            <w:tcBorders>
              <w:top w:val="single" w:sz="6" w:space="0" w:color="000000"/>
              <w:bottom w:val="single" w:sz="6" w:space="0" w:color="000000"/>
            </w:tcBorders>
          </w:tcPr>
          <w:p w14:paraId="54791740" w14:textId="77777777" w:rsidR="00973B13" w:rsidRPr="00D51778" w:rsidRDefault="00973B13" w:rsidP="00AD2F28">
            <w:pPr>
              <w:spacing w:after="0"/>
              <w:jc w:val="right"/>
              <w:rPr>
                <w:rFonts w:cs="Arial"/>
                <w:sz w:val="24"/>
              </w:rPr>
            </w:pPr>
            <w:r w:rsidRPr="00D51778">
              <w:rPr>
                <w:rFonts w:cs="Arial"/>
                <w:sz w:val="24"/>
                <w:lang w:val="ga"/>
              </w:rPr>
              <w:t>238,174</w:t>
            </w:r>
          </w:p>
        </w:tc>
        <w:tc>
          <w:tcPr>
            <w:tcW w:w="2504" w:type="dxa"/>
            <w:tcBorders>
              <w:top w:val="single" w:sz="6" w:space="0" w:color="000000"/>
              <w:bottom w:val="single" w:sz="6" w:space="0" w:color="000000"/>
            </w:tcBorders>
          </w:tcPr>
          <w:p w14:paraId="447DD561" w14:textId="77777777" w:rsidR="00973B13" w:rsidRPr="00D51778" w:rsidRDefault="00973B13" w:rsidP="00AD2F28">
            <w:pPr>
              <w:spacing w:after="0"/>
              <w:jc w:val="right"/>
              <w:rPr>
                <w:rFonts w:cs="Arial"/>
                <w:sz w:val="24"/>
              </w:rPr>
            </w:pPr>
            <w:r w:rsidRPr="00D51778">
              <w:rPr>
                <w:rFonts w:cs="Arial"/>
                <w:sz w:val="24"/>
                <w:lang w:val="ga"/>
              </w:rPr>
              <w:t>7,319</w:t>
            </w:r>
          </w:p>
        </w:tc>
        <w:tc>
          <w:tcPr>
            <w:tcW w:w="1984" w:type="dxa"/>
            <w:tcBorders>
              <w:top w:val="single" w:sz="6" w:space="0" w:color="000000"/>
              <w:bottom w:val="single" w:sz="6" w:space="0" w:color="000000"/>
            </w:tcBorders>
          </w:tcPr>
          <w:p w14:paraId="2A6FCFFE" w14:textId="77777777" w:rsidR="00973B13" w:rsidRPr="00D51778" w:rsidRDefault="00973B13" w:rsidP="00AD2F28">
            <w:pPr>
              <w:spacing w:after="0"/>
              <w:jc w:val="right"/>
              <w:rPr>
                <w:rFonts w:cs="Arial"/>
                <w:sz w:val="24"/>
              </w:rPr>
            </w:pPr>
            <w:r w:rsidRPr="00D51778">
              <w:rPr>
                <w:rFonts w:cs="Arial"/>
                <w:sz w:val="24"/>
                <w:lang w:val="ga"/>
              </w:rPr>
              <w:t>3.1%</w:t>
            </w:r>
          </w:p>
        </w:tc>
      </w:tr>
      <w:tr w:rsidR="00C82DBE" w:rsidRPr="00D51778" w14:paraId="3A16372B" w14:textId="77777777" w:rsidTr="00EA0892">
        <w:trPr>
          <w:jc w:val="center"/>
        </w:trPr>
        <w:tc>
          <w:tcPr>
            <w:tcW w:w="2410" w:type="dxa"/>
            <w:tcBorders>
              <w:top w:val="single" w:sz="6" w:space="0" w:color="000000"/>
              <w:bottom w:val="single" w:sz="6" w:space="0" w:color="000000"/>
            </w:tcBorders>
          </w:tcPr>
          <w:p w14:paraId="07360B60" w14:textId="041416A5" w:rsidR="00C82DBE" w:rsidRPr="00D51778" w:rsidRDefault="00C82DBE" w:rsidP="00AD2F28">
            <w:pPr>
              <w:spacing w:after="0"/>
              <w:jc w:val="right"/>
              <w:rPr>
                <w:color w:val="000000"/>
                <w:sz w:val="24"/>
              </w:rPr>
            </w:pPr>
            <w:r w:rsidRPr="00D51778">
              <w:rPr>
                <w:color w:val="000000"/>
                <w:sz w:val="24"/>
                <w:lang w:val="ga"/>
              </w:rPr>
              <w:t>2020</w:t>
            </w:r>
          </w:p>
        </w:tc>
        <w:tc>
          <w:tcPr>
            <w:tcW w:w="2410" w:type="dxa"/>
            <w:tcBorders>
              <w:top w:val="single" w:sz="6" w:space="0" w:color="000000"/>
              <w:bottom w:val="single" w:sz="6" w:space="0" w:color="000000"/>
            </w:tcBorders>
          </w:tcPr>
          <w:p w14:paraId="3F5F15A7" w14:textId="4CE4F93D" w:rsidR="00C82DBE" w:rsidRPr="00D51778" w:rsidRDefault="00BA7BE8" w:rsidP="00AD2F28">
            <w:pPr>
              <w:spacing w:after="0"/>
              <w:jc w:val="right"/>
              <w:rPr>
                <w:rFonts w:cs="Arial"/>
                <w:sz w:val="24"/>
              </w:rPr>
            </w:pPr>
            <w:r w:rsidRPr="00D51778">
              <w:rPr>
                <w:rFonts w:cs="Arial"/>
                <w:sz w:val="24"/>
                <w:lang w:val="ga"/>
              </w:rPr>
              <w:t>245,190</w:t>
            </w:r>
          </w:p>
        </w:tc>
        <w:tc>
          <w:tcPr>
            <w:tcW w:w="2504" w:type="dxa"/>
            <w:tcBorders>
              <w:top w:val="single" w:sz="6" w:space="0" w:color="000000"/>
              <w:bottom w:val="single" w:sz="6" w:space="0" w:color="000000"/>
            </w:tcBorders>
          </w:tcPr>
          <w:p w14:paraId="3DCE6EDA" w14:textId="1181A94D" w:rsidR="00C82DBE" w:rsidRPr="00D51778" w:rsidRDefault="00BA7BE8" w:rsidP="00AD2F28">
            <w:pPr>
              <w:spacing w:after="0"/>
              <w:jc w:val="right"/>
              <w:rPr>
                <w:rFonts w:cs="Arial"/>
                <w:sz w:val="24"/>
              </w:rPr>
            </w:pPr>
            <w:r w:rsidRPr="00D51778">
              <w:rPr>
                <w:rFonts w:cs="Arial"/>
                <w:sz w:val="24"/>
                <w:lang w:val="ga"/>
              </w:rPr>
              <w:t>7,637</w:t>
            </w:r>
          </w:p>
        </w:tc>
        <w:tc>
          <w:tcPr>
            <w:tcW w:w="1984" w:type="dxa"/>
            <w:tcBorders>
              <w:top w:val="single" w:sz="6" w:space="0" w:color="000000"/>
              <w:bottom w:val="single" w:sz="6" w:space="0" w:color="000000"/>
            </w:tcBorders>
          </w:tcPr>
          <w:p w14:paraId="337F6A1A" w14:textId="56F272E9" w:rsidR="00C82DBE" w:rsidRPr="00D51778" w:rsidRDefault="00BA7BE8" w:rsidP="00AD2F28">
            <w:pPr>
              <w:spacing w:after="0"/>
              <w:jc w:val="right"/>
              <w:rPr>
                <w:rFonts w:cs="Arial"/>
                <w:sz w:val="24"/>
              </w:rPr>
            </w:pPr>
            <w:r w:rsidRPr="00D51778">
              <w:rPr>
                <w:rFonts w:cs="Arial"/>
                <w:sz w:val="24"/>
                <w:lang w:val="ga"/>
              </w:rPr>
              <w:t>3.1%</w:t>
            </w:r>
          </w:p>
        </w:tc>
      </w:tr>
      <w:tr w:rsidR="00EA0892" w:rsidRPr="00D51778" w14:paraId="7EDE8474" w14:textId="77777777" w:rsidTr="00984D04">
        <w:trPr>
          <w:jc w:val="center"/>
        </w:trPr>
        <w:tc>
          <w:tcPr>
            <w:tcW w:w="2410" w:type="dxa"/>
            <w:tcBorders>
              <w:top w:val="single" w:sz="6" w:space="0" w:color="000000"/>
              <w:bottom w:val="single" w:sz="4" w:space="0" w:color="auto"/>
            </w:tcBorders>
          </w:tcPr>
          <w:p w14:paraId="4D77EE2F" w14:textId="57849B2A" w:rsidR="00EA0892" w:rsidRPr="00D51778" w:rsidRDefault="00EA0892" w:rsidP="00AD2F28">
            <w:pPr>
              <w:spacing w:after="0"/>
              <w:jc w:val="right"/>
              <w:rPr>
                <w:b/>
                <w:color w:val="000000"/>
                <w:sz w:val="24"/>
              </w:rPr>
            </w:pPr>
            <w:r w:rsidRPr="00D51778">
              <w:rPr>
                <w:b/>
                <w:bCs/>
                <w:color w:val="000000"/>
                <w:sz w:val="24"/>
                <w:lang w:val="ga"/>
              </w:rPr>
              <w:t>2021</w:t>
            </w:r>
          </w:p>
        </w:tc>
        <w:tc>
          <w:tcPr>
            <w:tcW w:w="2410" w:type="dxa"/>
            <w:tcBorders>
              <w:top w:val="single" w:sz="6" w:space="0" w:color="000000"/>
              <w:bottom w:val="single" w:sz="4" w:space="0" w:color="auto"/>
            </w:tcBorders>
          </w:tcPr>
          <w:p w14:paraId="0CF96D80" w14:textId="54AB25B1" w:rsidR="00EA0892" w:rsidRPr="00D51778" w:rsidRDefault="00EA0892" w:rsidP="00AD2F28">
            <w:pPr>
              <w:spacing w:after="0"/>
              <w:jc w:val="right"/>
              <w:rPr>
                <w:rFonts w:cs="Arial"/>
                <w:b/>
                <w:sz w:val="24"/>
              </w:rPr>
            </w:pPr>
            <w:r w:rsidRPr="00D51778">
              <w:rPr>
                <w:rFonts w:cs="Arial"/>
                <w:b/>
                <w:bCs/>
                <w:sz w:val="24"/>
                <w:lang w:val="ga"/>
              </w:rPr>
              <w:t>251,552</w:t>
            </w:r>
          </w:p>
        </w:tc>
        <w:tc>
          <w:tcPr>
            <w:tcW w:w="2504" w:type="dxa"/>
            <w:tcBorders>
              <w:top w:val="single" w:sz="6" w:space="0" w:color="000000"/>
              <w:bottom w:val="single" w:sz="4" w:space="0" w:color="auto"/>
            </w:tcBorders>
          </w:tcPr>
          <w:p w14:paraId="57EA749B" w14:textId="5F02E1DA" w:rsidR="00EA0892" w:rsidRPr="00D51778" w:rsidRDefault="009F0604" w:rsidP="00AD2F28">
            <w:pPr>
              <w:spacing w:after="0"/>
              <w:jc w:val="right"/>
              <w:rPr>
                <w:rFonts w:cs="Arial"/>
                <w:b/>
                <w:sz w:val="24"/>
              </w:rPr>
            </w:pPr>
            <w:r w:rsidRPr="00D51778">
              <w:rPr>
                <w:rFonts w:cs="Arial"/>
                <w:b/>
                <w:bCs/>
                <w:sz w:val="24"/>
                <w:lang w:val="ga"/>
              </w:rPr>
              <w:t>9,011</w:t>
            </w:r>
          </w:p>
        </w:tc>
        <w:tc>
          <w:tcPr>
            <w:tcW w:w="1984" w:type="dxa"/>
            <w:tcBorders>
              <w:top w:val="single" w:sz="6" w:space="0" w:color="000000"/>
              <w:bottom w:val="single" w:sz="4" w:space="0" w:color="auto"/>
            </w:tcBorders>
          </w:tcPr>
          <w:p w14:paraId="5888457C" w14:textId="4C1C1E7C" w:rsidR="00EA0892" w:rsidRPr="00D51778" w:rsidRDefault="00EA0892" w:rsidP="00AD2F28">
            <w:pPr>
              <w:spacing w:after="0"/>
              <w:jc w:val="right"/>
              <w:rPr>
                <w:rFonts w:cs="Arial"/>
                <w:b/>
                <w:sz w:val="24"/>
              </w:rPr>
            </w:pPr>
            <w:r w:rsidRPr="00D51778">
              <w:rPr>
                <w:rFonts w:cs="Arial"/>
                <w:b/>
                <w:bCs/>
                <w:sz w:val="24"/>
                <w:lang w:val="ga"/>
              </w:rPr>
              <w:t>3.6%</w:t>
            </w:r>
          </w:p>
        </w:tc>
      </w:tr>
    </w:tbl>
    <w:p w14:paraId="2AA4978D" w14:textId="606905B3" w:rsidR="001B1427" w:rsidRPr="00D51778" w:rsidRDefault="001B1427" w:rsidP="001B1427">
      <w:bookmarkStart w:id="43" w:name="_Toc18680249"/>
    </w:p>
    <w:p w14:paraId="263EB653" w14:textId="41261218" w:rsidR="00E20CAD" w:rsidRPr="00D51778" w:rsidRDefault="001B1427" w:rsidP="00E20CAD">
      <w:pPr>
        <w:pStyle w:val="Heading2"/>
        <w:spacing w:before="240"/>
      </w:pPr>
      <w:bookmarkStart w:id="44" w:name="_Toc124367403"/>
      <w:r w:rsidRPr="00D51778">
        <w:rPr>
          <w:bCs/>
          <w:lang w:val="ga"/>
        </w:rPr>
        <w:t>2.2 Athruithe i gcomhlachtaí poiblí</w:t>
      </w:r>
      <w:bookmarkEnd w:id="44"/>
    </w:p>
    <w:p w14:paraId="5ADDCA5B" w14:textId="0B8B4F83" w:rsidR="00C47132" w:rsidRPr="00D51778" w:rsidRDefault="00961DC1" w:rsidP="008E7550">
      <w:r w:rsidRPr="008E7550">
        <w:t>Mionsonraítear i dTábla 4 na hathruithe a tharla i gcás roinnt comhlachtaí poiblí sa bhliain 2021. Ba iad na comhlachtaí poiblí atá liostaithe sna táblaí seo na comhlachtaí poiblí uile a cruthaíodh den chéad uair sa bhliain 2021</w:t>
      </w:r>
      <w:r w:rsidRPr="00D51778">
        <w:rPr>
          <w:lang w:val="ga"/>
        </w:rPr>
        <w:t xml:space="preserve"> nó ar athraíodh a stádas sa bhliain.</w:t>
      </w:r>
    </w:p>
    <w:p w14:paraId="7A7601FE" w14:textId="6AAE34D3" w:rsidR="000574F3" w:rsidRPr="00D51778" w:rsidRDefault="000574F3" w:rsidP="000574F3">
      <w:pPr>
        <w:pStyle w:val="TableTitle"/>
      </w:pPr>
      <w:r w:rsidRPr="00D51778">
        <w:rPr>
          <w:bCs/>
          <w:lang w:val="ga"/>
        </w:rPr>
        <w:t>Tábla 4. Athruithe i gcomhlachtaí poiblí</w:t>
      </w:r>
    </w:p>
    <w:tbl>
      <w:tblPr>
        <w:tblW w:w="10915"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59"/>
        <w:gridCol w:w="1701"/>
        <w:gridCol w:w="1560"/>
        <w:gridCol w:w="1671"/>
        <w:gridCol w:w="2439"/>
      </w:tblGrid>
      <w:tr w:rsidR="00C47132" w:rsidRPr="00D51778" w14:paraId="1E214E71" w14:textId="77777777" w:rsidTr="007D0A7B">
        <w:trPr>
          <w:tblHeader/>
        </w:trPr>
        <w:tc>
          <w:tcPr>
            <w:tcW w:w="1985" w:type="dxa"/>
            <w:tcBorders>
              <w:bottom w:val="single" w:sz="12" w:space="0" w:color="000000"/>
            </w:tcBorders>
          </w:tcPr>
          <w:p w14:paraId="09A8FCF3" w14:textId="77777777" w:rsidR="00C47132" w:rsidRPr="00D51778" w:rsidRDefault="00C47132" w:rsidP="007D0A7B">
            <w:pPr>
              <w:pStyle w:val="TableHead"/>
              <w:rPr>
                <w:sz w:val="22"/>
                <w:szCs w:val="22"/>
              </w:rPr>
            </w:pPr>
            <w:r w:rsidRPr="00D51778">
              <w:rPr>
                <w:bCs/>
                <w:sz w:val="22"/>
                <w:szCs w:val="22"/>
                <w:lang w:val="ga"/>
              </w:rPr>
              <w:t>Comhlacht Poiblí</w:t>
            </w:r>
          </w:p>
        </w:tc>
        <w:tc>
          <w:tcPr>
            <w:tcW w:w="1559" w:type="dxa"/>
            <w:tcBorders>
              <w:bottom w:val="single" w:sz="12" w:space="0" w:color="000000"/>
            </w:tcBorders>
          </w:tcPr>
          <w:p w14:paraId="32FC9B5E" w14:textId="77777777" w:rsidR="00C47132" w:rsidRPr="00D51778" w:rsidRDefault="00C47132" w:rsidP="007D0A7B">
            <w:pPr>
              <w:pStyle w:val="TableHead"/>
              <w:rPr>
                <w:sz w:val="22"/>
                <w:szCs w:val="22"/>
              </w:rPr>
            </w:pPr>
            <w:r w:rsidRPr="00D51778">
              <w:rPr>
                <w:bCs/>
                <w:sz w:val="22"/>
                <w:szCs w:val="22"/>
                <w:lang w:val="ga"/>
              </w:rPr>
              <w:t>An líon iomlán fostaithe 2020</w:t>
            </w:r>
          </w:p>
        </w:tc>
        <w:tc>
          <w:tcPr>
            <w:tcW w:w="1701" w:type="dxa"/>
            <w:tcBorders>
              <w:bottom w:val="single" w:sz="12" w:space="0" w:color="000000"/>
            </w:tcBorders>
          </w:tcPr>
          <w:p w14:paraId="1FE13B9E" w14:textId="77777777" w:rsidR="00C47132" w:rsidRPr="00D51778" w:rsidRDefault="00C47132" w:rsidP="007D0A7B">
            <w:pPr>
              <w:pStyle w:val="TableHead"/>
              <w:rPr>
                <w:sz w:val="22"/>
                <w:szCs w:val="22"/>
              </w:rPr>
            </w:pPr>
            <w:r w:rsidRPr="00D51778">
              <w:rPr>
                <w:bCs/>
                <w:sz w:val="22"/>
                <w:szCs w:val="22"/>
                <w:lang w:val="ga"/>
              </w:rPr>
              <w:t>An líon fostaithe, agus an % d’fhostaithe, a thuairiscigh míchumas</w:t>
            </w:r>
          </w:p>
          <w:p w14:paraId="1EB8E767" w14:textId="77777777" w:rsidR="00C47132" w:rsidRPr="00D51778" w:rsidRDefault="00C47132" w:rsidP="007D0A7B">
            <w:pPr>
              <w:pStyle w:val="TableHead"/>
              <w:rPr>
                <w:sz w:val="22"/>
                <w:szCs w:val="22"/>
              </w:rPr>
            </w:pPr>
            <w:r w:rsidRPr="00D51778">
              <w:rPr>
                <w:bCs/>
                <w:sz w:val="22"/>
                <w:szCs w:val="22"/>
                <w:lang w:val="ga"/>
              </w:rPr>
              <w:t xml:space="preserve"> 2020</w:t>
            </w:r>
          </w:p>
        </w:tc>
        <w:tc>
          <w:tcPr>
            <w:tcW w:w="1560" w:type="dxa"/>
            <w:tcBorders>
              <w:bottom w:val="single" w:sz="12" w:space="0" w:color="000000"/>
            </w:tcBorders>
          </w:tcPr>
          <w:p w14:paraId="36922D70" w14:textId="77777777" w:rsidR="00C47132" w:rsidRPr="00D51778" w:rsidRDefault="00C47132" w:rsidP="007D0A7B">
            <w:pPr>
              <w:pStyle w:val="TableHead"/>
              <w:rPr>
                <w:sz w:val="22"/>
                <w:szCs w:val="22"/>
              </w:rPr>
            </w:pPr>
            <w:r w:rsidRPr="00D51778">
              <w:rPr>
                <w:bCs/>
                <w:sz w:val="22"/>
                <w:szCs w:val="22"/>
                <w:lang w:val="ga"/>
              </w:rPr>
              <w:t>An líon iomlán fostaithe 2021</w:t>
            </w:r>
          </w:p>
        </w:tc>
        <w:tc>
          <w:tcPr>
            <w:tcW w:w="1671" w:type="dxa"/>
            <w:tcBorders>
              <w:bottom w:val="single" w:sz="12" w:space="0" w:color="000000"/>
            </w:tcBorders>
          </w:tcPr>
          <w:p w14:paraId="20E6056B" w14:textId="77777777" w:rsidR="00C47132" w:rsidRPr="00D51778" w:rsidRDefault="00C47132" w:rsidP="007D0A7B">
            <w:pPr>
              <w:pStyle w:val="TableHead"/>
              <w:rPr>
                <w:sz w:val="22"/>
                <w:szCs w:val="22"/>
              </w:rPr>
            </w:pPr>
            <w:r w:rsidRPr="00D51778">
              <w:rPr>
                <w:bCs/>
                <w:sz w:val="22"/>
                <w:szCs w:val="22"/>
                <w:lang w:val="ga"/>
              </w:rPr>
              <w:t>An líon fostaithe, agus an % d’fhostaithe, a thuairiscigh míchumas 2021</w:t>
            </w:r>
          </w:p>
        </w:tc>
        <w:tc>
          <w:tcPr>
            <w:tcW w:w="2439" w:type="dxa"/>
            <w:tcBorders>
              <w:bottom w:val="single" w:sz="12" w:space="0" w:color="000000"/>
            </w:tcBorders>
          </w:tcPr>
          <w:p w14:paraId="336AAAA5" w14:textId="77777777" w:rsidR="00C47132" w:rsidRPr="00D51778" w:rsidRDefault="00C47132" w:rsidP="007D0A7B">
            <w:pPr>
              <w:pStyle w:val="TableHead"/>
              <w:rPr>
                <w:sz w:val="22"/>
                <w:szCs w:val="22"/>
              </w:rPr>
            </w:pPr>
            <w:r w:rsidRPr="00D51778">
              <w:rPr>
                <w:bCs/>
                <w:sz w:val="22"/>
                <w:szCs w:val="22"/>
                <w:lang w:val="ga"/>
              </w:rPr>
              <w:t>Athruithe sa bhliain 2021</w:t>
            </w:r>
          </w:p>
        </w:tc>
      </w:tr>
      <w:tr w:rsidR="00C47132" w:rsidRPr="00D51778" w14:paraId="6F072BD0" w14:textId="77777777" w:rsidTr="007D0A7B">
        <w:tc>
          <w:tcPr>
            <w:tcW w:w="1985" w:type="dxa"/>
            <w:tcBorders>
              <w:top w:val="single" w:sz="12" w:space="0" w:color="000000"/>
            </w:tcBorders>
          </w:tcPr>
          <w:p w14:paraId="4B99059F" w14:textId="4CA52F10" w:rsidR="00C47132" w:rsidRPr="00D51778" w:rsidRDefault="00C47132" w:rsidP="001B5AC7">
            <w:pPr>
              <w:spacing w:after="0"/>
              <w:rPr>
                <w:sz w:val="22"/>
                <w:szCs w:val="22"/>
              </w:rPr>
            </w:pPr>
            <w:r w:rsidRPr="00D51778">
              <w:rPr>
                <w:sz w:val="22"/>
                <w:szCs w:val="22"/>
                <w:lang w:val="ga"/>
              </w:rPr>
              <w:t xml:space="preserve">Údarás Rialála na gComhlachtaí Tithíochta Ceadaithe (AHBRA) </w:t>
            </w:r>
          </w:p>
        </w:tc>
        <w:tc>
          <w:tcPr>
            <w:tcW w:w="1559" w:type="dxa"/>
            <w:tcBorders>
              <w:top w:val="single" w:sz="12" w:space="0" w:color="000000"/>
            </w:tcBorders>
          </w:tcPr>
          <w:p w14:paraId="487974B6" w14:textId="77777777" w:rsidR="00C47132" w:rsidRPr="00D51778" w:rsidRDefault="00C47132" w:rsidP="001B5AC7">
            <w:pPr>
              <w:spacing w:after="0"/>
              <w:jc w:val="right"/>
              <w:rPr>
                <w:sz w:val="22"/>
                <w:szCs w:val="22"/>
              </w:rPr>
            </w:pPr>
            <w:r w:rsidRPr="00D51778">
              <w:rPr>
                <w:sz w:val="22"/>
                <w:szCs w:val="22"/>
                <w:lang w:val="ga"/>
              </w:rPr>
              <w:t>-</w:t>
            </w:r>
          </w:p>
        </w:tc>
        <w:tc>
          <w:tcPr>
            <w:tcW w:w="1701" w:type="dxa"/>
            <w:tcBorders>
              <w:top w:val="single" w:sz="12" w:space="0" w:color="000000"/>
            </w:tcBorders>
          </w:tcPr>
          <w:p w14:paraId="767F3CAF" w14:textId="77777777" w:rsidR="00C47132" w:rsidRPr="00D51778" w:rsidRDefault="00C47132" w:rsidP="001B5AC7">
            <w:pPr>
              <w:spacing w:after="0"/>
              <w:jc w:val="right"/>
              <w:rPr>
                <w:sz w:val="22"/>
                <w:szCs w:val="22"/>
              </w:rPr>
            </w:pPr>
            <w:r w:rsidRPr="00D51778">
              <w:rPr>
                <w:sz w:val="22"/>
                <w:szCs w:val="22"/>
                <w:lang w:val="ga"/>
              </w:rPr>
              <w:t>-</w:t>
            </w:r>
          </w:p>
        </w:tc>
        <w:tc>
          <w:tcPr>
            <w:tcW w:w="1560" w:type="dxa"/>
            <w:tcBorders>
              <w:top w:val="single" w:sz="12" w:space="0" w:color="000000"/>
            </w:tcBorders>
          </w:tcPr>
          <w:p w14:paraId="0A480C39" w14:textId="77777777" w:rsidR="00C47132" w:rsidRPr="00D51778" w:rsidRDefault="00C47132" w:rsidP="001B5AC7">
            <w:pPr>
              <w:spacing w:after="0"/>
              <w:jc w:val="right"/>
              <w:rPr>
                <w:sz w:val="22"/>
                <w:szCs w:val="22"/>
              </w:rPr>
            </w:pPr>
            <w:r w:rsidRPr="00D51778">
              <w:rPr>
                <w:sz w:val="22"/>
                <w:szCs w:val="22"/>
                <w:lang w:val="ga"/>
              </w:rPr>
              <w:t>18</w:t>
            </w:r>
          </w:p>
        </w:tc>
        <w:tc>
          <w:tcPr>
            <w:tcW w:w="1671" w:type="dxa"/>
            <w:tcBorders>
              <w:top w:val="single" w:sz="12" w:space="0" w:color="000000"/>
            </w:tcBorders>
          </w:tcPr>
          <w:p w14:paraId="0909A9EC" w14:textId="77777777" w:rsidR="00C47132" w:rsidRPr="00D51778" w:rsidRDefault="00C47132" w:rsidP="001B5AC7">
            <w:pPr>
              <w:spacing w:after="0"/>
              <w:jc w:val="right"/>
              <w:rPr>
                <w:sz w:val="22"/>
                <w:szCs w:val="22"/>
              </w:rPr>
            </w:pPr>
            <w:r w:rsidRPr="00D51778">
              <w:rPr>
                <w:sz w:val="22"/>
                <w:szCs w:val="22"/>
                <w:lang w:val="ga"/>
              </w:rPr>
              <w:t>3 (16.7%)</w:t>
            </w:r>
          </w:p>
        </w:tc>
        <w:tc>
          <w:tcPr>
            <w:tcW w:w="2439" w:type="dxa"/>
            <w:tcBorders>
              <w:top w:val="single" w:sz="12" w:space="0" w:color="000000"/>
            </w:tcBorders>
          </w:tcPr>
          <w:p w14:paraId="52C87396" w14:textId="5DD1F668" w:rsidR="00C47132" w:rsidRPr="00D51778" w:rsidRDefault="00C47132" w:rsidP="001B5AC7">
            <w:pPr>
              <w:spacing w:after="0"/>
              <w:rPr>
                <w:sz w:val="22"/>
                <w:szCs w:val="22"/>
              </w:rPr>
            </w:pPr>
            <w:r w:rsidRPr="00D51778">
              <w:rPr>
                <w:sz w:val="22"/>
                <w:szCs w:val="22"/>
                <w:lang w:val="ga"/>
              </w:rPr>
              <w:t>Is comhlacht poiblí nua é seo a cruthaíodh sa bhliain 2021. Ní dhearna sé tuairisceán leithleach Chuid 5 don bhliain 2020.</w:t>
            </w:r>
          </w:p>
        </w:tc>
      </w:tr>
      <w:tr w:rsidR="00C47132" w:rsidRPr="00D51778" w14:paraId="4050D678" w14:textId="77777777" w:rsidTr="007D0A7B">
        <w:trPr>
          <w:trHeight w:val="140"/>
        </w:trPr>
        <w:tc>
          <w:tcPr>
            <w:tcW w:w="1985" w:type="dxa"/>
          </w:tcPr>
          <w:p w14:paraId="0128C11A" w14:textId="77777777" w:rsidR="00C47132" w:rsidRPr="00D51778" w:rsidRDefault="00C47132" w:rsidP="007D0A7B">
            <w:pPr>
              <w:rPr>
                <w:sz w:val="22"/>
                <w:szCs w:val="22"/>
              </w:rPr>
            </w:pPr>
            <w:r w:rsidRPr="00D51778">
              <w:rPr>
                <w:sz w:val="22"/>
                <w:szCs w:val="22"/>
                <w:lang w:val="ga"/>
              </w:rPr>
              <w:lastRenderedPageBreak/>
              <w:t>Seirbhís Chúirteanna na hÉireann</w:t>
            </w:r>
          </w:p>
          <w:p w14:paraId="1384C3B6" w14:textId="77777777" w:rsidR="00C47132" w:rsidRPr="00D51778" w:rsidRDefault="00C47132" w:rsidP="007D0A7B">
            <w:pPr>
              <w:spacing w:after="0"/>
              <w:rPr>
                <w:sz w:val="22"/>
                <w:szCs w:val="22"/>
              </w:rPr>
            </w:pPr>
          </w:p>
        </w:tc>
        <w:tc>
          <w:tcPr>
            <w:tcW w:w="1559" w:type="dxa"/>
          </w:tcPr>
          <w:p w14:paraId="6754D89C" w14:textId="77777777" w:rsidR="00C47132" w:rsidRPr="00D51778" w:rsidRDefault="00C47132" w:rsidP="007D0A7B">
            <w:pPr>
              <w:spacing w:after="0"/>
              <w:jc w:val="right"/>
              <w:rPr>
                <w:color w:val="000000"/>
                <w:sz w:val="22"/>
                <w:szCs w:val="22"/>
              </w:rPr>
            </w:pPr>
            <w:r w:rsidRPr="00D51778">
              <w:rPr>
                <w:color w:val="000000"/>
                <w:sz w:val="22"/>
                <w:szCs w:val="22"/>
                <w:lang w:val="ga"/>
              </w:rPr>
              <w:t>1100</w:t>
            </w:r>
          </w:p>
          <w:p w14:paraId="3D06C68E" w14:textId="77777777" w:rsidR="00C47132" w:rsidRPr="00D51778" w:rsidRDefault="00C47132" w:rsidP="007D0A7B">
            <w:pPr>
              <w:spacing w:after="0"/>
              <w:jc w:val="right"/>
              <w:rPr>
                <w:color w:val="000000"/>
                <w:sz w:val="22"/>
                <w:szCs w:val="22"/>
              </w:rPr>
            </w:pPr>
          </w:p>
        </w:tc>
        <w:tc>
          <w:tcPr>
            <w:tcW w:w="1701" w:type="dxa"/>
          </w:tcPr>
          <w:p w14:paraId="47FC0AB4" w14:textId="77777777" w:rsidR="00C47132" w:rsidRPr="00D51778" w:rsidRDefault="00C47132" w:rsidP="007D0A7B">
            <w:pPr>
              <w:spacing w:after="0"/>
              <w:jc w:val="right"/>
              <w:rPr>
                <w:color w:val="000000"/>
                <w:sz w:val="22"/>
                <w:szCs w:val="22"/>
              </w:rPr>
            </w:pPr>
            <w:r w:rsidRPr="00D51778">
              <w:rPr>
                <w:color w:val="000000"/>
                <w:sz w:val="22"/>
                <w:szCs w:val="22"/>
                <w:lang w:val="ga"/>
              </w:rPr>
              <w:t>61 (5.5%)</w:t>
            </w:r>
          </w:p>
        </w:tc>
        <w:tc>
          <w:tcPr>
            <w:tcW w:w="1560" w:type="dxa"/>
          </w:tcPr>
          <w:p w14:paraId="2B33826B" w14:textId="77777777" w:rsidR="00C47132" w:rsidRPr="00D51778" w:rsidRDefault="00C47132" w:rsidP="007D0A7B">
            <w:pPr>
              <w:spacing w:after="0"/>
              <w:jc w:val="right"/>
              <w:rPr>
                <w:color w:val="000000"/>
                <w:sz w:val="22"/>
                <w:szCs w:val="22"/>
              </w:rPr>
            </w:pPr>
            <w:r w:rsidRPr="00D51778">
              <w:rPr>
                <w:color w:val="000000"/>
                <w:sz w:val="22"/>
                <w:szCs w:val="22"/>
                <w:lang w:val="ga"/>
              </w:rPr>
              <w:t>1153</w:t>
            </w:r>
          </w:p>
          <w:p w14:paraId="721F1357" w14:textId="77777777" w:rsidR="00C47132" w:rsidRPr="00D51778" w:rsidRDefault="00C47132" w:rsidP="007D0A7B">
            <w:pPr>
              <w:spacing w:after="0"/>
              <w:jc w:val="right"/>
              <w:rPr>
                <w:color w:val="000000"/>
                <w:sz w:val="22"/>
                <w:szCs w:val="22"/>
              </w:rPr>
            </w:pPr>
          </w:p>
          <w:p w14:paraId="2D35F3F5" w14:textId="77777777" w:rsidR="00C47132" w:rsidRPr="00D51778" w:rsidRDefault="00C47132" w:rsidP="007D0A7B">
            <w:pPr>
              <w:spacing w:after="0"/>
              <w:jc w:val="right"/>
              <w:rPr>
                <w:color w:val="000000"/>
                <w:sz w:val="22"/>
                <w:szCs w:val="22"/>
              </w:rPr>
            </w:pPr>
          </w:p>
        </w:tc>
        <w:tc>
          <w:tcPr>
            <w:tcW w:w="1671" w:type="dxa"/>
          </w:tcPr>
          <w:p w14:paraId="09DCC185" w14:textId="77777777" w:rsidR="00C47132" w:rsidRPr="00D51778" w:rsidRDefault="00C47132" w:rsidP="007D0A7B">
            <w:pPr>
              <w:spacing w:after="0"/>
              <w:jc w:val="right"/>
              <w:rPr>
                <w:color w:val="000000"/>
                <w:sz w:val="22"/>
                <w:szCs w:val="22"/>
              </w:rPr>
            </w:pPr>
            <w:r w:rsidRPr="00D51778">
              <w:rPr>
                <w:color w:val="000000"/>
                <w:sz w:val="22"/>
                <w:szCs w:val="22"/>
                <w:lang w:val="ga"/>
              </w:rPr>
              <w:t>28 (2.4%)</w:t>
            </w:r>
          </w:p>
          <w:p w14:paraId="74F8B1AD" w14:textId="77777777" w:rsidR="00C47132" w:rsidRPr="00D51778" w:rsidRDefault="00C47132" w:rsidP="007D0A7B">
            <w:pPr>
              <w:spacing w:after="0"/>
              <w:jc w:val="right"/>
              <w:rPr>
                <w:color w:val="000000"/>
                <w:sz w:val="22"/>
                <w:szCs w:val="22"/>
              </w:rPr>
            </w:pPr>
          </w:p>
        </w:tc>
        <w:tc>
          <w:tcPr>
            <w:tcW w:w="2439" w:type="dxa"/>
          </w:tcPr>
          <w:p w14:paraId="03C53A0E" w14:textId="1B801E2F" w:rsidR="00C47132" w:rsidRPr="00D51778" w:rsidRDefault="00C47132" w:rsidP="007D0A7B">
            <w:pPr>
              <w:spacing w:after="0"/>
              <w:rPr>
                <w:sz w:val="22"/>
                <w:szCs w:val="22"/>
              </w:rPr>
            </w:pPr>
            <w:r w:rsidRPr="00D51778">
              <w:rPr>
                <w:sz w:val="22"/>
                <w:szCs w:val="22"/>
                <w:lang w:val="ga"/>
              </w:rPr>
              <w:t>D’iarr ÚNM soiléiriú go ngairtear Seirbhís Chúirteanna na hÉireann den tSeirbhís Chúirteanna agus fuair sé an soiléiriú sin.</w:t>
            </w:r>
          </w:p>
        </w:tc>
      </w:tr>
      <w:tr w:rsidR="00C47132" w:rsidRPr="00D51778" w14:paraId="1130889B" w14:textId="77777777" w:rsidTr="007D0A7B">
        <w:trPr>
          <w:trHeight w:val="140"/>
        </w:trPr>
        <w:tc>
          <w:tcPr>
            <w:tcW w:w="1985" w:type="dxa"/>
          </w:tcPr>
          <w:p w14:paraId="784099F3" w14:textId="77777777" w:rsidR="00C47132" w:rsidRPr="00D51778" w:rsidRDefault="00C47132" w:rsidP="007D0A7B">
            <w:pPr>
              <w:spacing w:after="0"/>
              <w:rPr>
                <w:sz w:val="22"/>
                <w:szCs w:val="22"/>
              </w:rPr>
            </w:pPr>
            <w:r w:rsidRPr="00D51778">
              <w:rPr>
                <w:sz w:val="22"/>
                <w:szCs w:val="22"/>
                <w:lang w:val="ga"/>
              </w:rPr>
              <w:t xml:space="preserve">Ospidéal Ollscoile Déidliachta Bhaile Átha Cliath </w:t>
            </w:r>
          </w:p>
        </w:tc>
        <w:tc>
          <w:tcPr>
            <w:tcW w:w="1559" w:type="dxa"/>
          </w:tcPr>
          <w:p w14:paraId="615EEFBE" w14:textId="77777777" w:rsidR="00C47132" w:rsidRPr="00D51778" w:rsidRDefault="00C47132" w:rsidP="007D0A7B">
            <w:pPr>
              <w:spacing w:after="0"/>
              <w:jc w:val="right"/>
              <w:rPr>
                <w:color w:val="000000"/>
                <w:sz w:val="22"/>
                <w:szCs w:val="22"/>
              </w:rPr>
            </w:pPr>
            <w:r w:rsidRPr="00D51778">
              <w:rPr>
                <w:color w:val="000000"/>
                <w:sz w:val="22"/>
                <w:szCs w:val="22"/>
                <w:lang w:val="ga"/>
              </w:rPr>
              <w:t>209</w:t>
            </w:r>
          </w:p>
          <w:p w14:paraId="12203E98" w14:textId="77777777" w:rsidR="00C47132" w:rsidRPr="00D51778" w:rsidRDefault="00C47132" w:rsidP="007D0A7B">
            <w:pPr>
              <w:spacing w:after="0"/>
              <w:jc w:val="right"/>
              <w:rPr>
                <w:sz w:val="22"/>
                <w:szCs w:val="22"/>
              </w:rPr>
            </w:pPr>
          </w:p>
        </w:tc>
        <w:tc>
          <w:tcPr>
            <w:tcW w:w="1701" w:type="dxa"/>
          </w:tcPr>
          <w:p w14:paraId="7A0DF647" w14:textId="77777777" w:rsidR="00C47132" w:rsidRPr="00D51778" w:rsidRDefault="00C47132" w:rsidP="007D0A7B">
            <w:pPr>
              <w:spacing w:after="0"/>
              <w:jc w:val="right"/>
              <w:rPr>
                <w:color w:val="000000"/>
                <w:sz w:val="22"/>
                <w:szCs w:val="22"/>
              </w:rPr>
            </w:pPr>
            <w:r w:rsidRPr="00D51778">
              <w:rPr>
                <w:color w:val="000000"/>
                <w:sz w:val="22"/>
                <w:szCs w:val="22"/>
                <w:lang w:val="ga"/>
              </w:rPr>
              <w:t>6 (2.9%)</w:t>
            </w:r>
          </w:p>
          <w:p w14:paraId="04ADF051" w14:textId="77777777" w:rsidR="00C47132" w:rsidRPr="00D51778" w:rsidRDefault="00C47132" w:rsidP="007D0A7B">
            <w:pPr>
              <w:spacing w:after="0"/>
              <w:jc w:val="right"/>
              <w:rPr>
                <w:sz w:val="22"/>
                <w:szCs w:val="22"/>
              </w:rPr>
            </w:pPr>
          </w:p>
        </w:tc>
        <w:tc>
          <w:tcPr>
            <w:tcW w:w="1560" w:type="dxa"/>
          </w:tcPr>
          <w:p w14:paraId="1FE903E8" w14:textId="77777777" w:rsidR="00C47132" w:rsidRPr="00D51778" w:rsidRDefault="00C47132" w:rsidP="007D0A7B">
            <w:pPr>
              <w:spacing w:after="0"/>
              <w:jc w:val="right"/>
              <w:rPr>
                <w:color w:val="000000"/>
                <w:sz w:val="22"/>
                <w:szCs w:val="22"/>
              </w:rPr>
            </w:pPr>
            <w:r w:rsidRPr="00D51778">
              <w:rPr>
                <w:color w:val="000000"/>
                <w:sz w:val="22"/>
                <w:szCs w:val="22"/>
                <w:lang w:val="ga"/>
              </w:rPr>
              <w:t>212</w:t>
            </w:r>
          </w:p>
          <w:p w14:paraId="4947A2C3" w14:textId="77777777" w:rsidR="00C47132" w:rsidRPr="00D51778" w:rsidRDefault="00C47132" w:rsidP="007D0A7B">
            <w:pPr>
              <w:spacing w:after="0"/>
              <w:jc w:val="right"/>
              <w:rPr>
                <w:sz w:val="22"/>
                <w:szCs w:val="22"/>
              </w:rPr>
            </w:pPr>
          </w:p>
        </w:tc>
        <w:tc>
          <w:tcPr>
            <w:tcW w:w="1671" w:type="dxa"/>
          </w:tcPr>
          <w:p w14:paraId="5C3BF79E" w14:textId="77777777" w:rsidR="00C47132" w:rsidRPr="00D51778" w:rsidRDefault="00C47132" w:rsidP="007D0A7B">
            <w:pPr>
              <w:spacing w:after="0"/>
              <w:jc w:val="right"/>
              <w:rPr>
                <w:color w:val="000000"/>
                <w:sz w:val="22"/>
                <w:szCs w:val="22"/>
              </w:rPr>
            </w:pPr>
            <w:r w:rsidRPr="00D51778">
              <w:rPr>
                <w:color w:val="000000"/>
                <w:sz w:val="22"/>
                <w:szCs w:val="22"/>
                <w:lang w:val="ga"/>
              </w:rPr>
              <w:t>10 (4.7%)</w:t>
            </w:r>
          </w:p>
          <w:p w14:paraId="03974E01" w14:textId="77777777" w:rsidR="00C47132" w:rsidRPr="00D51778" w:rsidRDefault="00C47132" w:rsidP="007D0A7B">
            <w:pPr>
              <w:spacing w:after="0"/>
              <w:jc w:val="right"/>
              <w:rPr>
                <w:sz w:val="22"/>
                <w:szCs w:val="22"/>
              </w:rPr>
            </w:pPr>
          </w:p>
        </w:tc>
        <w:tc>
          <w:tcPr>
            <w:tcW w:w="2439" w:type="dxa"/>
          </w:tcPr>
          <w:p w14:paraId="5E983B87" w14:textId="0D7AF0AD" w:rsidR="00C47132" w:rsidRPr="00D51778" w:rsidRDefault="00C47132" w:rsidP="007D0A7B">
            <w:pPr>
              <w:spacing w:after="0"/>
              <w:rPr>
                <w:b/>
                <w:sz w:val="22"/>
                <w:szCs w:val="22"/>
              </w:rPr>
            </w:pPr>
            <w:r w:rsidRPr="00D51778">
              <w:rPr>
                <w:sz w:val="22"/>
                <w:szCs w:val="22"/>
                <w:lang w:val="ga"/>
              </w:rPr>
              <w:t>Sa bhliain 2021, d’athraigh an comhlacht poiblí seo a ainm ó ‘Ospidéal Déidliachta Bhaile Átha Cliath’ go ‘Ospidéal Ollscoile Déidliachta Bhaile Átha Cliath’.</w:t>
            </w:r>
          </w:p>
        </w:tc>
      </w:tr>
      <w:tr w:rsidR="00C47132" w:rsidRPr="00D51778" w14:paraId="51895CB6" w14:textId="77777777" w:rsidTr="007D0A7B">
        <w:trPr>
          <w:trHeight w:val="140"/>
        </w:trPr>
        <w:tc>
          <w:tcPr>
            <w:tcW w:w="1985" w:type="dxa"/>
          </w:tcPr>
          <w:p w14:paraId="0DF55EA1" w14:textId="77777777" w:rsidR="00C47132" w:rsidRPr="00D51778" w:rsidRDefault="00C47132" w:rsidP="007D0A7B">
            <w:pPr>
              <w:spacing w:after="0"/>
              <w:rPr>
                <w:color w:val="000000"/>
                <w:sz w:val="22"/>
                <w:szCs w:val="22"/>
              </w:rPr>
            </w:pPr>
            <w:r w:rsidRPr="00D51778">
              <w:rPr>
                <w:color w:val="000000"/>
                <w:sz w:val="22"/>
                <w:szCs w:val="22"/>
                <w:lang w:val="ga"/>
              </w:rPr>
              <w:t>Cigireacht an Gharda Síochána</w:t>
            </w:r>
          </w:p>
          <w:p w14:paraId="193C026F" w14:textId="77777777" w:rsidR="00C47132" w:rsidRPr="00D51778" w:rsidRDefault="00C47132" w:rsidP="007D0A7B">
            <w:pPr>
              <w:spacing w:after="0"/>
              <w:rPr>
                <w:sz w:val="22"/>
                <w:szCs w:val="22"/>
              </w:rPr>
            </w:pPr>
          </w:p>
        </w:tc>
        <w:tc>
          <w:tcPr>
            <w:tcW w:w="1559" w:type="dxa"/>
          </w:tcPr>
          <w:p w14:paraId="2E361BCA" w14:textId="77777777" w:rsidR="00C47132" w:rsidRPr="00D51778" w:rsidRDefault="00C47132" w:rsidP="007D0A7B">
            <w:pPr>
              <w:spacing w:after="0"/>
              <w:jc w:val="right"/>
              <w:rPr>
                <w:color w:val="000000"/>
                <w:sz w:val="22"/>
                <w:szCs w:val="22"/>
              </w:rPr>
            </w:pPr>
            <w:r w:rsidRPr="00D51778">
              <w:rPr>
                <w:color w:val="000000"/>
                <w:sz w:val="22"/>
                <w:szCs w:val="22"/>
                <w:lang w:val="ga"/>
              </w:rPr>
              <w:t>12</w:t>
            </w:r>
          </w:p>
        </w:tc>
        <w:tc>
          <w:tcPr>
            <w:tcW w:w="1701" w:type="dxa"/>
          </w:tcPr>
          <w:p w14:paraId="6CD4E873" w14:textId="77777777" w:rsidR="00C47132" w:rsidRPr="00D51778" w:rsidRDefault="00C47132" w:rsidP="007D0A7B">
            <w:pPr>
              <w:spacing w:after="0"/>
              <w:jc w:val="right"/>
              <w:rPr>
                <w:color w:val="000000"/>
                <w:sz w:val="22"/>
                <w:szCs w:val="22"/>
              </w:rPr>
            </w:pPr>
            <w:r w:rsidRPr="00D51778">
              <w:rPr>
                <w:color w:val="000000"/>
                <w:sz w:val="22"/>
                <w:szCs w:val="22"/>
                <w:lang w:val="ga"/>
              </w:rPr>
              <w:t>0%</w:t>
            </w:r>
          </w:p>
        </w:tc>
        <w:tc>
          <w:tcPr>
            <w:tcW w:w="1560" w:type="dxa"/>
          </w:tcPr>
          <w:p w14:paraId="3EE67C56" w14:textId="77777777" w:rsidR="00C47132" w:rsidRPr="00D51778" w:rsidRDefault="00C47132" w:rsidP="007D0A7B">
            <w:pPr>
              <w:spacing w:after="0"/>
              <w:jc w:val="right"/>
              <w:rPr>
                <w:color w:val="000000"/>
                <w:sz w:val="22"/>
                <w:szCs w:val="22"/>
              </w:rPr>
            </w:pPr>
            <w:r w:rsidRPr="00D51778">
              <w:rPr>
                <w:color w:val="000000"/>
                <w:sz w:val="22"/>
                <w:szCs w:val="22"/>
                <w:lang w:val="ga"/>
              </w:rPr>
              <w:t>12</w:t>
            </w:r>
          </w:p>
        </w:tc>
        <w:tc>
          <w:tcPr>
            <w:tcW w:w="1671" w:type="dxa"/>
          </w:tcPr>
          <w:p w14:paraId="2B3CD320" w14:textId="77777777" w:rsidR="00C47132" w:rsidRPr="00D51778" w:rsidRDefault="00C47132" w:rsidP="007D0A7B">
            <w:pPr>
              <w:spacing w:after="0"/>
              <w:jc w:val="right"/>
              <w:rPr>
                <w:color w:val="000000"/>
                <w:sz w:val="22"/>
                <w:szCs w:val="22"/>
              </w:rPr>
            </w:pPr>
            <w:r w:rsidRPr="00D51778">
              <w:rPr>
                <w:color w:val="000000"/>
                <w:sz w:val="22"/>
                <w:szCs w:val="22"/>
                <w:lang w:val="ga"/>
              </w:rPr>
              <w:t>0%</w:t>
            </w:r>
          </w:p>
        </w:tc>
        <w:tc>
          <w:tcPr>
            <w:tcW w:w="2439" w:type="dxa"/>
          </w:tcPr>
          <w:p w14:paraId="577C2AF8" w14:textId="33DC6227" w:rsidR="00C47132" w:rsidRPr="00D51778" w:rsidRDefault="00C47132" w:rsidP="007D0A7B">
            <w:pPr>
              <w:spacing w:after="0"/>
              <w:rPr>
                <w:sz w:val="22"/>
                <w:szCs w:val="22"/>
              </w:rPr>
            </w:pPr>
            <w:r w:rsidRPr="00D51778">
              <w:rPr>
                <w:color w:val="000000"/>
                <w:sz w:val="22"/>
                <w:szCs w:val="22"/>
                <w:lang w:val="ga"/>
              </w:rPr>
              <w:t>Sa bhliain 2021, d’athraigh Cigireacht na nGardaí a hainm go Cigireacht an Gharda Síochána.</w:t>
            </w:r>
          </w:p>
        </w:tc>
      </w:tr>
      <w:tr w:rsidR="00C47132" w:rsidRPr="00D51778" w14:paraId="362B6D87" w14:textId="77777777" w:rsidTr="007D0A7B">
        <w:trPr>
          <w:trHeight w:val="140"/>
        </w:trPr>
        <w:tc>
          <w:tcPr>
            <w:tcW w:w="1985" w:type="dxa"/>
          </w:tcPr>
          <w:p w14:paraId="1DB68C2F" w14:textId="77777777" w:rsidR="00C47132" w:rsidRPr="00D51778" w:rsidRDefault="00C47132" w:rsidP="007D0A7B">
            <w:pPr>
              <w:spacing w:after="0"/>
              <w:rPr>
                <w:color w:val="000000"/>
                <w:sz w:val="22"/>
                <w:szCs w:val="22"/>
              </w:rPr>
            </w:pPr>
            <w:r w:rsidRPr="00D51778">
              <w:rPr>
                <w:color w:val="000000"/>
                <w:sz w:val="22"/>
                <w:szCs w:val="22"/>
                <w:lang w:val="ga"/>
              </w:rPr>
              <w:t xml:space="preserve">Institiúid Teicneolaíochta Bhaile Átha Luain </w:t>
            </w:r>
          </w:p>
        </w:tc>
        <w:tc>
          <w:tcPr>
            <w:tcW w:w="1559" w:type="dxa"/>
          </w:tcPr>
          <w:p w14:paraId="7F2CA749" w14:textId="77777777" w:rsidR="00C47132" w:rsidRPr="00D51778" w:rsidRDefault="00C47132" w:rsidP="007D0A7B">
            <w:pPr>
              <w:spacing w:after="0"/>
              <w:jc w:val="right"/>
              <w:rPr>
                <w:color w:val="000000"/>
                <w:sz w:val="22"/>
                <w:szCs w:val="22"/>
              </w:rPr>
            </w:pPr>
            <w:r w:rsidRPr="00D51778">
              <w:rPr>
                <w:color w:val="000000"/>
                <w:sz w:val="22"/>
                <w:szCs w:val="22"/>
                <w:lang w:val="ga"/>
              </w:rPr>
              <w:t>631</w:t>
            </w:r>
          </w:p>
        </w:tc>
        <w:tc>
          <w:tcPr>
            <w:tcW w:w="1701" w:type="dxa"/>
          </w:tcPr>
          <w:p w14:paraId="6F1A8EE8" w14:textId="77777777" w:rsidR="00C47132" w:rsidRPr="00D51778" w:rsidRDefault="00C47132" w:rsidP="007D0A7B">
            <w:pPr>
              <w:spacing w:after="0"/>
              <w:jc w:val="right"/>
              <w:rPr>
                <w:color w:val="000000"/>
                <w:sz w:val="22"/>
                <w:szCs w:val="22"/>
              </w:rPr>
            </w:pPr>
            <w:r w:rsidRPr="00D51778">
              <w:rPr>
                <w:color w:val="000000"/>
                <w:sz w:val="22"/>
                <w:szCs w:val="22"/>
                <w:lang w:val="ga"/>
              </w:rPr>
              <w:t>29 (4.6%)</w:t>
            </w:r>
          </w:p>
        </w:tc>
        <w:tc>
          <w:tcPr>
            <w:tcW w:w="1560" w:type="dxa"/>
          </w:tcPr>
          <w:p w14:paraId="68E94FFE"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671" w:type="dxa"/>
          </w:tcPr>
          <w:p w14:paraId="59AEAAE6"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2439" w:type="dxa"/>
          </w:tcPr>
          <w:p w14:paraId="1CDF1B6A" w14:textId="49C81409" w:rsidR="00C47132" w:rsidRPr="00964CEE" w:rsidRDefault="00C47132" w:rsidP="00964CEE">
            <w:pPr>
              <w:rPr>
                <w:sz w:val="22"/>
                <w:szCs w:val="22"/>
                <w:lang w:eastAsia="en-IE"/>
              </w:rPr>
            </w:pPr>
            <w:r w:rsidRPr="00D51778">
              <w:rPr>
                <w:rFonts w:cs="Calibri"/>
                <w:color w:val="000000"/>
                <w:sz w:val="22"/>
                <w:szCs w:val="22"/>
                <w:lang w:val="ga"/>
              </w:rPr>
              <w:t xml:space="preserve">Sa bhliain 2021, chumaisc Institiúid Teicneolaíochta Bhaile Átha Luain agus Institiúid Teicneolaíochta Luimnigh chun </w:t>
            </w:r>
            <w:r w:rsidR="00964CEE" w:rsidRPr="001B12F1">
              <w:rPr>
                <w:sz w:val="22"/>
                <w:szCs w:val="22"/>
                <w:lang w:val="ga-IE" w:eastAsia="en-IE"/>
              </w:rPr>
              <w:t>Ollscoil Teicneolaíochta na Sionainne (TUS): Lár-Iarthar Láir (Campas Bhaile Átha Luain)</w:t>
            </w:r>
            <w:r w:rsidR="00964CEE">
              <w:rPr>
                <w:sz w:val="22"/>
                <w:szCs w:val="22"/>
                <w:lang w:eastAsia="en-IE"/>
              </w:rPr>
              <w:t xml:space="preserve">. </w:t>
            </w:r>
            <w:r w:rsidRPr="00D51778">
              <w:rPr>
                <w:rFonts w:cs="Calibri"/>
                <w:color w:val="000000"/>
                <w:sz w:val="22"/>
                <w:szCs w:val="22"/>
                <w:lang w:val="ga"/>
              </w:rPr>
              <w:t>Ní dhearna Institiúid Teicneolaíochta Bhaile Átha Luain tuairisceán leithleach Chuid 5 sa bhliain 2021.</w:t>
            </w:r>
          </w:p>
        </w:tc>
      </w:tr>
      <w:tr w:rsidR="00C47132" w:rsidRPr="00D51778" w14:paraId="76A446C6" w14:textId="77777777" w:rsidTr="007D0A7B">
        <w:trPr>
          <w:trHeight w:val="140"/>
        </w:trPr>
        <w:tc>
          <w:tcPr>
            <w:tcW w:w="1985" w:type="dxa"/>
          </w:tcPr>
          <w:p w14:paraId="3B159A7A" w14:textId="0BBED4BB" w:rsidR="00C47132" w:rsidRPr="00D51778" w:rsidRDefault="00C47132" w:rsidP="007D0A7B">
            <w:pPr>
              <w:spacing w:after="0"/>
              <w:rPr>
                <w:color w:val="000000"/>
                <w:sz w:val="22"/>
                <w:szCs w:val="22"/>
              </w:rPr>
            </w:pPr>
            <w:r w:rsidRPr="00D51778">
              <w:rPr>
                <w:color w:val="000000"/>
                <w:sz w:val="22"/>
                <w:szCs w:val="22"/>
                <w:lang w:val="ga"/>
              </w:rPr>
              <w:t xml:space="preserve">Institiúid Teicneolaíochta Luimnigh </w:t>
            </w:r>
          </w:p>
        </w:tc>
        <w:tc>
          <w:tcPr>
            <w:tcW w:w="1559" w:type="dxa"/>
          </w:tcPr>
          <w:p w14:paraId="46D40A45" w14:textId="77777777" w:rsidR="00C47132" w:rsidRPr="00D51778" w:rsidRDefault="00C47132" w:rsidP="007D0A7B">
            <w:pPr>
              <w:spacing w:after="0"/>
              <w:jc w:val="right"/>
              <w:rPr>
                <w:color w:val="000000"/>
                <w:sz w:val="22"/>
                <w:szCs w:val="22"/>
              </w:rPr>
            </w:pPr>
            <w:r w:rsidRPr="00D51778">
              <w:rPr>
                <w:color w:val="000000"/>
                <w:sz w:val="22"/>
                <w:szCs w:val="22"/>
                <w:lang w:val="ga"/>
              </w:rPr>
              <w:t>699</w:t>
            </w:r>
          </w:p>
        </w:tc>
        <w:tc>
          <w:tcPr>
            <w:tcW w:w="1701" w:type="dxa"/>
          </w:tcPr>
          <w:p w14:paraId="4F9ACBA3" w14:textId="77777777" w:rsidR="00C47132" w:rsidRPr="00D51778" w:rsidRDefault="00C47132" w:rsidP="007D0A7B">
            <w:pPr>
              <w:spacing w:after="0"/>
              <w:jc w:val="right"/>
              <w:rPr>
                <w:color w:val="000000"/>
                <w:sz w:val="22"/>
                <w:szCs w:val="22"/>
              </w:rPr>
            </w:pPr>
            <w:r w:rsidRPr="00D51778">
              <w:rPr>
                <w:color w:val="000000"/>
                <w:sz w:val="22"/>
                <w:szCs w:val="22"/>
                <w:lang w:val="ga"/>
              </w:rPr>
              <w:t>30 (4.3%)</w:t>
            </w:r>
          </w:p>
        </w:tc>
        <w:tc>
          <w:tcPr>
            <w:tcW w:w="1560" w:type="dxa"/>
          </w:tcPr>
          <w:p w14:paraId="00830C80"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671" w:type="dxa"/>
          </w:tcPr>
          <w:p w14:paraId="3E834DA3"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2439" w:type="dxa"/>
          </w:tcPr>
          <w:p w14:paraId="4E463677" w14:textId="1062672D" w:rsidR="00C47132" w:rsidRPr="00964CEE" w:rsidRDefault="00C47132" w:rsidP="00964CEE">
            <w:pPr>
              <w:rPr>
                <w:sz w:val="22"/>
                <w:szCs w:val="22"/>
                <w:lang w:eastAsia="en-IE"/>
              </w:rPr>
            </w:pPr>
            <w:r w:rsidRPr="00D51778">
              <w:rPr>
                <w:rFonts w:cs="Calibri"/>
                <w:color w:val="000000"/>
                <w:sz w:val="22"/>
                <w:szCs w:val="22"/>
                <w:lang w:val="ga"/>
              </w:rPr>
              <w:t xml:space="preserve">Sa bhliain 2021, chumaisc Institiúid Teicneolaíochta Bhaile Átha Luain agus Institiúid Teicneolaíochta Luimnigh chun </w:t>
            </w:r>
            <w:r w:rsidR="00964CEE" w:rsidRPr="001B12F1">
              <w:rPr>
                <w:sz w:val="22"/>
                <w:szCs w:val="22"/>
                <w:lang w:val="ga-IE" w:eastAsia="en-IE"/>
              </w:rPr>
              <w:t>Ollscoil Teicneolaíochta na Sionainne (TUS): Lár-</w:t>
            </w:r>
            <w:r w:rsidR="00964CEE" w:rsidRPr="001B12F1">
              <w:rPr>
                <w:sz w:val="22"/>
                <w:szCs w:val="22"/>
                <w:lang w:val="ga-IE" w:eastAsia="en-IE"/>
              </w:rPr>
              <w:lastRenderedPageBreak/>
              <w:t>Iarthar Láir (Campas Bhaile Átha Luain)</w:t>
            </w:r>
            <w:r w:rsidR="00964CEE">
              <w:rPr>
                <w:sz w:val="22"/>
                <w:szCs w:val="22"/>
                <w:lang w:eastAsia="en-IE"/>
              </w:rPr>
              <w:t xml:space="preserve">. </w:t>
            </w:r>
            <w:r w:rsidRPr="00D51778">
              <w:rPr>
                <w:rFonts w:cs="Calibri"/>
                <w:color w:val="000000"/>
                <w:sz w:val="22"/>
                <w:szCs w:val="22"/>
                <w:lang w:val="ga"/>
              </w:rPr>
              <w:t>Ní dhearna Institiúid Teicneolaíochta Luimnigh tuairisceán leithleach Chuid 5 sa bhliain 2021.</w:t>
            </w:r>
          </w:p>
        </w:tc>
      </w:tr>
      <w:tr w:rsidR="00C47132" w:rsidRPr="00D51778" w14:paraId="2A737690" w14:textId="77777777" w:rsidTr="007D0A7B">
        <w:trPr>
          <w:trHeight w:val="140"/>
        </w:trPr>
        <w:tc>
          <w:tcPr>
            <w:tcW w:w="1985" w:type="dxa"/>
          </w:tcPr>
          <w:p w14:paraId="173C0814" w14:textId="7F121D75" w:rsidR="00C47132" w:rsidRPr="00D51778" w:rsidRDefault="00C47132" w:rsidP="007D0A7B">
            <w:pPr>
              <w:spacing w:after="0"/>
              <w:rPr>
                <w:color w:val="000000"/>
                <w:sz w:val="22"/>
                <w:szCs w:val="22"/>
              </w:rPr>
            </w:pPr>
            <w:r w:rsidRPr="00D51778">
              <w:rPr>
                <w:color w:val="000000"/>
                <w:sz w:val="22"/>
                <w:szCs w:val="22"/>
                <w:lang w:val="ga"/>
              </w:rPr>
              <w:lastRenderedPageBreak/>
              <w:t xml:space="preserve">Institiúid Teicneolaíochta Chorcaí </w:t>
            </w:r>
          </w:p>
        </w:tc>
        <w:tc>
          <w:tcPr>
            <w:tcW w:w="1559" w:type="dxa"/>
          </w:tcPr>
          <w:p w14:paraId="750E9B56" w14:textId="77777777" w:rsidR="00C47132" w:rsidRPr="00D51778" w:rsidRDefault="00C47132" w:rsidP="007D0A7B">
            <w:pPr>
              <w:spacing w:after="0"/>
              <w:jc w:val="right"/>
              <w:rPr>
                <w:color w:val="000000"/>
                <w:sz w:val="22"/>
                <w:szCs w:val="22"/>
              </w:rPr>
            </w:pPr>
            <w:r w:rsidRPr="00D51778">
              <w:rPr>
                <w:color w:val="000000"/>
                <w:sz w:val="22"/>
                <w:szCs w:val="22"/>
                <w:lang w:val="ga"/>
              </w:rPr>
              <w:t>1,596</w:t>
            </w:r>
          </w:p>
        </w:tc>
        <w:tc>
          <w:tcPr>
            <w:tcW w:w="1701" w:type="dxa"/>
          </w:tcPr>
          <w:p w14:paraId="4C6A3BA9" w14:textId="77777777" w:rsidR="00C47132" w:rsidRPr="00D51778" w:rsidRDefault="00C47132" w:rsidP="007D0A7B">
            <w:pPr>
              <w:spacing w:after="0"/>
              <w:jc w:val="right"/>
              <w:rPr>
                <w:color w:val="000000"/>
                <w:sz w:val="22"/>
                <w:szCs w:val="22"/>
              </w:rPr>
            </w:pPr>
            <w:r w:rsidRPr="00D51778">
              <w:rPr>
                <w:color w:val="000000"/>
                <w:sz w:val="22"/>
                <w:szCs w:val="22"/>
                <w:lang w:val="ga"/>
              </w:rPr>
              <w:t>49 (3.1%)</w:t>
            </w:r>
          </w:p>
        </w:tc>
        <w:tc>
          <w:tcPr>
            <w:tcW w:w="1560" w:type="dxa"/>
          </w:tcPr>
          <w:p w14:paraId="227FA155"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671" w:type="dxa"/>
          </w:tcPr>
          <w:p w14:paraId="155CF2AD"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2439" w:type="dxa"/>
          </w:tcPr>
          <w:p w14:paraId="29D6A48D" w14:textId="76ACF425" w:rsidR="00C47132" w:rsidRPr="00D51778" w:rsidRDefault="00C47132" w:rsidP="007D0A7B">
            <w:pPr>
              <w:spacing w:after="0"/>
              <w:rPr>
                <w:color w:val="000000"/>
                <w:sz w:val="22"/>
                <w:szCs w:val="22"/>
              </w:rPr>
            </w:pPr>
            <w:r w:rsidRPr="00D51778">
              <w:rPr>
                <w:rFonts w:cs="Calibri"/>
                <w:color w:val="000000"/>
                <w:sz w:val="22"/>
                <w:szCs w:val="22"/>
                <w:lang w:val="ga"/>
              </w:rPr>
              <w:t>Sa bhliain 2021, chumaisc Institiúid Teicneolaíochta Chorcaí agus Institiúid Teicneolaíochta, Trá Lí, chun Ollscoil Teicneolaíochta na Mumhan (MTU) a chruthú. Ní dhearna Institiúid Teicneolaíochta Chorcaí tuairisceán leithleach Chuid 5 sa bhliain 2021.</w:t>
            </w:r>
          </w:p>
        </w:tc>
      </w:tr>
      <w:tr w:rsidR="00C47132" w:rsidRPr="00D51778" w14:paraId="358AF7DD" w14:textId="77777777" w:rsidTr="007D0A7B">
        <w:trPr>
          <w:trHeight w:val="140"/>
        </w:trPr>
        <w:tc>
          <w:tcPr>
            <w:tcW w:w="1985" w:type="dxa"/>
          </w:tcPr>
          <w:p w14:paraId="2A9834C7" w14:textId="77777777" w:rsidR="00C47132" w:rsidRPr="00D51778" w:rsidRDefault="00C47132" w:rsidP="007D0A7B">
            <w:pPr>
              <w:spacing w:after="0"/>
              <w:rPr>
                <w:color w:val="000000"/>
                <w:sz w:val="22"/>
                <w:szCs w:val="22"/>
              </w:rPr>
            </w:pPr>
            <w:r w:rsidRPr="00D51778">
              <w:rPr>
                <w:color w:val="000000"/>
                <w:sz w:val="22"/>
                <w:szCs w:val="22"/>
                <w:lang w:val="ga"/>
              </w:rPr>
              <w:t>Institiúid Teicneolaíochta, Trá Lí</w:t>
            </w:r>
          </w:p>
        </w:tc>
        <w:tc>
          <w:tcPr>
            <w:tcW w:w="1559" w:type="dxa"/>
          </w:tcPr>
          <w:p w14:paraId="2C2D6E31" w14:textId="77777777" w:rsidR="00C47132" w:rsidRPr="00D51778" w:rsidRDefault="00C47132" w:rsidP="007D0A7B">
            <w:pPr>
              <w:spacing w:after="0"/>
              <w:jc w:val="right"/>
              <w:rPr>
                <w:color w:val="000000"/>
                <w:sz w:val="22"/>
                <w:szCs w:val="22"/>
              </w:rPr>
            </w:pPr>
            <w:r w:rsidRPr="00D51778">
              <w:rPr>
                <w:color w:val="000000"/>
                <w:sz w:val="22"/>
                <w:szCs w:val="22"/>
                <w:lang w:val="ga"/>
              </w:rPr>
              <w:t>430</w:t>
            </w:r>
          </w:p>
        </w:tc>
        <w:tc>
          <w:tcPr>
            <w:tcW w:w="1701" w:type="dxa"/>
          </w:tcPr>
          <w:p w14:paraId="65E9149B" w14:textId="77777777" w:rsidR="00C47132" w:rsidRPr="00D51778" w:rsidRDefault="00C47132" w:rsidP="007D0A7B">
            <w:pPr>
              <w:spacing w:after="0"/>
              <w:jc w:val="right"/>
              <w:rPr>
                <w:color w:val="000000"/>
                <w:sz w:val="22"/>
                <w:szCs w:val="22"/>
              </w:rPr>
            </w:pPr>
            <w:r w:rsidRPr="00D51778">
              <w:rPr>
                <w:color w:val="000000"/>
                <w:sz w:val="22"/>
                <w:szCs w:val="22"/>
                <w:lang w:val="ga"/>
              </w:rPr>
              <w:t>15 (3.5%)</w:t>
            </w:r>
          </w:p>
        </w:tc>
        <w:tc>
          <w:tcPr>
            <w:tcW w:w="1560" w:type="dxa"/>
          </w:tcPr>
          <w:p w14:paraId="39C87119"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671" w:type="dxa"/>
          </w:tcPr>
          <w:p w14:paraId="59A7B069"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2439" w:type="dxa"/>
          </w:tcPr>
          <w:p w14:paraId="11278E4E" w14:textId="468CAB41" w:rsidR="00C47132" w:rsidRPr="00D51778" w:rsidRDefault="00C47132" w:rsidP="007D0A7B">
            <w:pPr>
              <w:spacing w:after="0"/>
              <w:rPr>
                <w:color w:val="000000"/>
                <w:sz w:val="22"/>
                <w:szCs w:val="22"/>
              </w:rPr>
            </w:pPr>
            <w:r w:rsidRPr="00D51778">
              <w:rPr>
                <w:rFonts w:cs="Calibri"/>
                <w:color w:val="000000"/>
                <w:sz w:val="22"/>
                <w:szCs w:val="22"/>
                <w:lang w:val="ga"/>
              </w:rPr>
              <w:t>Sa bhliain 2021, chumaisc Institiúid Teicneolaíochta Chorcaí agus Institiúid Teicneolaíochta, Trá Lí, chun Ollscoil Teicneolaíochta na Mumhan (MTU) a chruthú. Ní dhearna Institiúid Teicneolaíochta Thrá Lí tuairisceán leithleach Chuid 5 sa bhliain 2021.</w:t>
            </w:r>
          </w:p>
        </w:tc>
      </w:tr>
      <w:tr w:rsidR="00C47132" w:rsidRPr="00D51778" w14:paraId="6D1A097E" w14:textId="77777777" w:rsidTr="007D0A7B">
        <w:trPr>
          <w:trHeight w:val="140"/>
        </w:trPr>
        <w:tc>
          <w:tcPr>
            <w:tcW w:w="1985" w:type="dxa"/>
          </w:tcPr>
          <w:p w14:paraId="2F53B599" w14:textId="77777777" w:rsidR="00C47132" w:rsidRPr="00D51778" w:rsidRDefault="00C47132" w:rsidP="007D0A7B">
            <w:pPr>
              <w:spacing w:after="0"/>
              <w:rPr>
                <w:sz w:val="22"/>
                <w:szCs w:val="22"/>
              </w:rPr>
            </w:pPr>
            <w:r w:rsidRPr="00D51778">
              <w:rPr>
                <w:sz w:val="22"/>
                <w:szCs w:val="22"/>
                <w:lang w:val="ga"/>
              </w:rPr>
              <w:t>Ollscoil Teicneolaíochta na Mumhan (MTU)</w:t>
            </w:r>
          </w:p>
          <w:p w14:paraId="396A8008" w14:textId="77777777" w:rsidR="00C47132" w:rsidRPr="00D51778" w:rsidRDefault="00C47132" w:rsidP="007D0A7B">
            <w:pPr>
              <w:spacing w:after="0"/>
              <w:rPr>
                <w:sz w:val="22"/>
                <w:szCs w:val="22"/>
              </w:rPr>
            </w:pPr>
            <w:r w:rsidRPr="00D51778">
              <w:rPr>
                <w:sz w:val="22"/>
                <w:szCs w:val="22"/>
                <w:lang w:val="ga"/>
              </w:rPr>
              <w:t xml:space="preserve"> </w:t>
            </w:r>
          </w:p>
        </w:tc>
        <w:tc>
          <w:tcPr>
            <w:tcW w:w="1559" w:type="dxa"/>
          </w:tcPr>
          <w:p w14:paraId="45BE7764"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701" w:type="dxa"/>
          </w:tcPr>
          <w:p w14:paraId="36F711EB"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560" w:type="dxa"/>
          </w:tcPr>
          <w:p w14:paraId="3F772F00" w14:textId="77777777" w:rsidR="00C47132" w:rsidRPr="00D51778" w:rsidRDefault="00C47132" w:rsidP="007D0A7B">
            <w:pPr>
              <w:spacing w:after="0"/>
              <w:jc w:val="right"/>
              <w:rPr>
                <w:color w:val="000000"/>
                <w:sz w:val="22"/>
                <w:szCs w:val="22"/>
              </w:rPr>
            </w:pPr>
            <w:r w:rsidRPr="00D51778">
              <w:rPr>
                <w:color w:val="000000"/>
                <w:sz w:val="22"/>
                <w:szCs w:val="22"/>
                <w:lang w:val="ga"/>
              </w:rPr>
              <w:t>1,867</w:t>
            </w:r>
          </w:p>
        </w:tc>
        <w:tc>
          <w:tcPr>
            <w:tcW w:w="1671" w:type="dxa"/>
          </w:tcPr>
          <w:p w14:paraId="5A52E98A" w14:textId="77777777" w:rsidR="00C47132" w:rsidRPr="00D51778" w:rsidRDefault="00C47132" w:rsidP="007D0A7B">
            <w:pPr>
              <w:spacing w:after="0"/>
              <w:jc w:val="right"/>
              <w:rPr>
                <w:color w:val="000000"/>
                <w:sz w:val="22"/>
                <w:szCs w:val="22"/>
              </w:rPr>
            </w:pPr>
            <w:r w:rsidRPr="00D51778">
              <w:rPr>
                <w:color w:val="000000"/>
                <w:sz w:val="22"/>
                <w:szCs w:val="22"/>
                <w:lang w:val="ga"/>
              </w:rPr>
              <w:t>59 (3.2%)</w:t>
            </w:r>
          </w:p>
        </w:tc>
        <w:tc>
          <w:tcPr>
            <w:tcW w:w="2439" w:type="dxa"/>
          </w:tcPr>
          <w:p w14:paraId="39D64B78" w14:textId="3F6162A9" w:rsidR="00C47132" w:rsidRPr="00D51778" w:rsidRDefault="00C47132" w:rsidP="007D0A7B">
            <w:pPr>
              <w:spacing w:after="0"/>
              <w:rPr>
                <w:sz w:val="22"/>
                <w:szCs w:val="22"/>
              </w:rPr>
            </w:pPr>
            <w:r w:rsidRPr="00D51778">
              <w:rPr>
                <w:rFonts w:cs="Calibri"/>
                <w:color w:val="000000"/>
                <w:sz w:val="22"/>
                <w:szCs w:val="22"/>
                <w:lang w:val="ga"/>
              </w:rPr>
              <w:t xml:space="preserve">Sa bhliain 2021, chumaisc Institiúid Teicneolaíochta Chorcaí agus Institiúid Teicneolaíochta, Trá Lí, chun Ollscoil Teicneolaíochta na Mumhan (MTU) a chruthú. Cruthaíodh an </w:t>
            </w:r>
            <w:r w:rsidRPr="00D51778">
              <w:rPr>
                <w:rFonts w:cs="Calibri"/>
                <w:color w:val="000000"/>
                <w:sz w:val="22"/>
                <w:szCs w:val="22"/>
                <w:lang w:val="ga"/>
              </w:rPr>
              <w:lastRenderedPageBreak/>
              <w:t>comhlacht poiblí nua seo sa bhliain 2021 agus ní dhearna sé tuairisceán Chuid 5 don bhliain 2020</w:t>
            </w:r>
          </w:p>
        </w:tc>
      </w:tr>
      <w:tr w:rsidR="00C47132" w:rsidRPr="00D51778" w14:paraId="0AAAB8EE" w14:textId="77777777" w:rsidTr="007D0A7B">
        <w:trPr>
          <w:trHeight w:val="140"/>
        </w:trPr>
        <w:tc>
          <w:tcPr>
            <w:tcW w:w="1985" w:type="dxa"/>
          </w:tcPr>
          <w:p w14:paraId="1AEB0AE1" w14:textId="77777777" w:rsidR="00C47132" w:rsidRPr="00971024" w:rsidRDefault="00C47132" w:rsidP="007D0A7B">
            <w:pPr>
              <w:spacing w:after="0"/>
              <w:rPr>
                <w:sz w:val="22"/>
                <w:szCs w:val="22"/>
              </w:rPr>
            </w:pPr>
            <w:r w:rsidRPr="00971024">
              <w:rPr>
                <w:sz w:val="22"/>
                <w:szCs w:val="22"/>
                <w:lang w:val="ga"/>
              </w:rPr>
              <w:lastRenderedPageBreak/>
              <w:t>Oifig an Choimisinéara Cosanta Sonraí</w:t>
            </w:r>
          </w:p>
        </w:tc>
        <w:tc>
          <w:tcPr>
            <w:tcW w:w="1559" w:type="dxa"/>
          </w:tcPr>
          <w:p w14:paraId="460D26FD" w14:textId="77777777" w:rsidR="00C47132" w:rsidRPr="00D51778" w:rsidRDefault="00C47132" w:rsidP="007D0A7B">
            <w:pPr>
              <w:spacing w:after="0"/>
              <w:jc w:val="right"/>
              <w:rPr>
                <w:color w:val="000000"/>
                <w:sz w:val="22"/>
                <w:szCs w:val="22"/>
              </w:rPr>
            </w:pPr>
            <w:r w:rsidRPr="00D51778">
              <w:rPr>
                <w:color w:val="000000"/>
                <w:sz w:val="22"/>
                <w:szCs w:val="22"/>
                <w:lang w:val="ga"/>
              </w:rPr>
              <w:t>150</w:t>
            </w:r>
          </w:p>
        </w:tc>
        <w:tc>
          <w:tcPr>
            <w:tcW w:w="1701" w:type="dxa"/>
          </w:tcPr>
          <w:p w14:paraId="019D9C2B" w14:textId="77777777" w:rsidR="00C47132" w:rsidRPr="00D51778" w:rsidRDefault="00C47132" w:rsidP="007D0A7B">
            <w:pPr>
              <w:spacing w:after="0"/>
              <w:jc w:val="right"/>
              <w:rPr>
                <w:color w:val="000000"/>
                <w:sz w:val="22"/>
                <w:szCs w:val="22"/>
              </w:rPr>
            </w:pPr>
            <w:r w:rsidRPr="00D51778">
              <w:rPr>
                <w:color w:val="000000"/>
                <w:sz w:val="22"/>
                <w:szCs w:val="22"/>
                <w:lang w:val="ga"/>
              </w:rPr>
              <w:t>6 (4%)</w:t>
            </w:r>
          </w:p>
        </w:tc>
        <w:tc>
          <w:tcPr>
            <w:tcW w:w="1560" w:type="dxa"/>
          </w:tcPr>
          <w:p w14:paraId="167CD273" w14:textId="77777777" w:rsidR="00C47132" w:rsidRPr="00D51778" w:rsidRDefault="00C47132" w:rsidP="007D0A7B">
            <w:pPr>
              <w:spacing w:after="0"/>
              <w:jc w:val="right"/>
              <w:rPr>
                <w:color w:val="000000"/>
                <w:sz w:val="22"/>
                <w:szCs w:val="22"/>
              </w:rPr>
            </w:pPr>
            <w:r w:rsidRPr="00D51778">
              <w:rPr>
                <w:color w:val="000000"/>
                <w:sz w:val="22"/>
                <w:szCs w:val="22"/>
                <w:lang w:val="ga"/>
              </w:rPr>
              <w:t>190</w:t>
            </w:r>
          </w:p>
        </w:tc>
        <w:tc>
          <w:tcPr>
            <w:tcW w:w="1671" w:type="dxa"/>
          </w:tcPr>
          <w:p w14:paraId="4DA23B6D" w14:textId="77777777" w:rsidR="00C47132" w:rsidRPr="00D51778" w:rsidRDefault="00C47132" w:rsidP="007D0A7B">
            <w:pPr>
              <w:spacing w:after="0"/>
              <w:jc w:val="right"/>
              <w:rPr>
                <w:color w:val="000000"/>
                <w:sz w:val="22"/>
                <w:szCs w:val="22"/>
              </w:rPr>
            </w:pPr>
            <w:r w:rsidRPr="00D51778">
              <w:rPr>
                <w:color w:val="000000"/>
                <w:sz w:val="22"/>
                <w:szCs w:val="22"/>
                <w:lang w:val="ga"/>
              </w:rPr>
              <w:t>13 (6.8%)</w:t>
            </w:r>
          </w:p>
        </w:tc>
        <w:tc>
          <w:tcPr>
            <w:tcW w:w="2439" w:type="dxa"/>
          </w:tcPr>
          <w:p w14:paraId="63CEAC09" w14:textId="77777777" w:rsidR="00C47132" w:rsidRPr="00D51778" w:rsidRDefault="00C47132" w:rsidP="007D0A7B">
            <w:pPr>
              <w:spacing w:after="0"/>
              <w:rPr>
                <w:sz w:val="22"/>
                <w:szCs w:val="22"/>
              </w:rPr>
            </w:pPr>
            <w:r w:rsidRPr="00D51778">
              <w:rPr>
                <w:sz w:val="22"/>
                <w:szCs w:val="22"/>
                <w:lang w:val="ga"/>
              </w:rPr>
              <w:t>D’iarr ÚNM soiléiriú go ngairtear Oifig an Choimisinéara Cosanta Sonraí den Choimisinéir Cosanta Sonraí agus fuair sé an soiléiriú sin</w:t>
            </w:r>
          </w:p>
        </w:tc>
      </w:tr>
      <w:tr w:rsidR="00C47132" w:rsidRPr="00D51778" w14:paraId="51AE8670" w14:textId="77777777" w:rsidTr="007D0A7B">
        <w:trPr>
          <w:trHeight w:val="140"/>
        </w:trPr>
        <w:tc>
          <w:tcPr>
            <w:tcW w:w="1985" w:type="dxa"/>
          </w:tcPr>
          <w:p w14:paraId="528525E7" w14:textId="77777777" w:rsidR="00C47132" w:rsidRPr="00D51778" w:rsidRDefault="00C47132" w:rsidP="007D0A7B">
            <w:pPr>
              <w:rPr>
                <w:sz w:val="22"/>
                <w:szCs w:val="22"/>
              </w:rPr>
            </w:pPr>
            <w:r w:rsidRPr="00D51778">
              <w:rPr>
                <w:sz w:val="22"/>
                <w:szCs w:val="22"/>
                <w:lang w:val="ga"/>
              </w:rPr>
              <w:t>Oifig na gCoimisinéirí Ioncaim</w:t>
            </w:r>
          </w:p>
          <w:p w14:paraId="590BE589" w14:textId="77777777" w:rsidR="00C47132" w:rsidRPr="00D51778" w:rsidRDefault="00C47132" w:rsidP="007D0A7B">
            <w:pPr>
              <w:rPr>
                <w:sz w:val="22"/>
                <w:szCs w:val="22"/>
              </w:rPr>
            </w:pPr>
          </w:p>
        </w:tc>
        <w:tc>
          <w:tcPr>
            <w:tcW w:w="1559" w:type="dxa"/>
          </w:tcPr>
          <w:p w14:paraId="387191B6" w14:textId="77777777" w:rsidR="00C47132" w:rsidRPr="00D51778" w:rsidRDefault="00C47132" w:rsidP="007D0A7B">
            <w:pPr>
              <w:jc w:val="right"/>
              <w:rPr>
                <w:sz w:val="22"/>
                <w:szCs w:val="22"/>
              </w:rPr>
            </w:pPr>
            <w:r w:rsidRPr="00D51778">
              <w:rPr>
                <w:sz w:val="22"/>
                <w:szCs w:val="22"/>
                <w:lang w:val="ga"/>
              </w:rPr>
              <w:t>6982</w:t>
            </w:r>
          </w:p>
        </w:tc>
        <w:tc>
          <w:tcPr>
            <w:tcW w:w="1701" w:type="dxa"/>
          </w:tcPr>
          <w:p w14:paraId="77EFBDE4" w14:textId="77777777" w:rsidR="00C47132" w:rsidRPr="00D51778" w:rsidRDefault="00C47132" w:rsidP="007D0A7B">
            <w:pPr>
              <w:jc w:val="right"/>
              <w:rPr>
                <w:sz w:val="22"/>
                <w:szCs w:val="22"/>
              </w:rPr>
            </w:pPr>
            <w:r w:rsidRPr="00D51778">
              <w:rPr>
                <w:sz w:val="22"/>
                <w:szCs w:val="22"/>
                <w:lang w:val="ga"/>
              </w:rPr>
              <w:t>286 (4.1%)</w:t>
            </w:r>
          </w:p>
        </w:tc>
        <w:tc>
          <w:tcPr>
            <w:tcW w:w="1560" w:type="dxa"/>
          </w:tcPr>
          <w:p w14:paraId="4354DEAC" w14:textId="77777777" w:rsidR="00C47132" w:rsidRPr="00D51778" w:rsidRDefault="00C47132" w:rsidP="007D0A7B">
            <w:pPr>
              <w:jc w:val="right"/>
              <w:rPr>
                <w:sz w:val="22"/>
                <w:szCs w:val="22"/>
              </w:rPr>
            </w:pPr>
            <w:r w:rsidRPr="00D51778">
              <w:rPr>
                <w:sz w:val="22"/>
                <w:szCs w:val="22"/>
                <w:lang w:val="ga"/>
              </w:rPr>
              <w:t>6783</w:t>
            </w:r>
          </w:p>
        </w:tc>
        <w:tc>
          <w:tcPr>
            <w:tcW w:w="1671" w:type="dxa"/>
          </w:tcPr>
          <w:p w14:paraId="29EF364A" w14:textId="77777777" w:rsidR="00C47132" w:rsidRPr="00D51778" w:rsidRDefault="00C47132" w:rsidP="007D0A7B">
            <w:pPr>
              <w:jc w:val="right"/>
              <w:rPr>
                <w:sz w:val="22"/>
                <w:szCs w:val="22"/>
              </w:rPr>
            </w:pPr>
            <w:r w:rsidRPr="00D51778">
              <w:rPr>
                <w:sz w:val="22"/>
                <w:szCs w:val="22"/>
                <w:lang w:val="ga"/>
              </w:rPr>
              <w:t>280 (4.1%)</w:t>
            </w:r>
          </w:p>
        </w:tc>
        <w:tc>
          <w:tcPr>
            <w:tcW w:w="2439" w:type="dxa"/>
          </w:tcPr>
          <w:p w14:paraId="59028B80" w14:textId="77777777" w:rsidR="00C47132" w:rsidRPr="00D51778" w:rsidRDefault="00C47132" w:rsidP="007D0A7B">
            <w:pPr>
              <w:spacing w:after="0"/>
              <w:rPr>
                <w:sz w:val="22"/>
                <w:szCs w:val="22"/>
              </w:rPr>
            </w:pPr>
            <w:r w:rsidRPr="00D51778">
              <w:rPr>
                <w:sz w:val="22"/>
                <w:szCs w:val="22"/>
                <w:lang w:val="ga"/>
              </w:rPr>
              <w:t>D’iarr ÚNM soiléiriú go ngairtear Oifig na gCoimisinéirí Ioncaim de na Coimisinéirí Ioncaim agus fuair sé an soiléiriú sin</w:t>
            </w:r>
          </w:p>
        </w:tc>
      </w:tr>
      <w:tr w:rsidR="00C47132" w:rsidRPr="00D51778" w14:paraId="7ECEC534" w14:textId="77777777" w:rsidTr="007D0A7B">
        <w:trPr>
          <w:trHeight w:val="140"/>
        </w:trPr>
        <w:tc>
          <w:tcPr>
            <w:tcW w:w="1985" w:type="dxa"/>
          </w:tcPr>
          <w:p w14:paraId="2F6867D5" w14:textId="77777777" w:rsidR="00C47132" w:rsidRPr="00D51778" w:rsidRDefault="00C47132" w:rsidP="007D0A7B">
            <w:pPr>
              <w:spacing w:after="0"/>
              <w:rPr>
                <w:color w:val="000000"/>
                <w:sz w:val="22"/>
                <w:szCs w:val="22"/>
              </w:rPr>
            </w:pPr>
            <w:r w:rsidRPr="00D51778">
              <w:rPr>
                <w:color w:val="000000"/>
                <w:sz w:val="22"/>
                <w:szCs w:val="22"/>
                <w:lang w:val="ga"/>
              </w:rPr>
              <w:t xml:space="preserve">Calafort na Gaillimhe </w:t>
            </w:r>
          </w:p>
        </w:tc>
        <w:tc>
          <w:tcPr>
            <w:tcW w:w="1559" w:type="dxa"/>
          </w:tcPr>
          <w:p w14:paraId="5364147E" w14:textId="77777777" w:rsidR="00C47132" w:rsidRPr="00D51778" w:rsidRDefault="00C47132" w:rsidP="007D0A7B">
            <w:pPr>
              <w:spacing w:after="0"/>
              <w:jc w:val="right"/>
              <w:rPr>
                <w:color w:val="000000"/>
                <w:sz w:val="22"/>
                <w:szCs w:val="22"/>
              </w:rPr>
            </w:pPr>
            <w:r w:rsidRPr="00D51778">
              <w:rPr>
                <w:color w:val="000000"/>
                <w:sz w:val="22"/>
                <w:szCs w:val="22"/>
                <w:lang w:val="ga"/>
              </w:rPr>
              <w:t>15</w:t>
            </w:r>
          </w:p>
        </w:tc>
        <w:tc>
          <w:tcPr>
            <w:tcW w:w="1701" w:type="dxa"/>
          </w:tcPr>
          <w:p w14:paraId="417315DE" w14:textId="77777777" w:rsidR="00C47132" w:rsidRPr="00D51778" w:rsidRDefault="00C47132" w:rsidP="007D0A7B">
            <w:pPr>
              <w:spacing w:after="0"/>
              <w:jc w:val="right"/>
              <w:rPr>
                <w:color w:val="000000"/>
                <w:sz w:val="22"/>
                <w:szCs w:val="22"/>
              </w:rPr>
            </w:pPr>
            <w:r w:rsidRPr="00D51778">
              <w:rPr>
                <w:color w:val="000000"/>
                <w:sz w:val="22"/>
                <w:szCs w:val="22"/>
                <w:lang w:val="ga"/>
              </w:rPr>
              <w:t>0 (0%)</w:t>
            </w:r>
          </w:p>
        </w:tc>
        <w:tc>
          <w:tcPr>
            <w:tcW w:w="1560" w:type="dxa"/>
          </w:tcPr>
          <w:p w14:paraId="771AB54B"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1671" w:type="dxa"/>
          </w:tcPr>
          <w:p w14:paraId="56AA01AB" w14:textId="77777777" w:rsidR="00C47132" w:rsidRPr="00D51778" w:rsidRDefault="00C47132" w:rsidP="007D0A7B">
            <w:pPr>
              <w:spacing w:after="0"/>
              <w:jc w:val="right"/>
              <w:rPr>
                <w:color w:val="000000"/>
                <w:sz w:val="22"/>
                <w:szCs w:val="22"/>
              </w:rPr>
            </w:pPr>
            <w:r w:rsidRPr="00D51778">
              <w:rPr>
                <w:color w:val="000000"/>
                <w:sz w:val="22"/>
                <w:szCs w:val="22"/>
                <w:lang w:val="ga"/>
              </w:rPr>
              <w:t>-</w:t>
            </w:r>
          </w:p>
        </w:tc>
        <w:tc>
          <w:tcPr>
            <w:tcW w:w="2439" w:type="dxa"/>
          </w:tcPr>
          <w:p w14:paraId="530EEE0A" w14:textId="33CE9F61" w:rsidR="00C47132" w:rsidRPr="00D51778" w:rsidRDefault="00C47132" w:rsidP="007D0A7B">
            <w:pPr>
              <w:spacing w:after="0"/>
              <w:rPr>
                <w:sz w:val="22"/>
                <w:szCs w:val="22"/>
              </w:rPr>
            </w:pPr>
            <w:r w:rsidRPr="00D51778">
              <w:rPr>
                <w:sz w:val="22"/>
                <w:szCs w:val="22"/>
                <w:lang w:val="ga"/>
              </w:rPr>
              <w:t>Cónascadh an comhlacht poiblí seo isteach i gComhairle Cathrach na Gaillimhe sa bhliain 2021 agus ní dhearna sé tuairisceán leithleach Chuid 5 don bhliain 2021.</w:t>
            </w:r>
          </w:p>
        </w:tc>
      </w:tr>
      <w:tr w:rsidR="00C47132" w:rsidRPr="00D51778" w14:paraId="66981D5F" w14:textId="77777777" w:rsidTr="007D0A7B">
        <w:trPr>
          <w:trHeight w:val="140"/>
        </w:trPr>
        <w:tc>
          <w:tcPr>
            <w:tcW w:w="1985" w:type="dxa"/>
          </w:tcPr>
          <w:p w14:paraId="5D705858" w14:textId="77777777" w:rsidR="00C47132" w:rsidRPr="00D51778" w:rsidRDefault="00C47132" w:rsidP="007D0A7B">
            <w:pPr>
              <w:spacing w:after="0"/>
              <w:rPr>
                <w:color w:val="000000"/>
                <w:sz w:val="22"/>
                <w:szCs w:val="22"/>
              </w:rPr>
            </w:pPr>
            <w:r w:rsidRPr="00D51778">
              <w:rPr>
                <w:color w:val="000000"/>
                <w:sz w:val="22"/>
                <w:szCs w:val="22"/>
                <w:lang w:val="ga"/>
              </w:rPr>
              <w:t>Teaghlachas an Uachtaráin</w:t>
            </w:r>
          </w:p>
        </w:tc>
        <w:tc>
          <w:tcPr>
            <w:tcW w:w="1559" w:type="dxa"/>
          </w:tcPr>
          <w:p w14:paraId="39FA1CEF" w14:textId="77777777" w:rsidR="00C47132" w:rsidRPr="00D51778" w:rsidRDefault="00C47132" w:rsidP="007D0A7B">
            <w:pPr>
              <w:spacing w:after="0"/>
              <w:jc w:val="right"/>
              <w:rPr>
                <w:color w:val="000000"/>
                <w:sz w:val="22"/>
                <w:szCs w:val="22"/>
              </w:rPr>
            </w:pPr>
            <w:r w:rsidRPr="00D51778">
              <w:rPr>
                <w:color w:val="000000"/>
                <w:sz w:val="22"/>
                <w:szCs w:val="22"/>
                <w:lang w:val="ga"/>
              </w:rPr>
              <w:t>25</w:t>
            </w:r>
          </w:p>
        </w:tc>
        <w:tc>
          <w:tcPr>
            <w:tcW w:w="1701" w:type="dxa"/>
          </w:tcPr>
          <w:p w14:paraId="4B34C50E" w14:textId="77777777" w:rsidR="00C47132" w:rsidRPr="00D51778" w:rsidRDefault="00C47132" w:rsidP="007D0A7B">
            <w:pPr>
              <w:spacing w:after="0"/>
              <w:jc w:val="right"/>
              <w:rPr>
                <w:color w:val="000000"/>
                <w:sz w:val="22"/>
                <w:szCs w:val="22"/>
              </w:rPr>
            </w:pPr>
            <w:r w:rsidRPr="00D51778">
              <w:rPr>
                <w:color w:val="000000"/>
                <w:sz w:val="22"/>
                <w:szCs w:val="22"/>
                <w:lang w:val="ga"/>
              </w:rPr>
              <w:t>1 (4%)</w:t>
            </w:r>
          </w:p>
        </w:tc>
        <w:tc>
          <w:tcPr>
            <w:tcW w:w="1560" w:type="dxa"/>
          </w:tcPr>
          <w:p w14:paraId="427887D2" w14:textId="77777777" w:rsidR="00C47132" w:rsidRPr="00D51778" w:rsidRDefault="00C47132" w:rsidP="007D0A7B">
            <w:pPr>
              <w:spacing w:after="0"/>
              <w:jc w:val="right"/>
              <w:rPr>
                <w:color w:val="000000"/>
                <w:sz w:val="22"/>
                <w:szCs w:val="22"/>
              </w:rPr>
            </w:pPr>
            <w:r w:rsidRPr="00D51778">
              <w:rPr>
                <w:color w:val="000000"/>
                <w:sz w:val="22"/>
                <w:szCs w:val="22"/>
                <w:lang w:val="ga"/>
              </w:rPr>
              <w:t>23</w:t>
            </w:r>
          </w:p>
        </w:tc>
        <w:tc>
          <w:tcPr>
            <w:tcW w:w="1671" w:type="dxa"/>
          </w:tcPr>
          <w:p w14:paraId="24FF660C" w14:textId="77777777" w:rsidR="00C47132" w:rsidRPr="00D51778" w:rsidRDefault="00C47132" w:rsidP="007D0A7B">
            <w:pPr>
              <w:spacing w:after="0"/>
              <w:jc w:val="right"/>
              <w:rPr>
                <w:color w:val="000000"/>
                <w:sz w:val="22"/>
                <w:szCs w:val="22"/>
              </w:rPr>
            </w:pPr>
            <w:r w:rsidRPr="00D51778">
              <w:rPr>
                <w:color w:val="000000"/>
                <w:sz w:val="22"/>
                <w:szCs w:val="22"/>
                <w:lang w:val="ga"/>
              </w:rPr>
              <w:t>0</w:t>
            </w:r>
          </w:p>
        </w:tc>
        <w:tc>
          <w:tcPr>
            <w:tcW w:w="2439" w:type="dxa"/>
          </w:tcPr>
          <w:p w14:paraId="74FA9D44" w14:textId="77777777" w:rsidR="00C47132" w:rsidRPr="00D51778" w:rsidRDefault="00C47132" w:rsidP="007D0A7B">
            <w:pPr>
              <w:spacing w:after="0"/>
              <w:rPr>
                <w:sz w:val="22"/>
                <w:szCs w:val="22"/>
              </w:rPr>
            </w:pPr>
            <w:r w:rsidRPr="00D51778">
              <w:rPr>
                <w:sz w:val="22"/>
                <w:szCs w:val="22"/>
                <w:lang w:val="ga"/>
              </w:rPr>
              <w:t>D’iarr ÚNM soiléiriú go ngairtear Teaghlachas an Uachtaráin d’Oifig an Rúnaí don Uachtarán agus fuair sé an soiléiriú sin</w:t>
            </w:r>
          </w:p>
          <w:p w14:paraId="4D7041C6" w14:textId="77777777" w:rsidR="00C47132" w:rsidRPr="00D51778" w:rsidRDefault="00C47132" w:rsidP="007D0A7B">
            <w:pPr>
              <w:spacing w:after="0"/>
              <w:rPr>
                <w:sz w:val="22"/>
                <w:szCs w:val="22"/>
              </w:rPr>
            </w:pPr>
          </w:p>
        </w:tc>
      </w:tr>
      <w:tr w:rsidR="00C47132" w:rsidRPr="00D51778" w14:paraId="37ECC7B3" w14:textId="77777777" w:rsidTr="007D0A7B">
        <w:trPr>
          <w:trHeight w:val="140"/>
        </w:trPr>
        <w:tc>
          <w:tcPr>
            <w:tcW w:w="1985" w:type="dxa"/>
          </w:tcPr>
          <w:p w14:paraId="74ABBA8C" w14:textId="77777777" w:rsidR="00C47132" w:rsidRPr="00D51778" w:rsidRDefault="00C47132" w:rsidP="007D0A7B">
            <w:pPr>
              <w:spacing w:after="0"/>
              <w:rPr>
                <w:color w:val="000000"/>
                <w:sz w:val="22"/>
                <w:szCs w:val="22"/>
              </w:rPr>
            </w:pPr>
            <w:r w:rsidRPr="00D51778">
              <w:rPr>
                <w:color w:val="000000"/>
                <w:sz w:val="22"/>
                <w:szCs w:val="22"/>
                <w:lang w:val="ga"/>
              </w:rPr>
              <w:t>An tÚdarás Rialála Seirbhísí Maoine</w:t>
            </w:r>
          </w:p>
          <w:p w14:paraId="7B20826B" w14:textId="77777777" w:rsidR="00C47132" w:rsidRPr="00D51778" w:rsidRDefault="00C47132" w:rsidP="007D0A7B">
            <w:pPr>
              <w:spacing w:after="0"/>
              <w:rPr>
                <w:sz w:val="22"/>
                <w:szCs w:val="22"/>
              </w:rPr>
            </w:pPr>
          </w:p>
        </w:tc>
        <w:tc>
          <w:tcPr>
            <w:tcW w:w="1559" w:type="dxa"/>
          </w:tcPr>
          <w:p w14:paraId="293842ED" w14:textId="77777777" w:rsidR="00C47132" w:rsidRPr="00D51778" w:rsidRDefault="00C47132" w:rsidP="007D0A7B">
            <w:pPr>
              <w:spacing w:after="0"/>
              <w:jc w:val="right"/>
              <w:rPr>
                <w:color w:val="000000"/>
                <w:sz w:val="22"/>
                <w:szCs w:val="22"/>
              </w:rPr>
            </w:pPr>
            <w:r w:rsidRPr="00D51778">
              <w:rPr>
                <w:color w:val="000000"/>
                <w:sz w:val="22"/>
                <w:szCs w:val="22"/>
                <w:lang w:val="ga"/>
              </w:rPr>
              <w:t>32</w:t>
            </w:r>
          </w:p>
        </w:tc>
        <w:tc>
          <w:tcPr>
            <w:tcW w:w="1701" w:type="dxa"/>
          </w:tcPr>
          <w:p w14:paraId="6E6C41E8" w14:textId="77777777" w:rsidR="00C47132" w:rsidRPr="00D51778" w:rsidRDefault="00C47132" w:rsidP="007D0A7B">
            <w:pPr>
              <w:spacing w:after="0"/>
              <w:jc w:val="right"/>
              <w:rPr>
                <w:color w:val="000000"/>
                <w:sz w:val="22"/>
                <w:szCs w:val="22"/>
              </w:rPr>
            </w:pPr>
            <w:r w:rsidRPr="00D51778">
              <w:rPr>
                <w:color w:val="000000"/>
                <w:sz w:val="22"/>
                <w:szCs w:val="22"/>
                <w:lang w:val="ga"/>
              </w:rPr>
              <w:t>2 (6.3%)</w:t>
            </w:r>
          </w:p>
        </w:tc>
        <w:tc>
          <w:tcPr>
            <w:tcW w:w="1560" w:type="dxa"/>
          </w:tcPr>
          <w:p w14:paraId="4A2949E1" w14:textId="77777777" w:rsidR="00C47132" w:rsidRPr="00D51778" w:rsidRDefault="00C47132" w:rsidP="007D0A7B">
            <w:pPr>
              <w:spacing w:after="0"/>
              <w:jc w:val="right"/>
              <w:rPr>
                <w:color w:val="000000"/>
                <w:sz w:val="22"/>
                <w:szCs w:val="22"/>
              </w:rPr>
            </w:pPr>
            <w:r w:rsidRPr="00D51778">
              <w:rPr>
                <w:color w:val="000000"/>
                <w:sz w:val="22"/>
                <w:szCs w:val="22"/>
                <w:lang w:val="ga"/>
              </w:rPr>
              <w:t>38</w:t>
            </w:r>
          </w:p>
        </w:tc>
        <w:tc>
          <w:tcPr>
            <w:tcW w:w="1671" w:type="dxa"/>
          </w:tcPr>
          <w:p w14:paraId="2D042C75" w14:textId="77777777" w:rsidR="00C47132" w:rsidRPr="00D51778" w:rsidRDefault="00C47132" w:rsidP="007D0A7B">
            <w:pPr>
              <w:spacing w:after="0"/>
              <w:jc w:val="right"/>
              <w:rPr>
                <w:color w:val="000000"/>
                <w:sz w:val="22"/>
                <w:szCs w:val="22"/>
              </w:rPr>
            </w:pPr>
            <w:r w:rsidRPr="00D51778">
              <w:rPr>
                <w:color w:val="000000"/>
                <w:sz w:val="22"/>
                <w:szCs w:val="22"/>
                <w:lang w:val="ga"/>
              </w:rPr>
              <w:t>4 (10.5%)</w:t>
            </w:r>
          </w:p>
        </w:tc>
        <w:tc>
          <w:tcPr>
            <w:tcW w:w="2439" w:type="dxa"/>
          </w:tcPr>
          <w:p w14:paraId="37725327" w14:textId="73A9AE71" w:rsidR="00C47132" w:rsidRPr="00D51778" w:rsidRDefault="00C47132" w:rsidP="001B5AC7">
            <w:pPr>
              <w:spacing w:after="0"/>
              <w:rPr>
                <w:sz w:val="22"/>
                <w:szCs w:val="22"/>
              </w:rPr>
            </w:pPr>
            <w:r w:rsidRPr="00D51778">
              <w:rPr>
                <w:sz w:val="22"/>
                <w:szCs w:val="22"/>
                <w:lang w:val="ga"/>
              </w:rPr>
              <w:t>D’iarr ÚNM soiléiriú go ngairtear an tÚdarás Rialála Seirbhísí Maoine den Údarás Rialála Náisiúnta Seirbhísí Maoine agus fuair sé an soiléiriú sin</w:t>
            </w:r>
          </w:p>
        </w:tc>
      </w:tr>
      <w:tr w:rsidR="00C47132" w:rsidRPr="00D51778" w14:paraId="24F79363" w14:textId="77777777" w:rsidTr="007D0A7B">
        <w:trPr>
          <w:trHeight w:val="140"/>
        </w:trPr>
        <w:tc>
          <w:tcPr>
            <w:tcW w:w="1985" w:type="dxa"/>
          </w:tcPr>
          <w:p w14:paraId="11B5F147" w14:textId="77777777" w:rsidR="00C47132" w:rsidRPr="00D51778" w:rsidRDefault="00C47132" w:rsidP="007D0A7B">
            <w:pPr>
              <w:spacing w:after="0"/>
              <w:rPr>
                <w:sz w:val="22"/>
                <w:szCs w:val="22"/>
              </w:rPr>
            </w:pPr>
            <w:r w:rsidRPr="00D51778">
              <w:rPr>
                <w:sz w:val="22"/>
                <w:szCs w:val="22"/>
                <w:lang w:val="ga"/>
              </w:rPr>
              <w:t xml:space="preserve">Fondúireacht Eolaíochta Éireann </w:t>
            </w:r>
          </w:p>
        </w:tc>
        <w:tc>
          <w:tcPr>
            <w:tcW w:w="1559" w:type="dxa"/>
          </w:tcPr>
          <w:p w14:paraId="0BF5DCB4" w14:textId="77777777" w:rsidR="00C47132" w:rsidRPr="00D51778" w:rsidRDefault="00C47132" w:rsidP="007D0A7B">
            <w:pPr>
              <w:spacing w:after="0"/>
              <w:jc w:val="right"/>
              <w:rPr>
                <w:color w:val="000000"/>
                <w:sz w:val="22"/>
                <w:szCs w:val="22"/>
              </w:rPr>
            </w:pPr>
            <w:r w:rsidRPr="00D51778">
              <w:rPr>
                <w:color w:val="000000"/>
                <w:sz w:val="22"/>
                <w:szCs w:val="22"/>
                <w:lang w:val="ga"/>
              </w:rPr>
              <w:t>89</w:t>
            </w:r>
          </w:p>
          <w:p w14:paraId="7220A9CC" w14:textId="77777777" w:rsidR="00C47132" w:rsidRPr="00D51778" w:rsidRDefault="00C47132" w:rsidP="007D0A7B">
            <w:pPr>
              <w:spacing w:after="0"/>
              <w:jc w:val="right"/>
              <w:rPr>
                <w:sz w:val="22"/>
                <w:szCs w:val="22"/>
              </w:rPr>
            </w:pPr>
          </w:p>
        </w:tc>
        <w:tc>
          <w:tcPr>
            <w:tcW w:w="1701" w:type="dxa"/>
          </w:tcPr>
          <w:p w14:paraId="6A1EF117" w14:textId="77777777" w:rsidR="00C47132" w:rsidRPr="00D51778" w:rsidRDefault="00C47132" w:rsidP="007D0A7B">
            <w:pPr>
              <w:spacing w:after="0"/>
              <w:jc w:val="right"/>
              <w:rPr>
                <w:sz w:val="22"/>
                <w:szCs w:val="22"/>
              </w:rPr>
            </w:pPr>
            <w:r w:rsidRPr="00D51778">
              <w:rPr>
                <w:sz w:val="22"/>
                <w:szCs w:val="22"/>
                <w:lang w:val="ga"/>
              </w:rPr>
              <w:t>3 (3.4%)</w:t>
            </w:r>
          </w:p>
        </w:tc>
        <w:tc>
          <w:tcPr>
            <w:tcW w:w="1560" w:type="dxa"/>
          </w:tcPr>
          <w:p w14:paraId="4013F478" w14:textId="77777777" w:rsidR="00C47132" w:rsidRPr="00D51778" w:rsidRDefault="00C47132" w:rsidP="007D0A7B">
            <w:pPr>
              <w:spacing w:after="0"/>
              <w:jc w:val="right"/>
              <w:rPr>
                <w:sz w:val="22"/>
                <w:szCs w:val="22"/>
              </w:rPr>
            </w:pPr>
            <w:r w:rsidRPr="00D51778">
              <w:rPr>
                <w:sz w:val="22"/>
                <w:szCs w:val="22"/>
                <w:lang w:val="ga"/>
              </w:rPr>
              <w:t>84</w:t>
            </w:r>
          </w:p>
        </w:tc>
        <w:tc>
          <w:tcPr>
            <w:tcW w:w="1671" w:type="dxa"/>
          </w:tcPr>
          <w:p w14:paraId="589675C3" w14:textId="77777777" w:rsidR="00C47132" w:rsidRPr="00D51778" w:rsidRDefault="00C47132" w:rsidP="007D0A7B">
            <w:pPr>
              <w:spacing w:after="0"/>
              <w:jc w:val="right"/>
              <w:rPr>
                <w:sz w:val="22"/>
                <w:szCs w:val="22"/>
              </w:rPr>
            </w:pPr>
            <w:r w:rsidRPr="00D51778">
              <w:rPr>
                <w:sz w:val="22"/>
                <w:szCs w:val="22"/>
                <w:lang w:val="ga"/>
              </w:rPr>
              <w:t>3 (3.6%)</w:t>
            </w:r>
          </w:p>
        </w:tc>
        <w:tc>
          <w:tcPr>
            <w:tcW w:w="2439" w:type="dxa"/>
          </w:tcPr>
          <w:p w14:paraId="1F308F56" w14:textId="77777777" w:rsidR="00C47132" w:rsidRPr="00D51778" w:rsidRDefault="00C47132" w:rsidP="007D0A7B">
            <w:pPr>
              <w:spacing w:after="0"/>
              <w:rPr>
                <w:b/>
                <w:sz w:val="22"/>
                <w:szCs w:val="22"/>
              </w:rPr>
            </w:pPr>
            <w:r w:rsidRPr="00D51778">
              <w:rPr>
                <w:sz w:val="22"/>
                <w:szCs w:val="22"/>
                <w:lang w:val="ga"/>
              </w:rPr>
              <w:t xml:space="preserve">Sa bhliain 2021, aistríodh an comhlacht poiblí seo ón Roinn Fiontar, Trádála agus Fostaíochta </w:t>
            </w:r>
            <w:r w:rsidRPr="00D51778">
              <w:rPr>
                <w:sz w:val="22"/>
                <w:szCs w:val="22"/>
                <w:lang w:val="ga"/>
              </w:rPr>
              <w:lastRenderedPageBreak/>
              <w:t>chuig an Roinn Breisoideachais agus Ardoideachais, Taighde, Nuálaíochta agus Eolaíochta</w:t>
            </w:r>
          </w:p>
        </w:tc>
      </w:tr>
      <w:tr w:rsidR="00C47132" w:rsidRPr="00D51778" w14:paraId="79B36D0F" w14:textId="77777777" w:rsidTr="007D0A7B">
        <w:trPr>
          <w:trHeight w:val="140"/>
        </w:trPr>
        <w:tc>
          <w:tcPr>
            <w:tcW w:w="1985" w:type="dxa"/>
          </w:tcPr>
          <w:p w14:paraId="48DDF8D5" w14:textId="77777777" w:rsidR="00C47132" w:rsidRPr="00D51778" w:rsidRDefault="00C47132" w:rsidP="007D0A7B">
            <w:pPr>
              <w:rPr>
                <w:sz w:val="22"/>
                <w:szCs w:val="22"/>
              </w:rPr>
            </w:pPr>
            <w:r w:rsidRPr="00D51778">
              <w:rPr>
                <w:sz w:val="22"/>
                <w:szCs w:val="22"/>
                <w:lang w:val="ga"/>
              </w:rPr>
              <w:lastRenderedPageBreak/>
              <w:t>An Coimisiún um Achomhairc Chánach</w:t>
            </w:r>
          </w:p>
          <w:p w14:paraId="069FE23E" w14:textId="77777777" w:rsidR="00C47132" w:rsidRPr="00D51778" w:rsidRDefault="00C47132" w:rsidP="007D0A7B">
            <w:pPr>
              <w:rPr>
                <w:sz w:val="22"/>
                <w:szCs w:val="22"/>
              </w:rPr>
            </w:pPr>
          </w:p>
        </w:tc>
        <w:tc>
          <w:tcPr>
            <w:tcW w:w="1559" w:type="dxa"/>
          </w:tcPr>
          <w:p w14:paraId="3EB7165A" w14:textId="77777777" w:rsidR="00C47132" w:rsidRPr="00D51778" w:rsidRDefault="00C47132" w:rsidP="007D0A7B">
            <w:pPr>
              <w:jc w:val="right"/>
              <w:rPr>
                <w:sz w:val="22"/>
                <w:szCs w:val="22"/>
              </w:rPr>
            </w:pPr>
            <w:r w:rsidRPr="00D51778">
              <w:rPr>
                <w:sz w:val="22"/>
                <w:szCs w:val="22"/>
                <w:lang w:val="ga"/>
              </w:rPr>
              <w:t>37</w:t>
            </w:r>
          </w:p>
        </w:tc>
        <w:tc>
          <w:tcPr>
            <w:tcW w:w="1701" w:type="dxa"/>
          </w:tcPr>
          <w:p w14:paraId="10E14C85" w14:textId="77777777" w:rsidR="00C47132" w:rsidRPr="00D51778" w:rsidRDefault="00C47132" w:rsidP="007D0A7B">
            <w:pPr>
              <w:jc w:val="right"/>
              <w:rPr>
                <w:sz w:val="22"/>
                <w:szCs w:val="22"/>
              </w:rPr>
            </w:pPr>
            <w:r w:rsidRPr="00D51778">
              <w:rPr>
                <w:sz w:val="22"/>
                <w:szCs w:val="22"/>
                <w:lang w:val="ga"/>
              </w:rPr>
              <w:t>1 (2.7%)</w:t>
            </w:r>
          </w:p>
        </w:tc>
        <w:tc>
          <w:tcPr>
            <w:tcW w:w="1560" w:type="dxa"/>
          </w:tcPr>
          <w:p w14:paraId="2E414B48" w14:textId="77777777" w:rsidR="00C47132" w:rsidRPr="00D51778" w:rsidRDefault="00C47132" w:rsidP="007D0A7B">
            <w:pPr>
              <w:jc w:val="right"/>
              <w:rPr>
                <w:sz w:val="22"/>
                <w:szCs w:val="22"/>
              </w:rPr>
            </w:pPr>
            <w:r w:rsidRPr="00D51778">
              <w:rPr>
                <w:sz w:val="22"/>
                <w:szCs w:val="22"/>
                <w:lang w:val="ga"/>
              </w:rPr>
              <w:t>29</w:t>
            </w:r>
          </w:p>
        </w:tc>
        <w:tc>
          <w:tcPr>
            <w:tcW w:w="1671" w:type="dxa"/>
          </w:tcPr>
          <w:p w14:paraId="19F1CF24" w14:textId="77777777" w:rsidR="00C47132" w:rsidRPr="00D51778" w:rsidRDefault="00C47132" w:rsidP="007D0A7B">
            <w:pPr>
              <w:jc w:val="right"/>
              <w:rPr>
                <w:sz w:val="22"/>
                <w:szCs w:val="22"/>
              </w:rPr>
            </w:pPr>
            <w:r w:rsidRPr="00D51778">
              <w:rPr>
                <w:sz w:val="22"/>
                <w:szCs w:val="22"/>
                <w:lang w:val="ga"/>
              </w:rPr>
              <w:t>2 (6.9%)</w:t>
            </w:r>
          </w:p>
        </w:tc>
        <w:tc>
          <w:tcPr>
            <w:tcW w:w="2439" w:type="dxa"/>
          </w:tcPr>
          <w:p w14:paraId="6CA46494" w14:textId="77777777" w:rsidR="00C47132" w:rsidRPr="00D51778" w:rsidRDefault="00C47132" w:rsidP="007D0A7B">
            <w:pPr>
              <w:spacing w:after="0"/>
              <w:rPr>
                <w:sz w:val="22"/>
                <w:szCs w:val="22"/>
              </w:rPr>
            </w:pPr>
            <w:r w:rsidRPr="00D51778">
              <w:rPr>
                <w:sz w:val="22"/>
                <w:szCs w:val="22"/>
                <w:lang w:val="ga"/>
              </w:rPr>
              <w:t>D’iarr ÚNM soiléiriú go ngairtear an Coimisiún um Achomhairc Chánach d’Oifig an Choimisiúin um Achomhairc Chánach agus fuair sé an soiléiriú sin</w:t>
            </w:r>
          </w:p>
        </w:tc>
      </w:tr>
      <w:tr w:rsidR="00C47132" w:rsidRPr="00D51778" w14:paraId="6FB7037A" w14:textId="77777777" w:rsidTr="001923DB">
        <w:trPr>
          <w:trHeight w:val="86"/>
        </w:trPr>
        <w:tc>
          <w:tcPr>
            <w:tcW w:w="1985" w:type="dxa"/>
          </w:tcPr>
          <w:p w14:paraId="4A21E981" w14:textId="77777777" w:rsidR="00964CEE" w:rsidRPr="001B12F1" w:rsidRDefault="00964CEE" w:rsidP="00964CEE">
            <w:pPr>
              <w:rPr>
                <w:sz w:val="22"/>
                <w:szCs w:val="22"/>
                <w:lang w:eastAsia="en-IE"/>
              </w:rPr>
            </w:pPr>
            <w:r w:rsidRPr="001B12F1">
              <w:rPr>
                <w:sz w:val="22"/>
                <w:szCs w:val="22"/>
                <w:lang w:val="ga-IE" w:eastAsia="en-IE"/>
              </w:rPr>
              <w:t>Ollscoil Teicneolaíochta na Sionainne (TUS): Lár-Iarthar Láir (Campas Bhaile Átha Luain)</w:t>
            </w:r>
          </w:p>
          <w:p w14:paraId="736BDCD8" w14:textId="73AC420D" w:rsidR="00C47132" w:rsidRPr="00D51778" w:rsidRDefault="00C47132" w:rsidP="007D0A7B">
            <w:pPr>
              <w:rPr>
                <w:sz w:val="22"/>
                <w:szCs w:val="22"/>
              </w:rPr>
            </w:pPr>
          </w:p>
        </w:tc>
        <w:tc>
          <w:tcPr>
            <w:tcW w:w="1559" w:type="dxa"/>
          </w:tcPr>
          <w:p w14:paraId="0C04492D" w14:textId="77777777" w:rsidR="00C47132" w:rsidRPr="00D51778" w:rsidRDefault="00C47132" w:rsidP="007D0A7B">
            <w:pPr>
              <w:jc w:val="right"/>
              <w:rPr>
                <w:sz w:val="22"/>
                <w:szCs w:val="22"/>
              </w:rPr>
            </w:pPr>
            <w:r w:rsidRPr="00D51778">
              <w:rPr>
                <w:sz w:val="22"/>
                <w:szCs w:val="22"/>
                <w:lang w:val="ga"/>
              </w:rPr>
              <w:t>-</w:t>
            </w:r>
          </w:p>
        </w:tc>
        <w:tc>
          <w:tcPr>
            <w:tcW w:w="1701" w:type="dxa"/>
          </w:tcPr>
          <w:p w14:paraId="1B77FCD2" w14:textId="77777777" w:rsidR="00C47132" w:rsidRPr="00D51778" w:rsidRDefault="00C47132" w:rsidP="007D0A7B">
            <w:pPr>
              <w:jc w:val="right"/>
              <w:rPr>
                <w:sz w:val="22"/>
                <w:szCs w:val="22"/>
              </w:rPr>
            </w:pPr>
            <w:r w:rsidRPr="00D51778">
              <w:rPr>
                <w:sz w:val="22"/>
                <w:szCs w:val="22"/>
                <w:lang w:val="ga"/>
              </w:rPr>
              <w:t>-</w:t>
            </w:r>
          </w:p>
        </w:tc>
        <w:tc>
          <w:tcPr>
            <w:tcW w:w="1560" w:type="dxa"/>
          </w:tcPr>
          <w:p w14:paraId="652AC3FA" w14:textId="77777777" w:rsidR="00C47132" w:rsidRPr="00D51778" w:rsidRDefault="00C47132" w:rsidP="007D0A7B">
            <w:pPr>
              <w:jc w:val="right"/>
              <w:rPr>
                <w:sz w:val="22"/>
                <w:szCs w:val="22"/>
              </w:rPr>
            </w:pPr>
            <w:r w:rsidRPr="00D51778">
              <w:rPr>
                <w:sz w:val="22"/>
                <w:szCs w:val="22"/>
                <w:lang w:val="ga"/>
              </w:rPr>
              <w:t>1423</w:t>
            </w:r>
          </w:p>
        </w:tc>
        <w:tc>
          <w:tcPr>
            <w:tcW w:w="1671" w:type="dxa"/>
          </w:tcPr>
          <w:p w14:paraId="34AD36CC" w14:textId="77777777" w:rsidR="00C47132" w:rsidRPr="00D51778" w:rsidRDefault="00C47132" w:rsidP="007D0A7B">
            <w:pPr>
              <w:jc w:val="right"/>
              <w:rPr>
                <w:sz w:val="22"/>
                <w:szCs w:val="22"/>
              </w:rPr>
            </w:pPr>
            <w:r w:rsidRPr="00D51778">
              <w:rPr>
                <w:sz w:val="22"/>
                <w:szCs w:val="22"/>
                <w:lang w:val="ga"/>
              </w:rPr>
              <w:t>69 (4.9%)</w:t>
            </w:r>
          </w:p>
        </w:tc>
        <w:tc>
          <w:tcPr>
            <w:tcW w:w="2439" w:type="dxa"/>
          </w:tcPr>
          <w:p w14:paraId="741BF5F1" w14:textId="54ADFDCF" w:rsidR="00C47132" w:rsidRPr="00D51778" w:rsidRDefault="00C47132" w:rsidP="00330D21">
            <w:pPr>
              <w:rPr>
                <w:sz w:val="22"/>
                <w:szCs w:val="22"/>
                <w:lang w:eastAsia="en-IE"/>
              </w:rPr>
            </w:pPr>
            <w:r w:rsidRPr="00D51778">
              <w:rPr>
                <w:rFonts w:cs="Calibri"/>
                <w:color w:val="000000"/>
                <w:sz w:val="22"/>
                <w:szCs w:val="22"/>
                <w:lang w:val="ga"/>
              </w:rPr>
              <w:t xml:space="preserve">Sa bhliain 2021, chumaisc Institiúid Teicneolaíochta Bhaile Átha Luain agus Institiúid Teicneolaíochta Luimnigh chun </w:t>
            </w:r>
            <w:r w:rsidR="00330D21" w:rsidRPr="001B12F1">
              <w:rPr>
                <w:sz w:val="22"/>
                <w:szCs w:val="22"/>
                <w:lang w:val="ga-IE" w:eastAsia="en-IE"/>
              </w:rPr>
              <w:t>Ollscoil Teicneolaíochta na Sionainne (TUS): Lár-Iarthar Láir (Campas Bhaile Átha Luain)</w:t>
            </w:r>
            <w:r w:rsidR="00330D21">
              <w:rPr>
                <w:sz w:val="22"/>
                <w:szCs w:val="22"/>
                <w:lang w:eastAsia="en-IE"/>
              </w:rPr>
              <w:t xml:space="preserve"> </w:t>
            </w:r>
            <w:r w:rsidRPr="00D51778">
              <w:rPr>
                <w:rFonts w:cs="Calibri"/>
                <w:color w:val="000000"/>
                <w:sz w:val="22"/>
                <w:szCs w:val="22"/>
                <w:lang w:val="ga"/>
              </w:rPr>
              <w:t>a chruthú. Is comhlacht poiblí nua é sin a cruthaíodh sa bhliain 2021 agus ní dhearna sé tuairisceán Chuid 5 sa bhliain 2020)</w:t>
            </w:r>
          </w:p>
        </w:tc>
      </w:tr>
    </w:tbl>
    <w:p w14:paraId="110EA4DF" w14:textId="16467149" w:rsidR="00973B13" w:rsidRPr="00D51778" w:rsidRDefault="001B1427" w:rsidP="001B1427">
      <w:pPr>
        <w:pStyle w:val="Heading2"/>
        <w:spacing w:before="240"/>
      </w:pPr>
      <w:bookmarkStart w:id="45" w:name="_Toc124367404"/>
      <w:bookmarkEnd w:id="43"/>
      <w:r w:rsidRPr="00D51778">
        <w:rPr>
          <w:bCs/>
          <w:lang w:val="ga"/>
        </w:rPr>
        <w:t>2.3 Anailís de réir an chineáil comhlachta earnála poiblí</w:t>
      </w:r>
      <w:bookmarkEnd w:id="45"/>
    </w:p>
    <w:p w14:paraId="79D7AF56" w14:textId="35DAF0FD" w:rsidR="00973B13" w:rsidRPr="00D51778" w:rsidRDefault="0012246F" w:rsidP="008E7550">
      <w:r w:rsidRPr="00D51778">
        <w:rPr>
          <w:lang w:val="ga"/>
        </w:rPr>
        <w:t>Rinneadh sonraí na bliana 2021 a chatagóiriú faoi na cúig chineál chéanna comhlachtaí poiblí a úsáideadh i mblianta roimhe sin:</w:t>
      </w:r>
    </w:p>
    <w:p w14:paraId="3EE6ABE6" w14:textId="77777777" w:rsidR="008E7550" w:rsidRDefault="00973B13" w:rsidP="008E7550">
      <w:pPr>
        <w:pStyle w:val="ListBullet"/>
      </w:pPr>
      <w:r w:rsidRPr="00D51778">
        <w:rPr>
          <w:lang w:val="ga"/>
        </w:rPr>
        <w:t>Comhlachtaí Tráchtála</w:t>
      </w:r>
    </w:p>
    <w:p w14:paraId="43AB9A9C" w14:textId="39F674AC" w:rsidR="00973B13" w:rsidRPr="00D51778" w:rsidRDefault="00973B13" w:rsidP="008E7550">
      <w:pPr>
        <w:pStyle w:val="ListBullet"/>
      </w:pPr>
      <w:r w:rsidRPr="00D51778">
        <w:rPr>
          <w:lang w:val="ga"/>
        </w:rPr>
        <w:t>Ranna Rialtais</w:t>
      </w:r>
    </w:p>
    <w:p w14:paraId="29573787" w14:textId="38FAF42A" w:rsidR="00973B13" w:rsidRPr="00D51778" w:rsidRDefault="00973B13" w:rsidP="008E7550">
      <w:pPr>
        <w:pStyle w:val="ListBullet"/>
      </w:pPr>
      <w:r w:rsidRPr="00D51778">
        <w:rPr>
          <w:lang w:val="ga"/>
        </w:rPr>
        <w:t>Comhlachtaí Rialtais Áitiúil</w:t>
      </w:r>
    </w:p>
    <w:p w14:paraId="11F9FC41" w14:textId="255B5EAF" w:rsidR="00973B13" w:rsidRPr="00D51778" w:rsidRDefault="00973B13" w:rsidP="008E7550">
      <w:pPr>
        <w:pStyle w:val="ListBullet"/>
      </w:pPr>
      <w:r w:rsidRPr="00D51778">
        <w:rPr>
          <w:lang w:val="ga"/>
        </w:rPr>
        <w:t xml:space="preserve">Comhlachtaí Neamhthráchtála </w:t>
      </w:r>
    </w:p>
    <w:p w14:paraId="3E4F04A8" w14:textId="1ADB41C0" w:rsidR="00973B13" w:rsidRPr="00D51778" w:rsidRDefault="00973B13" w:rsidP="008E7550">
      <w:pPr>
        <w:pStyle w:val="ListBullet"/>
        <w:rPr>
          <w:color w:val="000000" w:themeColor="text1"/>
          <w:szCs w:val="26"/>
        </w:rPr>
      </w:pPr>
      <w:r w:rsidRPr="00D51778">
        <w:rPr>
          <w:color w:val="000000" w:themeColor="text1"/>
          <w:szCs w:val="26"/>
          <w:lang w:val="ga"/>
        </w:rPr>
        <w:lastRenderedPageBreak/>
        <w:t>Comhlachtaí Poiblí a bhfuil Státseirbhísigh mar Fhoireann dóibh</w:t>
      </w:r>
    </w:p>
    <w:p w14:paraId="78727FF6" w14:textId="77777777" w:rsidR="00973B13" w:rsidRPr="00D51778" w:rsidRDefault="00973B13" w:rsidP="00973B13">
      <w:pPr>
        <w:pStyle w:val="Heading3"/>
      </w:pPr>
      <w:r w:rsidRPr="00D51778">
        <w:rPr>
          <w:bCs/>
          <w:lang w:val="ga"/>
        </w:rPr>
        <w:t>Comhlachtaí Tráchtála</w:t>
      </w:r>
    </w:p>
    <w:p w14:paraId="507FDA20" w14:textId="499B99BF" w:rsidR="0004646A" w:rsidRPr="00D51778" w:rsidRDefault="00973B13" w:rsidP="0099519F">
      <w:r w:rsidRPr="00D51778">
        <w:rPr>
          <w:lang w:val="ga"/>
        </w:rPr>
        <w:t>Áirítear cuideachtaí iompair agus fuinnimh an Stáit leis an earnáil Comhlachtaí Tráchtála. Sa bhliain 2021, bhí an earnáil seo freagrach as 15.6% d’fhórsa saothair na hearnála poiblí (féach Tábla 5). Tháinig méadú 604 fhostaí ar an líon foriomlán fostaithe idir na blianta 2020 agus 2021, agus é ag ardú go 39,250 fostaí</w:t>
      </w:r>
      <w:r w:rsidR="00ED4DAC">
        <w:rPr>
          <w:lang w:val="ga"/>
        </w:rPr>
        <w:t xml:space="preserve"> </w:t>
      </w:r>
      <w:r w:rsidR="00ED4DAC" w:rsidRPr="00D51778">
        <w:rPr>
          <w:lang w:val="ga"/>
        </w:rPr>
        <w:t>(+1.6%)</w:t>
      </w:r>
      <w:r w:rsidRPr="00D51778">
        <w:rPr>
          <w:lang w:val="ga"/>
        </w:rPr>
        <w:t>. Tháinig méadú 52 fhostaí  ar an líon fostaithe a thuairiscigh míchumas, agus é ag ardú go 1,891 fhostaí</w:t>
      </w:r>
      <w:r w:rsidR="00ED4DAC">
        <w:rPr>
          <w:lang w:val="ga"/>
        </w:rPr>
        <w:t xml:space="preserve"> </w:t>
      </w:r>
      <w:r w:rsidR="00ED4DAC" w:rsidRPr="00D51778">
        <w:rPr>
          <w:lang w:val="ga"/>
        </w:rPr>
        <w:t>(+2.8%)</w:t>
      </w:r>
      <w:r w:rsidRPr="00D51778">
        <w:rPr>
          <w:lang w:val="ga"/>
        </w:rPr>
        <w:t>. Sa bhliain 2021, d’fhan an céatadán d’fhostaithe a bhfuil míchumas orthu i gComhlachtaí Tráchtála ag 4.8%, an céatadán céanna a bhí ann sa bhliain 2020. San iomlán, bhain 96.0% de na comhlachtaí sa chatagóir seo an sprioc amach, ar méadú é i gcomparáid leis an bhfigiúr 84.6% sa bhliain 2020.</w:t>
      </w:r>
    </w:p>
    <w:p w14:paraId="63496FF9" w14:textId="3A1D7F86" w:rsidR="00E53D44" w:rsidRPr="00D51778" w:rsidRDefault="00591F80" w:rsidP="0099519F">
      <w:r w:rsidRPr="00D51778">
        <w:rPr>
          <w:lang w:val="ga"/>
        </w:rPr>
        <w:t>Thuairiscigh Calafort na Gaillimhe faoin gcatagóir seo sa bhliain 2020. Cónascadh an comhlacht seo isteach i gComhairle Cathrach na Gaillimhe sa bhliain 2021 agus ní dhearna sé tuairisceán leithleach Chuid 5 don bhliain 2021. Dá bhrí sin, cailleadh comhlacht phoiblí amháin ón gcatagóir seo.</w:t>
      </w:r>
    </w:p>
    <w:p w14:paraId="3E82C9AE" w14:textId="77777777" w:rsidR="00973B13" w:rsidRPr="00D51778" w:rsidRDefault="00973B13" w:rsidP="00973B13">
      <w:pPr>
        <w:pStyle w:val="Heading3"/>
      </w:pPr>
      <w:r w:rsidRPr="00D51778">
        <w:rPr>
          <w:bCs/>
          <w:lang w:val="ga"/>
        </w:rPr>
        <w:t>Ranna Rialtais</w:t>
      </w:r>
    </w:p>
    <w:p w14:paraId="3DAC91C7" w14:textId="754DA4A4" w:rsidR="00310871" w:rsidRPr="00D51778" w:rsidRDefault="00AC1DDB" w:rsidP="0099519F">
      <w:r w:rsidRPr="00D51778">
        <w:rPr>
          <w:lang w:val="ga"/>
        </w:rPr>
        <w:t>Sa bhliain 2021, bhí fostaithe de chuid Ranna Rialtais freagrach as 9.4% d’fhórsa saothair na hearnála poiblí. Mhéadaigh an líon iomlán fostaithe i Ranna Rialtais ó 23,271 fhostaí sa bhliain 2020 go 23,590 fostaí sa bhliain 2021 (+1.4%). Tháinig méadú 259 nduine ar an líon fostaithe a bhfuil míchumas orthu idir na blianta 2020 agus 2021, agus é ag ardú go 1,427 bhfostaí</w:t>
      </w:r>
      <w:r w:rsidR="00ED4DAC">
        <w:rPr>
          <w:lang w:val="ga"/>
        </w:rPr>
        <w:t xml:space="preserve"> </w:t>
      </w:r>
      <w:r w:rsidR="00ED4DAC" w:rsidRPr="00D51778">
        <w:rPr>
          <w:lang w:val="ga"/>
        </w:rPr>
        <w:t>(+22.2%)</w:t>
      </w:r>
      <w:r w:rsidRPr="00D51778">
        <w:rPr>
          <w:lang w:val="ga"/>
        </w:rPr>
        <w:t>. Mhéadaigh an céatadán d’fhostaithe a thuairiscigh míchumas ó 5.0% sa bhliain 2020 go 6.0% sa bhliain 2021. Sháraigh na Ranna Rialtais uile an íos-sprioc 3% don bhliain 2021 - ba í sin an deichiú bliain as a chéile inar sháraigh na Ranna uile an sprioc.</w:t>
      </w:r>
    </w:p>
    <w:p w14:paraId="57E060A1" w14:textId="42331B56" w:rsidR="00973B13" w:rsidRPr="00D51778" w:rsidRDefault="00973B13" w:rsidP="00973B13">
      <w:pPr>
        <w:pStyle w:val="Heading3"/>
      </w:pPr>
      <w:r w:rsidRPr="00D51778">
        <w:rPr>
          <w:bCs/>
          <w:lang w:val="ga"/>
        </w:rPr>
        <w:t xml:space="preserve">Rialtas Áitiúil </w:t>
      </w:r>
    </w:p>
    <w:p w14:paraId="55E7DF7F" w14:textId="14C8BBDB" w:rsidR="00973B13" w:rsidRPr="00D51778" w:rsidRDefault="00973B13" w:rsidP="0099519F">
      <w:r w:rsidRPr="00D51778">
        <w:rPr>
          <w:lang w:val="ga"/>
        </w:rPr>
        <w:t xml:space="preserve">Áirítear comhairlí cathrach agus contae agus comhlachtaí eile údaráis áitiúil leis an earnáil Rialtais Áitiúil. Sa bhliain 2021, bhí an earnáil seo freagrach as 13.2% d’fhórsa saothair na hearnála poiblí. Tháinig méadú 142 fhostaí ar an líon foriomlán fostaithe idir na blianta 2020 agus 2021, agus é ag ardú go 33,116 fhostaí </w:t>
      </w:r>
      <w:r w:rsidR="00ED4DAC" w:rsidRPr="00D51778">
        <w:rPr>
          <w:lang w:val="ga"/>
        </w:rPr>
        <w:t xml:space="preserve">(+0.4%) </w:t>
      </w:r>
      <w:r w:rsidRPr="00D51778">
        <w:rPr>
          <w:lang w:val="ga"/>
        </w:rPr>
        <w:t>sa bhliain 2021. Tháinig méadú 155 dhuine ar an líon fostaithe a thuairiscigh míchumas, agus é ag méadú ó 1,325 fhostaí go 1,480 fosta</w:t>
      </w:r>
      <w:r w:rsidR="00295761">
        <w:rPr>
          <w:lang w:val="ga"/>
        </w:rPr>
        <w:t xml:space="preserve"> </w:t>
      </w:r>
      <w:r w:rsidR="00295761" w:rsidRPr="00D51778">
        <w:rPr>
          <w:lang w:val="ga"/>
        </w:rPr>
        <w:t xml:space="preserve">(+11.7%) </w:t>
      </w:r>
      <w:r w:rsidRPr="00D51778">
        <w:rPr>
          <w:lang w:val="ga"/>
        </w:rPr>
        <w:t>í sa bhliain 2021. Mhéadaigh an céatadán d’fhostaithe a bhfuil míchumas orthu ar fud na catagóire Rialtais Áitiúil ina hiomláine ó 4.0% sa bhliain 2020 go 4.5% sa bhliain 2021. San iomlán, bhain 94.3% de na comhlachtaí sa chatagóir seo an sprioc amach, ar méadú é ón mbliain 2020, nuair a bhain 91.4% díobh an sprioc amach. Ba iad an dá chomhlacht phoiblí sa chatagóir seo nár bhain an sprioc amach ná dhá thionól réigiúnacha a bhfuil níos lú ná 25 bhall foirne acu.</w:t>
      </w:r>
    </w:p>
    <w:p w14:paraId="3B75F144" w14:textId="77777777" w:rsidR="00973B13" w:rsidRPr="00D51778" w:rsidRDefault="00973B13" w:rsidP="00973B13">
      <w:pPr>
        <w:pStyle w:val="Heading3"/>
      </w:pPr>
      <w:r w:rsidRPr="00D51778">
        <w:rPr>
          <w:bCs/>
          <w:lang w:val="ga"/>
        </w:rPr>
        <w:lastRenderedPageBreak/>
        <w:t>Comhlachtaí Poiblí a bhfuil Státseirbhísigh mar Fhoireann dóibh</w:t>
      </w:r>
    </w:p>
    <w:p w14:paraId="0C33B7F2" w14:textId="3FD6C514" w:rsidR="006941DE" w:rsidRPr="00D51778" w:rsidRDefault="00973B13" w:rsidP="00973B13">
      <w:pPr>
        <w:rPr>
          <w:color w:val="000000" w:themeColor="text1"/>
        </w:rPr>
      </w:pPr>
      <w:r w:rsidRPr="00D51778">
        <w:rPr>
          <w:color w:val="000000" w:themeColor="text1"/>
          <w:lang w:val="ga"/>
        </w:rPr>
        <w:t>Áirítear leis an earnáil seo comhlachtaí a bhfuil a bhfostaithe aicmithe mar státseirbhísigh, amhail na Coimisinéirí Ioncaim, an Phríomh-Oifig Staidrimh, Coimisiún na hÉireann um Chearta an Duine agus Comhionannas agus an Chomhairle Náisiúnta um Oideachas Speisialta. Sa bhliain 2021, bhí gníomhaireachtaí den sórt sin freagrach as 6.6% d’fhórsa saothair na hearnála poiblí. Tháinig laghdú 15 fhostaí ar an líon fostaithe san earnáil seo idir na blianta 2020 agus 2021, agus é ag laghdú go 16,725 fhostaí</w:t>
      </w:r>
      <w:r w:rsidR="00295761">
        <w:rPr>
          <w:color w:val="000000" w:themeColor="text1"/>
          <w:lang w:val="ga"/>
        </w:rPr>
        <w:t xml:space="preserve"> </w:t>
      </w:r>
      <w:r w:rsidR="00295761" w:rsidRPr="00D51778">
        <w:rPr>
          <w:color w:val="000000" w:themeColor="text1"/>
          <w:lang w:val="ga"/>
        </w:rPr>
        <w:t>(-0.1%)</w:t>
      </w:r>
      <w:r w:rsidRPr="00D51778">
        <w:rPr>
          <w:color w:val="000000" w:themeColor="text1"/>
          <w:lang w:val="ga"/>
        </w:rPr>
        <w:t>. Tháinig laghdú seisear fostaithe ar an líon fostaithe a bhfuil míchumas orthu, agus é ag laghdú go 773 fhostaí</w:t>
      </w:r>
      <w:r w:rsidR="00295761">
        <w:rPr>
          <w:color w:val="000000" w:themeColor="text1"/>
          <w:lang w:val="ga"/>
        </w:rPr>
        <w:t xml:space="preserve"> </w:t>
      </w:r>
      <w:r w:rsidR="00295761" w:rsidRPr="00D51778">
        <w:rPr>
          <w:color w:val="000000" w:themeColor="text1"/>
          <w:lang w:val="ga"/>
        </w:rPr>
        <w:t>(-0.8%)</w:t>
      </w:r>
      <w:r w:rsidRPr="00D51778">
        <w:rPr>
          <w:color w:val="000000" w:themeColor="text1"/>
          <w:lang w:val="ga"/>
        </w:rPr>
        <w:t>. Bhí laghdú beag ann sa chéatadán d’fhostaithe a bhfuil míchumas orthu, agus é ag laghdú ó 4.7% sa bhliain 2020 go 4.6% sa bhliain 2021.</w:t>
      </w:r>
      <w:r w:rsidRPr="00D51778">
        <w:rPr>
          <w:lang w:val="ga"/>
        </w:rPr>
        <w:t xml:space="preserve"> </w:t>
      </w:r>
      <w:r w:rsidRPr="00D51778">
        <w:rPr>
          <w:color w:val="000000" w:themeColor="text1"/>
          <w:lang w:val="ga"/>
        </w:rPr>
        <w:t xml:space="preserve">San iomlán, bhain 80.0% de na comhlachtaí san earnáil seo an sprioc amach, ar laghdú é i gcomparáid le 82.5% sa bhliain 2020. </w:t>
      </w:r>
    </w:p>
    <w:p w14:paraId="6D13BD3B" w14:textId="77777777" w:rsidR="00973B13" w:rsidRPr="00D51778" w:rsidRDefault="00973B13" w:rsidP="00973B13">
      <w:pPr>
        <w:pStyle w:val="Heading3"/>
      </w:pPr>
      <w:r w:rsidRPr="00D51778">
        <w:rPr>
          <w:bCs/>
          <w:lang w:val="ga"/>
        </w:rPr>
        <w:t>Comhlachtaí Neamhthráchtála</w:t>
      </w:r>
    </w:p>
    <w:p w14:paraId="294F65BD" w14:textId="02BB2A41" w:rsidR="00973B13" w:rsidRPr="00D51778" w:rsidRDefault="00973B13" w:rsidP="0099519F">
      <w:r w:rsidRPr="00D51778">
        <w:rPr>
          <w:lang w:val="ga"/>
        </w:rPr>
        <w:t>Is gnách gurb é seo an earnáil is mó sa tseirbhís phoiblí toisc go gcuimsíonn sí FSS, atá ar an bhfostóir is mó san earnáil phoiblí. Sa bhliain 2021, bhí an earnáil seo freagrach as beagán níos mó ná leath fhórsa saothair na hearnála poiblí (55.2%). Tháinig méadú 5,312 fhostaí ar an líon fostaithe san earnáil seo idir na blianta 2020 agus 2021, agus é ag ardú go 138,871 fhostaí</w:t>
      </w:r>
      <w:r w:rsidR="00295761">
        <w:rPr>
          <w:lang w:val="ga"/>
        </w:rPr>
        <w:t xml:space="preserve"> </w:t>
      </w:r>
      <w:r w:rsidR="00295761" w:rsidRPr="00D51778">
        <w:rPr>
          <w:lang w:val="ga"/>
        </w:rPr>
        <w:t>(+4.0%)</w:t>
      </w:r>
      <w:r w:rsidRPr="00D51778">
        <w:rPr>
          <w:lang w:val="ga"/>
        </w:rPr>
        <w:t>. Tháinig méadú 914 fhostaí ar an líon fostaithe a bhfuil míchumas orthu, agus é ag ardú go 3,440 fostaí</w:t>
      </w:r>
      <w:r w:rsidR="00295761">
        <w:rPr>
          <w:lang w:val="ga"/>
        </w:rPr>
        <w:t xml:space="preserve"> </w:t>
      </w:r>
      <w:r w:rsidR="00295761" w:rsidRPr="00D51778">
        <w:rPr>
          <w:lang w:val="ga"/>
        </w:rPr>
        <w:t>(+36.2%)</w:t>
      </w:r>
      <w:r w:rsidRPr="00D51778">
        <w:rPr>
          <w:lang w:val="ga"/>
        </w:rPr>
        <w:t>. Bhí méadú beag ann sa chéatadán d’fhostaithe a bhfuil míchumas orthu, agus é ag ardú ó 1.9% sa bhliain 2020 go 2.5% sa bhliain 2021. San iomlán, bhain 83.0% de Chomhlachtaí Neamhthráchtála an sprioc amach, ar méadú é i gcomparáid le 80.0% sa bhliain 2020.</w:t>
      </w:r>
    </w:p>
    <w:p w14:paraId="0CA07241" w14:textId="06C7F4BD" w:rsidR="0000656D" w:rsidRPr="00D51778" w:rsidRDefault="0000656D" w:rsidP="0099519F">
      <w:r w:rsidRPr="00D51778">
        <w:rPr>
          <w:lang w:val="ga"/>
        </w:rPr>
        <w:t>Sa bhliain 2021, tháinig na hathruithe seo a leanas ar chatagóir na gComhlachtaí Neamhthráchtála:</w:t>
      </w:r>
    </w:p>
    <w:p w14:paraId="39CB9E74" w14:textId="059DE120" w:rsidR="0000656D" w:rsidRPr="00D51778" w:rsidRDefault="0000656D" w:rsidP="0099519F">
      <w:pPr>
        <w:pStyle w:val="ListBullet"/>
        <w:rPr>
          <w:rFonts w:ascii="Calibri" w:hAnsi="Calibri"/>
          <w:sz w:val="22"/>
          <w:szCs w:val="22"/>
        </w:rPr>
      </w:pPr>
      <w:r w:rsidRPr="00D51778">
        <w:rPr>
          <w:lang w:val="ga"/>
        </w:rPr>
        <w:t>Chumaisc Institiúid Teicneolaíochta Bhaile Átha Luain agus Institiúid Teicneolaíochta Luimnigh chun Ollscoil Teicneolaíochta na Sionainne (TUS) a chruthú – Thuairiscigh dhá chomhlacht phoiblí anois mar chomhlacht poiblí amháin</w:t>
      </w:r>
    </w:p>
    <w:p w14:paraId="669C62CA" w14:textId="3CA6F1F1" w:rsidR="0000656D" w:rsidRPr="00D51778" w:rsidRDefault="0000656D" w:rsidP="0099519F">
      <w:pPr>
        <w:pStyle w:val="ListBullet"/>
      </w:pPr>
      <w:r w:rsidRPr="00D51778">
        <w:rPr>
          <w:lang w:val="ga"/>
        </w:rPr>
        <w:t>Chumaisc Institiúid Teicneolaíochta Chorcaí agus Institiúid Teicneolaíochta, Trá Lí, chun Ollscoil Teicneolaíochta na Mumhan (MTU) a chruthú – Thuairiscigh dhá chomhlacht phoiblí anois mar chomhlacht poiblí amháin</w:t>
      </w:r>
      <w:r w:rsidR="0099519F">
        <w:rPr>
          <w:lang w:val="ga"/>
        </w:rPr>
        <w:t>.</w:t>
      </w:r>
    </w:p>
    <w:p w14:paraId="54C4EF26" w14:textId="77777777" w:rsidR="003C56EF" w:rsidRPr="00D51778" w:rsidRDefault="003C56EF" w:rsidP="003C56EF">
      <w:pPr>
        <w:spacing w:after="0"/>
        <w:rPr>
          <w:color w:val="000000"/>
        </w:rPr>
      </w:pPr>
    </w:p>
    <w:p w14:paraId="4D235BC6" w14:textId="08B7CF1E" w:rsidR="00F51FA6" w:rsidRPr="00D51778" w:rsidRDefault="003C56EF" w:rsidP="0099519F">
      <w:r w:rsidRPr="00D51778">
        <w:rPr>
          <w:lang w:val="ga"/>
        </w:rPr>
        <w:t xml:space="preserve">Cailleadh dhá chomhlacht phoiblí ón gcatagóir seo ar dtús. Chuaigh comhlacht poiblí nua darb ainm Údarás Rialála na gComhlachtaí Tithíochta Ceadaithe (AHBRA) isteach sa chatagóir seo sa bhliain 2021, áfach. Dá bhrí sin, níor cailleadh ach comhlacht poiblí amháin ón gcatagóir seo. </w:t>
      </w:r>
    </w:p>
    <w:p w14:paraId="65FECD50" w14:textId="12AC25DE" w:rsidR="00973B13" w:rsidRPr="00D51778" w:rsidRDefault="00961DC1" w:rsidP="00150F8A">
      <w:pPr>
        <w:pStyle w:val="TableTitle"/>
      </w:pPr>
      <w:r w:rsidRPr="00D51778">
        <w:rPr>
          <w:bCs/>
          <w:lang w:val="ga"/>
        </w:rPr>
        <w:lastRenderedPageBreak/>
        <w:t>Tábla 5. Sonraí de réir chineál an chomhlachta phoiblí, 2020 agus 2021</w:t>
      </w:r>
    </w:p>
    <w:tbl>
      <w:tblPr>
        <w:tblpPr w:leftFromText="180" w:rightFromText="180" w:vertAnchor="text" w:horzAnchor="margin" w:tblpXSpec="center" w:tblpY="92"/>
        <w:tblW w:w="107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220" w:firstRow="1" w:lastRow="0" w:firstColumn="0" w:lastColumn="0" w:noHBand="1" w:noVBand="0"/>
      </w:tblPr>
      <w:tblGrid>
        <w:gridCol w:w="1828"/>
        <w:gridCol w:w="1559"/>
        <w:gridCol w:w="1418"/>
        <w:gridCol w:w="1559"/>
        <w:gridCol w:w="1512"/>
        <w:gridCol w:w="1276"/>
        <w:gridCol w:w="1564"/>
      </w:tblGrid>
      <w:tr w:rsidR="00FE708A" w:rsidRPr="00D51778" w14:paraId="59BC7093" w14:textId="40875BC9" w:rsidTr="0046554A">
        <w:trPr>
          <w:cantSplit/>
          <w:tblHeader/>
        </w:trPr>
        <w:tc>
          <w:tcPr>
            <w:tcW w:w="1828" w:type="dxa"/>
            <w:tcBorders>
              <w:bottom w:val="single" w:sz="12" w:space="0" w:color="000000"/>
            </w:tcBorders>
          </w:tcPr>
          <w:p w14:paraId="7B17651A" w14:textId="77777777" w:rsidR="00FE708A" w:rsidRPr="00D51778" w:rsidRDefault="00FE708A" w:rsidP="00AD2F28">
            <w:pPr>
              <w:keepNext/>
              <w:spacing w:after="0"/>
              <w:rPr>
                <w:b/>
                <w:color w:val="000000"/>
                <w:sz w:val="22"/>
                <w:szCs w:val="22"/>
              </w:rPr>
            </w:pPr>
            <w:r w:rsidRPr="00D51778">
              <w:rPr>
                <w:b/>
                <w:bCs/>
                <w:color w:val="000000"/>
                <w:sz w:val="22"/>
                <w:szCs w:val="22"/>
                <w:lang w:val="ga"/>
              </w:rPr>
              <w:t>An cineál comhlachta earnála poiblí</w:t>
            </w:r>
          </w:p>
        </w:tc>
        <w:tc>
          <w:tcPr>
            <w:tcW w:w="1559" w:type="dxa"/>
            <w:tcBorders>
              <w:bottom w:val="single" w:sz="12" w:space="0" w:color="000000"/>
            </w:tcBorders>
          </w:tcPr>
          <w:p w14:paraId="4B8E9DFD" w14:textId="77777777" w:rsidR="00FE708A" w:rsidRPr="00D51778" w:rsidRDefault="00FE708A" w:rsidP="00AD2F28">
            <w:pPr>
              <w:keepNext/>
              <w:spacing w:after="0"/>
              <w:rPr>
                <w:b/>
                <w:color w:val="000000"/>
                <w:sz w:val="22"/>
                <w:szCs w:val="22"/>
              </w:rPr>
            </w:pPr>
            <w:r w:rsidRPr="00D51778">
              <w:rPr>
                <w:b/>
                <w:bCs/>
                <w:color w:val="000000"/>
                <w:sz w:val="22"/>
                <w:szCs w:val="22"/>
                <w:lang w:val="ga"/>
              </w:rPr>
              <w:t>Iomlán na bhfostaithe</w:t>
            </w:r>
          </w:p>
        </w:tc>
        <w:tc>
          <w:tcPr>
            <w:tcW w:w="1418" w:type="dxa"/>
            <w:tcBorders>
              <w:bottom w:val="single" w:sz="12" w:space="0" w:color="000000"/>
            </w:tcBorders>
          </w:tcPr>
          <w:p w14:paraId="394FE361" w14:textId="797B592F" w:rsidR="00FE708A" w:rsidRPr="00D51778" w:rsidRDefault="003C02A5" w:rsidP="00AD2F28">
            <w:pPr>
              <w:keepNext/>
              <w:spacing w:after="0"/>
              <w:rPr>
                <w:b/>
                <w:color w:val="000000"/>
                <w:sz w:val="22"/>
                <w:szCs w:val="22"/>
              </w:rPr>
            </w:pPr>
            <w:r w:rsidRPr="00D51778">
              <w:rPr>
                <w:b/>
                <w:bCs/>
                <w:color w:val="000000"/>
                <w:sz w:val="22"/>
                <w:szCs w:val="22"/>
                <w:lang w:val="ga"/>
              </w:rPr>
              <w:t>An líon fostaithe a thuairiscigh míchumas</w:t>
            </w:r>
          </w:p>
        </w:tc>
        <w:tc>
          <w:tcPr>
            <w:tcW w:w="1559" w:type="dxa"/>
            <w:tcBorders>
              <w:bottom w:val="single" w:sz="12" w:space="0" w:color="000000"/>
            </w:tcBorders>
          </w:tcPr>
          <w:p w14:paraId="48D2CC5D" w14:textId="11C3F173" w:rsidR="00FE708A" w:rsidRPr="00D51778" w:rsidRDefault="003C02A5" w:rsidP="00AD2F28">
            <w:pPr>
              <w:keepNext/>
              <w:spacing w:after="0"/>
              <w:rPr>
                <w:b/>
                <w:color w:val="000000"/>
                <w:sz w:val="22"/>
                <w:szCs w:val="22"/>
              </w:rPr>
            </w:pPr>
            <w:r w:rsidRPr="00D51778">
              <w:rPr>
                <w:b/>
                <w:bCs/>
                <w:color w:val="000000"/>
                <w:sz w:val="22"/>
                <w:szCs w:val="22"/>
                <w:lang w:val="ga"/>
              </w:rPr>
              <w:t>An % d’fhostaithe a thuairiscigh míchumas</w:t>
            </w:r>
          </w:p>
        </w:tc>
        <w:tc>
          <w:tcPr>
            <w:tcW w:w="1512" w:type="dxa"/>
            <w:tcBorders>
              <w:bottom w:val="single" w:sz="12" w:space="0" w:color="000000"/>
            </w:tcBorders>
          </w:tcPr>
          <w:p w14:paraId="59F6FA9A" w14:textId="77777777" w:rsidR="00FE708A" w:rsidRPr="0046554A" w:rsidRDefault="00FE708A" w:rsidP="00AD2F28">
            <w:pPr>
              <w:keepNext/>
              <w:spacing w:after="0"/>
              <w:rPr>
                <w:b/>
                <w:color w:val="000000"/>
                <w:sz w:val="22"/>
                <w:szCs w:val="22"/>
              </w:rPr>
            </w:pPr>
            <w:r w:rsidRPr="0046554A">
              <w:rPr>
                <w:b/>
                <w:bCs/>
                <w:color w:val="000000"/>
                <w:sz w:val="22"/>
                <w:szCs w:val="22"/>
                <w:lang w:val="ga"/>
              </w:rPr>
              <w:t>An % d’iomlán an fhórsa saothair ar tuairiscíodh air faoi Chuid 5</w:t>
            </w:r>
          </w:p>
        </w:tc>
        <w:tc>
          <w:tcPr>
            <w:tcW w:w="1276" w:type="dxa"/>
            <w:tcBorders>
              <w:bottom w:val="single" w:sz="12" w:space="0" w:color="000000"/>
            </w:tcBorders>
          </w:tcPr>
          <w:p w14:paraId="72F8D895" w14:textId="77777777" w:rsidR="00FE708A" w:rsidRPr="007403D9" w:rsidRDefault="00FE708A" w:rsidP="00AD2F28">
            <w:pPr>
              <w:keepNext/>
              <w:spacing w:after="0"/>
              <w:rPr>
                <w:b/>
                <w:color w:val="000000"/>
                <w:sz w:val="22"/>
                <w:szCs w:val="22"/>
              </w:rPr>
            </w:pPr>
            <w:r w:rsidRPr="007403D9">
              <w:rPr>
                <w:b/>
                <w:bCs/>
                <w:color w:val="000000"/>
                <w:sz w:val="22"/>
                <w:szCs w:val="22"/>
                <w:lang w:val="ga"/>
              </w:rPr>
              <w:t>An % de chomhlachtaí a bhain an sprioc amach</w:t>
            </w:r>
          </w:p>
        </w:tc>
        <w:tc>
          <w:tcPr>
            <w:tcW w:w="1564" w:type="dxa"/>
            <w:tcBorders>
              <w:bottom w:val="single" w:sz="12" w:space="0" w:color="000000"/>
            </w:tcBorders>
          </w:tcPr>
          <w:p w14:paraId="4F99C8E2" w14:textId="77777777" w:rsidR="00FE708A" w:rsidRPr="00D51778" w:rsidRDefault="00FE708A" w:rsidP="00AD2F28">
            <w:pPr>
              <w:keepNext/>
              <w:spacing w:after="0"/>
              <w:rPr>
                <w:b/>
                <w:color w:val="000000"/>
                <w:sz w:val="22"/>
                <w:szCs w:val="22"/>
              </w:rPr>
            </w:pPr>
            <w:r w:rsidRPr="00D51778">
              <w:rPr>
                <w:b/>
                <w:bCs/>
                <w:color w:val="000000"/>
                <w:sz w:val="22"/>
                <w:szCs w:val="22"/>
                <w:lang w:val="ga"/>
              </w:rPr>
              <w:t>An líon comhlachtaí poiblí</w:t>
            </w:r>
          </w:p>
        </w:tc>
      </w:tr>
      <w:tr w:rsidR="00FE708A" w:rsidRPr="00D51778" w14:paraId="25FA285B" w14:textId="56D322D2" w:rsidTr="0046554A">
        <w:trPr>
          <w:trHeight w:val="233"/>
        </w:trPr>
        <w:tc>
          <w:tcPr>
            <w:tcW w:w="1828" w:type="dxa"/>
          </w:tcPr>
          <w:p w14:paraId="2D379584" w14:textId="44350F40" w:rsidR="00FE708A" w:rsidRPr="00D51778" w:rsidRDefault="00522ECC" w:rsidP="00AD2F28">
            <w:pPr>
              <w:keepNext/>
              <w:spacing w:after="0"/>
              <w:rPr>
                <w:b/>
                <w:color w:val="000000"/>
                <w:sz w:val="22"/>
                <w:szCs w:val="22"/>
              </w:rPr>
            </w:pPr>
            <w:r w:rsidRPr="00D51778">
              <w:rPr>
                <w:b/>
                <w:bCs/>
                <w:color w:val="000000"/>
                <w:sz w:val="22"/>
                <w:szCs w:val="22"/>
                <w:lang w:val="ga"/>
              </w:rPr>
              <w:t>Comhlacht Tráchtála 2021</w:t>
            </w:r>
          </w:p>
        </w:tc>
        <w:tc>
          <w:tcPr>
            <w:tcW w:w="1559" w:type="dxa"/>
          </w:tcPr>
          <w:p w14:paraId="7D9FF051" w14:textId="3D7FBA69" w:rsidR="00FE708A" w:rsidRPr="00D51778" w:rsidRDefault="00522ECC" w:rsidP="004B6A85">
            <w:pPr>
              <w:spacing w:after="0"/>
              <w:jc w:val="right"/>
              <w:rPr>
                <w:rFonts w:cs="Arial"/>
                <w:bCs/>
                <w:color w:val="000000"/>
                <w:sz w:val="22"/>
                <w:szCs w:val="22"/>
              </w:rPr>
            </w:pPr>
            <w:r w:rsidRPr="00D51778">
              <w:rPr>
                <w:rFonts w:cs="Arial"/>
                <w:color w:val="000000"/>
                <w:sz w:val="22"/>
                <w:szCs w:val="22"/>
                <w:lang w:val="ga"/>
              </w:rPr>
              <w:t>39,250</w:t>
            </w:r>
          </w:p>
        </w:tc>
        <w:tc>
          <w:tcPr>
            <w:tcW w:w="1418" w:type="dxa"/>
          </w:tcPr>
          <w:p w14:paraId="7BD35D5E" w14:textId="7C104403" w:rsidR="00FE708A" w:rsidRPr="00D51778" w:rsidRDefault="00522ECC" w:rsidP="00AD2F28">
            <w:pPr>
              <w:spacing w:after="0"/>
              <w:jc w:val="right"/>
              <w:rPr>
                <w:rFonts w:cs="Arial"/>
                <w:bCs/>
                <w:color w:val="000000"/>
                <w:sz w:val="22"/>
                <w:szCs w:val="22"/>
              </w:rPr>
            </w:pPr>
            <w:r w:rsidRPr="00D51778">
              <w:rPr>
                <w:rFonts w:cs="Arial"/>
                <w:color w:val="000000"/>
                <w:sz w:val="22"/>
                <w:szCs w:val="22"/>
                <w:lang w:val="ga"/>
              </w:rPr>
              <w:t>1,891</w:t>
            </w:r>
          </w:p>
        </w:tc>
        <w:tc>
          <w:tcPr>
            <w:tcW w:w="1559" w:type="dxa"/>
          </w:tcPr>
          <w:p w14:paraId="76B1C86B" w14:textId="731834A4" w:rsidR="00FE708A" w:rsidRPr="00D51778" w:rsidRDefault="00522ECC" w:rsidP="00AD2F28">
            <w:pPr>
              <w:keepNext/>
              <w:spacing w:after="0"/>
              <w:jc w:val="right"/>
              <w:rPr>
                <w:color w:val="000000"/>
                <w:sz w:val="22"/>
                <w:szCs w:val="22"/>
              </w:rPr>
            </w:pPr>
            <w:r w:rsidRPr="00D51778">
              <w:rPr>
                <w:color w:val="000000"/>
                <w:sz w:val="22"/>
                <w:szCs w:val="22"/>
                <w:lang w:val="ga"/>
              </w:rPr>
              <w:t>4.8%</w:t>
            </w:r>
          </w:p>
        </w:tc>
        <w:tc>
          <w:tcPr>
            <w:tcW w:w="1512" w:type="dxa"/>
          </w:tcPr>
          <w:p w14:paraId="1D62B905" w14:textId="4A4C0036" w:rsidR="00FE708A" w:rsidRPr="00D51778" w:rsidRDefault="00522ECC" w:rsidP="00AD2F28">
            <w:pPr>
              <w:spacing w:after="0"/>
              <w:jc w:val="right"/>
              <w:rPr>
                <w:rFonts w:cs="Arial"/>
                <w:bCs/>
                <w:color w:val="000000"/>
                <w:sz w:val="22"/>
                <w:szCs w:val="22"/>
              </w:rPr>
            </w:pPr>
            <w:r w:rsidRPr="00D51778">
              <w:rPr>
                <w:rFonts w:cs="Arial"/>
                <w:color w:val="000000"/>
                <w:sz w:val="22"/>
                <w:szCs w:val="22"/>
                <w:lang w:val="ga"/>
              </w:rPr>
              <w:t>15.6%</w:t>
            </w:r>
          </w:p>
        </w:tc>
        <w:tc>
          <w:tcPr>
            <w:tcW w:w="1276" w:type="dxa"/>
          </w:tcPr>
          <w:p w14:paraId="6F60A9F0" w14:textId="07C2FB35" w:rsidR="00FE708A" w:rsidRPr="00D51778" w:rsidRDefault="00522ECC" w:rsidP="00AD2F28">
            <w:pPr>
              <w:spacing w:after="0"/>
              <w:jc w:val="right"/>
              <w:rPr>
                <w:rFonts w:cs="Arial"/>
                <w:bCs/>
                <w:color w:val="000000"/>
                <w:sz w:val="22"/>
                <w:szCs w:val="22"/>
              </w:rPr>
            </w:pPr>
            <w:r w:rsidRPr="00D51778">
              <w:rPr>
                <w:rFonts w:cs="Arial"/>
                <w:color w:val="000000"/>
                <w:sz w:val="22"/>
                <w:szCs w:val="22"/>
                <w:lang w:val="ga"/>
              </w:rPr>
              <w:t>96.0%</w:t>
            </w:r>
          </w:p>
        </w:tc>
        <w:tc>
          <w:tcPr>
            <w:tcW w:w="1564" w:type="dxa"/>
          </w:tcPr>
          <w:p w14:paraId="6A645412" w14:textId="63F1A9C3" w:rsidR="00FE708A" w:rsidRPr="00D51778" w:rsidRDefault="00522ECC" w:rsidP="00AD2F28">
            <w:pPr>
              <w:keepNext/>
              <w:spacing w:after="0"/>
              <w:jc w:val="right"/>
              <w:rPr>
                <w:color w:val="000000"/>
                <w:sz w:val="22"/>
                <w:szCs w:val="22"/>
              </w:rPr>
            </w:pPr>
            <w:r w:rsidRPr="00D51778">
              <w:rPr>
                <w:color w:val="000000"/>
                <w:sz w:val="22"/>
                <w:szCs w:val="22"/>
                <w:lang w:val="ga"/>
              </w:rPr>
              <w:t>25</w:t>
            </w:r>
          </w:p>
        </w:tc>
      </w:tr>
      <w:tr w:rsidR="00FE708A" w:rsidRPr="00D51778" w14:paraId="09E2EE11" w14:textId="7717CC97" w:rsidTr="0046554A">
        <w:tc>
          <w:tcPr>
            <w:tcW w:w="1828" w:type="dxa"/>
          </w:tcPr>
          <w:p w14:paraId="08EB0188" w14:textId="35034D93" w:rsidR="00FE708A" w:rsidRPr="00D51778" w:rsidRDefault="00522ECC" w:rsidP="00AD2F28">
            <w:pPr>
              <w:keepNext/>
              <w:spacing w:after="0"/>
              <w:rPr>
                <w:b/>
                <w:color w:val="000000"/>
                <w:sz w:val="22"/>
                <w:szCs w:val="22"/>
              </w:rPr>
            </w:pPr>
            <w:r w:rsidRPr="00D51778">
              <w:rPr>
                <w:b/>
                <w:bCs/>
                <w:color w:val="000000"/>
                <w:sz w:val="22"/>
                <w:szCs w:val="22"/>
                <w:lang w:val="ga"/>
              </w:rPr>
              <w:t>Comhlacht Tráchtála 2020</w:t>
            </w:r>
          </w:p>
        </w:tc>
        <w:tc>
          <w:tcPr>
            <w:tcW w:w="1559" w:type="dxa"/>
          </w:tcPr>
          <w:p w14:paraId="1C329662" w14:textId="6BE1166B" w:rsidR="00FE708A" w:rsidRPr="00D51778" w:rsidRDefault="00522ECC" w:rsidP="00AD2F28">
            <w:pPr>
              <w:spacing w:after="0"/>
              <w:jc w:val="right"/>
              <w:rPr>
                <w:color w:val="000000"/>
                <w:sz w:val="22"/>
                <w:szCs w:val="22"/>
              </w:rPr>
            </w:pPr>
            <w:r w:rsidRPr="00D51778">
              <w:rPr>
                <w:color w:val="000000"/>
                <w:sz w:val="22"/>
                <w:szCs w:val="22"/>
                <w:lang w:val="ga"/>
              </w:rPr>
              <w:t>38,646</w:t>
            </w:r>
          </w:p>
        </w:tc>
        <w:tc>
          <w:tcPr>
            <w:tcW w:w="1418" w:type="dxa"/>
          </w:tcPr>
          <w:p w14:paraId="5BBFEAF7" w14:textId="707419E2" w:rsidR="00FE708A" w:rsidRPr="00D51778" w:rsidRDefault="00522ECC" w:rsidP="00AD2F28">
            <w:pPr>
              <w:spacing w:after="0"/>
              <w:jc w:val="right"/>
              <w:rPr>
                <w:color w:val="000000"/>
                <w:sz w:val="22"/>
                <w:szCs w:val="22"/>
              </w:rPr>
            </w:pPr>
            <w:r w:rsidRPr="00D51778">
              <w:rPr>
                <w:color w:val="000000"/>
                <w:sz w:val="22"/>
                <w:szCs w:val="22"/>
                <w:lang w:val="ga"/>
              </w:rPr>
              <w:t>1,839</w:t>
            </w:r>
          </w:p>
        </w:tc>
        <w:tc>
          <w:tcPr>
            <w:tcW w:w="1559" w:type="dxa"/>
          </w:tcPr>
          <w:p w14:paraId="6CA5FCDD" w14:textId="32A6E34B" w:rsidR="00FE708A" w:rsidRPr="00D51778" w:rsidRDefault="00522ECC" w:rsidP="00AD2F28">
            <w:pPr>
              <w:keepNext/>
              <w:spacing w:after="0"/>
              <w:jc w:val="right"/>
              <w:rPr>
                <w:color w:val="000000"/>
                <w:sz w:val="22"/>
                <w:szCs w:val="22"/>
              </w:rPr>
            </w:pPr>
            <w:r w:rsidRPr="00D51778">
              <w:rPr>
                <w:color w:val="000000"/>
                <w:sz w:val="22"/>
                <w:szCs w:val="22"/>
                <w:lang w:val="ga"/>
              </w:rPr>
              <w:t>4.8%</w:t>
            </w:r>
          </w:p>
        </w:tc>
        <w:tc>
          <w:tcPr>
            <w:tcW w:w="1512" w:type="dxa"/>
          </w:tcPr>
          <w:p w14:paraId="36E2A325" w14:textId="61D3D3F6" w:rsidR="00FE708A" w:rsidRPr="00D51778" w:rsidRDefault="00522ECC" w:rsidP="00AD2F28">
            <w:pPr>
              <w:spacing w:after="0"/>
              <w:jc w:val="right"/>
              <w:rPr>
                <w:rFonts w:cs="Arial"/>
                <w:bCs/>
                <w:color w:val="000000"/>
                <w:sz w:val="22"/>
                <w:szCs w:val="22"/>
              </w:rPr>
            </w:pPr>
            <w:r w:rsidRPr="00D51778">
              <w:rPr>
                <w:rFonts w:cs="Arial"/>
                <w:color w:val="000000"/>
                <w:sz w:val="22"/>
                <w:szCs w:val="22"/>
                <w:lang w:val="ga"/>
              </w:rPr>
              <w:t>15.8%</w:t>
            </w:r>
          </w:p>
        </w:tc>
        <w:tc>
          <w:tcPr>
            <w:tcW w:w="1276" w:type="dxa"/>
          </w:tcPr>
          <w:p w14:paraId="2F999BD5" w14:textId="7130A893" w:rsidR="00FE708A" w:rsidRPr="00D51778" w:rsidRDefault="00522ECC" w:rsidP="00AD2F28">
            <w:pPr>
              <w:spacing w:after="0"/>
              <w:jc w:val="right"/>
              <w:rPr>
                <w:rFonts w:cs="Arial"/>
                <w:bCs/>
                <w:color w:val="000000"/>
                <w:sz w:val="22"/>
                <w:szCs w:val="22"/>
              </w:rPr>
            </w:pPr>
            <w:r w:rsidRPr="00D51778">
              <w:rPr>
                <w:rFonts w:cs="Arial"/>
                <w:color w:val="000000"/>
                <w:sz w:val="22"/>
                <w:szCs w:val="22"/>
                <w:lang w:val="ga"/>
              </w:rPr>
              <w:t>84.6%</w:t>
            </w:r>
          </w:p>
        </w:tc>
        <w:tc>
          <w:tcPr>
            <w:tcW w:w="1564" w:type="dxa"/>
          </w:tcPr>
          <w:p w14:paraId="32FC089B" w14:textId="34158E3F" w:rsidR="00FE708A" w:rsidRPr="00D51778" w:rsidRDefault="00FE708A" w:rsidP="00AD2F28">
            <w:pPr>
              <w:keepNext/>
              <w:spacing w:after="0"/>
              <w:jc w:val="right"/>
              <w:rPr>
                <w:color w:val="000000"/>
                <w:sz w:val="22"/>
                <w:szCs w:val="22"/>
              </w:rPr>
            </w:pPr>
            <w:r w:rsidRPr="00D51778">
              <w:rPr>
                <w:color w:val="000000"/>
                <w:sz w:val="22"/>
                <w:szCs w:val="22"/>
                <w:lang w:val="ga"/>
              </w:rPr>
              <w:t>26</w:t>
            </w:r>
          </w:p>
        </w:tc>
      </w:tr>
      <w:tr w:rsidR="00FE708A" w:rsidRPr="00D51778" w14:paraId="0988A656" w14:textId="06AACBCA" w:rsidTr="0046554A">
        <w:tc>
          <w:tcPr>
            <w:tcW w:w="1828" w:type="dxa"/>
            <w:tcBorders>
              <w:bottom w:val="single" w:sz="6" w:space="0" w:color="000000"/>
            </w:tcBorders>
            <w:shd w:val="clear" w:color="auto" w:fill="E7E6E6" w:themeFill="background2"/>
          </w:tcPr>
          <w:p w14:paraId="61D3A7CA" w14:textId="55B8F8A7" w:rsidR="00FE708A" w:rsidRPr="00D51778" w:rsidRDefault="00FE708A" w:rsidP="00214048">
            <w:pPr>
              <w:keepNext/>
              <w:spacing w:after="0"/>
              <w:rPr>
                <w:b/>
                <w:color w:val="000000"/>
                <w:sz w:val="22"/>
                <w:szCs w:val="22"/>
              </w:rPr>
            </w:pPr>
            <w:r w:rsidRPr="00D51778">
              <w:rPr>
                <w:b/>
                <w:bCs/>
                <w:color w:val="000000"/>
                <w:sz w:val="22"/>
                <w:szCs w:val="22"/>
                <w:lang w:val="ga"/>
              </w:rPr>
              <w:t>Athrú 2020/2021</w:t>
            </w:r>
          </w:p>
        </w:tc>
        <w:tc>
          <w:tcPr>
            <w:tcW w:w="1559" w:type="dxa"/>
            <w:shd w:val="clear" w:color="auto" w:fill="E7E6E6" w:themeFill="background2"/>
          </w:tcPr>
          <w:p w14:paraId="0FD8D145" w14:textId="070F187E" w:rsidR="00FE708A" w:rsidRPr="00D51778" w:rsidRDefault="00522ECC" w:rsidP="00AD2F28">
            <w:pPr>
              <w:keepNext/>
              <w:spacing w:after="0"/>
              <w:jc w:val="right"/>
              <w:rPr>
                <w:b/>
                <w:color w:val="000000"/>
                <w:sz w:val="22"/>
                <w:szCs w:val="22"/>
              </w:rPr>
            </w:pPr>
            <w:r w:rsidRPr="00D51778">
              <w:rPr>
                <w:b/>
                <w:bCs/>
                <w:color w:val="000000"/>
                <w:sz w:val="22"/>
                <w:szCs w:val="22"/>
                <w:lang w:val="ga"/>
              </w:rPr>
              <w:t>+604</w:t>
            </w:r>
          </w:p>
        </w:tc>
        <w:tc>
          <w:tcPr>
            <w:tcW w:w="1418" w:type="dxa"/>
            <w:shd w:val="clear" w:color="auto" w:fill="E7E6E6" w:themeFill="background2"/>
          </w:tcPr>
          <w:p w14:paraId="0BE0F23A" w14:textId="0A706E33" w:rsidR="00FE708A" w:rsidRPr="00D51778" w:rsidRDefault="00522ECC" w:rsidP="00AD2F28">
            <w:pPr>
              <w:keepNext/>
              <w:spacing w:after="0"/>
              <w:jc w:val="right"/>
              <w:rPr>
                <w:b/>
                <w:color w:val="000000"/>
                <w:sz w:val="22"/>
                <w:szCs w:val="22"/>
              </w:rPr>
            </w:pPr>
            <w:r w:rsidRPr="00D51778">
              <w:rPr>
                <w:b/>
                <w:bCs/>
                <w:color w:val="000000"/>
                <w:sz w:val="22"/>
                <w:szCs w:val="22"/>
                <w:lang w:val="ga"/>
              </w:rPr>
              <w:t>+52</w:t>
            </w:r>
          </w:p>
        </w:tc>
        <w:tc>
          <w:tcPr>
            <w:tcW w:w="1559" w:type="dxa"/>
            <w:shd w:val="clear" w:color="auto" w:fill="E7E6E6" w:themeFill="background2"/>
          </w:tcPr>
          <w:p w14:paraId="4FB94A59" w14:textId="27C1092B" w:rsidR="00FE708A" w:rsidRPr="00D51778" w:rsidRDefault="00522ECC" w:rsidP="00AD2F28">
            <w:pPr>
              <w:keepNext/>
              <w:spacing w:after="0"/>
              <w:jc w:val="right"/>
              <w:rPr>
                <w:b/>
                <w:color w:val="000000"/>
                <w:sz w:val="22"/>
                <w:szCs w:val="22"/>
              </w:rPr>
            </w:pPr>
            <w:r w:rsidRPr="00D51778">
              <w:rPr>
                <w:b/>
                <w:bCs/>
                <w:color w:val="000000"/>
                <w:sz w:val="22"/>
                <w:szCs w:val="22"/>
                <w:lang w:val="ga"/>
              </w:rPr>
              <w:t>0%</w:t>
            </w:r>
          </w:p>
        </w:tc>
        <w:tc>
          <w:tcPr>
            <w:tcW w:w="1512" w:type="dxa"/>
            <w:shd w:val="clear" w:color="auto" w:fill="E7E6E6" w:themeFill="background2"/>
          </w:tcPr>
          <w:p w14:paraId="126629C7" w14:textId="00314692" w:rsidR="00FE708A" w:rsidRPr="00D51778" w:rsidRDefault="00522ECC" w:rsidP="00AD2F28">
            <w:pPr>
              <w:keepNext/>
              <w:spacing w:after="0"/>
              <w:jc w:val="right"/>
              <w:rPr>
                <w:b/>
                <w:color w:val="000000"/>
                <w:sz w:val="22"/>
                <w:szCs w:val="22"/>
              </w:rPr>
            </w:pPr>
            <w:r w:rsidRPr="00D51778">
              <w:rPr>
                <w:b/>
                <w:bCs/>
                <w:color w:val="000000"/>
                <w:sz w:val="22"/>
                <w:szCs w:val="22"/>
                <w:lang w:val="ga"/>
              </w:rPr>
              <w:t>-0.2%</w:t>
            </w:r>
          </w:p>
        </w:tc>
        <w:tc>
          <w:tcPr>
            <w:tcW w:w="1276" w:type="dxa"/>
            <w:shd w:val="clear" w:color="auto" w:fill="E7E6E6" w:themeFill="background2"/>
          </w:tcPr>
          <w:p w14:paraId="745D6AEA" w14:textId="516836E6" w:rsidR="00FE708A" w:rsidRPr="00D51778" w:rsidRDefault="008660B8" w:rsidP="00AD2F28">
            <w:pPr>
              <w:keepNext/>
              <w:spacing w:after="0"/>
              <w:jc w:val="right"/>
              <w:rPr>
                <w:b/>
                <w:color w:val="000000"/>
                <w:sz w:val="22"/>
                <w:szCs w:val="22"/>
              </w:rPr>
            </w:pPr>
            <w:r w:rsidRPr="00D51778">
              <w:rPr>
                <w:b/>
                <w:bCs/>
                <w:color w:val="000000"/>
                <w:sz w:val="22"/>
                <w:szCs w:val="22"/>
                <w:lang w:val="ga"/>
              </w:rPr>
              <w:t>11.4%</w:t>
            </w:r>
          </w:p>
        </w:tc>
        <w:tc>
          <w:tcPr>
            <w:tcW w:w="1564" w:type="dxa"/>
            <w:shd w:val="clear" w:color="auto" w:fill="E7E6E6" w:themeFill="background2"/>
          </w:tcPr>
          <w:p w14:paraId="3EDB98FB" w14:textId="0C587189" w:rsidR="00FE708A" w:rsidRPr="00D51778" w:rsidRDefault="00522ECC" w:rsidP="00AD2F28">
            <w:pPr>
              <w:keepNext/>
              <w:spacing w:after="0"/>
              <w:jc w:val="right"/>
              <w:rPr>
                <w:b/>
                <w:color w:val="000000"/>
                <w:sz w:val="22"/>
                <w:szCs w:val="22"/>
              </w:rPr>
            </w:pPr>
            <w:r w:rsidRPr="00D51778">
              <w:rPr>
                <w:b/>
                <w:bCs/>
                <w:color w:val="000000"/>
                <w:sz w:val="22"/>
                <w:szCs w:val="22"/>
                <w:lang w:val="ga"/>
              </w:rPr>
              <w:t>-1</w:t>
            </w:r>
          </w:p>
        </w:tc>
      </w:tr>
      <w:tr w:rsidR="00FE708A" w:rsidRPr="00D51778" w14:paraId="76EF6B44" w14:textId="224D7336" w:rsidTr="001D782D">
        <w:tc>
          <w:tcPr>
            <w:tcW w:w="10716" w:type="dxa"/>
            <w:gridSpan w:val="7"/>
            <w:tcBorders>
              <w:top w:val="single" w:sz="4" w:space="0" w:color="auto"/>
              <w:bottom w:val="single" w:sz="4" w:space="0" w:color="auto"/>
            </w:tcBorders>
          </w:tcPr>
          <w:p w14:paraId="5A61D9DA" w14:textId="77777777" w:rsidR="00FE708A" w:rsidRPr="00D51778" w:rsidRDefault="00FE708A" w:rsidP="00AD2F28">
            <w:pPr>
              <w:keepNext/>
              <w:spacing w:after="0"/>
              <w:rPr>
                <w:color w:val="000000"/>
                <w:sz w:val="22"/>
                <w:szCs w:val="22"/>
              </w:rPr>
            </w:pPr>
          </w:p>
        </w:tc>
      </w:tr>
      <w:tr w:rsidR="00FE708A" w:rsidRPr="00D51778" w14:paraId="73BFBAF0" w14:textId="72314BFB" w:rsidTr="0046554A">
        <w:tc>
          <w:tcPr>
            <w:tcW w:w="1828" w:type="dxa"/>
            <w:tcBorders>
              <w:top w:val="single" w:sz="4" w:space="0" w:color="auto"/>
              <w:bottom w:val="single" w:sz="4" w:space="0" w:color="auto"/>
            </w:tcBorders>
          </w:tcPr>
          <w:p w14:paraId="59F2FF32" w14:textId="6CFEA3EB" w:rsidR="00FE708A" w:rsidRPr="00D51778" w:rsidRDefault="008F04CC" w:rsidP="00AD2F28">
            <w:pPr>
              <w:keepNext/>
              <w:spacing w:after="0"/>
              <w:rPr>
                <w:b/>
                <w:color w:val="000000"/>
                <w:sz w:val="22"/>
                <w:szCs w:val="22"/>
              </w:rPr>
            </w:pPr>
            <w:r w:rsidRPr="00D51778">
              <w:rPr>
                <w:b/>
                <w:bCs/>
                <w:color w:val="000000"/>
                <w:sz w:val="22"/>
                <w:szCs w:val="22"/>
                <w:lang w:val="ga"/>
              </w:rPr>
              <w:t>Roinn Rialtais 2021</w:t>
            </w:r>
          </w:p>
        </w:tc>
        <w:tc>
          <w:tcPr>
            <w:tcW w:w="1559" w:type="dxa"/>
            <w:tcBorders>
              <w:top w:val="single" w:sz="4" w:space="0" w:color="auto"/>
              <w:bottom w:val="single" w:sz="4" w:space="0" w:color="auto"/>
            </w:tcBorders>
          </w:tcPr>
          <w:p w14:paraId="5A3505CB" w14:textId="66E1A298" w:rsidR="00FE708A" w:rsidRPr="00D51778" w:rsidRDefault="00CB6D76" w:rsidP="00AD2F28">
            <w:pPr>
              <w:keepNext/>
              <w:spacing w:after="0"/>
              <w:jc w:val="right"/>
              <w:rPr>
                <w:color w:val="000000"/>
                <w:sz w:val="22"/>
                <w:szCs w:val="22"/>
              </w:rPr>
            </w:pPr>
            <w:r w:rsidRPr="00D51778">
              <w:rPr>
                <w:color w:val="000000"/>
                <w:sz w:val="22"/>
                <w:szCs w:val="22"/>
                <w:lang w:val="ga"/>
              </w:rPr>
              <w:t>23,590</w:t>
            </w:r>
          </w:p>
        </w:tc>
        <w:tc>
          <w:tcPr>
            <w:tcW w:w="1418" w:type="dxa"/>
            <w:tcBorders>
              <w:top w:val="single" w:sz="4" w:space="0" w:color="auto"/>
              <w:bottom w:val="single" w:sz="4" w:space="0" w:color="auto"/>
            </w:tcBorders>
          </w:tcPr>
          <w:p w14:paraId="1917EDEB" w14:textId="1BB556BC" w:rsidR="00FE708A" w:rsidRPr="00D51778" w:rsidRDefault="00CB6D76" w:rsidP="00AD2F28">
            <w:pPr>
              <w:keepNext/>
              <w:spacing w:after="0"/>
              <w:jc w:val="right"/>
              <w:rPr>
                <w:color w:val="000000"/>
                <w:sz w:val="22"/>
                <w:szCs w:val="22"/>
              </w:rPr>
            </w:pPr>
            <w:r w:rsidRPr="00D51778">
              <w:rPr>
                <w:color w:val="000000"/>
                <w:sz w:val="22"/>
                <w:szCs w:val="22"/>
                <w:lang w:val="ga"/>
              </w:rPr>
              <w:t>1,427</w:t>
            </w:r>
          </w:p>
        </w:tc>
        <w:tc>
          <w:tcPr>
            <w:tcW w:w="1559" w:type="dxa"/>
            <w:tcBorders>
              <w:top w:val="single" w:sz="4" w:space="0" w:color="auto"/>
              <w:bottom w:val="single" w:sz="4" w:space="0" w:color="auto"/>
            </w:tcBorders>
          </w:tcPr>
          <w:p w14:paraId="49ABC6A6" w14:textId="205C48BE" w:rsidR="00FE708A" w:rsidRPr="00D51778" w:rsidRDefault="00CB6D76" w:rsidP="00AD2F28">
            <w:pPr>
              <w:keepNext/>
              <w:spacing w:after="0"/>
              <w:jc w:val="right"/>
              <w:rPr>
                <w:color w:val="000000"/>
                <w:sz w:val="22"/>
                <w:szCs w:val="22"/>
              </w:rPr>
            </w:pPr>
            <w:r w:rsidRPr="00D51778">
              <w:rPr>
                <w:color w:val="000000"/>
                <w:sz w:val="22"/>
                <w:szCs w:val="22"/>
                <w:lang w:val="ga"/>
              </w:rPr>
              <w:t>6.0%</w:t>
            </w:r>
          </w:p>
        </w:tc>
        <w:tc>
          <w:tcPr>
            <w:tcW w:w="1512" w:type="dxa"/>
            <w:tcBorders>
              <w:top w:val="single" w:sz="4" w:space="0" w:color="auto"/>
              <w:bottom w:val="single" w:sz="4" w:space="0" w:color="auto"/>
            </w:tcBorders>
          </w:tcPr>
          <w:p w14:paraId="5DF0B375" w14:textId="24F8A048" w:rsidR="00FE708A" w:rsidRPr="00D51778" w:rsidRDefault="00CB6D76" w:rsidP="00CB6D76">
            <w:pPr>
              <w:keepNext/>
              <w:spacing w:after="0"/>
              <w:jc w:val="right"/>
              <w:rPr>
                <w:color w:val="000000"/>
                <w:sz w:val="22"/>
                <w:szCs w:val="22"/>
              </w:rPr>
            </w:pPr>
            <w:r w:rsidRPr="00D51778">
              <w:rPr>
                <w:color w:val="000000"/>
                <w:sz w:val="22"/>
                <w:szCs w:val="22"/>
                <w:lang w:val="ga"/>
              </w:rPr>
              <w:t>9.4%</w:t>
            </w:r>
          </w:p>
        </w:tc>
        <w:tc>
          <w:tcPr>
            <w:tcW w:w="1276" w:type="dxa"/>
            <w:tcBorders>
              <w:top w:val="single" w:sz="4" w:space="0" w:color="auto"/>
              <w:bottom w:val="single" w:sz="4" w:space="0" w:color="auto"/>
            </w:tcBorders>
          </w:tcPr>
          <w:p w14:paraId="76217195" w14:textId="45FE4C2B" w:rsidR="00FE708A" w:rsidRPr="00D51778" w:rsidRDefault="008F04CC" w:rsidP="00AD2F28">
            <w:pPr>
              <w:keepNext/>
              <w:spacing w:after="0"/>
              <w:jc w:val="right"/>
              <w:rPr>
                <w:color w:val="000000"/>
                <w:sz w:val="22"/>
                <w:szCs w:val="22"/>
              </w:rPr>
            </w:pPr>
            <w:r w:rsidRPr="00D51778">
              <w:rPr>
                <w:color w:val="000000"/>
                <w:sz w:val="22"/>
                <w:szCs w:val="22"/>
                <w:lang w:val="ga"/>
              </w:rPr>
              <w:t>100.0%</w:t>
            </w:r>
          </w:p>
        </w:tc>
        <w:tc>
          <w:tcPr>
            <w:tcW w:w="1564" w:type="dxa"/>
            <w:tcBorders>
              <w:top w:val="single" w:sz="4" w:space="0" w:color="auto"/>
              <w:bottom w:val="single" w:sz="4" w:space="0" w:color="auto"/>
            </w:tcBorders>
          </w:tcPr>
          <w:p w14:paraId="7C0F5869" w14:textId="62B10B73" w:rsidR="00FE708A" w:rsidRPr="00D51778" w:rsidRDefault="00FE708A" w:rsidP="00AD2F28">
            <w:pPr>
              <w:keepNext/>
              <w:spacing w:after="0"/>
              <w:jc w:val="right"/>
              <w:rPr>
                <w:color w:val="000000"/>
                <w:sz w:val="22"/>
                <w:szCs w:val="22"/>
              </w:rPr>
            </w:pPr>
            <w:r w:rsidRPr="00D51778">
              <w:rPr>
                <w:color w:val="000000"/>
                <w:sz w:val="22"/>
                <w:szCs w:val="22"/>
                <w:lang w:val="ga"/>
              </w:rPr>
              <w:t>19</w:t>
            </w:r>
          </w:p>
        </w:tc>
      </w:tr>
      <w:tr w:rsidR="00FE708A" w:rsidRPr="00D51778" w14:paraId="270C626C" w14:textId="01E83367" w:rsidTr="0046554A">
        <w:tc>
          <w:tcPr>
            <w:tcW w:w="1828" w:type="dxa"/>
            <w:tcBorders>
              <w:top w:val="single" w:sz="4" w:space="0" w:color="auto"/>
              <w:bottom w:val="single" w:sz="4" w:space="0" w:color="auto"/>
            </w:tcBorders>
          </w:tcPr>
          <w:p w14:paraId="1D7380B3" w14:textId="63127646" w:rsidR="00FE708A" w:rsidRPr="00D51778" w:rsidRDefault="008F04CC" w:rsidP="00AD2F28">
            <w:pPr>
              <w:keepNext/>
              <w:spacing w:after="0"/>
              <w:rPr>
                <w:b/>
                <w:color w:val="000000"/>
                <w:sz w:val="22"/>
                <w:szCs w:val="22"/>
              </w:rPr>
            </w:pPr>
            <w:r w:rsidRPr="00D51778">
              <w:rPr>
                <w:b/>
                <w:bCs/>
                <w:color w:val="000000"/>
                <w:sz w:val="22"/>
                <w:szCs w:val="22"/>
                <w:lang w:val="ga"/>
              </w:rPr>
              <w:t>Roinn Rialtais 2020</w:t>
            </w:r>
          </w:p>
        </w:tc>
        <w:tc>
          <w:tcPr>
            <w:tcW w:w="1559" w:type="dxa"/>
            <w:tcBorders>
              <w:top w:val="single" w:sz="4" w:space="0" w:color="auto"/>
              <w:bottom w:val="single" w:sz="4" w:space="0" w:color="auto"/>
            </w:tcBorders>
          </w:tcPr>
          <w:p w14:paraId="731D2213" w14:textId="0C3F2D89" w:rsidR="00FE708A" w:rsidRPr="00D51778" w:rsidRDefault="008660B8" w:rsidP="00AD2F28">
            <w:pPr>
              <w:keepNext/>
              <w:spacing w:after="0"/>
              <w:jc w:val="right"/>
              <w:rPr>
                <w:color w:val="000000"/>
                <w:sz w:val="22"/>
                <w:szCs w:val="22"/>
              </w:rPr>
            </w:pPr>
            <w:r w:rsidRPr="00D51778">
              <w:rPr>
                <w:color w:val="000000"/>
                <w:sz w:val="22"/>
                <w:szCs w:val="22"/>
                <w:lang w:val="ga"/>
              </w:rPr>
              <w:t>23,271</w:t>
            </w:r>
          </w:p>
        </w:tc>
        <w:tc>
          <w:tcPr>
            <w:tcW w:w="1418" w:type="dxa"/>
            <w:tcBorders>
              <w:top w:val="single" w:sz="4" w:space="0" w:color="auto"/>
              <w:bottom w:val="single" w:sz="4" w:space="0" w:color="auto"/>
            </w:tcBorders>
          </w:tcPr>
          <w:p w14:paraId="3FB124F2" w14:textId="4C08160C" w:rsidR="00FE708A" w:rsidRPr="00D51778" w:rsidRDefault="008660B8" w:rsidP="00AD2F28">
            <w:pPr>
              <w:keepNext/>
              <w:spacing w:after="0"/>
              <w:jc w:val="right"/>
              <w:rPr>
                <w:color w:val="000000"/>
                <w:sz w:val="22"/>
                <w:szCs w:val="22"/>
              </w:rPr>
            </w:pPr>
            <w:r w:rsidRPr="00D51778">
              <w:rPr>
                <w:color w:val="000000"/>
                <w:sz w:val="22"/>
                <w:szCs w:val="22"/>
                <w:lang w:val="ga"/>
              </w:rPr>
              <w:t>1,168</w:t>
            </w:r>
          </w:p>
        </w:tc>
        <w:tc>
          <w:tcPr>
            <w:tcW w:w="1559" w:type="dxa"/>
            <w:tcBorders>
              <w:top w:val="single" w:sz="4" w:space="0" w:color="auto"/>
              <w:bottom w:val="single" w:sz="4" w:space="0" w:color="auto"/>
            </w:tcBorders>
          </w:tcPr>
          <w:p w14:paraId="09E31D14" w14:textId="3496C4FE" w:rsidR="00FE708A" w:rsidRPr="00D51778" w:rsidRDefault="008660B8" w:rsidP="00AD2F28">
            <w:pPr>
              <w:keepNext/>
              <w:spacing w:after="0"/>
              <w:jc w:val="right"/>
              <w:rPr>
                <w:color w:val="000000"/>
                <w:sz w:val="22"/>
                <w:szCs w:val="22"/>
              </w:rPr>
            </w:pPr>
            <w:r w:rsidRPr="00D51778">
              <w:rPr>
                <w:color w:val="000000"/>
                <w:sz w:val="22"/>
                <w:szCs w:val="22"/>
                <w:lang w:val="ga"/>
              </w:rPr>
              <w:t>5.0%</w:t>
            </w:r>
          </w:p>
        </w:tc>
        <w:tc>
          <w:tcPr>
            <w:tcW w:w="1512" w:type="dxa"/>
            <w:tcBorders>
              <w:top w:val="single" w:sz="4" w:space="0" w:color="auto"/>
              <w:bottom w:val="single" w:sz="4" w:space="0" w:color="auto"/>
            </w:tcBorders>
          </w:tcPr>
          <w:p w14:paraId="68DF2E7A" w14:textId="428ED0E4" w:rsidR="00FE708A" w:rsidRPr="00D51778" w:rsidRDefault="00CB6D76" w:rsidP="00AD2F28">
            <w:pPr>
              <w:keepNext/>
              <w:spacing w:after="0"/>
              <w:jc w:val="right"/>
              <w:rPr>
                <w:color w:val="000000"/>
                <w:sz w:val="22"/>
                <w:szCs w:val="22"/>
              </w:rPr>
            </w:pPr>
            <w:r w:rsidRPr="00D51778">
              <w:rPr>
                <w:color w:val="000000"/>
                <w:sz w:val="22"/>
                <w:szCs w:val="22"/>
                <w:lang w:val="ga"/>
              </w:rPr>
              <w:t>9.5%</w:t>
            </w:r>
          </w:p>
        </w:tc>
        <w:tc>
          <w:tcPr>
            <w:tcW w:w="1276" w:type="dxa"/>
            <w:tcBorders>
              <w:top w:val="single" w:sz="4" w:space="0" w:color="auto"/>
              <w:bottom w:val="single" w:sz="4" w:space="0" w:color="auto"/>
            </w:tcBorders>
          </w:tcPr>
          <w:p w14:paraId="5506F096" w14:textId="7CC63C2E" w:rsidR="00FE708A" w:rsidRPr="00D51778" w:rsidRDefault="00FE708A" w:rsidP="00AD2F28">
            <w:pPr>
              <w:keepNext/>
              <w:spacing w:after="0"/>
              <w:jc w:val="right"/>
              <w:rPr>
                <w:color w:val="000000"/>
                <w:sz w:val="22"/>
                <w:szCs w:val="22"/>
              </w:rPr>
            </w:pPr>
            <w:r w:rsidRPr="00D51778">
              <w:rPr>
                <w:color w:val="000000"/>
                <w:sz w:val="22"/>
                <w:szCs w:val="22"/>
                <w:lang w:val="ga"/>
              </w:rPr>
              <w:t>100.0%</w:t>
            </w:r>
          </w:p>
        </w:tc>
        <w:tc>
          <w:tcPr>
            <w:tcW w:w="1564" w:type="dxa"/>
            <w:tcBorders>
              <w:top w:val="single" w:sz="4" w:space="0" w:color="auto"/>
              <w:bottom w:val="single" w:sz="4" w:space="0" w:color="auto"/>
            </w:tcBorders>
          </w:tcPr>
          <w:p w14:paraId="06488469" w14:textId="7E7C2D03" w:rsidR="00FE708A" w:rsidRPr="00D51778" w:rsidRDefault="00CB6D76" w:rsidP="00AD2F28">
            <w:pPr>
              <w:keepNext/>
              <w:spacing w:after="0"/>
              <w:jc w:val="right"/>
              <w:rPr>
                <w:color w:val="000000"/>
                <w:sz w:val="22"/>
                <w:szCs w:val="22"/>
              </w:rPr>
            </w:pPr>
            <w:r w:rsidRPr="00D51778">
              <w:rPr>
                <w:color w:val="000000"/>
                <w:sz w:val="22"/>
                <w:szCs w:val="22"/>
                <w:lang w:val="ga"/>
              </w:rPr>
              <w:t>19</w:t>
            </w:r>
          </w:p>
        </w:tc>
      </w:tr>
      <w:tr w:rsidR="00FE708A" w:rsidRPr="00D51778" w14:paraId="4E5C36A8" w14:textId="1B95A5EE" w:rsidTr="0046554A">
        <w:tc>
          <w:tcPr>
            <w:tcW w:w="1828" w:type="dxa"/>
            <w:tcBorders>
              <w:top w:val="single" w:sz="6" w:space="0" w:color="000000"/>
              <w:bottom w:val="single" w:sz="4" w:space="0" w:color="000000"/>
            </w:tcBorders>
            <w:shd w:val="clear" w:color="auto" w:fill="E0E0E0"/>
          </w:tcPr>
          <w:p w14:paraId="21289E81" w14:textId="7BE1EA3A" w:rsidR="00FE708A" w:rsidRPr="00D51778" w:rsidRDefault="00332B9C" w:rsidP="00AD2F28">
            <w:pPr>
              <w:keepNext/>
              <w:spacing w:after="0"/>
              <w:rPr>
                <w:b/>
                <w:color w:val="000000"/>
                <w:sz w:val="22"/>
                <w:szCs w:val="22"/>
              </w:rPr>
            </w:pPr>
            <w:r>
              <w:rPr>
                <w:b/>
                <w:bCs/>
                <w:color w:val="000000"/>
                <w:sz w:val="22"/>
                <w:szCs w:val="22"/>
                <w:lang w:val="ga"/>
              </w:rPr>
              <w:t>Athrú 2020/2021</w:t>
            </w:r>
          </w:p>
        </w:tc>
        <w:tc>
          <w:tcPr>
            <w:tcW w:w="1559" w:type="dxa"/>
            <w:tcBorders>
              <w:top w:val="single" w:sz="6" w:space="0" w:color="000000"/>
              <w:bottom w:val="single" w:sz="4" w:space="0" w:color="auto"/>
            </w:tcBorders>
            <w:shd w:val="clear" w:color="auto" w:fill="E0E0E0"/>
          </w:tcPr>
          <w:p w14:paraId="2E558977" w14:textId="7F3C23AB" w:rsidR="00FE708A" w:rsidRPr="00D51778" w:rsidRDefault="008F04CC" w:rsidP="00AD2F28">
            <w:pPr>
              <w:keepNext/>
              <w:spacing w:after="0"/>
              <w:jc w:val="right"/>
              <w:rPr>
                <w:b/>
                <w:color w:val="000000"/>
                <w:sz w:val="22"/>
                <w:szCs w:val="22"/>
              </w:rPr>
            </w:pPr>
            <w:r w:rsidRPr="00D51778">
              <w:rPr>
                <w:b/>
                <w:bCs/>
                <w:color w:val="000000"/>
                <w:sz w:val="22"/>
                <w:szCs w:val="22"/>
                <w:lang w:val="ga"/>
              </w:rPr>
              <w:t>+319</w:t>
            </w:r>
          </w:p>
        </w:tc>
        <w:tc>
          <w:tcPr>
            <w:tcW w:w="1418" w:type="dxa"/>
            <w:tcBorders>
              <w:top w:val="single" w:sz="6" w:space="0" w:color="000000"/>
              <w:bottom w:val="single" w:sz="4" w:space="0" w:color="auto"/>
            </w:tcBorders>
            <w:shd w:val="clear" w:color="auto" w:fill="E0E0E0"/>
          </w:tcPr>
          <w:p w14:paraId="22876277" w14:textId="5301412B" w:rsidR="00FE708A" w:rsidRPr="00D51778" w:rsidRDefault="008F04CC" w:rsidP="00AD2F28">
            <w:pPr>
              <w:keepNext/>
              <w:spacing w:after="0"/>
              <w:jc w:val="right"/>
              <w:rPr>
                <w:b/>
                <w:color w:val="000000"/>
                <w:sz w:val="22"/>
                <w:szCs w:val="22"/>
              </w:rPr>
            </w:pPr>
            <w:r w:rsidRPr="00D51778">
              <w:rPr>
                <w:b/>
                <w:bCs/>
                <w:color w:val="000000"/>
                <w:sz w:val="22"/>
                <w:szCs w:val="22"/>
                <w:lang w:val="ga"/>
              </w:rPr>
              <w:t>+259</w:t>
            </w:r>
          </w:p>
        </w:tc>
        <w:tc>
          <w:tcPr>
            <w:tcW w:w="1559" w:type="dxa"/>
            <w:tcBorders>
              <w:top w:val="single" w:sz="6" w:space="0" w:color="000000"/>
              <w:bottom w:val="single" w:sz="4" w:space="0" w:color="auto"/>
            </w:tcBorders>
            <w:shd w:val="clear" w:color="auto" w:fill="E0E0E0"/>
          </w:tcPr>
          <w:p w14:paraId="3ED9269A" w14:textId="04032465" w:rsidR="00FE708A" w:rsidRPr="00D51778" w:rsidRDefault="008F04CC" w:rsidP="00AD2F28">
            <w:pPr>
              <w:keepNext/>
              <w:spacing w:after="0"/>
              <w:jc w:val="right"/>
              <w:rPr>
                <w:b/>
                <w:color w:val="000000"/>
                <w:sz w:val="22"/>
                <w:szCs w:val="22"/>
              </w:rPr>
            </w:pPr>
            <w:r w:rsidRPr="00D51778">
              <w:rPr>
                <w:b/>
                <w:bCs/>
                <w:color w:val="000000"/>
                <w:sz w:val="22"/>
                <w:szCs w:val="22"/>
                <w:lang w:val="ga"/>
              </w:rPr>
              <w:t>+1.0%</w:t>
            </w:r>
          </w:p>
        </w:tc>
        <w:tc>
          <w:tcPr>
            <w:tcW w:w="1512" w:type="dxa"/>
            <w:tcBorders>
              <w:top w:val="single" w:sz="6" w:space="0" w:color="000000"/>
              <w:bottom w:val="single" w:sz="4" w:space="0" w:color="auto"/>
            </w:tcBorders>
            <w:shd w:val="clear" w:color="auto" w:fill="E0E0E0"/>
          </w:tcPr>
          <w:p w14:paraId="2BAAC4B4" w14:textId="29220112" w:rsidR="00FE708A" w:rsidRPr="00D51778" w:rsidRDefault="008F04CC" w:rsidP="00AD2F28">
            <w:pPr>
              <w:keepNext/>
              <w:spacing w:after="0"/>
              <w:jc w:val="right"/>
              <w:rPr>
                <w:b/>
                <w:color w:val="000000"/>
                <w:sz w:val="22"/>
                <w:szCs w:val="22"/>
              </w:rPr>
            </w:pPr>
            <w:r w:rsidRPr="00D51778">
              <w:rPr>
                <w:b/>
                <w:bCs/>
                <w:color w:val="000000"/>
                <w:sz w:val="22"/>
                <w:szCs w:val="22"/>
                <w:lang w:val="ga"/>
              </w:rPr>
              <w:t>-0.1%</w:t>
            </w:r>
          </w:p>
        </w:tc>
        <w:tc>
          <w:tcPr>
            <w:tcW w:w="1276" w:type="dxa"/>
            <w:tcBorders>
              <w:top w:val="single" w:sz="6" w:space="0" w:color="000000"/>
              <w:bottom w:val="single" w:sz="4" w:space="0" w:color="auto"/>
            </w:tcBorders>
            <w:shd w:val="clear" w:color="auto" w:fill="E0E0E0"/>
          </w:tcPr>
          <w:p w14:paraId="5148F04D" w14:textId="44B6AFE6" w:rsidR="00FE708A" w:rsidRPr="00D51778" w:rsidRDefault="00FE708A" w:rsidP="00AD2F28">
            <w:pPr>
              <w:keepNext/>
              <w:spacing w:after="0"/>
              <w:jc w:val="right"/>
              <w:rPr>
                <w:b/>
                <w:color w:val="000000"/>
                <w:sz w:val="22"/>
                <w:szCs w:val="22"/>
              </w:rPr>
            </w:pPr>
            <w:r w:rsidRPr="00D51778">
              <w:rPr>
                <w:b/>
                <w:bCs/>
                <w:color w:val="000000"/>
                <w:sz w:val="22"/>
                <w:szCs w:val="22"/>
                <w:lang w:val="ga"/>
              </w:rPr>
              <w:t>0%</w:t>
            </w:r>
          </w:p>
        </w:tc>
        <w:tc>
          <w:tcPr>
            <w:tcW w:w="1564" w:type="dxa"/>
            <w:tcBorders>
              <w:top w:val="single" w:sz="6" w:space="0" w:color="000000"/>
              <w:bottom w:val="single" w:sz="4" w:space="0" w:color="auto"/>
            </w:tcBorders>
            <w:shd w:val="clear" w:color="auto" w:fill="D9D9D9" w:themeFill="background1" w:themeFillShade="D9"/>
          </w:tcPr>
          <w:p w14:paraId="76379BAD" w14:textId="787C8471" w:rsidR="00FE708A" w:rsidRPr="00D51778" w:rsidRDefault="008F04CC" w:rsidP="00AD2F28">
            <w:pPr>
              <w:keepNext/>
              <w:spacing w:after="0"/>
              <w:jc w:val="right"/>
              <w:rPr>
                <w:b/>
                <w:color w:val="000000"/>
                <w:sz w:val="22"/>
                <w:szCs w:val="22"/>
              </w:rPr>
            </w:pPr>
            <w:r w:rsidRPr="00D51778">
              <w:rPr>
                <w:b/>
                <w:bCs/>
                <w:color w:val="000000"/>
                <w:sz w:val="22"/>
                <w:szCs w:val="22"/>
                <w:lang w:val="ga"/>
              </w:rPr>
              <w:t>0</w:t>
            </w:r>
          </w:p>
        </w:tc>
      </w:tr>
      <w:tr w:rsidR="00FE708A" w:rsidRPr="00D51778" w14:paraId="7F7D63D2" w14:textId="67BDA069" w:rsidTr="001D782D">
        <w:tc>
          <w:tcPr>
            <w:tcW w:w="10716" w:type="dxa"/>
            <w:gridSpan w:val="7"/>
          </w:tcPr>
          <w:p w14:paraId="42A999C8" w14:textId="77777777" w:rsidR="00FE708A" w:rsidRPr="00D51778" w:rsidRDefault="00FE708A" w:rsidP="00813DFF">
            <w:pPr>
              <w:keepNext/>
              <w:spacing w:after="0"/>
              <w:jc w:val="right"/>
              <w:rPr>
                <w:b/>
                <w:color w:val="000000"/>
                <w:sz w:val="22"/>
                <w:szCs w:val="22"/>
              </w:rPr>
            </w:pPr>
          </w:p>
        </w:tc>
      </w:tr>
      <w:tr w:rsidR="00FE708A" w:rsidRPr="00D51778" w14:paraId="3472B6B4" w14:textId="074D83DC" w:rsidTr="0046554A">
        <w:tc>
          <w:tcPr>
            <w:tcW w:w="1828" w:type="dxa"/>
          </w:tcPr>
          <w:p w14:paraId="086B6B26" w14:textId="62971F70" w:rsidR="00FE708A" w:rsidRPr="00D51778" w:rsidRDefault="008F04CC" w:rsidP="00AD2F28">
            <w:pPr>
              <w:keepNext/>
              <w:spacing w:after="0"/>
              <w:rPr>
                <w:b/>
                <w:color w:val="000000"/>
                <w:sz w:val="22"/>
                <w:szCs w:val="22"/>
              </w:rPr>
            </w:pPr>
            <w:r w:rsidRPr="00D51778">
              <w:rPr>
                <w:b/>
                <w:bCs/>
                <w:color w:val="000000"/>
                <w:sz w:val="22"/>
                <w:szCs w:val="22"/>
                <w:lang w:val="ga"/>
              </w:rPr>
              <w:t>Rialtas Áitiúil 2021</w:t>
            </w:r>
          </w:p>
        </w:tc>
        <w:tc>
          <w:tcPr>
            <w:tcW w:w="1559" w:type="dxa"/>
          </w:tcPr>
          <w:p w14:paraId="6C8FFF03" w14:textId="5C5E9FE2" w:rsidR="00FE708A" w:rsidRPr="00D51778" w:rsidRDefault="008F04CC" w:rsidP="00AD2F28">
            <w:pPr>
              <w:keepNext/>
              <w:spacing w:after="0"/>
              <w:jc w:val="right"/>
              <w:rPr>
                <w:color w:val="000000"/>
                <w:sz w:val="22"/>
                <w:szCs w:val="22"/>
              </w:rPr>
            </w:pPr>
            <w:r w:rsidRPr="00D51778">
              <w:rPr>
                <w:color w:val="000000"/>
                <w:sz w:val="22"/>
                <w:szCs w:val="22"/>
                <w:lang w:val="ga"/>
              </w:rPr>
              <w:t>33,116</w:t>
            </w:r>
          </w:p>
        </w:tc>
        <w:tc>
          <w:tcPr>
            <w:tcW w:w="1418" w:type="dxa"/>
          </w:tcPr>
          <w:p w14:paraId="6B371730" w14:textId="524B3806" w:rsidR="00FE708A" w:rsidRPr="00D51778" w:rsidRDefault="008F04CC" w:rsidP="00AD2F28">
            <w:pPr>
              <w:keepNext/>
              <w:spacing w:after="0"/>
              <w:jc w:val="right"/>
              <w:rPr>
                <w:color w:val="000000"/>
                <w:sz w:val="22"/>
                <w:szCs w:val="22"/>
              </w:rPr>
            </w:pPr>
            <w:r w:rsidRPr="00D51778">
              <w:rPr>
                <w:color w:val="000000"/>
                <w:sz w:val="22"/>
                <w:szCs w:val="22"/>
                <w:lang w:val="ga"/>
              </w:rPr>
              <w:t>1,480</w:t>
            </w:r>
          </w:p>
        </w:tc>
        <w:tc>
          <w:tcPr>
            <w:tcW w:w="1559" w:type="dxa"/>
          </w:tcPr>
          <w:p w14:paraId="3B818B71" w14:textId="78CD97D1" w:rsidR="00FE708A" w:rsidRPr="00D51778" w:rsidRDefault="008F04CC" w:rsidP="00AD2F28">
            <w:pPr>
              <w:keepNext/>
              <w:spacing w:after="0"/>
              <w:jc w:val="right"/>
              <w:rPr>
                <w:color w:val="000000"/>
                <w:sz w:val="22"/>
                <w:szCs w:val="22"/>
              </w:rPr>
            </w:pPr>
            <w:r w:rsidRPr="00D51778">
              <w:rPr>
                <w:color w:val="000000"/>
                <w:sz w:val="22"/>
                <w:szCs w:val="22"/>
                <w:lang w:val="ga"/>
              </w:rPr>
              <w:t>4.5%</w:t>
            </w:r>
          </w:p>
        </w:tc>
        <w:tc>
          <w:tcPr>
            <w:tcW w:w="1512" w:type="dxa"/>
          </w:tcPr>
          <w:p w14:paraId="73CF4364" w14:textId="7C2272F6" w:rsidR="00FE708A" w:rsidRPr="00D51778" w:rsidRDefault="008F04CC" w:rsidP="00AD2F28">
            <w:pPr>
              <w:keepNext/>
              <w:spacing w:after="0"/>
              <w:jc w:val="right"/>
              <w:rPr>
                <w:color w:val="000000"/>
                <w:sz w:val="22"/>
                <w:szCs w:val="22"/>
              </w:rPr>
            </w:pPr>
            <w:r w:rsidRPr="00D51778">
              <w:rPr>
                <w:color w:val="000000"/>
                <w:sz w:val="22"/>
                <w:szCs w:val="22"/>
                <w:lang w:val="ga"/>
              </w:rPr>
              <w:t>13.2%</w:t>
            </w:r>
          </w:p>
        </w:tc>
        <w:tc>
          <w:tcPr>
            <w:tcW w:w="1276" w:type="dxa"/>
          </w:tcPr>
          <w:p w14:paraId="71594F42" w14:textId="545799A6" w:rsidR="00FE708A" w:rsidRPr="00D51778" w:rsidRDefault="008F04CC" w:rsidP="00AD2F28">
            <w:pPr>
              <w:keepNext/>
              <w:spacing w:after="0"/>
              <w:jc w:val="right"/>
              <w:rPr>
                <w:color w:val="000000"/>
                <w:sz w:val="22"/>
                <w:szCs w:val="22"/>
              </w:rPr>
            </w:pPr>
            <w:r w:rsidRPr="00D51778">
              <w:rPr>
                <w:color w:val="000000"/>
                <w:sz w:val="22"/>
                <w:szCs w:val="22"/>
                <w:lang w:val="ga"/>
              </w:rPr>
              <w:t>94.3%</w:t>
            </w:r>
          </w:p>
        </w:tc>
        <w:tc>
          <w:tcPr>
            <w:tcW w:w="1564" w:type="dxa"/>
          </w:tcPr>
          <w:p w14:paraId="0A42819A" w14:textId="2C03E858" w:rsidR="00FE708A" w:rsidRPr="00D51778" w:rsidRDefault="00FE708A" w:rsidP="00AD2F28">
            <w:pPr>
              <w:keepNext/>
              <w:spacing w:after="0"/>
              <w:jc w:val="right"/>
              <w:rPr>
                <w:color w:val="000000"/>
                <w:sz w:val="22"/>
                <w:szCs w:val="22"/>
              </w:rPr>
            </w:pPr>
            <w:r w:rsidRPr="00D51778">
              <w:rPr>
                <w:color w:val="000000"/>
                <w:sz w:val="22"/>
                <w:szCs w:val="22"/>
                <w:lang w:val="ga"/>
              </w:rPr>
              <w:t>35</w:t>
            </w:r>
          </w:p>
        </w:tc>
      </w:tr>
      <w:tr w:rsidR="00FE708A" w:rsidRPr="00D51778" w14:paraId="76DBA168" w14:textId="73212650" w:rsidTr="0046554A">
        <w:tc>
          <w:tcPr>
            <w:tcW w:w="1828" w:type="dxa"/>
          </w:tcPr>
          <w:p w14:paraId="2FD7F55A" w14:textId="4683572C" w:rsidR="00FE708A" w:rsidRPr="00D51778" w:rsidRDefault="00FE708A" w:rsidP="00AD2F28">
            <w:pPr>
              <w:keepNext/>
              <w:spacing w:after="0"/>
              <w:rPr>
                <w:b/>
                <w:color w:val="000000"/>
                <w:sz w:val="22"/>
                <w:szCs w:val="22"/>
              </w:rPr>
            </w:pPr>
            <w:r w:rsidRPr="00D51778">
              <w:rPr>
                <w:b/>
                <w:bCs/>
                <w:color w:val="000000"/>
                <w:sz w:val="22"/>
                <w:szCs w:val="22"/>
                <w:lang w:val="ga"/>
              </w:rPr>
              <w:t>Rialtas Áitiúil 2020</w:t>
            </w:r>
          </w:p>
        </w:tc>
        <w:tc>
          <w:tcPr>
            <w:tcW w:w="1559" w:type="dxa"/>
          </w:tcPr>
          <w:p w14:paraId="269F4330" w14:textId="297F7A46" w:rsidR="00FE708A" w:rsidRPr="00D51778" w:rsidRDefault="008F04CC" w:rsidP="00AD2F28">
            <w:pPr>
              <w:keepNext/>
              <w:spacing w:after="0"/>
              <w:jc w:val="right"/>
              <w:rPr>
                <w:color w:val="000000"/>
                <w:sz w:val="22"/>
                <w:szCs w:val="22"/>
              </w:rPr>
            </w:pPr>
            <w:r w:rsidRPr="00D51778">
              <w:rPr>
                <w:color w:val="000000"/>
                <w:sz w:val="22"/>
                <w:szCs w:val="22"/>
                <w:lang w:val="ga"/>
              </w:rPr>
              <w:t>32,974</w:t>
            </w:r>
          </w:p>
        </w:tc>
        <w:tc>
          <w:tcPr>
            <w:tcW w:w="1418" w:type="dxa"/>
          </w:tcPr>
          <w:p w14:paraId="46E144E8" w14:textId="1BAEAB87" w:rsidR="00FE708A" w:rsidRPr="00D51778" w:rsidRDefault="008F04CC" w:rsidP="00AD2F28">
            <w:pPr>
              <w:keepNext/>
              <w:spacing w:after="0"/>
              <w:jc w:val="right"/>
              <w:rPr>
                <w:color w:val="000000"/>
                <w:sz w:val="22"/>
                <w:szCs w:val="22"/>
              </w:rPr>
            </w:pPr>
            <w:r w:rsidRPr="00D51778">
              <w:rPr>
                <w:color w:val="000000"/>
                <w:sz w:val="22"/>
                <w:szCs w:val="22"/>
                <w:lang w:val="ga"/>
              </w:rPr>
              <w:t>1,325</w:t>
            </w:r>
          </w:p>
        </w:tc>
        <w:tc>
          <w:tcPr>
            <w:tcW w:w="1559" w:type="dxa"/>
          </w:tcPr>
          <w:p w14:paraId="4B1D4229" w14:textId="34C2F36D" w:rsidR="00FE708A" w:rsidRPr="00D51778" w:rsidRDefault="008F04CC" w:rsidP="00AD2F28">
            <w:pPr>
              <w:keepNext/>
              <w:spacing w:after="0"/>
              <w:jc w:val="right"/>
              <w:rPr>
                <w:color w:val="000000"/>
                <w:sz w:val="22"/>
                <w:szCs w:val="22"/>
              </w:rPr>
            </w:pPr>
            <w:r w:rsidRPr="00D51778">
              <w:rPr>
                <w:color w:val="000000"/>
                <w:sz w:val="22"/>
                <w:szCs w:val="22"/>
                <w:lang w:val="ga"/>
              </w:rPr>
              <w:t>4.0%</w:t>
            </w:r>
          </w:p>
        </w:tc>
        <w:tc>
          <w:tcPr>
            <w:tcW w:w="1512" w:type="dxa"/>
          </w:tcPr>
          <w:p w14:paraId="3C7FFC7B" w14:textId="492210F9" w:rsidR="00FE708A" w:rsidRPr="00D51778" w:rsidRDefault="008F04CC" w:rsidP="00AD2F28">
            <w:pPr>
              <w:keepNext/>
              <w:spacing w:after="0"/>
              <w:jc w:val="right"/>
              <w:rPr>
                <w:color w:val="000000"/>
                <w:sz w:val="22"/>
                <w:szCs w:val="22"/>
              </w:rPr>
            </w:pPr>
            <w:r w:rsidRPr="00D51778">
              <w:rPr>
                <w:color w:val="000000"/>
                <w:sz w:val="22"/>
                <w:szCs w:val="22"/>
                <w:lang w:val="ga"/>
              </w:rPr>
              <w:t>13.4%</w:t>
            </w:r>
          </w:p>
        </w:tc>
        <w:tc>
          <w:tcPr>
            <w:tcW w:w="1276" w:type="dxa"/>
          </w:tcPr>
          <w:p w14:paraId="1505CF81" w14:textId="68BACEE5" w:rsidR="00FE708A" w:rsidRPr="00D51778" w:rsidRDefault="00FE708A" w:rsidP="00AD2F28">
            <w:pPr>
              <w:keepNext/>
              <w:spacing w:after="0"/>
              <w:jc w:val="right"/>
              <w:rPr>
                <w:color w:val="000000"/>
                <w:sz w:val="22"/>
                <w:szCs w:val="22"/>
              </w:rPr>
            </w:pPr>
            <w:r w:rsidRPr="00D51778">
              <w:rPr>
                <w:color w:val="000000"/>
                <w:sz w:val="22"/>
                <w:szCs w:val="22"/>
                <w:lang w:val="ga"/>
              </w:rPr>
              <w:t>91.4%</w:t>
            </w:r>
          </w:p>
        </w:tc>
        <w:tc>
          <w:tcPr>
            <w:tcW w:w="1564" w:type="dxa"/>
          </w:tcPr>
          <w:p w14:paraId="1AF65305" w14:textId="40BC20C6" w:rsidR="00FE708A" w:rsidRPr="00D51778" w:rsidRDefault="00FE708A" w:rsidP="00AD2F28">
            <w:pPr>
              <w:keepNext/>
              <w:spacing w:after="0"/>
              <w:jc w:val="right"/>
              <w:rPr>
                <w:color w:val="000000"/>
                <w:sz w:val="22"/>
                <w:szCs w:val="22"/>
              </w:rPr>
            </w:pPr>
            <w:r w:rsidRPr="00D51778">
              <w:rPr>
                <w:color w:val="000000"/>
                <w:sz w:val="22"/>
                <w:szCs w:val="22"/>
                <w:lang w:val="ga"/>
              </w:rPr>
              <w:t>35</w:t>
            </w:r>
          </w:p>
        </w:tc>
      </w:tr>
      <w:tr w:rsidR="00FE708A" w:rsidRPr="00D51778" w14:paraId="36F9FC69" w14:textId="5E7D9C17" w:rsidTr="0046554A">
        <w:tc>
          <w:tcPr>
            <w:tcW w:w="1828" w:type="dxa"/>
            <w:tcBorders>
              <w:top w:val="single" w:sz="6" w:space="0" w:color="000000"/>
              <w:bottom w:val="single" w:sz="6" w:space="0" w:color="000000"/>
            </w:tcBorders>
            <w:shd w:val="clear" w:color="auto" w:fill="E0E0E0"/>
          </w:tcPr>
          <w:p w14:paraId="62CC14A1" w14:textId="38E73752" w:rsidR="00FE708A" w:rsidRPr="00D51778" w:rsidRDefault="00332B9C" w:rsidP="00AD2F28">
            <w:pPr>
              <w:keepNext/>
              <w:spacing w:after="0"/>
              <w:rPr>
                <w:b/>
                <w:color w:val="000000"/>
                <w:sz w:val="22"/>
                <w:szCs w:val="22"/>
              </w:rPr>
            </w:pPr>
            <w:r>
              <w:rPr>
                <w:b/>
                <w:bCs/>
                <w:color w:val="000000"/>
                <w:sz w:val="22"/>
                <w:szCs w:val="22"/>
                <w:lang w:val="ga"/>
              </w:rPr>
              <w:t>Athrú 2020/2021</w:t>
            </w:r>
          </w:p>
        </w:tc>
        <w:tc>
          <w:tcPr>
            <w:tcW w:w="1559" w:type="dxa"/>
            <w:tcBorders>
              <w:top w:val="single" w:sz="6" w:space="0" w:color="000000"/>
              <w:bottom w:val="single" w:sz="6" w:space="0" w:color="000000"/>
            </w:tcBorders>
            <w:shd w:val="clear" w:color="auto" w:fill="E0E0E0"/>
          </w:tcPr>
          <w:p w14:paraId="4A405C73" w14:textId="0B441736" w:rsidR="00FE708A" w:rsidRPr="00D51778" w:rsidRDefault="008F04CC" w:rsidP="00024C62">
            <w:pPr>
              <w:keepNext/>
              <w:spacing w:after="0"/>
              <w:jc w:val="right"/>
              <w:rPr>
                <w:b/>
                <w:color w:val="000000"/>
                <w:sz w:val="22"/>
                <w:szCs w:val="22"/>
              </w:rPr>
            </w:pPr>
            <w:r w:rsidRPr="00D51778">
              <w:rPr>
                <w:b/>
                <w:bCs/>
                <w:color w:val="000000"/>
                <w:sz w:val="22"/>
                <w:szCs w:val="22"/>
                <w:lang w:val="ga"/>
              </w:rPr>
              <w:t>+142</w:t>
            </w:r>
          </w:p>
        </w:tc>
        <w:tc>
          <w:tcPr>
            <w:tcW w:w="1418" w:type="dxa"/>
            <w:tcBorders>
              <w:top w:val="single" w:sz="6" w:space="0" w:color="000000"/>
              <w:bottom w:val="single" w:sz="6" w:space="0" w:color="000000"/>
            </w:tcBorders>
            <w:shd w:val="clear" w:color="auto" w:fill="E0E0E0"/>
          </w:tcPr>
          <w:p w14:paraId="22277A33" w14:textId="15A9E325" w:rsidR="00FE708A" w:rsidRPr="00D51778" w:rsidRDefault="008F04CC" w:rsidP="00024C62">
            <w:pPr>
              <w:keepNext/>
              <w:spacing w:after="0"/>
              <w:jc w:val="right"/>
              <w:rPr>
                <w:b/>
                <w:color w:val="000000"/>
                <w:sz w:val="22"/>
                <w:szCs w:val="22"/>
              </w:rPr>
            </w:pPr>
            <w:r w:rsidRPr="00D51778">
              <w:rPr>
                <w:b/>
                <w:bCs/>
                <w:color w:val="000000"/>
                <w:sz w:val="22"/>
                <w:szCs w:val="22"/>
                <w:lang w:val="ga"/>
              </w:rPr>
              <w:t>+155</w:t>
            </w:r>
          </w:p>
        </w:tc>
        <w:tc>
          <w:tcPr>
            <w:tcW w:w="1559" w:type="dxa"/>
            <w:tcBorders>
              <w:top w:val="single" w:sz="6" w:space="0" w:color="000000"/>
              <w:bottom w:val="single" w:sz="6" w:space="0" w:color="000000"/>
            </w:tcBorders>
            <w:shd w:val="clear" w:color="auto" w:fill="E0E0E0"/>
          </w:tcPr>
          <w:p w14:paraId="5F87C8DF" w14:textId="406E5E5F" w:rsidR="00FE708A" w:rsidRPr="00D51778" w:rsidRDefault="008F04CC" w:rsidP="00024C62">
            <w:pPr>
              <w:keepNext/>
              <w:spacing w:after="0"/>
              <w:jc w:val="right"/>
              <w:rPr>
                <w:b/>
                <w:color w:val="000000"/>
                <w:sz w:val="22"/>
                <w:szCs w:val="22"/>
              </w:rPr>
            </w:pPr>
            <w:r w:rsidRPr="00D51778">
              <w:rPr>
                <w:b/>
                <w:bCs/>
                <w:color w:val="000000"/>
                <w:sz w:val="22"/>
                <w:szCs w:val="22"/>
                <w:lang w:val="ga"/>
              </w:rPr>
              <w:t>+0.5%</w:t>
            </w:r>
          </w:p>
        </w:tc>
        <w:tc>
          <w:tcPr>
            <w:tcW w:w="1512" w:type="dxa"/>
            <w:tcBorders>
              <w:top w:val="single" w:sz="6" w:space="0" w:color="000000"/>
              <w:bottom w:val="single" w:sz="6" w:space="0" w:color="000000"/>
            </w:tcBorders>
            <w:shd w:val="clear" w:color="auto" w:fill="E0E0E0"/>
          </w:tcPr>
          <w:p w14:paraId="773204C0" w14:textId="494DB249" w:rsidR="00FE708A" w:rsidRPr="00D51778" w:rsidRDefault="002E56E4" w:rsidP="00024C62">
            <w:pPr>
              <w:keepNext/>
              <w:spacing w:after="0"/>
              <w:jc w:val="right"/>
              <w:rPr>
                <w:b/>
                <w:color w:val="000000"/>
                <w:sz w:val="22"/>
                <w:szCs w:val="22"/>
              </w:rPr>
            </w:pPr>
            <w:r w:rsidRPr="00D51778">
              <w:rPr>
                <w:b/>
                <w:bCs/>
                <w:color w:val="000000"/>
                <w:sz w:val="22"/>
                <w:szCs w:val="22"/>
                <w:lang w:val="ga"/>
              </w:rPr>
              <w:t>-0.2</w:t>
            </w:r>
          </w:p>
        </w:tc>
        <w:tc>
          <w:tcPr>
            <w:tcW w:w="1276" w:type="dxa"/>
            <w:tcBorders>
              <w:top w:val="single" w:sz="6" w:space="0" w:color="000000"/>
              <w:bottom w:val="single" w:sz="6" w:space="0" w:color="000000"/>
            </w:tcBorders>
            <w:shd w:val="clear" w:color="auto" w:fill="E0E0E0"/>
          </w:tcPr>
          <w:p w14:paraId="54ED2F9C" w14:textId="01273F66" w:rsidR="00FE708A" w:rsidRPr="00D51778" w:rsidRDefault="002E56E4" w:rsidP="00024C62">
            <w:pPr>
              <w:keepNext/>
              <w:spacing w:after="0"/>
              <w:jc w:val="right"/>
              <w:rPr>
                <w:b/>
                <w:color w:val="000000"/>
                <w:sz w:val="22"/>
                <w:szCs w:val="22"/>
              </w:rPr>
            </w:pPr>
            <w:r w:rsidRPr="00D51778">
              <w:rPr>
                <w:b/>
                <w:bCs/>
                <w:color w:val="000000"/>
                <w:sz w:val="22"/>
                <w:szCs w:val="22"/>
                <w:lang w:val="ga"/>
              </w:rPr>
              <w:t>2.9%</w:t>
            </w:r>
          </w:p>
        </w:tc>
        <w:tc>
          <w:tcPr>
            <w:tcW w:w="1564" w:type="dxa"/>
            <w:tcBorders>
              <w:top w:val="single" w:sz="6" w:space="0" w:color="000000"/>
              <w:bottom w:val="single" w:sz="6" w:space="0" w:color="000000"/>
            </w:tcBorders>
            <w:shd w:val="clear" w:color="auto" w:fill="E0E0E0"/>
          </w:tcPr>
          <w:p w14:paraId="2A48693C" w14:textId="715F384E" w:rsidR="00FE708A" w:rsidRPr="00D51778" w:rsidRDefault="00FE708A" w:rsidP="00024C62">
            <w:pPr>
              <w:keepNext/>
              <w:spacing w:after="0"/>
              <w:jc w:val="right"/>
              <w:rPr>
                <w:b/>
                <w:color w:val="000000"/>
                <w:sz w:val="22"/>
                <w:szCs w:val="22"/>
              </w:rPr>
            </w:pPr>
            <w:r w:rsidRPr="00D51778">
              <w:rPr>
                <w:b/>
                <w:bCs/>
                <w:color w:val="000000"/>
                <w:sz w:val="22"/>
                <w:szCs w:val="22"/>
                <w:lang w:val="ga"/>
              </w:rPr>
              <w:t>0</w:t>
            </w:r>
          </w:p>
        </w:tc>
      </w:tr>
      <w:tr w:rsidR="00480DF0" w:rsidRPr="00D51778" w14:paraId="24BB5851" w14:textId="77777777" w:rsidTr="0046554A">
        <w:tc>
          <w:tcPr>
            <w:tcW w:w="1828" w:type="dxa"/>
          </w:tcPr>
          <w:p w14:paraId="4D126376" w14:textId="401333BE" w:rsidR="00480DF0" w:rsidRPr="00D51778" w:rsidRDefault="00480DF0" w:rsidP="00480DF0">
            <w:pPr>
              <w:keepNext/>
              <w:spacing w:after="0"/>
              <w:rPr>
                <w:b/>
                <w:color w:val="000000"/>
                <w:sz w:val="22"/>
                <w:szCs w:val="22"/>
              </w:rPr>
            </w:pPr>
          </w:p>
        </w:tc>
        <w:tc>
          <w:tcPr>
            <w:tcW w:w="1559" w:type="dxa"/>
          </w:tcPr>
          <w:p w14:paraId="557E8E04" w14:textId="20E9B00A" w:rsidR="00480DF0" w:rsidRPr="00D51778" w:rsidRDefault="00480DF0" w:rsidP="00480DF0">
            <w:pPr>
              <w:spacing w:after="0"/>
              <w:rPr>
                <w:rFonts w:cs="Arial"/>
                <w:bCs/>
                <w:color w:val="000000"/>
                <w:sz w:val="22"/>
                <w:szCs w:val="22"/>
              </w:rPr>
            </w:pPr>
          </w:p>
        </w:tc>
        <w:tc>
          <w:tcPr>
            <w:tcW w:w="1418" w:type="dxa"/>
          </w:tcPr>
          <w:p w14:paraId="731B1BB9" w14:textId="306EACD8" w:rsidR="00480DF0" w:rsidRPr="00D51778" w:rsidRDefault="00480DF0" w:rsidP="00480DF0">
            <w:pPr>
              <w:spacing w:after="0"/>
              <w:rPr>
                <w:rFonts w:cs="Arial"/>
                <w:bCs/>
                <w:color w:val="000000"/>
                <w:sz w:val="22"/>
                <w:szCs w:val="22"/>
              </w:rPr>
            </w:pPr>
          </w:p>
        </w:tc>
        <w:tc>
          <w:tcPr>
            <w:tcW w:w="1559" w:type="dxa"/>
          </w:tcPr>
          <w:p w14:paraId="7203741A" w14:textId="552CBD80" w:rsidR="00480DF0" w:rsidRPr="00D51778" w:rsidRDefault="00480DF0" w:rsidP="00480DF0">
            <w:pPr>
              <w:keepNext/>
              <w:spacing w:after="0"/>
              <w:rPr>
                <w:color w:val="000000"/>
                <w:sz w:val="22"/>
                <w:szCs w:val="22"/>
              </w:rPr>
            </w:pPr>
          </w:p>
        </w:tc>
        <w:tc>
          <w:tcPr>
            <w:tcW w:w="1512" w:type="dxa"/>
          </w:tcPr>
          <w:p w14:paraId="0989F8DE" w14:textId="772803F5" w:rsidR="00480DF0" w:rsidRPr="00D51778" w:rsidRDefault="00480DF0" w:rsidP="00480DF0">
            <w:pPr>
              <w:keepNext/>
              <w:spacing w:after="0"/>
              <w:rPr>
                <w:color w:val="000000"/>
                <w:sz w:val="22"/>
                <w:szCs w:val="22"/>
              </w:rPr>
            </w:pPr>
          </w:p>
        </w:tc>
        <w:tc>
          <w:tcPr>
            <w:tcW w:w="1276" w:type="dxa"/>
          </w:tcPr>
          <w:p w14:paraId="0D1D1406" w14:textId="02EDC840" w:rsidR="00480DF0" w:rsidRPr="00D51778" w:rsidRDefault="00480DF0" w:rsidP="00480DF0">
            <w:pPr>
              <w:keepNext/>
              <w:spacing w:after="0"/>
              <w:rPr>
                <w:color w:val="000000"/>
                <w:sz w:val="22"/>
                <w:szCs w:val="22"/>
              </w:rPr>
            </w:pPr>
          </w:p>
        </w:tc>
        <w:tc>
          <w:tcPr>
            <w:tcW w:w="1564" w:type="dxa"/>
          </w:tcPr>
          <w:p w14:paraId="2F95E693" w14:textId="6A05FDFD" w:rsidR="00480DF0" w:rsidRPr="00D51778" w:rsidRDefault="00480DF0" w:rsidP="00480DF0">
            <w:pPr>
              <w:keepNext/>
              <w:spacing w:after="0"/>
              <w:rPr>
                <w:color w:val="000000"/>
                <w:sz w:val="22"/>
                <w:szCs w:val="22"/>
              </w:rPr>
            </w:pPr>
          </w:p>
        </w:tc>
      </w:tr>
      <w:tr w:rsidR="00480DF0" w:rsidRPr="00D51778" w14:paraId="2F5F38F5" w14:textId="65281399" w:rsidTr="0046554A">
        <w:tc>
          <w:tcPr>
            <w:tcW w:w="1828" w:type="dxa"/>
          </w:tcPr>
          <w:p w14:paraId="0AE2922E" w14:textId="3EC90157" w:rsidR="00480DF0" w:rsidRPr="00D51778" w:rsidRDefault="005A19F6" w:rsidP="00480DF0">
            <w:pPr>
              <w:keepNext/>
              <w:spacing w:after="0"/>
              <w:rPr>
                <w:b/>
                <w:color w:val="000000"/>
                <w:sz w:val="22"/>
                <w:szCs w:val="22"/>
              </w:rPr>
            </w:pPr>
            <w:r w:rsidRPr="00D51778">
              <w:rPr>
                <w:b/>
                <w:bCs/>
                <w:color w:val="000000"/>
                <w:sz w:val="22"/>
                <w:szCs w:val="22"/>
                <w:lang w:val="ga"/>
              </w:rPr>
              <w:t>Comhlacht Neamhthráchtála 2021</w:t>
            </w:r>
          </w:p>
        </w:tc>
        <w:tc>
          <w:tcPr>
            <w:tcW w:w="1559" w:type="dxa"/>
          </w:tcPr>
          <w:p w14:paraId="18ECA310" w14:textId="30F03723" w:rsidR="00480DF0" w:rsidRPr="00D51778" w:rsidRDefault="005A19F6" w:rsidP="00480DF0">
            <w:pPr>
              <w:spacing w:after="0"/>
              <w:jc w:val="right"/>
              <w:rPr>
                <w:rFonts w:cs="Arial"/>
                <w:bCs/>
                <w:color w:val="000000"/>
                <w:sz w:val="22"/>
                <w:szCs w:val="22"/>
              </w:rPr>
            </w:pPr>
            <w:r w:rsidRPr="00D51778">
              <w:rPr>
                <w:rFonts w:cs="Arial"/>
                <w:color w:val="000000"/>
                <w:sz w:val="22"/>
                <w:szCs w:val="22"/>
                <w:lang w:val="ga"/>
              </w:rPr>
              <w:t>138,871</w:t>
            </w:r>
          </w:p>
        </w:tc>
        <w:tc>
          <w:tcPr>
            <w:tcW w:w="1418" w:type="dxa"/>
          </w:tcPr>
          <w:p w14:paraId="49384D97" w14:textId="30C27358" w:rsidR="00480DF0" w:rsidRPr="00D51778" w:rsidRDefault="005A19F6" w:rsidP="00480DF0">
            <w:pPr>
              <w:spacing w:after="0"/>
              <w:jc w:val="right"/>
              <w:rPr>
                <w:rFonts w:cs="Arial"/>
                <w:bCs/>
                <w:color w:val="000000"/>
                <w:sz w:val="22"/>
                <w:szCs w:val="22"/>
              </w:rPr>
            </w:pPr>
            <w:r w:rsidRPr="00D51778">
              <w:rPr>
                <w:rFonts w:cs="Arial"/>
                <w:color w:val="000000"/>
                <w:sz w:val="22"/>
                <w:szCs w:val="22"/>
                <w:lang w:val="ga"/>
              </w:rPr>
              <w:t>3,440</w:t>
            </w:r>
          </w:p>
        </w:tc>
        <w:tc>
          <w:tcPr>
            <w:tcW w:w="1559" w:type="dxa"/>
          </w:tcPr>
          <w:p w14:paraId="10057D37" w14:textId="256DE5BE" w:rsidR="00480DF0" w:rsidRPr="00D51778" w:rsidRDefault="005A19F6" w:rsidP="00480DF0">
            <w:pPr>
              <w:keepNext/>
              <w:spacing w:after="0"/>
              <w:jc w:val="right"/>
              <w:rPr>
                <w:color w:val="000000"/>
                <w:sz w:val="22"/>
                <w:szCs w:val="22"/>
              </w:rPr>
            </w:pPr>
            <w:r w:rsidRPr="00D51778">
              <w:rPr>
                <w:color w:val="000000"/>
                <w:sz w:val="22"/>
                <w:szCs w:val="22"/>
                <w:lang w:val="ga"/>
              </w:rPr>
              <w:t>2.5%</w:t>
            </w:r>
          </w:p>
        </w:tc>
        <w:tc>
          <w:tcPr>
            <w:tcW w:w="1512" w:type="dxa"/>
          </w:tcPr>
          <w:p w14:paraId="3DA154E9" w14:textId="22341A5E" w:rsidR="00480DF0" w:rsidRPr="00D51778" w:rsidRDefault="005A19F6" w:rsidP="00480DF0">
            <w:pPr>
              <w:keepNext/>
              <w:spacing w:after="0"/>
              <w:jc w:val="right"/>
              <w:rPr>
                <w:color w:val="000000"/>
                <w:sz w:val="22"/>
                <w:szCs w:val="22"/>
              </w:rPr>
            </w:pPr>
            <w:r w:rsidRPr="00D51778">
              <w:rPr>
                <w:color w:val="000000"/>
                <w:sz w:val="22"/>
                <w:szCs w:val="22"/>
                <w:lang w:val="ga"/>
              </w:rPr>
              <w:t>55.2%</w:t>
            </w:r>
          </w:p>
        </w:tc>
        <w:tc>
          <w:tcPr>
            <w:tcW w:w="1276" w:type="dxa"/>
          </w:tcPr>
          <w:p w14:paraId="714355BE" w14:textId="61D0790C" w:rsidR="00480DF0" w:rsidRPr="00D51778" w:rsidRDefault="005A19F6" w:rsidP="00480DF0">
            <w:pPr>
              <w:keepNext/>
              <w:spacing w:after="0"/>
              <w:jc w:val="right"/>
              <w:rPr>
                <w:color w:val="000000"/>
                <w:sz w:val="22"/>
                <w:szCs w:val="22"/>
              </w:rPr>
            </w:pPr>
            <w:r w:rsidRPr="00D51778">
              <w:rPr>
                <w:color w:val="000000"/>
                <w:sz w:val="22"/>
                <w:szCs w:val="22"/>
                <w:lang w:val="ga"/>
              </w:rPr>
              <w:t>83.0%</w:t>
            </w:r>
          </w:p>
        </w:tc>
        <w:tc>
          <w:tcPr>
            <w:tcW w:w="1564" w:type="dxa"/>
          </w:tcPr>
          <w:p w14:paraId="3F3D57D4" w14:textId="576069B8" w:rsidR="00480DF0" w:rsidRPr="00D51778" w:rsidRDefault="005A19F6" w:rsidP="00480DF0">
            <w:pPr>
              <w:keepNext/>
              <w:spacing w:after="0"/>
              <w:jc w:val="right"/>
              <w:rPr>
                <w:color w:val="000000"/>
                <w:sz w:val="22"/>
                <w:szCs w:val="22"/>
              </w:rPr>
            </w:pPr>
            <w:r w:rsidRPr="00D51778">
              <w:rPr>
                <w:color w:val="000000"/>
                <w:sz w:val="22"/>
                <w:szCs w:val="22"/>
                <w:lang w:val="ga"/>
              </w:rPr>
              <w:t>94</w:t>
            </w:r>
          </w:p>
        </w:tc>
      </w:tr>
      <w:tr w:rsidR="00480DF0" w:rsidRPr="00D51778" w14:paraId="4DB9D701" w14:textId="79856FFA" w:rsidTr="0046554A">
        <w:tc>
          <w:tcPr>
            <w:tcW w:w="1828" w:type="dxa"/>
          </w:tcPr>
          <w:p w14:paraId="7318D9C8" w14:textId="2C61992D" w:rsidR="00480DF0" w:rsidRPr="00D51778" w:rsidRDefault="005A19F6" w:rsidP="00480DF0">
            <w:pPr>
              <w:keepNext/>
              <w:spacing w:after="0"/>
              <w:rPr>
                <w:b/>
                <w:color w:val="000000"/>
                <w:sz w:val="22"/>
                <w:szCs w:val="22"/>
              </w:rPr>
            </w:pPr>
            <w:r w:rsidRPr="00D51778">
              <w:rPr>
                <w:b/>
                <w:bCs/>
                <w:color w:val="000000"/>
                <w:sz w:val="22"/>
                <w:szCs w:val="22"/>
                <w:lang w:val="ga"/>
              </w:rPr>
              <w:t xml:space="preserve">Comhlacht Neamhthráchtála 2020 </w:t>
            </w:r>
          </w:p>
        </w:tc>
        <w:tc>
          <w:tcPr>
            <w:tcW w:w="1559" w:type="dxa"/>
          </w:tcPr>
          <w:p w14:paraId="7429B284" w14:textId="6AE43F15" w:rsidR="00480DF0" w:rsidRPr="00D51778" w:rsidRDefault="005A19F6" w:rsidP="00480DF0">
            <w:pPr>
              <w:spacing w:after="0"/>
              <w:jc w:val="right"/>
              <w:rPr>
                <w:rFonts w:cs="Arial"/>
                <w:bCs/>
                <w:color w:val="000000"/>
                <w:sz w:val="22"/>
                <w:szCs w:val="22"/>
              </w:rPr>
            </w:pPr>
            <w:r w:rsidRPr="00D51778">
              <w:rPr>
                <w:rFonts w:cs="Arial"/>
                <w:color w:val="000000"/>
                <w:sz w:val="22"/>
                <w:szCs w:val="22"/>
                <w:lang w:val="ga"/>
              </w:rPr>
              <w:t>133,559</w:t>
            </w:r>
          </w:p>
        </w:tc>
        <w:tc>
          <w:tcPr>
            <w:tcW w:w="1418" w:type="dxa"/>
          </w:tcPr>
          <w:p w14:paraId="7EB26EEE" w14:textId="497E58D7" w:rsidR="00480DF0" w:rsidRPr="00D51778" w:rsidRDefault="005A19F6" w:rsidP="00480DF0">
            <w:pPr>
              <w:keepNext/>
              <w:spacing w:after="0"/>
              <w:jc w:val="right"/>
              <w:rPr>
                <w:color w:val="000000"/>
                <w:sz w:val="22"/>
                <w:szCs w:val="22"/>
              </w:rPr>
            </w:pPr>
            <w:r w:rsidRPr="00D51778">
              <w:rPr>
                <w:color w:val="000000"/>
                <w:sz w:val="22"/>
                <w:szCs w:val="22"/>
                <w:lang w:val="ga"/>
              </w:rPr>
              <w:t>2,526</w:t>
            </w:r>
          </w:p>
        </w:tc>
        <w:tc>
          <w:tcPr>
            <w:tcW w:w="1559" w:type="dxa"/>
          </w:tcPr>
          <w:p w14:paraId="1E569FC4" w14:textId="38F57807" w:rsidR="00480DF0" w:rsidRPr="00D51778" w:rsidRDefault="005A19F6" w:rsidP="00480DF0">
            <w:pPr>
              <w:keepNext/>
              <w:spacing w:after="0"/>
              <w:jc w:val="right"/>
              <w:rPr>
                <w:color w:val="000000"/>
                <w:sz w:val="22"/>
                <w:szCs w:val="22"/>
              </w:rPr>
            </w:pPr>
            <w:r w:rsidRPr="00D51778">
              <w:rPr>
                <w:color w:val="000000"/>
                <w:sz w:val="22"/>
                <w:szCs w:val="22"/>
                <w:lang w:val="ga"/>
              </w:rPr>
              <w:t>1.9%</w:t>
            </w:r>
          </w:p>
        </w:tc>
        <w:tc>
          <w:tcPr>
            <w:tcW w:w="1512" w:type="dxa"/>
          </w:tcPr>
          <w:p w14:paraId="7C3BED0E" w14:textId="7E900AD9" w:rsidR="00480DF0" w:rsidRPr="00D51778" w:rsidRDefault="005A19F6" w:rsidP="00480DF0">
            <w:pPr>
              <w:keepNext/>
              <w:spacing w:after="0"/>
              <w:jc w:val="right"/>
              <w:rPr>
                <w:color w:val="000000"/>
                <w:sz w:val="22"/>
                <w:szCs w:val="22"/>
              </w:rPr>
            </w:pPr>
            <w:r w:rsidRPr="00D51778">
              <w:rPr>
                <w:color w:val="000000"/>
                <w:sz w:val="22"/>
                <w:szCs w:val="22"/>
                <w:lang w:val="ga"/>
              </w:rPr>
              <w:t>54.5%</w:t>
            </w:r>
          </w:p>
        </w:tc>
        <w:tc>
          <w:tcPr>
            <w:tcW w:w="1276" w:type="dxa"/>
          </w:tcPr>
          <w:p w14:paraId="22021D89" w14:textId="6542DEB3" w:rsidR="00480DF0" w:rsidRPr="00D51778" w:rsidRDefault="005A19F6" w:rsidP="00480DF0">
            <w:pPr>
              <w:keepNext/>
              <w:spacing w:after="0"/>
              <w:jc w:val="right"/>
              <w:rPr>
                <w:color w:val="000000"/>
                <w:sz w:val="22"/>
                <w:szCs w:val="22"/>
              </w:rPr>
            </w:pPr>
            <w:r w:rsidRPr="00D51778">
              <w:rPr>
                <w:color w:val="000000"/>
                <w:sz w:val="22"/>
                <w:szCs w:val="22"/>
                <w:lang w:val="ga"/>
              </w:rPr>
              <w:t>80.0%</w:t>
            </w:r>
          </w:p>
        </w:tc>
        <w:tc>
          <w:tcPr>
            <w:tcW w:w="1564" w:type="dxa"/>
          </w:tcPr>
          <w:p w14:paraId="4633D687" w14:textId="74CA6030" w:rsidR="00480DF0" w:rsidRPr="00D51778" w:rsidRDefault="00480DF0" w:rsidP="00480DF0">
            <w:pPr>
              <w:keepNext/>
              <w:spacing w:after="0"/>
              <w:jc w:val="right"/>
              <w:rPr>
                <w:color w:val="000000"/>
                <w:sz w:val="22"/>
                <w:szCs w:val="22"/>
              </w:rPr>
            </w:pPr>
            <w:r w:rsidRPr="00D51778">
              <w:rPr>
                <w:color w:val="000000"/>
                <w:sz w:val="22"/>
                <w:szCs w:val="22"/>
                <w:lang w:val="ga"/>
              </w:rPr>
              <w:t>95</w:t>
            </w:r>
          </w:p>
        </w:tc>
      </w:tr>
      <w:tr w:rsidR="00480DF0" w:rsidRPr="00D51778" w14:paraId="0AFF4ACF" w14:textId="35C750E5" w:rsidTr="0046554A">
        <w:tc>
          <w:tcPr>
            <w:tcW w:w="1828" w:type="dxa"/>
            <w:tcBorders>
              <w:top w:val="single" w:sz="6" w:space="0" w:color="000000"/>
              <w:bottom w:val="single" w:sz="6" w:space="0" w:color="000000"/>
            </w:tcBorders>
            <w:shd w:val="clear" w:color="auto" w:fill="E0E0E0"/>
          </w:tcPr>
          <w:p w14:paraId="6D7A12A8" w14:textId="638F3C49" w:rsidR="00480DF0" w:rsidRPr="00D51778" w:rsidRDefault="0072463C" w:rsidP="00480DF0">
            <w:pPr>
              <w:keepNext/>
              <w:spacing w:after="0"/>
              <w:rPr>
                <w:b/>
                <w:color w:val="000000"/>
                <w:sz w:val="22"/>
                <w:szCs w:val="22"/>
              </w:rPr>
            </w:pPr>
            <w:r w:rsidRPr="00D51778">
              <w:rPr>
                <w:b/>
                <w:bCs/>
                <w:color w:val="000000"/>
                <w:sz w:val="22"/>
                <w:szCs w:val="22"/>
                <w:lang w:val="ga"/>
              </w:rPr>
              <w:t>Athrú 2020/2021</w:t>
            </w:r>
          </w:p>
        </w:tc>
        <w:tc>
          <w:tcPr>
            <w:tcW w:w="1559" w:type="dxa"/>
            <w:tcBorders>
              <w:top w:val="single" w:sz="6" w:space="0" w:color="000000"/>
              <w:bottom w:val="single" w:sz="6" w:space="0" w:color="000000"/>
            </w:tcBorders>
            <w:shd w:val="clear" w:color="auto" w:fill="E0E0E0"/>
          </w:tcPr>
          <w:p w14:paraId="7F2ABA4D" w14:textId="66A7FBAF" w:rsidR="00480DF0" w:rsidRPr="00D51778" w:rsidRDefault="005A19F6" w:rsidP="005A19F6">
            <w:pPr>
              <w:keepNext/>
              <w:spacing w:after="0"/>
              <w:jc w:val="right"/>
              <w:rPr>
                <w:b/>
                <w:color w:val="000000"/>
                <w:sz w:val="22"/>
                <w:szCs w:val="22"/>
              </w:rPr>
            </w:pPr>
            <w:r w:rsidRPr="00D51778">
              <w:rPr>
                <w:b/>
                <w:bCs/>
                <w:color w:val="000000"/>
                <w:sz w:val="22"/>
                <w:szCs w:val="22"/>
                <w:lang w:val="ga"/>
              </w:rPr>
              <w:t>+5,312</w:t>
            </w:r>
          </w:p>
        </w:tc>
        <w:tc>
          <w:tcPr>
            <w:tcW w:w="1418" w:type="dxa"/>
            <w:tcBorders>
              <w:top w:val="single" w:sz="6" w:space="0" w:color="000000"/>
              <w:bottom w:val="single" w:sz="6" w:space="0" w:color="000000"/>
            </w:tcBorders>
            <w:shd w:val="clear" w:color="auto" w:fill="E0E0E0"/>
          </w:tcPr>
          <w:p w14:paraId="253A252B" w14:textId="20B30C49" w:rsidR="00480DF0" w:rsidRPr="00D51778" w:rsidRDefault="005A19F6" w:rsidP="00480DF0">
            <w:pPr>
              <w:keepNext/>
              <w:spacing w:after="0"/>
              <w:jc w:val="right"/>
              <w:rPr>
                <w:b/>
                <w:color w:val="000000"/>
                <w:sz w:val="22"/>
                <w:szCs w:val="22"/>
              </w:rPr>
            </w:pPr>
            <w:r w:rsidRPr="00D51778">
              <w:rPr>
                <w:b/>
                <w:bCs/>
                <w:color w:val="000000"/>
                <w:sz w:val="22"/>
                <w:szCs w:val="22"/>
                <w:lang w:val="ga"/>
              </w:rPr>
              <w:t>+914</w:t>
            </w:r>
          </w:p>
        </w:tc>
        <w:tc>
          <w:tcPr>
            <w:tcW w:w="1559" w:type="dxa"/>
            <w:tcBorders>
              <w:top w:val="single" w:sz="6" w:space="0" w:color="000000"/>
              <w:bottom w:val="single" w:sz="6" w:space="0" w:color="000000"/>
            </w:tcBorders>
            <w:shd w:val="clear" w:color="auto" w:fill="E0E0E0"/>
          </w:tcPr>
          <w:p w14:paraId="42B0AC93" w14:textId="5B6D668D" w:rsidR="00480DF0" w:rsidRPr="00D51778" w:rsidRDefault="005A19F6" w:rsidP="00480DF0">
            <w:pPr>
              <w:keepNext/>
              <w:spacing w:after="0"/>
              <w:jc w:val="right"/>
              <w:rPr>
                <w:b/>
                <w:color w:val="000000"/>
                <w:sz w:val="22"/>
                <w:szCs w:val="22"/>
              </w:rPr>
            </w:pPr>
            <w:r w:rsidRPr="00D51778">
              <w:rPr>
                <w:b/>
                <w:bCs/>
                <w:color w:val="000000"/>
                <w:sz w:val="22"/>
                <w:szCs w:val="22"/>
                <w:lang w:val="ga"/>
              </w:rPr>
              <w:t>+0.6%</w:t>
            </w:r>
          </w:p>
        </w:tc>
        <w:tc>
          <w:tcPr>
            <w:tcW w:w="1512" w:type="dxa"/>
            <w:tcBorders>
              <w:top w:val="single" w:sz="6" w:space="0" w:color="000000"/>
              <w:bottom w:val="single" w:sz="6" w:space="0" w:color="000000"/>
            </w:tcBorders>
            <w:shd w:val="clear" w:color="auto" w:fill="E0E0E0"/>
          </w:tcPr>
          <w:p w14:paraId="0ED967F6" w14:textId="41F5B8FF" w:rsidR="00480DF0" w:rsidRPr="00D51778" w:rsidRDefault="005A19F6" w:rsidP="00480DF0">
            <w:pPr>
              <w:keepNext/>
              <w:spacing w:after="0"/>
              <w:jc w:val="right"/>
              <w:rPr>
                <w:b/>
                <w:color w:val="000000"/>
                <w:sz w:val="22"/>
                <w:szCs w:val="22"/>
              </w:rPr>
            </w:pPr>
            <w:r w:rsidRPr="00D51778">
              <w:rPr>
                <w:b/>
                <w:bCs/>
                <w:color w:val="000000"/>
                <w:sz w:val="22"/>
                <w:szCs w:val="22"/>
                <w:lang w:val="ga"/>
              </w:rPr>
              <w:t>-0.7%</w:t>
            </w:r>
          </w:p>
        </w:tc>
        <w:tc>
          <w:tcPr>
            <w:tcW w:w="1276" w:type="dxa"/>
            <w:tcBorders>
              <w:top w:val="single" w:sz="6" w:space="0" w:color="000000"/>
              <w:bottom w:val="single" w:sz="6" w:space="0" w:color="000000"/>
            </w:tcBorders>
            <w:shd w:val="clear" w:color="auto" w:fill="E0E0E0"/>
          </w:tcPr>
          <w:p w14:paraId="4575F2B4" w14:textId="6CCDFB82" w:rsidR="00480DF0" w:rsidRPr="00D51778" w:rsidRDefault="005A19F6" w:rsidP="00480DF0">
            <w:pPr>
              <w:keepNext/>
              <w:spacing w:after="0"/>
              <w:jc w:val="right"/>
              <w:rPr>
                <w:b/>
                <w:color w:val="000000"/>
                <w:sz w:val="22"/>
                <w:szCs w:val="22"/>
              </w:rPr>
            </w:pPr>
            <w:r w:rsidRPr="00D51778">
              <w:rPr>
                <w:b/>
                <w:bCs/>
                <w:color w:val="000000"/>
                <w:sz w:val="22"/>
                <w:szCs w:val="22"/>
                <w:lang w:val="ga"/>
              </w:rPr>
              <w:t>+3.0%</w:t>
            </w:r>
          </w:p>
        </w:tc>
        <w:tc>
          <w:tcPr>
            <w:tcW w:w="1564" w:type="dxa"/>
            <w:tcBorders>
              <w:top w:val="single" w:sz="6" w:space="0" w:color="000000"/>
              <w:bottom w:val="single" w:sz="6" w:space="0" w:color="000000"/>
            </w:tcBorders>
            <w:shd w:val="clear" w:color="auto" w:fill="E0E0E0"/>
          </w:tcPr>
          <w:p w14:paraId="58ECAEEB" w14:textId="0B07ACB2" w:rsidR="00480DF0" w:rsidRPr="00D51778" w:rsidRDefault="005A19F6" w:rsidP="005A19F6">
            <w:pPr>
              <w:keepNext/>
              <w:spacing w:after="0"/>
              <w:jc w:val="right"/>
              <w:rPr>
                <w:b/>
                <w:color w:val="000000"/>
                <w:sz w:val="22"/>
                <w:szCs w:val="22"/>
              </w:rPr>
            </w:pPr>
            <w:r w:rsidRPr="00D51778">
              <w:rPr>
                <w:b/>
                <w:bCs/>
                <w:color w:val="000000"/>
                <w:sz w:val="22"/>
                <w:szCs w:val="22"/>
                <w:lang w:val="ga"/>
              </w:rPr>
              <w:t>-1</w:t>
            </w:r>
          </w:p>
        </w:tc>
      </w:tr>
      <w:tr w:rsidR="00480DF0" w:rsidRPr="00D51778" w14:paraId="4C542F06" w14:textId="077A3D9D" w:rsidTr="001D782D">
        <w:tc>
          <w:tcPr>
            <w:tcW w:w="10716" w:type="dxa"/>
            <w:gridSpan w:val="7"/>
          </w:tcPr>
          <w:p w14:paraId="7EE5AE14" w14:textId="77777777" w:rsidR="00480DF0" w:rsidRPr="00D51778" w:rsidRDefault="00480DF0" w:rsidP="00480DF0">
            <w:pPr>
              <w:keepNext/>
              <w:spacing w:after="0"/>
              <w:rPr>
                <w:color w:val="000000"/>
                <w:sz w:val="22"/>
                <w:szCs w:val="22"/>
              </w:rPr>
            </w:pPr>
          </w:p>
        </w:tc>
      </w:tr>
      <w:tr w:rsidR="00480DF0" w:rsidRPr="00D51778" w14:paraId="1DA9E52F" w14:textId="7855D0DB" w:rsidTr="0046554A">
        <w:tc>
          <w:tcPr>
            <w:tcW w:w="1828" w:type="dxa"/>
            <w:tcBorders>
              <w:top w:val="single" w:sz="4" w:space="0" w:color="000000"/>
              <w:bottom w:val="single" w:sz="6" w:space="0" w:color="000000"/>
            </w:tcBorders>
          </w:tcPr>
          <w:p w14:paraId="549CD976" w14:textId="47BC39FF" w:rsidR="00480DF0" w:rsidRPr="00D51778" w:rsidRDefault="00F81913" w:rsidP="006E0F84">
            <w:pPr>
              <w:keepNext/>
              <w:spacing w:after="0"/>
              <w:rPr>
                <w:b/>
                <w:color w:val="000000"/>
                <w:sz w:val="22"/>
                <w:szCs w:val="22"/>
              </w:rPr>
            </w:pPr>
            <w:r w:rsidRPr="00D51778">
              <w:rPr>
                <w:b/>
                <w:bCs/>
                <w:color w:val="000000"/>
                <w:sz w:val="22"/>
                <w:szCs w:val="22"/>
                <w:lang w:val="ga"/>
              </w:rPr>
              <w:t>Comhlachtaí Poiblí a bhfuil Státseirbhísigh mar Fhoireann dóibh 2021</w:t>
            </w:r>
          </w:p>
        </w:tc>
        <w:tc>
          <w:tcPr>
            <w:tcW w:w="1559" w:type="dxa"/>
            <w:tcBorders>
              <w:top w:val="single" w:sz="4" w:space="0" w:color="auto"/>
            </w:tcBorders>
          </w:tcPr>
          <w:p w14:paraId="22237F66" w14:textId="33D51051" w:rsidR="00480DF0" w:rsidRPr="00D51778" w:rsidRDefault="00F81913" w:rsidP="00480DF0">
            <w:pPr>
              <w:keepNext/>
              <w:spacing w:after="0"/>
              <w:jc w:val="right"/>
              <w:rPr>
                <w:color w:val="000000"/>
                <w:sz w:val="22"/>
                <w:szCs w:val="22"/>
              </w:rPr>
            </w:pPr>
            <w:r w:rsidRPr="00D51778">
              <w:rPr>
                <w:color w:val="000000"/>
                <w:sz w:val="22"/>
                <w:szCs w:val="22"/>
                <w:lang w:val="ga"/>
              </w:rPr>
              <w:t>16,725</w:t>
            </w:r>
          </w:p>
        </w:tc>
        <w:tc>
          <w:tcPr>
            <w:tcW w:w="1418" w:type="dxa"/>
            <w:tcBorders>
              <w:top w:val="single" w:sz="4" w:space="0" w:color="auto"/>
            </w:tcBorders>
          </w:tcPr>
          <w:p w14:paraId="46DB3423" w14:textId="0A5BF609" w:rsidR="00480DF0" w:rsidRPr="00D51778" w:rsidRDefault="00F81913" w:rsidP="00480DF0">
            <w:pPr>
              <w:keepNext/>
              <w:spacing w:after="0"/>
              <w:jc w:val="right"/>
              <w:rPr>
                <w:color w:val="000000"/>
                <w:sz w:val="22"/>
                <w:szCs w:val="22"/>
              </w:rPr>
            </w:pPr>
            <w:r w:rsidRPr="00D51778">
              <w:rPr>
                <w:color w:val="000000"/>
                <w:sz w:val="22"/>
                <w:szCs w:val="22"/>
                <w:lang w:val="ga"/>
              </w:rPr>
              <w:t>773</w:t>
            </w:r>
          </w:p>
        </w:tc>
        <w:tc>
          <w:tcPr>
            <w:tcW w:w="1559" w:type="dxa"/>
            <w:tcBorders>
              <w:top w:val="single" w:sz="4" w:space="0" w:color="auto"/>
            </w:tcBorders>
          </w:tcPr>
          <w:p w14:paraId="626BF283" w14:textId="56624D19" w:rsidR="00480DF0" w:rsidRPr="00D51778" w:rsidRDefault="00F81913" w:rsidP="00480DF0">
            <w:pPr>
              <w:keepNext/>
              <w:spacing w:after="0"/>
              <w:jc w:val="right"/>
              <w:rPr>
                <w:color w:val="000000"/>
                <w:sz w:val="22"/>
                <w:szCs w:val="22"/>
              </w:rPr>
            </w:pPr>
            <w:r w:rsidRPr="00D51778">
              <w:rPr>
                <w:color w:val="000000"/>
                <w:sz w:val="22"/>
                <w:szCs w:val="22"/>
                <w:lang w:val="ga"/>
              </w:rPr>
              <w:t>4.6%</w:t>
            </w:r>
          </w:p>
        </w:tc>
        <w:tc>
          <w:tcPr>
            <w:tcW w:w="1512" w:type="dxa"/>
            <w:tcBorders>
              <w:top w:val="single" w:sz="4" w:space="0" w:color="auto"/>
            </w:tcBorders>
          </w:tcPr>
          <w:p w14:paraId="62437696" w14:textId="721A80BD" w:rsidR="00480DF0" w:rsidRPr="00D51778" w:rsidRDefault="00F81913" w:rsidP="00480DF0">
            <w:pPr>
              <w:keepNext/>
              <w:spacing w:after="0"/>
              <w:jc w:val="right"/>
              <w:rPr>
                <w:color w:val="000000"/>
                <w:sz w:val="22"/>
                <w:szCs w:val="22"/>
              </w:rPr>
            </w:pPr>
            <w:r w:rsidRPr="00D51778">
              <w:rPr>
                <w:color w:val="000000"/>
                <w:sz w:val="22"/>
                <w:szCs w:val="22"/>
                <w:lang w:val="ga"/>
              </w:rPr>
              <w:t>6.6%</w:t>
            </w:r>
          </w:p>
        </w:tc>
        <w:tc>
          <w:tcPr>
            <w:tcW w:w="1276" w:type="dxa"/>
            <w:tcBorders>
              <w:top w:val="single" w:sz="4" w:space="0" w:color="auto"/>
            </w:tcBorders>
          </w:tcPr>
          <w:p w14:paraId="51294104" w14:textId="65B026B3" w:rsidR="00480DF0" w:rsidRPr="00D51778" w:rsidRDefault="00F81913" w:rsidP="00480DF0">
            <w:pPr>
              <w:keepNext/>
              <w:spacing w:after="0"/>
              <w:jc w:val="right"/>
              <w:rPr>
                <w:color w:val="000000"/>
                <w:sz w:val="22"/>
                <w:szCs w:val="22"/>
              </w:rPr>
            </w:pPr>
            <w:r w:rsidRPr="00D51778">
              <w:rPr>
                <w:color w:val="000000"/>
                <w:sz w:val="22"/>
                <w:szCs w:val="22"/>
                <w:lang w:val="ga"/>
              </w:rPr>
              <w:t>80.0%</w:t>
            </w:r>
          </w:p>
        </w:tc>
        <w:tc>
          <w:tcPr>
            <w:tcW w:w="1564" w:type="dxa"/>
            <w:tcBorders>
              <w:top w:val="single" w:sz="4" w:space="0" w:color="auto"/>
            </w:tcBorders>
          </w:tcPr>
          <w:p w14:paraId="36B01F34" w14:textId="55FBC2C4" w:rsidR="00480DF0" w:rsidRPr="00D51778" w:rsidRDefault="00F81913" w:rsidP="00480DF0">
            <w:pPr>
              <w:keepNext/>
              <w:spacing w:after="0"/>
              <w:jc w:val="right"/>
              <w:rPr>
                <w:color w:val="000000"/>
                <w:sz w:val="22"/>
                <w:szCs w:val="22"/>
              </w:rPr>
            </w:pPr>
            <w:r w:rsidRPr="00D51778">
              <w:rPr>
                <w:color w:val="000000"/>
                <w:sz w:val="22"/>
                <w:szCs w:val="22"/>
                <w:lang w:val="ga"/>
              </w:rPr>
              <w:t>40</w:t>
            </w:r>
          </w:p>
        </w:tc>
      </w:tr>
      <w:tr w:rsidR="00480DF0" w:rsidRPr="00D51778" w14:paraId="20BD8BC9" w14:textId="4AB76AC3" w:rsidTr="0046554A">
        <w:tc>
          <w:tcPr>
            <w:tcW w:w="1828" w:type="dxa"/>
            <w:tcBorders>
              <w:top w:val="single" w:sz="4" w:space="0" w:color="000000"/>
              <w:bottom w:val="single" w:sz="6" w:space="0" w:color="000000"/>
            </w:tcBorders>
          </w:tcPr>
          <w:p w14:paraId="19CA0701" w14:textId="45ADA0CF" w:rsidR="00480DF0" w:rsidRPr="00D51778" w:rsidRDefault="0072463C" w:rsidP="00480DF0">
            <w:pPr>
              <w:keepNext/>
              <w:spacing w:after="0"/>
              <w:rPr>
                <w:b/>
                <w:color w:val="000000"/>
                <w:sz w:val="22"/>
                <w:szCs w:val="22"/>
              </w:rPr>
            </w:pPr>
            <w:r w:rsidRPr="00D51778">
              <w:rPr>
                <w:b/>
                <w:bCs/>
                <w:color w:val="000000"/>
                <w:sz w:val="22"/>
                <w:szCs w:val="22"/>
                <w:lang w:val="ga"/>
              </w:rPr>
              <w:t>Comhlachtaí Poiblí a bhfuil Státseirbhísigh mar Fhoireann dóibh 2020</w:t>
            </w:r>
          </w:p>
        </w:tc>
        <w:tc>
          <w:tcPr>
            <w:tcW w:w="1559" w:type="dxa"/>
            <w:tcBorders>
              <w:top w:val="single" w:sz="4" w:space="0" w:color="auto"/>
            </w:tcBorders>
          </w:tcPr>
          <w:p w14:paraId="3CE37F19" w14:textId="036E71AC" w:rsidR="00480DF0" w:rsidRPr="00D51778" w:rsidRDefault="00480DF0" w:rsidP="00480DF0">
            <w:pPr>
              <w:keepNext/>
              <w:spacing w:after="0"/>
              <w:jc w:val="right"/>
              <w:rPr>
                <w:rFonts w:cs="Arial"/>
                <w:bCs/>
                <w:color w:val="000000"/>
                <w:sz w:val="22"/>
                <w:szCs w:val="22"/>
              </w:rPr>
            </w:pPr>
            <w:r w:rsidRPr="00D51778">
              <w:rPr>
                <w:rFonts w:cs="Arial"/>
                <w:color w:val="000000"/>
                <w:sz w:val="22"/>
                <w:szCs w:val="22"/>
                <w:lang w:val="ga"/>
              </w:rPr>
              <w:t>16,740</w:t>
            </w:r>
          </w:p>
          <w:p w14:paraId="7A87335B" w14:textId="77777777" w:rsidR="00480DF0" w:rsidRPr="00D51778" w:rsidRDefault="00480DF0" w:rsidP="00480DF0">
            <w:pPr>
              <w:keepNext/>
              <w:spacing w:after="0"/>
              <w:jc w:val="right"/>
              <w:rPr>
                <w:color w:val="000000"/>
                <w:sz w:val="22"/>
                <w:szCs w:val="22"/>
              </w:rPr>
            </w:pPr>
          </w:p>
        </w:tc>
        <w:tc>
          <w:tcPr>
            <w:tcW w:w="1418" w:type="dxa"/>
            <w:tcBorders>
              <w:top w:val="single" w:sz="4" w:space="0" w:color="auto"/>
            </w:tcBorders>
          </w:tcPr>
          <w:p w14:paraId="2FCA20F9" w14:textId="07F4CAC7" w:rsidR="00480DF0" w:rsidRPr="00D51778" w:rsidRDefault="00DF2EBC" w:rsidP="00480DF0">
            <w:pPr>
              <w:keepNext/>
              <w:spacing w:after="0"/>
              <w:jc w:val="right"/>
              <w:rPr>
                <w:color w:val="000000"/>
                <w:sz w:val="22"/>
                <w:szCs w:val="22"/>
              </w:rPr>
            </w:pPr>
            <w:r w:rsidRPr="00D51778">
              <w:rPr>
                <w:rFonts w:cs="Arial"/>
                <w:color w:val="000000"/>
                <w:sz w:val="22"/>
                <w:szCs w:val="22"/>
                <w:lang w:val="ga"/>
              </w:rPr>
              <w:t>779</w:t>
            </w:r>
          </w:p>
        </w:tc>
        <w:tc>
          <w:tcPr>
            <w:tcW w:w="1559" w:type="dxa"/>
            <w:tcBorders>
              <w:top w:val="single" w:sz="4" w:space="0" w:color="auto"/>
            </w:tcBorders>
          </w:tcPr>
          <w:p w14:paraId="785FAE1F" w14:textId="0DD85477" w:rsidR="00480DF0" w:rsidRPr="00D51778" w:rsidRDefault="00DF2EBC" w:rsidP="00480DF0">
            <w:pPr>
              <w:keepNext/>
              <w:spacing w:after="0"/>
              <w:jc w:val="right"/>
              <w:rPr>
                <w:color w:val="000000"/>
                <w:sz w:val="22"/>
                <w:szCs w:val="22"/>
              </w:rPr>
            </w:pPr>
            <w:r w:rsidRPr="00D51778">
              <w:rPr>
                <w:rFonts w:cs="Arial"/>
                <w:sz w:val="22"/>
                <w:szCs w:val="22"/>
                <w:lang w:val="ga"/>
              </w:rPr>
              <w:t>4.7%</w:t>
            </w:r>
          </w:p>
        </w:tc>
        <w:tc>
          <w:tcPr>
            <w:tcW w:w="1512" w:type="dxa"/>
            <w:tcBorders>
              <w:top w:val="single" w:sz="4" w:space="0" w:color="auto"/>
            </w:tcBorders>
          </w:tcPr>
          <w:p w14:paraId="09A7C7E9" w14:textId="51D30B06" w:rsidR="00480DF0" w:rsidRPr="00D51778" w:rsidRDefault="00DF2EBC" w:rsidP="00480DF0">
            <w:pPr>
              <w:keepNext/>
              <w:spacing w:after="0"/>
              <w:jc w:val="right"/>
              <w:rPr>
                <w:color w:val="000000"/>
                <w:sz w:val="22"/>
                <w:szCs w:val="22"/>
              </w:rPr>
            </w:pPr>
            <w:r w:rsidRPr="00D51778">
              <w:rPr>
                <w:rFonts w:cs="Arial"/>
                <w:sz w:val="22"/>
                <w:szCs w:val="22"/>
                <w:lang w:val="ga"/>
              </w:rPr>
              <w:t>6.8%</w:t>
            </w:r>
          </w:p>
        </w:tc>
        <w:tc>
          <w:tcPr>
            <w:tcW w:w="1276" w:type="dxa"/>
            <w:tcBorders>
              <w:top w:val="single" w:sz="4" w:space="0" w:color="auto"/>
            </w:tcBorders>
          </w:tcPr>
          <w:p w14:paraId="04ACF7CF" w14:textId="141948DE" w:rsidR="00480DF0" w:rsidRPr="00D51778" w:rsidRDefault="00DF2EBC" w:rsidP="00480DF0">
            <w:pPr>
              <w:keepNext/>
              <w:spacing w:after="0"/>
              <w:jc w:val="right"/>
              <w:rPr>
                <w:color w:val="000000"/>
                <w:sz w:val="22"/>
                <w:szCs w:val="22"/>
              </w:rPr>
            </w:pPr>
            <w:r w:rsidRPr="00D51778">
              <w:rPr>
                <w:rFonts w:cs="Arial"/>
                <w:sz w:val="22"/>
                <w:szCs w:val="22"/>
                <w:lang w:val="ga"/>
              </w:rPr>
              <w:t>82.5%</w:t>
            </w:r>
          </w:p>
        </w:tc>
        <w:tc>
          <w:tcPr>
            <w:tcW w:w="1564" w:type="dxa"/>
            <w:tcBorders>
              <w:top w:val="single" w:sz="4" w:space="0" w:color="auto"/>
            </w:tcBorders>
          </w:tcPr>
          <w:p w14:paraId="7AAB8295" w14:textId="14C4CD43" w:rsidR="00480DF0" w:rsidRPr="00D51778" w:rsidRDefault="00DF2EBC" w:rsidP="00480DF0">
            <w:pPr>
              <w:keepNext/>
              <w:spacing w:after="0"/>
              <w:jc w:val="right"/>
              <w:rPr>
                <w:color w:val="000000"/>
                <w:sz w:val="22"/>
                <w:szCs w:val="22"/>
              </w:rPr>
            </w:pPr>
            <w:r w:rsidRPr="00D51778">
              <w:rPr>
                <w:rFonts w:cs="Arial"/>
                <w:color w:val="000000"/>
                <w:sz w:val="22"/>
                <w:szCs w:val="22"/>
                <w:lang w:val="ga"/>
              </w:rPr>
              <w:t>40</w:t>
            </w:r>
          </w:p>
        </w:tc>
      </w:tr>
      <w:tr w:rsidR="00480DF0" w:rsidRPr="00D51778" w14:paraId="4A9F27C1" w14:textId="639BAF25" w:rsidTr="0046554A">
        <w:tc>
          <w:tcPr>
            <w:tcW w:w="1828" w:type="dxa"/>
            <w:tcBorders>
              <w:top w:val="single" w:sz="6" w:space="0" w:color="000000"/>
              <w:bottom w:val="single" w:sz="6" w:space="0" w:color="000000"/>
            </w:tcBorders>
            <w:shd w:val="clear" w:color="auto" w:fill="E0E0E0"/>
          </w:tcPr>
          <w:p w14:paraId="22A86906" w14:textId="06B6D161" w:rsidR="00480DF0" w:rsidRPr="00D51778" w:rsidRDefault="0072463C" w:rsidP="00480DF0">
            <w:pPr>
              <w:keepNext/>
              <w:spacing w:after="0"/>
              <w:rPr>
                <w:b/>
                <w:color w:val="000000"/>
                <w:sz w:val="22"/>
                <w:szCs w:val="22"/>
              </w:rPr>
            </w:pPr>
            <w:r w:rsidRPr="00D51778">
              <w:rPr>
                <w:b/>
                <w:bCs/>
                <w:color w:val="000000"/>
                <w:sz w:val="22"/>
                <w:szCs w:val="22"/>
                <w:lang w:val="ga"/>
              </w:rPr>
              <w:lastRenderedPageBreak/>
              <w:t>Athrú 2020/2021</w:t>
            </w:r>
          </w:p>
        </w:tc>
        <w:tc>
          <w:tcPr>
            <w:tcW w:w="1559" w:type="dxa"/>
            <w:tcBorders>
              <w:top w:val="single" w:sz="6" w:space="0" w:color="000000"/>
              <w:bottom w:val="single" w:sz="6" w:space="0" w:color="000000"/>
            </w:tcBorders>
            <w:shd w:val="clear" w:color="auto" w:fill="E0E0E0"/>
          </w:tcPr>
          <w:p w14:paraId="31D1DE34" w14:textId="78629A16" w:rsidR="00480DF0" w:rsidRPr="00D51778" w:rsidRDefault="00F81913" w:rsidP="00866172">
            <w:pPr>
              <w:keepNext/>
              <w:spacing w:after="0"/>
              <w:jc w:val="right"/>
              <w:rPr>
                <w:b/>
                <w:color w:val="000000"/>
                <w:sz w:val="22"/>
                <w:szCs w:val="22"/>
              </w:rPr>
            </w:pPr>
            <w:r w:rsidRPr="00D51778">
              <w:rPr>
                <w:b/>
                <w:bCs/>
                <w:color w:val="000000"/>
                <w:sz w:val="22"/>
                <w:szCs w:val="22"/>
                <w:lang w:val="ga"/>
              </w:rPr>
              <w:t>-15</w:t>
            </w:r>
          </w:p>
        </w:tc>
        <w:tc>
          <w:tcPr>
            <w:tcW w:w="1418" w:type="dxa"/>
            <w:tcBorders>
              <w:top w:val="single" w:sz="6" w:space="0" w:color="000000"/>
              <w:bottom w:val="single" w:sz="6" w:space="0" w:color="000000"/>
            </w:tcBorders>
            <w:shd w:val="clear" w:color="auto" w:fill="E0E0E0"/>
          </w:tcPr>
          <w:p w14:paraId="5B462E41" w14:textId="19EB74C3" w:rsidR="00480DF0" w:rsidRPr="00D51778" w:rsidRDefault="00F81913" w:rsidP="00866172">
            <w:pPr>
              <w:keepNext/>
              <w:spacing w:after="0"/>
              <w:jc w:val="right"/>
              <w:rPr>
                <w:b/>
                <w:color w:val="000000"/>
                <w:sz w:val="22"/>
                <w:szCs w:val="22"/>
              </w:rPr>
            </w:pPr>
            <w:r w:rsidRPr="00D51778">
              <w:rPr>
                <w:b/>
                <w:bCs/>
                <w:color w:val="000000"/>
                <w:sz w:val="22"/>
                <w:szCs w:val="22"/>
                <w:lang w:val="ga"/>
              </w:rPr>
              <w:t>-6</w:t>
            </w:r>
          </w:p>
        </w:tc>
        <w:tc>
          <w:tcPr>
            <w:tcW w:w="1559" w:type="dxa"/>
            <w:tcBorders>
              <w:top w:val="single" w:sz="6" w:space="0" w:color="000000"/>
              <w:bottom w:val="single" w:sz="6" w:space="0" w:color="000000"/>
            </w:tcBorders>
            <w:shd w:val="clear" w:color="auto" w:fill="E0E0E0"/>
          </w:tcPr>
          <w:p w14:paraId="2E696AC0" w14:textId="7BC45908" w:rsidR="00480DF0" w:rsidRPr="00D51778" w:rsidRDefault="00F81913" w:rsidP="00866172">
            <w:pPr>
              <w:keepNext/>
              <w:spacing w:after="0"/>
              <w:jc w:val="right"/>
              <w:rPr>
                <w:b/>
                <w:color w:val="000000"/>
                <w:sz w:val="22"/>
                <w:szCs w:val="22"/>
              </w:rPr>
            </w:pPr>
            <w:r w:rsidRPr="00D51778">
              <w:rPr>
                <w:b/>
                <w:bCs/>
                <w:color w:val="000000"/>
                <w:sz w:val="22"/>
                <w:szCs w:val="22"/>
                <w:lang w:val="ga"/>
              </w:rPr>
              <w:t>-0.1%</w:t>
            </w:r>
          </w:p>
        </w:tc>
        <w:tc>
          <w:tcPr>
            <w:tcW w:w="1512" w:type="dxa"/>
            <w:tcBorders>
              <w:top w:val="single" w:sz="6" w:space="0" w:color="000000"/>
              <w:bottom w:val="single" w:sz="6" w:space="0" w:color="000000"/>
            </w:tcBorders>
            <w:shd w:val="clear" w:color="auto" w:fill="E0E0E0"/>
          </w:tcPr>
          <w:p w14:paraId="1D311A40" w14:textId="074E265A" w:rsidR="00480DF0" w:rsidRPr="00D51778" w:rsidRDefault="00F81913" w:rsidP="00866172">
            <w:pPr>
              <w:keepNext/>
              <w:spacing w:after="0"/>
              <w:jc w:val="right"/>
              <w:rPr>
                <w:b/>
                <w:color w:val="000000"/>
                <w:sz w:val="22"/>
                <w:szCs w:val="22"/>
              </w:rPr>
            </w:pPr>
            <w:r w:rsidRPr="00D51778">
              <w:rPr>
                <w:b/>
                <w:bCs/>
                <w:color w:val="000000"/>
                <w:sz w:val="22"/>
                <w:szCs w:val="22"/>
                <w:lang w:val="ga"/>
              </w:rPr>
              <w:t>-0.2%</w:t>
            </w:r>
          </w:p>
        </w:tc>
        <w:tc>
          <w:tcPr>
            <w:tcW w:w="1276" w:type="dxa"/>
            <w:tcBorders>
              <w:top w:val="single" w:sz="6" w:space="0" w:color="000000"/>
              <w:bottom w:val="single" w:sz="6" w:space="0" w:color="000000"/>
            </w:tcBorders>
            <w:shd w:val="clear" w:color="auto" w:fill="E0E0E0"/>
          </w:tcPr>
          <w:p w14:paraId="7FC8BC33" w14:textId="6ACBCCA6" w:rsidR="00480DF0" w:rsidRPr="00D51778" w:rsidRDefault="00F81913" w:rsidP="00866172">
            <w:pPr>
              <w:keepNext/>
              <w:spacing w:after="0"/>
              <w:jc w:val="right"/>
              <w:rPr>
                <w:b/>
                <w:color w:val="000000"/>
                <w:sz w:val="22"/>
                <w:szCs w:val="22"/>
              </w:rPr>
            </w:pPr>
            <w:r w:rsidRPr="00D51778">
              <w:rPr>
                <w:b/>
                <w:bCs/>
                <w:color w:val="000000"/>
                <w:sz w:val="22"/>
                <w:szCs w:val="22"/>
                <w:lang w:val="ga"/>
              </w:rPr>
              <w:t>-2.5%</w:t>
            </w:r>
          </w:p>
        </w:tc>
        <w:tc>
          <w:tcPr>
            <w:tcW w:w="1564" w:type="dxa"/>
            <w:tcBorders>
              <w:top w:val="single" w:sz="6" w:space="0" w:color="000000"/>
              <w:bottom w:val="single" w:sz="6" w:space="0" w:color="000000"/>
            </w:tcBorders>
            <w:shd w:val="clear" w:color="auto" w:fill="E0E0E0"/>
          </w:tcPr>
          <w:p w14:paraId="52E8DE26" w14:textId="6BE71EF5" w:rsidR="00480DF0" w:rsidRPr="00D51778" w:rsidRDefault="00F81913" w:rsidP="00866172">
            <w:pPr>
              <w:keepNext/>
              <w:spacing w:after="0"/>
              <w:jc w:val="right"/>
              <w:rPr>
                <w:b/>
                <w:color w:val="000000"/>
                <w:sz w:val="22"/>
                <w:szCs w:val="22"/>
              </w:rPr>
            </w:pPr>
            <w:r w:rsidRPr="00D51778">
              <w:rPr>
                <w:b/>
                <w:bCs/>
                <w:color w:val="000000"/>
                <w:sz w:val="22"/>
                <w:szCs w:val="22"/>
                <w:lang w:val="ga"/>
              </w:rPr>
              <w:t>0</w:t>
            </w:r>
          </w:p>
        </w:tc>
      </w:tr>
      <w:tr w:rsidR="00480DF0" w:rsidRPr="00D51778" w14:paraId="5B45BEDB" w14:textId="65BA4B38" w:rsidTr="001D782D">
        <w:tc>
          <w:tcPr>
            <w:tcW w:w="10716" w:type="dxa"/>
            <w:gridSpan w:val="7"/>
          </w:tcPr>
          <w:p w14:paraId="56C4E9AF" w14:textId="77777777" w:rsidR="00480DF0" w:rsidRPr="00D51778" w:rsidRDefault="00480DF0" w:rsidP="00480DF0">
            <w:pPr>
              <w:keepNext/>
              <w:spacing w:after="0"/>
              <w:rPr>
                <w:color w:val="000000"/>
                <w:sz w:val="22"/>
                <w:szCs w:val="22"/>
              </w:rPr>
            </w:pPr>
          </w:p>
        </w:tc>
      </w:tr>
      <w:tr w:rsidR="00480DF0" w:rsidRPr="00D51778" w14:paraId="068D0153" w14:textId="781EB4AC" w:rsidTr="0046554A">
        <w:tc>
          <w:tcPr>
            <w:tcW w:w="1828" w:type="dxa"/>
          </w:tcPr>
          <w:p w14:paraId="1DB7C10F" w14:textId="799216D9" w:rsidR="00480DF0" w:rsidRPr="00D51778" w:rsidRDefault="00F81913" w:rsidP="00480DF0">
            <w:pPr>
              <w:keepNext/>
              <w:spacing w:after="0"/>
              <w:rPr>
                <w:b/>
                <w:color w:val="000000"/>
                <w:sz w:val="22"/>
                <w:szCs w:val="22"/>
              </w:rPr>
            </w:pPr>
            <w:r w:rsidRPr="00D51778">
              <w:rPr>
                <w:b/>
                <w:bCs/>
                <w:color w:val="000000"/>
                <w:sz w:val="22"/>
                <w:szCs w:val="22"/>
                <w:lang w:val="ga"/>
              </w:rPr>
              <w:t>Iomláin 2021</w:t>
            </w:r>
          </w:p>
        </w:tc>
        <w:tc>
          <w:tcPr>
            <w:tcW w:w="1559" w:type="dxa"/>
          </w:tcPr>
          <w:p w14:paraId="299D971C" w14:textId="6115FF10" w:rsidR="00480DF0" w:rsidRPr="00D51778" w:rsidRDefault="00F81913" w:rsidP="00480DF0">
            <w:pPr>
              <w:keepNext/>
              <w:spacing w:after="0"/>
              <w:jc w:val="right"/>
              <w:rPr>
                <w:color w:val="000000"/>
                <w:sz w:val="22"/>
                <w:szCs w:val="22"/>
              </w:rPr>
            </w:pPr>
            <w:r w:rsidRPr="00D51778">
              <w:rPr>
                <w:color w:val="000000"/>
                <w:sz w:val="22"/>
                <w:szCs w:val="22"/>
                <w:lang w:val="ga"/>
              </w:rPr>
              <w:t>251,552</w:t>
            </w:r>
          </w:p>
        </w:tc>
        <w:tc>
          <w:tcPr>
            <w:tcW w:w="1418" w:type="dxa"/>
          </w:tcPr>
          <w:p w14:paraId="1DBADCF9" w14:textId="3D12404E" w:rsidR="00480DF0" w:rsidRPr="00D51778" w:rsidRDefault="00524B71" w:rsidP="00F81913">
            <w:pPr>
              <w:keepNext/>
              <w:spacing w:after="0"/>
              <w:jc w:val="right"/>
              <w:rPr>
                <w:color w:val="000000"/>
                <w:sz w:val="22"/>
                <w:szCs w:val="22"/>
              </w:rPr>
            </w:pPr>
            <w:r w:rsidRPr="00D51778">
              <w:rPr>
                <w:color w:val="000000"/>
                <w:sz w:val="22"/>
                <w:szCs w:val="22"/>
                <w:lang w:val="ga"/>
              </w:rPr>
              <w:t>9,011</w:t>
            </w:r>
          </w:p>
        </w:tc>
        <w:tc>
          <w:tcPr>
            <w:tcW w:w="1559" w:type="dxa"/>
          </w:tcPr>
          <w:p w14:paraId="24BC0118" w14:textId="7069CB6B" w:rsidR="00480DF0" w:rsidRPr="00D51778" w:rsidRDefault="00F81913" w:rsidP="00480DF0">
            <w:pPr>
              <w:keepNext/>
              <w:spacing w:after="0"/>
              <w:jc w:val="right"/>
              <w:rPr>
                <w:color w:val="000000"/>
                <w:sz w:val="22"/>
                <w:szCs w:val="22"/>
              </w:rPr>
            </w:pPr>
            <w:r w:rsidRPr="00D51778">
              <w:rPr>
                <w:color w:val="000000"/>
                <w:sz w:val="22"/>
                <w:szCs w:val="22"/>
                <w:lang w:val="ga"/>
              </w:rPr>
              <w:t>3.6%</w:t>
            </w:r>
          </w:p>
        </w:tc>
        <w:tc>
          <w:tcPr>
            <w:tcW w:w="1512" w:type="dxa"/>
          </w:tcPr>
          <w:p w14:paraId="5B82B7E1" w14:textId="5B1CF5AE" w:rsidR="00480DF0" w:rsidRPr="00D51778" w:rsidRDefault="00F81913" w:rsidP="00480DF0">
            <w:pPr>
              <w:keepNext/>
              <w:spacing w:after="0"/>
              <w:jc w:val="right"/>
              <w:rPr>
                <w:color w:val="000000"/>
                <w:sz w:val="22"/>
                <w:szCs w:val="22"/>
              </w:rPr>
            </w:pPr>
            <w:r w:rsidRPr="00D51778">
              <w:rPr>
                <w:color w:val="000000"/>
                <w:sz w:val="22"/>
                <w:szCs w:val="22"/>
                <w:lang w:val="ga"/>
              </w:rPr>
              <w:t>100.0%</w:t>
            </w:r>
          </w:p>
        </w:tc>
        <w:tc>
          <w:tcPr>
            <w:tcW w:w="1276" w:type="dxa"/>
          </w:tcPr>
          <w:p w14:paraId="40D51B7D" w14:textId="06FDFB99" w:rsidR="00480DF0" w:rsidRPr="00D51778" w:rsidRDefault="00F81913" w:rsidP="00480DF0">
            <w:pPr>
              <w:keepNext/>
              <w:spacing w:after="0"/>
              <w:jc w:val="right"/>
              <w:rPr>
                <w:color w:val="000000"/>
                <w:sz w:val="22"/>
                <w:szCs w:val="22"/>
              </w:rPr>
            </w:pPr>
            <w:r w:rsidRPr="00D51778">
              <w:rPr>
                <w:color w:val="000000"/>
                <w:sz w:val="22"/>
                <w:szCs w:val="22"/>
                <w:lang w:val="ga"/>
              </w:rPr>
              <w:t>87.3%</w:t>
            </w:r>
          </w:p>
        </w:tc>
        <w:tc>
          <w:tcPr>
            <w:tcW w:w="1564" w:type="dxa"/>
          </w:tcPr>
          <w:p w14:paraId="4A8C61B4" w14:textId="2DDFC8B9" w:rsidR="00480DF0" w:rsidRPr="00D51778" w:rsidRDefault="00F81913" w:rsidP="00480DF0">
            <w:pPr>
              <w:keepNext/>
              <w:spacing w:after="0"/>
              <w:jc w:val="right"/>
              <w:rPr>
                <w:color w:val="000000"/>
                <w:sz w:val="22"/>
                <w:szCs w:val="22"/>
              </w:rPr>
            </w:pPr>
            <w:r w:rsidRPr="00D51778">
              <w:rPr>
                <w:color w:val="000000"/>
                <w:sz w:val="22"/>
                <w:szCs w:val="22"/>
                <w:lang w:val="ga"/>
              </w:rPr>
              <w:t>213</w:t>
            </w:r>
          </w:p>
        </w:tc>
      </w:tr>
      <w:tr w:rsidR="00480DF0" w:rsidRPr="00D51778" w14:paraId="6BC01FC2" w14:textId="7F86C05B" w:rsidTr="0046554A">
        <w:tc>
          <w:tcPr>
            <w:tcW w:w="1828" w:type="dxa"/>
          </w:tcPr>
          <w:p w14:paraId="6A7872D7" w14:textId="6589071B" w:rsidR="00480DF0" w:rsidRPr="00D51778" w:rsidRDefault="0072463C" w:rsidP="00480DF0">
            <w:pPr>
              <w:keepNext/>
              <w:spacing w:after="0"/>
              <w:rPr>
                <w:b/>
                <w:color w:val="000000"/>
                <w:sz w:val="22"/>
                <w:szCs w:val="22"/>
              </w:rPr>
            </w:pPr>
            <w:r w:rsidRPr="00D51778">
              <w:rPr>
                <w:b/>
                <w:bCs/>
                <w:color w:val="000000"/>
                <w:sz w:val="22"/>
                <w:szCs w:val="22"/>
                <w:lang w:val="ga"/>
              </w:rPr>
              <w:t>Iomláin 2020</w:t>
            </w:r>
          </w:p>
        </w:tc>
        <w:tc>
          <w:tcPr>
            <w:tcW w:w="1559" w:type="dxa"/>
          </w:tcPr>
          <w:p w14:paraId="5624EC11" w14:textId="4070530C" w:rsidR="00480DF0" w:rsidRPr="00D51778" w:rsidRDefault="00F81913" w:rsidP="00480DF0">
            <w:pPr>
              <w:keepNext/>
              <w:spacing w:after="0"/>
              <w:jc w:val="right"/>
              <w:rPr>
                <w:sz w:val="22"/>
                <w:szCs w:val="22"/>
              </w:rPr>
            </w:pPr>
            <w:r w:rsidRPr="00D51778">
              <w:rPr>
                <w:sz w:val="22"/>
                <w:szCs w:val="22"/>
                <w:lang w:val="ga"/>
              </w:rPr>
              <w:t>245,190</w:t>
            </w:r>
          </w:p>
          <w:p w14:paraId="29DA89F5" w14:textId="358E9CC2" w:rsidR="00480DF0" w:rsidRPr="00D51778" w:rsidRDefault="00480DF0" w:rsidP="00480DF0">
            <w:pPr>
              <w:keepNext/>
              <w:spacing w:after="0"/>
              <w:jc w:val="right"/>
              <w:rPr>
                <w:color w:val="000000"/>
                <w:sz w:val="22"/>
                <w:szCs w:val="22"/>
              </w:rPr>
            </w:pPr>
          </w:p>
        </w:tc>
        <w:tc>
          <w:tcPr>
            <w:tcW w:w="1418" w:type="dxa"/>
          </w:tcPr>
          <w:p w14:paraId="3FEB4C67" w14:textId="08DCE7C0" w:rsidR="00480DF0" w:rsidRPr="00D51778" w:rsidRDefault="00F81913" w:rsidP="00480DF0">
            <w:pPr>
              <w:keepNext/>
              <w:spacing w:after="0"/>
              <w:jc w:val="right"/>
              <w:rPr>
                <w:color w:val="000000"/>
                <w:sz w:val="22"/>
                <w:szCs w:val="22"/>
              </w:rPr>
            </w:pPr>
            <w:r w:rsidRPr="00D51778">
              <w:rPr>
                <w:sz w:val="22"/>
                <w:szCs w:val="22"/>
                <w:lang w:val="ga"/>
              </w:rPr>
              <w:t>7,637</w:t>
            </w:r>
          </w:p>
        </w:tc>
        <w:tc>
          <w:tcPr>
            <w:tcW w:w="1559" w:type="dxa"/>
          </w:tcPr>
          <w:p w14:paraId="40DEE170" w14:textId="781874D3" w:rsidR="00480DF0" w:rsidRPr="00D51778" w:rsidRDefault="00480DF0" w:rsidP="00480DF0">
            <w:pPr>
              <w:keepNext/>
              <w:spacing w:after="0"/>
              <w:jc w:val="right"/>
              <w:rPr>
                <w:color w:val="000000"/>
                <w:sz w:val="22"/>
                <w:szCs w:val="22"/>
              </w:rPr>
            </w:pPr>
            <w:r w:rsidRPr="00D51778">
              <w:rPr>
                <w:sz w:val="22"/>
                <w:szCs w:val="22"/>
                <w:lang w:val="ga"/>
              </w:rPr>
              <w:t>3.1%</w:t>
            </w:r>
          </w:p>
        </w:tc>
        <w:tc>
          <w:tcPr>
            <w:tcW w:w="1512" w:type="dxa"/>
          </w:tcPr>
          <w:p w14:paraId="417B4D3F" w14:textId="5F8DD258" w:rsidR="00480DF0" w:rsidRPr="00D51778" w:rsidRDefault="00480DF0" w:rsidP="00480DF0">
            <w:pPr>
              <w:keepNext/>
              <w:spacing w:after="0"/>
              <w:jc w:val="right"/>
              <w:rPr>
                <w:color w:val="000000"/>
                <w:sz w:val="22"/>
                <w:szCs w:val="22"/>
              </w:rPr>
            </w:pPr>
            <w:r w:rsidRPr="00D51778">
              <w:rPr>
                <w:sz w:val="22"/>
                <w:szCs w:val="22"/>
                <w:lang w:val="ga"/>
              </w:rPr>
              <w:t>100.0%</w:t>
            </w:r>
          </w:p>
        </w:tc>
        <w:tc>
          <w:tcPr>
            <w:tcW w:w="1276" w:type="dxa"/>
          </w:tcPr>
          <w:p w14:paraId="324F2F45" w14:textId="470A8A8E" w:rsidR="00480DF0" w:rsidRPr="00D51778" w:rsidRDefault="00F81913" w:rsidP="00480DF0">
            <w:pPr>
              <w:keepNext/>
              <w:spacing w:after="0"/>
              <w:jc w:val="right"/>
              <w:rPr>
                <w:color w:val="000000"/>
                <w:sz w:val="22"/>
                <w:szCs w:val="22"/>
              </w:rPr>
            </w:pPr>
            <w:r w:rsidRPr="00D51778">
              <w:rPr>
                <w:sz w:val="22"/>
                <w:szCs w:val="22"/>
                <w:lang w:val="ga"/>
              </w:rPr>
              <w:t>84.7%</w:t>
            </w:r>
          </w:p>
        </w:tc>
        <w:tc>
          <w:tcPr>
            <w:tcW w:w="1564" w:type="dxa"/>
          </w:tcPr>
          <w:p w14:paraId="22D54B8D" w14:textId="76EFCD2D" w:rsidR="00480DF0" w:rsidRPr="00D51778" w:rsidRDefault="00F81913" w:rsidP="00480DF0">
            <w:pPr>
              <w:keepNext/>
              <w:spacing w:after="0"/>
              <w:jc w:val="right"/>
              <w:rPr>
                <w:color w:val="000000"/>
                <w:sz w:val="22"/>
                <w:szCs w:val="22"/>
              </w:rPr>
            </w:pPr>
            <w:r w:rsidRPr="00D51778">
              <w:rPr>
                <w:sz w:val="22"/>
                <w:szCs w:val="22"/>
                <w:lang w:val="ga"/>
              </w:rPr>
              <w:t>215</w:t>
            </w:r>
          </w:p>
        </w:tc>
      </w:tr>
      <w:tr w:rsidR="00480DF0" w:rsidRPr="00D51778" w14:paraId="1632759B" w14:textId="42C5470F" w:rsidTr="0046554A">
        <w:tc>
          <w:tcPr>
            <w:tcW w:w="1828" w:type="dxa"/>
            <w:tcBorders>
              <w:top w:val="single" w:sz="6" w:space="0" w:color="000000"/>
              <w:bottom w:val="single" w:sz="12" w:space="0" w:color="000000"/>
            </w:tcBorders>
            <w:shd w:val="clear" w:color="auto" w:fill="E0E0E0"/>
          </w:tcPr>
          <w:p w14:paraId="448F56E1" w14:textId="442CEB66" w:rsidR="00480DF0" w:rsidRPr="00D51778" w:rsidRDefault="00480DF0" w:rsidP="00480DF0">
            <w:pPr>
              <w:keepNext/>
              <w:spacing w:after="0"/>
              <w:rPr>
                <w:b/>
                <w:color w:val="000000"/>
                <w:sz w:val="22"/>
                <w:szCs w:val="22"/>
              </w:rPr>
            </w:pPr>
            <w:r w:rsidRPr="00D51778">
              <w:rPr>
                <w:b/>
                <w:bCs/>
                <w:color w:val="000000"/>
                <w:sz w:val="22"/>
                <w:szCs w:val="22"/>
                <w:lang w:val="ga"/>
              </w:rPr>
              <w:t>Athrú 2020/2021</w:t>
            </w:r>
          </w:p>
        </w:tc>
        <w:tc>
          <w:tcPr>
            <w:tcW w:w="1559" w:type="dxa"/>
            <w:tcBorders>
              <w:top w:val="single" w:sz="6" w:space="0" w:color="000000"/>
              <w:bottom w:val="single" w:sz="12" w:space="0" w:color="000000"/>
            </w:tcBorders>
            <w:shd w:val="clear" w:color="auto" w:fill="E0E0E0"/>
          </w:tcPr>
          <w:p w14:paraId="4A04C3E3" w14:textId="1D8BF43D" w:rsidR="00480DF0" w:rsidRPr="00D51778" w:rsidRDefault="00947CC0" w:rsidP="00480DF0">
            <w:pPr>
              <w:spacing w:after="0"/>
              <w:jc w:val="right"/>
              <w:rPr>
                <w:b/>
                <w:color w:val="000000"/>
                <w:sz w:val="22"/>
                <w:szCs w:val="22"/>
              </w:rPr>
            </w:pPr>
            <w:r w:rsidRPr="00D51778">
              <w:rPr>
                <w:b/>
                <w:bCs/>
                <w:color w:val="000000"/>
                <w:sz w:val="22"/>
                <w:szCs w:val="22"/>
                <w:lang w:val="ga"/>
              </w:rPr>
              <w:t>6,362</w:t>
            </w:r>
          </w:p>
        </w:tc>
        <w:tc>
          <w:tcPr>
            <w:tcW w:w="1418" w:type="dxa"/>
            <w:tcBorders>
              <w:top w:val="single" w:sz="6" w:space="0" w:color="000000"/>
              <w:bottom w:val="single" w:sz="12" w:space="0" w:color="000000"/>
            </w:tcBorders>
            <w:shd w:val="clear" w:color="auto" w:fill="E0E0E0"/>
          </w:tcPr>
          <w:p w14:paraId="33DBC69D" w14:textId="32C4EDC5" w:rsidR="00480DF0" w:rsidRPr="00D51778" w:rsidRDefault="00947CC0" w:rsidP="00480DF0">
            <w:pPr>
              <w:spacing w:after="0"/>
              <w:jc w:val="right"/>
              <w:rPr>
                <w:b/>
                <w:color w:val="000000"/>
                <w:sz w:val="22"/>
                <w:szCs w:val="22"/>
              </w:rPr>
            </w:pPr>
            <w:r w:rsidRPr="00D51778">
              <w:rPr>
                <w:b/>
                <w:bCs/>
                <w:color w:val="000000"/>
                <w:sz w:val="22"/>
                <w:szCs w:val="22"/>
                <w:lang w:val="ga"/>
              </w:rPr>
              <w:t>1,374</w:t>
            </w:r>
          </w:p>
        </w:tc>
        <w:tc>
          <w:tcPr>
            <w:tcW w:w="1559" w:type="dxa"/>
            <w:tcBorders>
              <w:top w:val="single" w:sz="6" w:space="0" w:color="000000"/>
              <w:bottom w:val="single" w:sz="12" w:space="0" w:color="000000"/>
            </w:tcBorders>
            <w:shd w:val="clear" w:color="auto" w:fill="E0E0E0"/>
          </w:tcPr>
          <w:p w14:paraId="115F4523" w14:textId="415658E8" w:rsidR="00480DF0" w:rsidRPr="00D51778" w:rsidRDefault="00947CC0" w:rsidP="00480DF0">
            <w:pPr>
              <w:spacing w:after="0"/>
              <w:jc w:val="right"/>
              <w:rPr>
                <w:b/>
                <w:color w:val="000000"/>
                <w:sz w:val="22"/>
                <w:szCs w:val="22"/>
              </w:rPr>
            </w:pPr>
            <w:r w:rsidRPr="00D51778">
              <w:rPr>
                <w:b/>
                <w:bCs/>
                <w:color w:val="000000"/>
                <w:sz w:val="22"/>
                <w:szCs w:val="22"/>
                <w:lang w:val="ga"/>
              </w:rPr>
              <w:t>+0.5</w:t>
            </w:r>
          </w:p>
        </w:tc>
        <w:tc>
          <w:tcPr>
            <w:tcW w:w="1512" w:type="dxa"/>
            <w:tcBorders>
              <w:top w:val="single" w:sz="6" w:space="0" w:color="000000"/>
              <w:bottom w:val="single" w:sz="12" w:space="0" w:color="000000"/>
            </w:tcBorders>
            <w:shd w:val="clear" w:color="auto" w:fill="E0E0E0"/>
          </w:tcPr>
          <w:p w14:paraId="0EEC09DD" w14:textId="0B53869F" w:rsidR="00480DF0" w:rsidRPr="00D51778" w:rsidRDefault="00480DF0" w:rsidP="00480DF0">
            <w:pPr>
              <w:spacing w:after="0"/>
              <w:jc w:val="right"/>
              <w:rPr>
                <w:b/>
                <w:color w:val="000000"/>
                <w:sz w:val="22"/>
                <w:szCs w:val="22"/>
              </w:rPr>
            </w:pPr>
            <w:r w:rsidRPr="00D51778">
              <w:rPr>
                <w:b/>
                <w:bCs/>
                <w:color w:val="000000"/>
                <w:sz w:val="22"/>
                <w:szCs w:val="22"/>
                <w:lang w:val="ga"/>
              </w:rPr>
              <w:t>0%</w:t>
            </w:r>
          </w:p>
        </w:tc>
        <w:tc>
          <w:tcPr>
            <w:tcW w:w="1276" w:type="dxa"/>
            <w:tcBorders>
              <w:top w:val="single" w:sz="6" w:space="0" w:color="000000"/>
              <w:bottom w:val="single" w:sz="12" w:space="0" w:color="000000"/>
            </w:tcBorders>
            <w:shd w:val="clear" w:color="auto" w:fill="E0E0E0"/>
          </w:tcPr>
          <w:p w14:paraId="104314F7" w14:textId="65B048A4" w:rsidR="00480DF0" w:rsidRPr="00D51778" w:rsidRDefault="00947CC0" w:rsidP="00480DF0">
            <w:pPr>
              <w:spacing w:after="0"/>
              <w:jc w:val="right"/>
              <w:rPr>
                <w:b/>
                <w:color w:val="000000"/>
                <w:sz w:val="22"/>
                <w:szCs w:val="22"/>
              </w:rPr>
            </w:pPr>
            <w:r w:rsidRPr="00D51778">
              <w:rPr>
                <w:b/>
                <w:bCs/>
                <w:color w:val="000000"/>
                <w:sz w:val="22"/>
                <w:szCs w:val="22"/>
                <w:lang w:val="ga"/>
              </w:rPr>
              <w:t>+2.6%</w:t>
            </w:r>
          </w:p>
        </w:tc>
        <w:tc>
          <w:tcPr>
            <w:tcW w:w="1564" w:type="dxa"/>
            <w:tcBorders>
              <w:top w:val="single" w:sz="6" w:space="0" w:color="000000"/>
              <w:bottom w:val="single" w:sz="12" w:space="0" w:color="000000"/>
            </w:tcBorders>
            <w:shd w:val="clear" w:color="auto" w:fill="E0E0E0"/>
          </w:tcPr>
          <w:p w14:paraId="78880B9D" w14:textId="3935A9B5" w:rsidR="00480DF0" w:rsidRPr="00D51778" w:rsidRDefault="00F81913" w:rsidP="00480DF0">
            <w:pPr>
              <w:spacing w:after="0"/>
              <w:jc w:val="right"/>
              <w:rPr>
                <w:b/>
                <w:color w:val="000000"/>
                <w:sz w:val="22"/>
                <w:szCs w:val="22"/>
              </w:rPr>
            </w:pPr>
            <w:r w:rsidRPr="00D51778">
              <w:rPr>
                <w:b/>
                <w:bCs/>
                <w:color w:val="000000"/>
                <w:sz w:val="22"/>
                <w:szCs w:val="22"/>
                <w:lang w:val="ga"/>
              </w:rPr>
              <w:t>-2</w:t>
            </w:r>
          </w:p>
        </w:tc>
      </w:tr>
    </w:tbl>
    <w:p w14:paraId="2DBCB656" w14:textId="7F5A2357" w:rsidR="0005435B" w:rsidRPr="00D51778" w:rsidRDefault="0005435B" w:rsidP="00973B13">
      <w:pPr>
        <w:pStyle w:val="Heading2"/>
      </w:pPr>
    </w:p>
    <w:p w14:paraId="78E27D66" w14:textId="5A7CFD70" w:rsidR="00973B13" w:rsidRPr="00D51778" w:rsidRDefault="001B1427" w:rsidP="00973B13">
      <w:pPr>
        <w:pStyle w:val="Heading2"/>
      </w:pPr>
      <w:bookmarkStart w:id="46" w:name="_Toc124367405"/>
      <w:r w:rsidRPr="00D51778">
        <w:rPr>
          <w:bCs/>
          <w:lang w:val="ga"/>
        </w:rPr>
        <w:t>2.4 Anailís de réir mhéid an chomhlachta earnála poiblí</w:t>
      </w:r>
      <w:bookmarkEnd w:id="46"/>
    </w:p>
    <w:p w14:paraId="23F1A166" w14:textId="77777777" w:rsidR="00973B13" w:rsidRPr="00D51778" w:rsidRDefault="00973B13" w:rsidP="00973B13">
      <w:pPr>
        <w:pStyle w:val="Heading3"/>
      </w:pPr>
      <w:r w:rsidRPr="00D51778">
        <w:rPr>
          <w:bCs/>
          <w:lang w:val="ga"/>
        </w:rPr>
        <w:t>Comhlachtaí poiblí a bhfuil níos lú ná 100 ball foirne acu</w:t>
      </w:r>
    </w:p>
    <w:p w14:paraId="07C99CE6" w14:textId="4FE7DBEB" w:rsidR="00973B13" w:rsidRPr="00D51778" w:rsidRDefault="00D03BAE" w:rsidP="0099519F">
      <w:r w:rsidRPr="00D51778">
        <w:rPr>
          <w:lang w:val="ga"/>
        </w:rPr>
        <w:t xml:space="preserve">Sa bhliain 2021, b’ann do 68 gcomhlacht san earnáil phoiblí a raibh níos lú ná 100 fostaí acu, a d’fhostaigh 1.1% d’iomlán an fhórsa saothair (féach Tábla 6). D’fhostaigh an chatagóir méide seo 2,863 dhuine, ar thuairiscigh 7.0% díobh (200 duine) míchumas. D’iomlán na ndaoine san fhórsa saothair a thuairiscigh míchumas, fostaíodh 2.2% i gcomhlachtaí poiblí den mhéid sin. </w:t>
      </w:r>
    </w:p>
    <w:p w14:paraId="5C94EB09" w14:textId="2E902917" w:rsidR="00973B13" w:rsidRPr="00D51778" w:rsidRDefault="00973B13" w:rsidP="0099519F">
      <w:r w:rsidRPr="00D51778">
        <w:rPr>
          <w:lang w:val="ga"/>
        </w:rPr>
        <w:t>Áirítear leis an gcatagóir seo comhlachtaí poiblí atá an-bheag ó thaobh méide de agus a fhostaíonn idir ceathrar agus fiche duine (20 ceann de na 68 n-eagraíocht). De na comhlachtaí sin a bhfuil 20 fostaí nó níos lú acu, thuairiscigh 16 cinn nach raibh aon fhostaithe a bhfuil míchumas orthu acu sa bhliain 2021.</w:t>
      </w:r>
    </w:p>
    <w:p w14:paraId="58099D0C" w14:textId="66FCC6B1" w:rsidR="00973B13" w:rsidRPr="00D51778" w:rsidRDefault="00973B13" w:rsidP="0099519F">
      <w:pPr>
        <w:rPr>
          <w:sz w:val="24"/>
        </w:rPr>
      </w:pPr>
      <w:r w:rsidRPr="00D51778">
        <w:rPr>
          <w:szCs w:val="26"/>
          <w:lang w:val="ga"/>
        </w:rPr>
        <w:t xml:space="preserve">Admhaíonn ÚNM gurb amhlaidh, i gcás gur comhlacht an-bheag a bhfuil níos lú ná 50 ball foirne aige é comhlacht poiblí, go ndéanann méid an chomhlachta difear dá chumas an íos-sprioc 3% a chomhlíonadh. </w:t>
      </w:r>
      <w:r w:rsidRPr="00D51778">
        <w:rPr>
          <w:lang w:val="ga"/>
        </w:rPr>
        <w:t>Tá imeacht ball foirne amháin a bhfuil míchumas air/uirthi trí scor, trí shos gairme nó trí scéim iomarcaíochta deonaí ar cheann de na príomhthosca a theip ar chomhlachtaí poiblí beaga an íos-sprioc 3% a bhaint amach. I gcás comhlachtaí den mhéid sin, is ionann ball foirne amháin sa bhreis a chailleadh (nó a fhostú) agus an difríocht idir an íos-sprioc comhlíonta 3% a chomhlíonadh agus gan í a chomhlíonadh.</w:t>
      </w:r>
    </w:p>
    <w:p w14:paraId="327C5E93" w14:textId="0DC8BCA5" w:rsidR="00AF6DF1" w:rsidRPr="00D51778" w:rsidRDefault="00973B13" w:rsidP="0099519F">
      <w:pPr>
        <w:rPr>
          <w:rFonts w:ascii="Rockwell" w:hAnsi="Rockwell"/>
          <w:b/>
          <w:color w:val="CC3399"/>
          <w:sz w:val="28"/>
          <w:szCs w:val="28"/>
        </w:rPr>
      </w:pPr>
      <w:r w:rsidRPr="00D51778">
        <w:rPr>
          <w:lang w:val="ga"/>
        </w:rPr>
        <w:t>I gcomhlachtaí poiblí den mhéid bheag sin, tá seans ann freisin nach mbeidh fostaithe a bhfuil míchumas orthu ar a gcompord le linn dóibh a stádas míchumais a chur in iúl agus is féidir leis sin difear a dhéanamh freisin do chumas na gcomhlachtaí poiblí sin an dóigh a gcomhlíonann siad na hoibleagáidí atá orthu faoi Chuid 5 den Acht um Míchumas 2005 a thuairisciú go cruinn.</w:t>
      </w:r>
    </w:p>
    <w:p w14:paraId="794354E4" w14:textId="54B4ADCC" w:rsidR="00973B13" w:rsidRPr="00D51778" w:rsidRDefault="00973B13" w:rsidP="00973B13">
      <w:pPr>
        <w:pStyle w:val="Heading3"/>
      </w:pPr>
      <w:r w:rsidRPr="00D51778">
        <w:rPr>
          <w:bCs/>
          <w:lang w:val="ga"/>
        </w:rPr>
        <w:lastRenderedPageBreak/>
        <w:t>Comhlachtaí poiblí a bhfuil idir 100 ball foirne agus 999 mball foirne acu</w:t>
      </w:r>
    </w:p>
    <w:p w14:paraId="271CB3C1" w14:textId="27396687" w:rsidR="00973B13" w:rsidRPr="00D51778" w:rsidRDefault="00973B13" w:rsidP="0099519F">
      <w:r w:rsidRPr="00D51778">
        <w:rPr>
          <w:lang w:val="ga"/>
        </w:rPr>
        <w:t>Bhí ag an gcatagóir méide seo an líon ab airde comhlachtaí poiblí (105 cinn), a d’fhostaigh 16.5% d’iomlán an fhórsa saothair sa bhliain 2021. Fostaíodh 41,579 nduine san iomlán sa chatagóir seo, ar thuairiscigh 5.3% díobh (2,219 nduine) míchumas. D’iomlán na ndaoine san fhórsa saothair a thuairiscigh míchumas, fostaíodh 24.6% i gcomhlachtaí poiblí den mhéid sin.</w:t>
      </w:r>
    </w:p>
    <w:p w14:paraId="1328AF95" w14:textId="77777777" w:rsidR="00973B13" w:rsidRPr="00D51778" w:rsidRDefault="00973B13" w:rsidP="00973B13">
      <w:pPr>
        <w:pStyle w:val="Heading3"/>
      </w:pPr>
      <w:r w:rsidRPr="00D51778">
        <w:rPr>
          <w:bCs/>
          <w:lang w:val="ga"/>
        </w:rPr>
        <w:t>Comhlachtaí poiblí a bhfuil idir 1000 ball foirne agus 4999 mball foirne acu</w:t>
      </w:r>
    </w:p>
    <w:p w14:paraId="1AE4B103" w14:textId="33EE73BC" w:rsidR="00973B13" w:rsidRPr="00D51778" w:rsidRDefault="008F64F6" w:rsidP="0099519F">
      <w:pPr>
        <w:rPr>
          <w:rFonts w:ascii="Gill Sans" w:hAnsi="Gill Sans"/>
          <w:color w:val="000000"/>
        </w:rPr>
      </w:pPr>
      <w:r w:rsidRPr="00D51778">
        <w:rPr>
          <w:lang w:val="ga"/>
        </w:rPr>
        <w:t xml:space="preserve">Sa bhliain 2021, b’ann do 33 chomhlacht phoiblí a raibh idir 1,000 fostaí agus 4,999 bhfostaí acu, a d’fhostaigh 27.8% d’iomlán an fhórsa saothair. D’fhostaigh an cohórt seo 70,015 fhostaí, ar thuairiscigh 4.6% díobh (3,212 fhostaí) míchumas. </w:t>
      </w:r>
      <w:r w:rsidRPr="00D51778">
        <w:rPr>
          <w:rFonts w:ascii="Gill Sans" w:hAnsi="Gill Sans"/>
          <w:color w:val="000000"/>
          <w:lang w:val="ga"/>
        </w:rPr>
        <w:t xml:space="preserve">D’iomlán na ndaoine san fhórsa saothair a thuairiscigh míchumas, fostaíodh </w:t>
      </w:r>
      <w:r w:rsidRPr="00D51778">
        <w:rPr>
          <w:lang w:val="ga"/>
        </w:rPr>
        <w:t xml:space="preserve">35.6% </w:t>
      </w:r>
      <w:r w:rsidRPr="00D51778">
        <w:rPr>
          <w:rFonts w:ascii="Gill Sans" w:hAnsi="Gill Sans"/>
          <w:color w:val="000000"/>
          <w:lang w:val="ga"/>
        </w:rPr>
        <w:t>i gcomhlachtaí poiblí den mhéid sin.</w:t>
      </w:r>
    </w:p>
    <w:p w14:paraId="52677750" w14:textId="77777777" w:rsidR="00973B13" w:rsidRPr="00D51778" w:rsidRDefault="00973B13" w:rsidP="00973B13">
      <w:pPr>
        <w:pStyle w:val="Heading3"/>
      </w:pPr>
      <w:r w:rsidRPr="00D51778">
        <w:rPr>
          <w:bCs/>
          <w:lang w:val="ga"/>
        </w:rPr>
        <w:t>Comhlachtaí poiblí a bhfuil breis agus 5,000 ball foirne acu</w:t>
      </w:r>
    </w:p>
    <w:p w14:paraId="66590CE1" w14:textId="737A9F2E" w:rsidR="00973B13" w:rsidRPr="00D51778" w:rsidRDefault="00BF030F" w:rsidP="0099519F">
      <w:r w:rsidRPr="00D51778">
        <w:rPr>
          <w:lang w:val="ga"/>
        </w:rPr>
        <w:t>Sa bhliain 2021, bhí ag an gcatagóir méide seo an líon ba lú comhlachtaí poiblí (7 gcinn) agus d’fhostaigh sí 54.5% d’iomlán an fhórsa saothair. D’fhostaigh sí 137,095 fhostaí, ar thuairiscigh 2.5% díobh (3,380 fostaí) míchumas. D’iomlán na ndaoine san fhórsa saothair a thuairiscigh míchumas, fostaíodh 37.5</w:t>
      </w:r>
      <w:r w:rsidRPr="00D51778">
        <w:rPr>
          <w:color w:val="000000" w:themeColor="text1"/>
          <w:lang w:val="ga"/>
        </w:rPr>
        <w:t>%</w:t>
      </w:r>
      <w:r w:rsidRPr="00D51778">
        <w:rPr>
          <w:lang w:val="ga"/>
        </w:rPr>
        <w:t xml:space="preserve"> sna comhlachtaí poiblí móra sin.</w:t>
      </w:r>
    </w:p>
    <w:p w14:paraId="01500542" w14:textId="418B3259" w:rsidR="00973B13" w:rsidRPr="00D51778" w:rsidRDefault="00973B13" w:rsidP="0099519F">
      <w:pPr>
        <w:rPr>
          <w:color w:val="000000" w:themeColor="text1"/>
        </w:rPr>
      </w:pPr>
      <w:r w:rsidRPr="00D51778">
        <w:rPr>
          <w:color w:val="000000" w:themeColor="text1"/>
          <w:lang w:val="ga"/>
        </w:rPr>
        <w:t>Is iad seo na comhlachtaí poiblí sa chatagóir seo agus an céatadán tuairiscithe d’fhostaithe a bhfuil míchumas orthu a bhí acu don bhliain 2021:</w:t>
      </w:r>
    </w:p>
    <w:p w14:paraId="75E66F91" w14:textId="61DE1695" w:rsidR="00973B13" w:rsidRPr="00D51778" w:rsidRDefault="00FB02CC" w:rsidP="00973B13">
      <w:pPr>
        <w:pStyle w:val="ListBullet"/>
        <w:spacing w:before="0"/>
        <w:rPr>
          <w:color w:val="000000" w:themeColor="text1"/>
        </w:rPr>
      </w:pPr>
      <w:r w:rsidRPr="00D51778">
        <w:rPr>
          <w:color w:val="000000" w:themeColor="text1"/>
          <w:lang w:val="ga"/>
        </w:rPr>
        <w:t>An Post</w:t>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t>4.4% (4.6% sa bhliain 2020)</w:t>
      </w:r>
    </w:p>
    <w:p w14:paraId="24530F88" w14:textId="406015C9" w:rsidR="00973B13" w:rsidRPr="00D51778" w:rsidRDefault="00973B13" w:rsidP="00973B13">
      <w:pPr>
        <w:pStyle w:val="ListBullet"/>
        <w:spacing w:before="0"/>
        <w:rPr>
          <w:color w:val="000000" w:themeColor="text1"/>
        </w:rPr>
      </w:pPr>
      <w:r w:rsidRPr="00D51778">
        <w:rPr>
          <w:color w:val="000000" w:themeColor="text1"/>
          <w:lang w:val="ga"/>
        </w:rPr>
        <w:t xml:space="preserve">An Roinn Coimirce Sóisialaí </w:t>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t>6.5% (5.7% sa bhliain 2020)</w:t>
      </w:r>
    </w:p>
    <w:p w14:paraId="21878B2E" w14:textId="65667718" w:rsidR="00973B13" w:rsidRPr="00D51778" w:rsidRDefault="00973B13" w:rsidP="00973B13">
      <w:pPr>
        <w:pStyle w:val="ListBullet"/>
        <w:spacing w:before="0"/>
        <w:rPr>
          <w:color w:val="000000" w:themeColor="text1"/>
        </w:rPr>
      </w:pPr>
      <w:r w:rsidRPr="00D51778">
        <w:rPr>
          <w:color w:val="000000" w:themeColor="text1"/>
          <w:lang w:val="ga"/>
        </w:rPr>
        <w:t>Comhairle Cathrach Bhaile Átha Cliath</w:t>
      </w:r>
      <w:r w:rsidRPr="00D51778">
        <w:rPr>
          <w:color w:val="000000" w:themeColor="text1"/>
          <w:lang w:val="ga"/>
        </w:rPr>
        <w:tab/>
      </w:r>
      <w:r w:rsidRPr="00D51778">
        <w:rPr>
          <w:color w:val="000000" w:themeColor="text1"/>
          <w:lang w:val="ga"/>
        </w:rPr>
        <w:tab/>
        <w:t>4.4% (4.6% sa bhliain 2020)</w:t>
      </w:r>
    </w:p>
    <w:p w14:paraId="67F33515" w14:textId="6DAF349C" w:rsidR="00973B13" w:rsidRPr="00D51778" w:rsidRDefault="00973B13" w:rsidP="00973B13">
      <w:pPr>
        <w:pStyle w:val="ListBullet"/>
        <w:spacing w:before="0"/>
        <w:rPr>
          <w:color w:val="000000" w:themeColor="text1"/>
        </w:rPr>
      </w:pPr>
      <w:r w:rsidRPr="00D51778">
        <w:rPr>
          <w:color w:val="000000" w:themeColor="text1"/>
          <w:lang w:val="ga"/>
        </w:rPr>
        <w:t>Bord Soláthair an Leictreachais (BSL)</w:t>
      </w:r>
      <w:r w:rsidRPr="00D51778">
        <w:rPr>
          <w:color w:val="000000" w:themeColor="text1"/>
          <w:lang w:val="ga"/>
        </w:rPr>
        <w:tab/>
      </w:r>
      <w:r w:rsidRPr="00D51778">
        <w:rPr>
          <w:color w:val="000000" w:themeColor="text1"/>
          <w:lang w:val="ga"/>
        </w:rPr>
        <w:tab/>
      </w:r>
      <w:r w:rsidRPr="00D51778">
        <w:rPr>
          <w:color w:val="000000" w:themeColor="text1"/>
          <w:lang w:val="ga"/>
        </w:rPr>
        <w:tab/>
        <w:t>3.8% (4.0% sa bhliain 2020)</w:t>
      </w:r>
    </w:p>
    <w:p w14:paraId="78484A81" w14:textId="76C7E009" w:rsidR="00973B13" w:rsidRPr="00D51778" w:rsidRDefault="00FB02CC" w:rsidP="00973B13">
      <w:pPr>
        <w:pStyle w:val="ListBullet"/>
        <w:spacing w:before="0"/>
        <w:ind w:left="357" w:hanging="357"/>
        <w:rPr>
          <w:color w:val="000000" w:themeColor="text1"/>
        </w:rPr>
      </w:pPr>
      <w:r w:rsidRPr="00D51778">
        <w:rPr>
          <w:color w:val="000000" w:themeColor="text1"/>
          <w:lang w:val="ga"/>
        </w:rPr>
        <w:t>FSS</w:t>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r>
      <w:r w:rsidRPr="00D51778">
        <w:rPr>
          <w:color w:val="000000" w:themeColor="text1"/>
          <w:lang w:val="ga"/>
        </w:rPr>
        <w:tab/>
        <w:t>1.6% (0.6% sa bhliain 2020)</w:t>
      </w:r>
    </w:p>
    <w:p w14:paraId="085F3BF1" w14:textId="758237C2" w:rsidR="00973B13" w:rsidRPr="00D51778" w:rsidRDefault="00FB02CC" w:rsidP="00973B13">
      <w:pPr>
        <w:pStyle w:val="ListBullet"/>
        <w:spacing w:before="0" w:after="240"/>
        <w:ind w:left="357" w:hanging="357"/>
        <w:rPr>
          <w:color w:val="000000" w:themeColor="text1"/>
        </w:rPr>
      </w:pPr>
      <w:r w:rsidRPr="00D51778">
        <w:rPr>
          <w:color w:val="000000" w:themeColor="text1"/>
          <w:lang w:val="ga"/>
        </w:rPr>
        <w:t>Oifig na gCoimisinéirí Ioncaim</w:t>
      </w:r>
      <w:r w:rsidRPr="00D51778">
        <w:rPr>
          <w:color w:val="000000" w:themeColor="text1"/>
          <w:lang w:val="ga"/>
        </w:rPr>
        <w:tab/>
      </w:r>
      <w:r w:rsidRPr="00D51778">
        <w:rPr>
          <w:color w:val="000000" w:themeColor="text1"/>
          <w:lang w:val="ga"/>
        </w:rPr>
        <w:tab/>
      </w:r>
      <w:r w:rsidR="007F2508">
        <w:rPr>
          <w:color w:val="000000" w:themeColor="text1"/>
          <w:lang w:val="ga"/>
        </w:rPr>
        <w:tab/>
      </w:r>
      <w:r w:rsidRPr="00D51778">
        <w:rPr>
          <w:color w:val="000000" w:themeColor="text1"/>
          <w:lang w:val="ga"/>
        </w:rPr>
        <w:tab/>
        <w:t>4.1% (4.1% sa bhliain 2020)</w:t>
      </w:r>
    </w:p>
    <w:p w14:paraId="23978B48" w14:textId="51403971" w:rsidR="007A56D0" w:rsidRDefault="003E2A8E" w:rsidP="00873ABC">
      <w:pPr>
        <w:pStyle w:val="ListBullet"/>
        <w:spacing w:after="0"/>
        <w:ind w:left="357" w:right="-149" w:hanging="357"/>
        <w:rPr>
          <w:lang w:val="ga"/>
        </w:rPr>
      </w:pPr>
      <w:r w:rsidRPr="007A56D0">
        <w:rPr>
          <w:lang w:val="ga"/>
        </w:rPr>
        <w:t>Tusla – An Ghníomhaireacht um</w:t>
      </w:r>
      <w:r w:rsidR="007A56D0">
        <w:rPr>
          <w:lang w:val="ga"/>
        </w:rPr>
        <w:tab/>
      </w:r>
      <w:r w:rsidR="007A56D0">
        <w:rPr>
          <w:lang w:val="ga"/>
        </w:rPr>
        <w:tab/>
      </w:r>
      <w:r w:rsidR="007A56D0">
        <w:rPr>
          <w:lang w:val="ga"/>
        </w:rPr>
        <w:tab/>
        <w:t xml:space="preserve">4.4%  </w:t>
      </w:r>
      <w:r w:rsidR="00873ABC">
        <w:rPr>
          <w:lang w:val="ga"/>
        </w:rPr>
        <w:t xml:space="preserve">(3.9% </w:t>
      </w:r>
      <w:r w:rsidR="00873ABC">
        <w:rPr>
          <w:color w:val="000000" w:themeColor="text1"/>
          <w:lang w:val="ga"/>
        </w:rPr>
        <w:t xml:space="preserve">sa bhliain </w:t>
      </w:r>
      <w:r w:rsidR="00873ABC" w:rsidRPr="00D51778">
        <w:rPr>
          <w:color w:val="000000" w:themeColor="text1"/>
          <w:lang w:val="ga"/>
        </w:rPr>
        <w:t>2020)</w:t>
      </w:r>
    </w:p>
    <w:p w14:paraId="12A12E7C" w14:textId="77777777" w:rsidR="007A56D0" w:rsidRDefault="007A56D0" w:rsidP="007A56D0">
      <w:pPr>
        <w:pStyle w:val="ListBullet"/>
        <w:numPr>
          <w:ilvl w:val="0"/>
          <w:numId w:val="0"/>
        </w:numPr>
        <w:spacing w:before="0"/>
        <w:ind w:left="357"/>
      </w:pPr>
      <w:r w:rsidRPr="007A56D0">
        <w:rPr>
          <w:lang w:val="ga"/>
        </w:rPr>
        <w:t>Leanaí agus an Teaghlach</w:t>
      </w:r>
      <w:r w:rsidR="007F2508" w:rsidRPr="007A56D0">
        <w:tab/>
      </w:r>
      <w:r w:rsidR="007F2508" w:rsidRPr="007A56D0">
        <w:tab/>
      </w:r>
      <w:r w:rsidR="007F2508" w:rsidRPr="007A56D0">
        <w:tab/>
      </w:r>
      <w:r w:rsidR="007F2508" w:rsidRPr="007A56D0">
        <w:tab/>
      </w:r>
      <w:r w:rsidR="007F2508" w:rsidRPr="007A56D0">
        <w:tab/>
      </w:r>
    </w:p>
    <w:p w14:paraId="488B3071" w14:textId="44472112" w:rsidR="00973B13" w:rsidRPr="007A56D0" w:rsidRDefault="006B2707" w:rsidP="0099519F">
      <w:r w:rsidRPr="007A56D0">
        <w:rPr>
          <w:lang w:val="ga"/>
        </w:rPr>
        <w:t xml:space="preserve">Thuairiscigh trí cinn de na heagraíochtaí sa chatagóir seo laghdú sa sprioc chéatadánach a baineadh amach (Comhairle Cathrach Bhaile Átha Cliath, Bord Soláthair an Leictreachais, agus An Post). Thuairiscigh FSS méadú 1.0% sa líon fostaithe a thuairiscigh míchumas. </w:t>
      </w:r>
    </w:p>
    <w:p w14:paraId="1ECE391E" w14:textId="5455CF5E" w:rsidR="00973B13" w:rsidRPr="00D51778" w:rsidRDefault="00EB7FD8" w:rsidP="004A1740">
      <w:pPr>
        <w:pStyle w:val="TableTitle"/>
      </w:pPr>
      <w:r w:rsidRPr="00D51778">
        <w:rPr>
          <w:bCs/>
          <w:lang w:val="ga"/>
        </w:rPr>
        <w:lastRenderedPageBreak/>
        <w:t>Tábla 6. Sonraí de réir mhéid an chomhlachta phoiblí 2021</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129"/>
        <w:gridCol w:w="1560"/>
        <w:gridCol w:w="1417"/>
        <w:gridCol w:w="1559"/>
        <w:gridCol w:w="1560"/>
        <w:gridCol w:w="1417"/>
        <w:gridCol w:w="1701"/>
      </w:tblGrid>
      <w:tr w:rsidR="00973B13" w:rsidRPr="00D51778" w14:paraId="262424A5" w14:textId="77777777" w:rsidTr="00C51A89">
        <w:trPr>
          <w:cantSplit/>
          <w:tblHeader/>
          <w:jc w:val="center"/>
        </w:trPr>
        <w:tc>
          <w:tcPr>
            <w:tcW w:w="1129" w:type="dxa"/>
          </w:tcPr>
          <w:p w14:paraId="6871F41C" w14:textId="77777777" w:rsidR="00973B13" w:rsidRPr="00C51A89" w:rsidRDefault="00973B13" w:rsidP="00AD2F28">
            <w:pPr>
              <w:pStyle w:val="TableHead"/>
              <w:keepNext/>
              <w:rPr>
                <w:color w:val="000000" w:themeColor="text1"/>
                <w:sz w:val="22"/>
                <w:szCs w:val="22"/>
              </w:rPr>
            </w:pPr>
            <w:r w:rsidRPr="00C51A89">
              <w:rPr>
                <w:bCs/>
                <w:color w:val="000000" w:themeColor="text1"/>
                <w:sz w:val="22"/>
                <w:szCs w:val="22"/>
                <w:lang w:val="ga"/>
              </w:rPr>
              <w:t>An líon fostaithe</w:t>
            </w:r>
          </w:p>
          <w:p w14:paraId="76AEC98F" w14:textId="77777777" w:rsidR="00973B13" w:rsidRPr="00C51A89" w:rsidRDefault="00973B13" w:rsidP="00AD2F28">
            <w:pPr>
              <w:pStyle w:val="TableHead"/>
              <w:keepNext/>
              <w:rPr>
                <w:color w:val="000000" w:themeColor="text1"/>
                <w:sz w:val="22"/>
                <w:szCs w:val="22"/>
              </w:rPr>
            </w:pPr>
          </w:p>
        </w:tc>
        <w:tc>
          <w:tcPr>
            <w:tcW w:w="1560" w:type="dxa"/>
          </w:tcPr>
          <w:p w14:paraId="2A7768AA" w14:textId="77777777" w:rsidR="00973B13" w:rsidRPr="00C51A89" w:rsidRDefault="00973B13" w:rsidP="005F4DBC">
            <w:pPr>
              <w:pStyle w:val="TableHead"/>
              <w:keepNext/>
              <w:rPr>
                <w:color w:val="000000" w:themeColor="text1"/>
                <w:sz w:val="22"/>
                <w:szCs w:val="22"/>
              </w:rPr>
            </w:pPr>
            <w:r w:rsidRPr="00C51A89">
              <w:rPr>
                <w:bCs/>
                <w:color w:val="000000" w:themeColor="text1"/>
                <w:sz w:val="22"/>
                <w:szCs w:val="22"/>
                <w:lang w:val="ga"/>
              </w:rPr>
              <w:t>An líon comhlachtaí poiblí</w:t>
            </w:r>
          </w:p>
          <w:p w14:paraId="41F70305" w14:textId="77777777" w:rsidR="00973B13" w:rsidRPr="00C51A89" w:rsidRDefault="00973B13" w:rsidP="005F4DBC">
            <w:pPr>
              <w:keepNext/>
              <w:spacing w:after="0"/>
              <w:rPr>
                <w:color w:val="000000" w:themeColor="text1"/>
                <w:sz w:val="22"/>
                <w:szCs w:val="22"/>
              </w:rPr>
            </w:pPr>
          </w:p>
        </w:tc>
        <w:tc>
          <w:tcPr>
            <w:tcW w:w="1417" w:type="dxa"/>
          </w:tcPr>
          <w:p w14:paraId="3C3BB8AC" w14:textId="593DC58D" w:rsidR="00973B13" w:rsidRPr="00C51A89" w:rsidRDefault="00973B13" w:rsidP="005F4DBC">
            <w:pPr>
              <w:pStyle w:val="TableHead"/>
              <w:keepNext/>
              <w:rPr>
                <w:color w:val="000000" w:themeColor="text1"/>
                <w:sz w:val="22"/>
                <w:szCs w:val="22"/>
              </w:rPr>
            </w:pPr>
            <w:r w:rsidRPr="00C51A89">
              <w:rPr>
                <w:bCs/>
                <w:color w:val="000000" w:themeColor="text1"/>
                <w:sz w:val="22"/>
                <w:szCs w:val="22"/>
                <w:lang w:val="ga"/>
              </w:rPr>
              <w:t>An líon iomlán fostaithe</w:t>
            </w:r>
          </w:p>
          <w:p w14:paraId="5A2880DD" w14:textId="77777777" w:rsidR="00973B13" w:rsidRPr="00C51A89" w:rsidRDefault="00973B13" w:rsidP="005F4DBC">
            <w:pPr>
              <w:keepNext/>
              <w:spacing w:after="0"/>
              <w:rPr>
                <w:color w:val="000000" w:themeColor="text1"/>
                <w:sz w:val="22"/>
                <w:szCs w:val="22"/>
              </w:rPr>
            </w:pPr>
          </w:p>
        </w:tc>
        <w:tc>
          <w:tcPr>
            <w:tcW w:w="1559" w:type="dxa"/>
          </w:tcPr>
          <w:p w14:paraId="5EE48B14" w14:textId="08CDA938" w:rsidR="00973B13" w:rsidRPr="00C51A89" w:rsidRDefault="003C02A5" w:rsidP="005F4DBC">
            <w:pPr>
              <w:pStyle w:val="TableHead"/>
              <w:keepNext/>
              <w:rPr>
                <w:color w:val="000000" w:themeColor="text1"/>
                <w:sz w:val="22"/>
                <w:szCs w:val="22"/>
              </w:rPr>
            </w:pPr>
            <w:r w:rsidRPr="00C51A89">
              <w:rPr>
                <w:bCs/>
                <w:color w:val="000000" w:themeColor="text1"/>
                <w:sz w:val="22"/>
                <w:szCs w:val="22"/>
                <w:lang w:val="ga"/>
              </w:rPr>
              <w:t>An líon fostaithe a thuairiscigh míchumas</w:t>
            </w:r>
          </w:p>
        </w:tc>
        <w:tc>
          <w:tcPr>
            <w:tcW w:w="1560" w:type="dxa"/>
          </w:tcPr>
          <w:p w14:paraId="00B87495" w14:textId="5D5AB4D6" w:rsidR="00973B13" w:rsidRPr="00C51A89" w:rsidRDefault="004A1740" w:rsidP="005F4DBC">
            <w:pPr>
              <w:pStyle w:val="TableHead"/>
              <w:keepNext/>
              <w:rPr>
                <w:color w:val="000000" w:themeColor="text1"/>
                <w:sz w:val="22"/>
                <w:szCs w:val="22"/>
              </w:rPr>
            </w:pPr>
            <w:r w:rsidRPr="00C51A89">
              <w:rPr>
                <w:bCs/>
                <w:color w:val="000000" w:themeColor="text1"/>
                <w:sz w:val="22"/>
                <w:szCs w:val="22"/>
                <w:lang w:val="ga"/>
              </w:rPr>
              <w:t>An % d’fhostaithe a thuairiscigh míchumas</w:t>
            </w:r>
          </w:p>
        </w:tc>
        <w:tc>
          <w:tcPr>
            <w:tcW w:w="1417" w:type="dxa"/>
          </w:tcPr>
          <w:p w14:paraId="3F5D2456" w14:textId="77777777" w:rsidR="00973B13" w:rsidRPr="00D51778" w:rsidRDefault="00973B13" w:rsidP="005F4DBC">
            <w:pPr>
              <w:pStyle w:val="TableHead"/>
              <w:keepNext/>
              <w:rPr>
                <w:color w:val="000000" w:themeColor="text1"/>
                <w:sz w:val="22"/>
                <w:szCs w:val="22"/>
              </w:rPr>
            </w:pPr>
            <w:r w:rsidRPr="00D51778">
              <w:rPr>
                <w:bCs/>
                <w:color w:val="000000" w:themeColor="text1"/>
                <w:sz w:val="22"/>
                <w:szCs w:val="22"/>
                <w:lang w:val="ga"/>
              </w:rPr>
              <w:t xml:space="preserve">An % d’iomlán fhórsa saothair na hearnála poiblí </w:t>
            </w:r>
          </w:p>
        </w:tc>
        <w:tc>
          <w:tcPr>
            <w:tcW w:w="1701" w:type="dxa"/>
          </w:tcPr>
          <w:p w14:paraId="7347D786" w14:textId="70E121AA" w:rsidR="00973B13" w:rsidRPr="007F2508" w:rsidRDefault="005F4DBC" w:rsidP="004273F9">
            <w:pPr>
              <w:spacing w:after="0"/>
              <w:rPr>
                <w:b/>
                <w:color w:val="000000" w:themeColor="text1"/>
                <w:sz w:val="22"/>
                <w:szCs w:val="22"/>
              </w:rPr>
            </w:pPr>
            <w:r w:rsidRPr="007F2508">
              <w:rPr>
                <w:b/>
                <w:bCs/>
                <w:sz w:val="22"/>
                <w:szCs w:val="22"/>
                <w:lang w:val="ga"/>
              </w:rPr>
              <w:t>An % d’fhostaithe a bhfuil míchumas orthu mar chéatadán de na fostaithe uile a bhfuil míchumas orthu</w:t>
            </w:r>
          </w:p>
        </w:tc>
      </w:tr>
      <w:tr w:rsidR="00973B13" w:rsidRPr="00D51778" w14:paraId="7B6698E1" w14:textId="77777777" w:rsidTr="00C51A89">
        <w:trPr>
          <w:cantSplit/>
          <w:trHeight w:val="510"/>
          <w:jc w:val="center"/>
        </w:trPr>
        <w:tc>
          <w:tcPr>
            <w:tcW w:w="1129" w:type="dxa"/>
            <w:tcBorders>
              <w:bottom w:val="single" w:sz="4" w:space="0" w:color="auto"/>
            </w:tcBorders>
          </w:tcPr>
          <w:p w14:paraId="539E963F" w14:textId="77777777" w:rsidR="00973B13" w:rsidRPr="00D51778" w:rsidRDefault="00973B13" w:rsidP="00AD2F28">
            <w:pPr>
              <w:pStyle w:val="TableHead"/>
              <w:keepNext/>
              <w:rPr>
                <w:color w:val="000000" w:themeColor="text1"/>
                <w:sz w:val="22"/>
                <w:szCs w:val="22"/>
              </w:rPr>
            </w:pPr>
            <w:r w:rsidRPr="00D51778">
              <w:rPr>
                <w:bCs/>
                <w:color w:val="000000" w:themeColor="text1"/>
                <w:sz w:val="22"/>
                <w:szCs w:val="22"/>
                <w:lang w:val="ga"/>
              </w:rPr>
              <w:t>1-99</w:t>
            </w:r>
          </w:p>
        </w:tc>
        <w:tc>
          <w:tcPr>
            <w:tcW w:w="1560" w:type="dxa"/>
            <w:tcBorders>
              <w:bottom w:val="single" w:sz="4" w:space="0" w:color="auto"/>
            </w:tcBorders>
          </w:tcPr>
          <w:p w14:paraId="05F6D398" w14:textId="085102A8" w:rsidR="00973B13" w:rsidRPr="00D51778" w:rsidRDefault="008A0082" w:rsidP="00AD2F28">
            <w:pPr>
              <w:pStyle w:val="TableCell"/>
              <w:keepNext/>
              <w:jc w:val="right"/>
              <w:rPr>
                <w:color w:val="000000" w:themeColor="text1"/>
                <w:sz w:val="22"/>
                <w:szCs w:val="22"/>
              </w:rPr>
            </w:pPr>
            <w:r w:rsidRPr="00D51778">
              <w:rPr>
                <w:rFonts w:cs="Arial"/>
                <w:sz w:val="22"/>
                <w:szCs w:val="22"/>
                <w:lang w:val="ga"/>
              </w:rPr>
              <w:t xml:space="preserve">68 </w:t>
            </w:r>
          </w:p>
        </w:tc>
        <w:tc>
          <w:tcPr>
            <w:tcW w:w="1417" w:type="dxa"/>
            <w:tcBorders>
              <w:bottom w:val="single" w:sz="4" w:space="0" w:color="auto"/>
            </w:tcBorders>
          </w:tcPr>
          <w:p w14:paraId="6920267D" w14:textId="1F1908F7" w:rsidR="00973B13" w:rsidRPr="00D51778" w:rsidRDefault="008A0082" w:rsidP="00AD2F28">
            <w:pPr>
              <w:pStyle w:val="TableCell"/>
              <w:keepNext/>
              <w:jc w:val="right"/>
              <w:rPr>
                <w:color w:val="000000" w:themeColor="text1"/>
                <w:sz w:val="22"/>
                <w:szCs w:val="22"/>
              </w:rPr>
            </w:pPr>
            <w:r w:rsidRPr="00D51778">
              <w:rPr>
                <w:color w:val="000000"/>
                <w:sz w:val="22"/>
                <w:szCs w:val="22"/>
                <w:lang w:val="ga"/>
              </w:rPr>
              <w:t>2,863</w:t>
            </w:r>
          </w:p>
        </w:tc>
        <w:tc>
          <w:tcPr>
            <w:tcW w:w="1559" w:type="dxa"/>
            <w:tcBorders>
              <w:bottom w:val="single" w:sz="4" w:space="0" w:color="auto"/>
            </w:tcBorders>
          </w:tcPr>
          <w:p w14:paraId="11717310" w14:textId="4A6A63E3" w:rsidR="00973B13" w:rsidRPr="00D51778" w:rsidRDefault="008A0082" w:rsidP="00AD2F28">
            <w:pPr>
              <w:pStyle w:val="TableCell"/>
              <w:keepNext/>
              <w:jc w:val="right"/>
              <w:rPr>
                <w:color w:val="000000" w:themeColor="text1"/>
                <w:sz w:val="22"/>
                <w:szCs w:val="22"/>
              </w:rPr>
            </w:pPr>
            <w:r w:rsidRPr="00D51778">
              <w:rPr>
                <w:color w:val="000000"/>
                <w:sz w:val="22"/>
                <w:szCs w:val="22"/>
                <w:lang w:val="ga"/>
              </w:rPr>
              <w:t>200</w:t>
            </w:r>
          </w:p>
        </w:tc>
        <w:tc>
          <w:tcPr>
            <w:tcW w:w="1560" w:type="dxa"/>
            <w:tcBorders>
              <w:bottom w:val="single" w:sz="4" w:space="0" w:color="auto"/>
            </w:tcBorders>
          </w:tcPr>
          <w:p w14:paraId="4857E4A2" w14:textId="1E2A7520" w:rsidR="00973B13" w:rsidRPr="00D51778" w:rsidRDefault="008A0082" w:rsidP="00AD2F28">
            <w:pPr>
              <w:pStyle w:val="TableCell"/>
              <w:keepNext/>
              <w:jc w:val="right"/>
              <w:rPr>
                <w:color w:val="000000" w:themeColor="text1"/>
                <w:sz w:val="22"/>
                <w:szCs w:val="22"/>
              </w:rPr>
            </w:pPr>
            <w:r w:rsidRPr="00D51778">
              <w:rPr>
                <w:rFonts w:cs="Arial"/>
                <w:color w:val="000000"/>
                <w:sz w:val="22"/>
                <w:szCs w:val="22"/>
                <w:lang w:val="ga"/>
              </w:rPr>
              <w:t>7.0%</w:t>
            </w:r>
          </w:p>
        </w:tc>
        <w:tc>
          <w:tcPr>
            <w:tcW w:w="1417" w:type="dxa"/>
            <w:tcBorders>
              <w:bottom w:val="single" w:sz="4" w:space="0" w:color="auto"/>
            </w:tcBorders>
          </w:tcPr>
          <w:p w14:paraId="6EEB010D" w14:textId="2949245C" w:rsidR="00973B13" w:rsidRPr="00D51778" w:rsidRDefault="008A0082" w:rsidP="00AD2F28">
            <w:pPr>
              <w:spacing w:after="0"/>
              <w:jc w:val="right"/>
              <w:rPr>
                <w:color w:val="000000" w:themeColor="text1"/>
                <w:sz w:val="22"/>
                <w:szCs w:val="22"/>
              </w:rPr>
            </w:pPr>
            <w:r w:rsidRPr="00D51778">
              <w:rPr>
                <w:rFonts w:cs="Arial"/>
                <w:sz w:val="22"/>
                <w:szCs w:val="22"/>
                <w:lang w:val="ga"/>
              </w:rPr>
              <w:t>1.1%</w:t>
            </w:r>
          </w:p>
        </w:tc>
        <w:tc>
          <w:tcPr>
            <w:tcW w:w="1701" w:type="dxa"/>
            <w:tcBorders>
              <w:bottom w:val="single" w:sz="4" w:space="0" w:color="auto"/>
            </w:tcBorders>
          </w:tcPr>
          <w:p w14:paraId="489446A2" w14:textId="2F7B4C6C" w:rsidR="00973B13" w:rsidRPr="00D51778" w:rsidRDefault="008A0082" w:rsidP="00AD2F28">
            <w:pPr>
              <w:spacing w:after="0"/>
              <w:jc w:val="right"/>
              <w:rPr>
                <w:color w:val="000000" w:themeColor="text1"/>
                <w:sz w:val="22"/>
                <w:szCs w:val="22"/>
              </w:rPr>
            </w:pPr>
            <w:r w:rsidRPr="00D51778">
              <w:rPr>
                <w:rFonts w:cs="Arial"/>
                <w:sz w:val="22"/>
                <w:szCs w:val="22"/>
                <w:lang w:val="ga"/>
              </w:rPr>
              <w:t>2.2%</w:t>
            </w:r>
          </w:p>
        </w:tc>
      </w:tr>
      <w:tr w:rsidR="00973B13" w:rsidRPr="00D51778" w14:paraId="113E1D4C" w14:textId="77777777" w:rsidTr="00C51A89">
        <w:trPr>
          <w:cantSplit/>
          <w:trHeight w:val="510"/>
          <w:jc w:val="center"/>
        </w:trPr>
        <w:tc>
          <w:tcPr>
            <w:tcW w:w="1129" w:type="dxa"/>
          </w:tcPr>
          <w:p w14:paraId="2A03DC63" w14:textId="77777777" w:rsidR="00973B13" w:rsidRPr="00D51778" w:rsidRDefault="00973B13" w:rsidP="00AD2F28">
            <w:pPr>
              <w:pStyle w:val="TableHead"/>
              <w:rPr>
                <w:color w:val="000000" w:themeColor="text1"/>
                <w:sz w:val="22"/>
                <w:szCs w:val="22"/>
              </w:rPr>
            </w:pPr>
            <w:r w:rsidRPr="00D51778">
              <w:rPr>
                <w:bCs/>
                <w:color w:val="000000" w:themeColor="text1"/>
                <w:sz w:val="22"/>
                <w:szCs w:val="22"/>
                <w:lang w:val="ga"/>
              </w:rPr>
              <w:t xml:space="preserve">100-999 </w:t>
            </w:r>
          </w:p>
        </w:tc>
        <w:tc>
          <w:tcPr>
            <w:tcW w:w="1560" w:type="dxa"/>
          </w:tcPr>
          <w:p w14:paraId="712A8420" w14:textId="3E58EB2E" w:rsidR="00973B13" w:rsidRPr="00D51778" w:rsidRDefault="008A0082" w:rsidP="00AD2F28">
            <w:pPr>
              <w:pStyle w:val="TableCell"/>
              <w:jc w:val="right"/>
              <w:rPr>
                <w:color w:val="000000" w:themeColor="text1"/>
                <w:sz w:val="22"/>
                <w:szCs w:val="22"/>
              </w:rPr>
            </w:pPr>
            <w:r w:rsidRPr="00D51778">
              <w:rPr>
                <w:rFonts w:cs="Arial"/>
                <w:sz w:val="22"/>
                <w:szCs w:val="22"/>
                <w:lang w:val="ga"/>
              </w:rPr>
              <w:t>105</w:t>
            </w:r>
          </w:p>
        </w:tc>
        <w:tc>
          <w:tcPr>
            <w:tcW w:w="1417" w:type="dxa"/>
          </w:tcPr>
          <w:p w14:paraId="071BA861" w14:textId="56315BE9" w:rsidR="00973B13" w:rsidRPr="00D51778" w:rsidRDefault="008A0082" w:rsidP="00AD2F28">
            <w:pPr>
              <w:pStyle w:val="TableCell"/>
              <w:jc w:val="right"/>
              <w:rPr>
                <w:color w:val="000000" w:themeColor="text1"/>
                <w:sz w:val="22"/>
                <w:szCs w:val="22"/>
              </w:rPr>
            </w:pPr>
            <w:r w:rsidRPr="00D51778">
              <w:rPr>
                <w:rFonts w:cs="Arial"/>
                <w:sz w:val="22"/>
                <w:szCs w:val="22"/>
                <w:lang w:val="ga"/>
              </w:rPr>
              <w:t>41,579</w:t>
            </w:r>
          </w:p>
        </w:tc>
        <w:tc>
          <w:tcPr>
            <w:tcW w:w="1559" w:type="dxa"/>
          </w:tcPr>
          <w:p w14:paraId="4B174251" w14:textId="677CE294" w:rsidR="00973B13" w:rsidRPr="00D51778" w:rsidRDefault="008A0082" w:rsidP="000125BA">
            <w:pPr>
              <w:pStyle w:val="TableCell"/>
              <w:jc w:val="right"/>
              <w:rPr>
                <w:color w:val="000000" w:themeColor="text1"/>
                <w:sz w:val="22"/>
                <w:szCs w:val="22"/>
              </w:rPr>
            </w:pPr>
            <w:r w:rsidRPr="00D51778">
              <w:rPr>
                <w:rFonts w:cs="Arial"/>
                <w:sz w:val="22"/>
                <w:szCs w:val="22"/>
                <w:lang w:val="ga"/>
              </w:rPr>
              <w:t>2,219</w:t>
            </w:r>
          </w:p>
        </w:tc>
        <w:tc>
          <w:tcPr>
            <w:tcW w:w="1560" w:type="dxa"/>
          </w:tcPr>
          <w:p w14:paraId="5657F64A" w14:textId="0BC00A5B" w:rsidR="00973B13" w:rsidRPr="00D51778" w:rsidRDefault="008A0082" w:rsidP="00AD2F28">
            <w:pPr>
              <w:pStyle w:val="TableCell"/>
              <w:jc w:val="right"/>
              <w:rPr>
                <w:color w:val="000000" w:themeColor="text1"/>
                <w:sz w:val="22"/>
                <w:szCs w:val="22"/>
              </w:rPr>
            </w:pPr>
            <w:r w:rsidRPr="00D51778">
              <w:rPr>
                <w:rFonts w:cs="Arial"/>
                <w:color w:val="000000"/>
                <w:sz w:val="22"/>
                <w:szCs w:val="22"/>
                <w:lang w:val="ga"/>
              </w:rPr>
              <w:t>5.3%</w:t>
            </w:r>
          </w:p>
        </w:tc>
        <w:tc>
          <w:tcPr>
            <w:tcW w:w="1417" w:type="dxa"/>
          </w:tcPr>
          <w:p w14:paraId="07905F0F" w14:textId="0E489D5F" w:rsidR="00973B13" w:rsidRPr="00D51778" w:rsidRDefault="00973B13" w:rsidP="000125BA">
            <w:pPr>
              <w:spacing w:after="0"/>
              <w:jc w:val="right"/>
              <w:rPr>
                <w:color w:val="000000" w:themeColor="text1"/>
                <w:sz w:val="22"/>
                <w:szCs w:val="22"/>
              </w:rPr>
            </w:pPr>
            <w:r w:rsidRPr="00D51778">
              <w:rPr>
                <w:rFonts w:cs="Arial"/>
                <w:sz w:val="22"/>
                <w:szCs w:val="22"/>
                <w:lang w:val="ga"/>
              </w:rPr>
              <w:t>16.5%</w:t>
            </w:r>
          </w:p>
        </w:tc>
        <w:tc>
          <w:tcPr>
            <w:tcW w:w="1701" w:type="dxa"/>
          </w:tcPr>
          <w:p w14:paraId="489B84B0" w14:textId="3664FF4C" w:rsidR="00973B13" w:rsidRPr="00D51778" w:rsidRDefault="00973B13" w:rsidP="000125BA">
            <w:pPr>
              <w:spacing w:after="0"/>
              <w:jc w:val="right"/>
              <w:rPr>
                <w:color w:val="000000" w:themeColor="text1"/>
                <w:sz w:val="22"/>
                <w:szCs w:val="22"/>
              </w:rPr>
            </w:pPr>
            <w:r w:rsidRPr="00D51778">
              <w:rPr>
                <w:rFonts w:cs="Arial"/>
                <w:sz w:val="22"/>
                <w:szCs w:val="22"/>
                <w:lang w:val="ga"/>
              </w:rPr>
              <w:t>24.6%</w:t>
            </w:r>
          </w:p>
        </w:tc>
      </w:tr>
      <w:tr w:rsidR="00973B13" w:rsidRPr="00D51778" w14:paraId="536B4B55" w14:textId="77777777" w:rsidTr="00C51A89">
        <w:trPr>
          <w:cantSplit/>
          <w:trHeight w:val="510"/>
          <w:jc w:val="center"/>
        </w:trPr>
        <w:tc>
          <w:tcPr>
            <w:tcW w:w="1129" w:type="dxa"/>
          </w:tcPr>
          <w:p w14:paraId="16F6996B" w14:textId="77777777" w:rsidR="00973B13" w:rsidRPr="00D51778" w:rsidRDefault="00973B13" w:rsidP="00AD2F28">
            <w:pPr>
              <w:spacing w:after="0"/>
              <w:rPr>
                <w:b/>
                <w:color w:val="000000" w:themeColor="text1"/>
                <w:sz w:val="22"/>
                <w:szCs w:val="22"/>
              </w:rPr>
            </w:pPr>
            <w:r w:rsidRPr="00D51778">
              <w:rPr>
                <w:b/>
                <w:bCs/>
                <w:color w:val="000000" w:themeColor="text1"/>
                <w:sz w:val="22"/>
                <w:szCs w:val="22"/>
                <w:lang w:val="ga"/>
              </w:rPr>
              <w:t xml:space="preserve">1,000-4,999 </w:t>
            </w:r>
          </w:p>
        </w:tc>
        <w:tc>
          <w:tcPr>
            <w:tcW w:w="1560" w:type="dxa"/>
          </w:tcPr>
          <w:p w14:paraId="0D68692D" w14:textId="7530DBA0" w:rsidR="00973B13" w:rsidRPr="00D51778" w:rsidRDefault="000125BA" w:rsidP="00AD2F28">
            <w:pPr>
              <w:spacing w:after="0"/>
              <w:jc w:val="right"/>
              <w:rPr>
                <w:color w:val="000000" w:themeColor="text1"/>
                <w:sz w:val="22"/>
                <w:szCs w:val="22"/>
              </w:rPr>
            </w:pPr>
            <w:r w:rsidRPr="00D51778">
              <w:rPr>
                <w:rFonts w:cs="Arial"/>
                <w:sz w:val="22"/>
                <w:szCs w:val="22"/>
                <w:lang w:val="ga"/>
              </w:rPr>
              <w:t>33</w:t>
            </w:r>
          </w:p>
        </w:tc>
        <w:tc>
          <w:tcPr>
            <w:tcW w:w="1417" w:type="dxa"/>
          </w:tcPr>
          <w:p w14:paraId="7997ABE0" w14:textId="5D95F65A" w:rsidR="00973B13" w:rsidRPr="00D51778" w:rsidRDefault="00AC0B0F" w:rsidP="000125BA">
            <w:pPr>
              <w:spacing w:after="0"/>
              <w:jc w:val="right"/>
              <w:rPr>
                <w:color w:val="000000" w:themeColor="text1"/>
                <w:sz w:val="22"/>
                <w:szCs w:val="22"/>
              </w:rPr>
            </w:pPr>
            <w:r w:rsidRPr="00D51778">
              <w:rPr>
                <w:rFonts w:cs="Arial"/>
                <w:sz w:val="22"/>
                <w:szCs w:val="22"/>
                <w:lang w:val="ga"/>
              </w:rPr>
              <w:t>70,015</w:t>
            </w:r>
          </w:p>
        </w:tc>
        <w:tc>
          <w:tcPr>
            <w:tcW w:w="1559" w:type="dxa"/>
          </w:tcPr>
          <w:p w14:paraId="4AA9A9FC" w14:textId="17C2A252" w:rsidR="00973B13" w:rsidRPr="00D51778" w:rsidRDefault="00AC0B0F" w:rsidP="00AD2F28">
            <w:pPr>
              <w:spacing w:after="0"/>
              <w:jc w:val="right"/>
              <w:rPr>
                <w:color w:val="000000" w:themeColor="text1"/>
                <w:sz w:val="22"/>
                <w:szCs w:val="22"/>
              </w:rPr>
            </w:pPr>
            <w:r w:rsidRPr="00D51778">
              <w:rPr>
                <w:rFonts w:cs="Arial"/>
                <w:sz w:val="22"/>
                <w:szCs w:val="22"/>
                <w:lang w:val="ga"/>
              </w:rPr>
              <w:t>3,212</w:t>
            </w:r>
          </w:p>
        </w:tc>
        <w:tc>
          <w:tcPr>
            <w:tcW w:w="1560" w:type="dxa"/>
          </w:tcPr>
          <w:p w14:paraId="69EAFAE4" w14:textId="7F59C313" w:rsidR="00973B13" w:rsidRPr="00D51778" w:rsidRDefault="00AC0B0F" w:rsidP="00AD2F28">
            <w:pPr>
              <w:spacing w:after="0"/>
              <w:jc w:val="right"/>
              <w:rPr>
                <w:color w:val="000000" w:themeColor="text1"/>
                <w:sz w:val="22"/>
                <w:szCs w:val="22"/>
              </w:rPr>
            </w:pPr>
            <w:r w:rsidRPr="00D51778">
              <w:rPr>
                <w:rFonts w:cs="Arial"/>
                <w:color w:val="000000"/>
                <w:sz w:val="22"/>
                <w:szCs w:val="22"/>
                <w:lang w:val="ga"/>
              </w:rPr>
              <w:t>4.6%</w:t>
            </w:r>
          </w:p>
        </w:tc>
        <w:tc>
          <w:tcPr>
            <w:tcW w:w="1417" w:type="dxa"/>
          </w:tcPr>
          <w:p w14:paraId="76A7EE91" w14:textId="334DE7D9" w:rsidR="00973B13" w:rsidRPr="00D51778" w:rsidRDefault="00973B13" w:rsidP="000125BA">
            <w:pPr>
              <w:spacing w:after="0"/>
              <w:jc w:val="right"/>
              <w:rPr>
                <w:color w:val="000000" w:themeColor="text1"/>
                <w:sz w:val="22"/>
                <w:szCs w:val="22"/>
              </w:rPr>
            </w:pPr>
            <w:r w:rsidRPr="00D51778">
              <w:rPr>
                <w:rFonts w:cs="Arial"/>
                <w:sz w:val="22"/>
                <w:szCs w:val="22"/>
                <w:lang w:val="ga"/>
              </w:rPr>
              <w:t>27.8%</w:t>
            </w:r>
          </w:p>
        </w:tc>
        <w:tc>
          <w:tcPr>
            <w:tcW w:w="1701" w:type="dxa"/>
          </w:tcPr>
          <w:p w14:paraId="2378268A" w14:textId="69B329F5" w:rsidR="00973B13" w:rsidRPr="00D51778" w:rsidRDefault="00AC0B0F" w:rsidP="00AD2F28">
            <w:pPr>
              <w:spacing w:after="0"/>
              <w:jc w:val="right"/>
              <w:rPr>
                <w:color w:val="000000" w:themeColor="text1"/>
                <w:sz w:val="22"/>
                <w:szCs w:val="22"/>
              </w:rPr>
            </w:pPr>
            <w:r w:rsidRPr="00D51778">
              <w:rPr>
                <w:rFonts w:cs="Arial"/>
                <w:sz w:val="22"/>
                <w:szCs w:val="22"/>
                <w:lang w:val="ga"/>
              </w:rPr>
              <w:t>35.6%</w:t>
            </w:r>
          </w:p>
        </w:tc>
      </w:tr>
      <w:tr w:rsidR="00973B13" w:rsidRPr="00D51778" w14:paraId="7C1F76BA" w14:textId="77777777" w:rsidTr="00C51A89">
        <w:trPr>
          <w:cantSplit/>
          <w:trHeight w:val="510"/>
          <w:jc w:val="center"/>
        </w:trPr>
        <w:tc>
          <w:tcPr>
            <w:tcW w:w="1129" w:type="dxa"/>
          </w:tcPr>
          <w:p w14:paraId="5635D57E" w14:textId="77777777" w:rsidR="00973B13" w:rsidRPr="00D51778" w:rsidRDefault="00973B13" w:rsidP="00AD2F28">
            <w:pPr>
              <w:spacing w:after="0"/>
              <w:rPr>
                <w:b/>
                <w:color w:val="000000" w:themeColor="text1"/>
                <w:sz w:val="22"/>
                <w:szCs w:val="22"/>
              </w:rPr>
            </w:pPr>
            <w:r w:rsidRPr="00D51778">
              <w:rPr>
                <w:b/>
                <w:bCs/>
                <w:color w:val="000000" w:themeColor="text1"/>
                <w:sz w:val="22"/>
                <w:szCs w:val="22"/>
                <w:lang w:val="ga"/>
              </w:rPr>
              <w:t>5,000 +</w:t>
            </w:r>
          </w:p>
        </w:tc>
        <w:tc>
          <w:tcPr>
            <w:tcW w:w="1560" w:type="dxa"/>
          </w:tcPr>
          <w:p w14:paraId="6A4C25E7" w14:textId="3080683E" w:rsidR="00973B13" w:rsidRPr="00D51778" w:rsidRDefault="000125BA" w:rsidP="00AD2F28">
            <w:pPr>
              <w:spacing w:after="0"/>
              <w:jc w:val="right"/>
              <w:rPr>
                <w:color w:val="000000" w:themeColor="text1"/>
                <w:sz w:val="22"/>
                <w:szCs w:val="22"/>
              </w:rPr>
            </w:pPr>
            <w:r w:rsidRPr="00D51778">
              <w:rPr>
                <w:color w:val="000000" w:themeColor="text1"/>
                <w:sz w:val="22"/>
                <w:szCs w:val="22"/>
                <w:lang w:val="ga"/>
              </w:rPr>
              <w:t>7</w:t>
            </w:r>
          </w:p>
        </w:tc>
        <w:tc>
          <w:tcPr>
            <w:tcW w:w="1417" w:type="dxa"/>
          </w:tcPr>
          <w:p w14:paraId="0656F4AD" w14:textId="02F2921E" w:rsidR="00973B13" w:rsidRPr="00D51778" w:rsidRDefault="00AC0B0F" w:rsidP="00AD2F28">
            <w:pPr>
              <w:spacing w:after="0"/>
              <w:jc w:val="right"/>
              <w:rPr>
                <w:color w:val="000000" w:themeColor="text1"/>
                <w:sz w:val="22"/>
                <w:szCs w:val="22"/>
              </w:rPr>
            </w:pPr>
            <w:r w:rsidRPr="00D51778">
              <w:rPr>
                <w:color w:val="000000"/>
                <w:sz w:val="22"/>
                <w:szCs w:val="22"/>
                <w:lang w:val="ga"/>
              </w:rPr>
              <w:t>137,095</w:t>
            </w:r>
          </w:p>
        </w:tc>
        <w:tc>
          <w:tcPr>
            <w:tcW w:w="1559" w:type="dxa"/>
          </w:tcPr>
          <w:p w14:paraId="50F53796" w14:textId="3049672C" w:rsidR="00973B13" w:rsidRPr="00D51778" w:rsidRDefault="00AC0B0F" w:rsidP="00AD2F28">
            <w:pPr>
              <w:spacing w:after="0"/>
              <w:jc w:val="right"/>
              <w:rPr>
                <w:color w:val="000000" w:themeColor="text1"/>
                <w:sz w:val="22"/>
                <w:szCs w:val="22"/>
              </w:rPr>
            </w:pPr>
            <w:r w:rsidRPr="00D51778">
              <w:rPr>
                <w:color w:val="000000"/>
                <w:sz w:val="22"/>
                <w:szCs w:val="22"/>
                <w:lang w:val="ga"/>
              </w:rPr>
              <w:t>3,380</w:t>
            </w:r>
          </w:p>
        </w:tc>
        <w:tc>
          <w:tcPr>
            <w:tcW w:w="1560" w:type="dxa"/>
          </w:tcPr>
          <w:p w14:paraId="6A624BCF" w14:textId="5AB2CD31" w:rsidR="00973B13" w:rsidRPr="00D51778" w:rsidRDefault="00AC0B0F" w:rsidP="00AD2F28">
            <w:pPr>
              <w:spacing w:after="0"/>
              <w:jc w:val="right"/>
              <w:rPr>
                <w:color w:val="000000" w:themeColor="text1"/>
                <w:sz w:val="22"/>
                <w:szCs w:val="22"/>
              </w:rPr>
            </w:pPr>
            <w:r w:rsidRPr="00D51778">
              <w:rPr>
                <w:color w:val="000000" w:themeColor="text1"/>
                <w:sz w:val="22"/>
                <w:szCs w:val="22"/>
                <w:lang w:val="ga"/>
              </w:rPr>
              <w:t>2.5%</w:t>
            </w:r>
          </w:p>
        </w:tc>
        <w:tc>
          <w:tcPr>
            <w:tcW w:w="1417" w:type="dxa"/>
          </w:tcPr>
          <w:p w14:paraId="580327A1" w14:textId="23834514" w:rsidR="00973B13" w:rsidRPr="00D51778" w:rsidRDefault="00973B13" w:rsidP="000125BA">
            <w:pPr>
              <w:spacing w:after="0"/>
              <w:jc w:val="right"/>
              <w:rPr>
                <w:color w:val="000000" w:themeColor="text1"/>
                <w:sz w:val="22"/>
                <w:szCs w:val="22"/>
              </w:rPr>
            </w:pPr>
            <w:r w:rsidRPr="00D51778">
              <w:rPr>
                <w:color w:val="000000" w:themeColor="text1"/>
                <w:sz w:val="22"/>
                <w:szCs w:val="22"/>
                <w:lang w:val="ga"/>
              </w:rPr>
              <w:t>54.5%</w:t>
            </w:r>
          </w:p>
        </w:tc>
        <w:tc>
          <w:tcPr>
            <w:tcW w:w="1701" w:type="dxa"/>
          </w:tcPr>
          <w:p w14:paraId="0C1426C1" w14:textId="482B8B72" w:rsidR="00973B13" w:rsidRPr="00D51778" w:rsidRDefault="00AC0B0F" w:rsidP="000125BA">
            <w:pPr>
              <w:spacing w:after="0"/>
              <w:jc w:val="right"/>
              <w:rPr>
                <w:color w:val="000000" w:themeColor="text1"/>
                <w:sz w:val="22"/>
                <w:szCs w:val="22"/>
              </w:rPr>
            </w:pPr>
            <w:r w:rsidRPr="00D51778">
              <w:rPr>
                <w:color w:val="000000" w:themeColor="text1"/>
                <w:sz w:val="22"/>
                <w:szCs w:val="22"/>
                <w:lang w:val="ga"/>
              </w:rPr>
              <w:t>37.5%</w:t>
            </w:r>
          </w:p>
        </w:tc>
      </w:tr>
      <w:tr w:rsidR="00973B13" w:rsidRPr="00D51778" w14:paraId="010A9BBA" w14:textId="77777777" w:rsidTr="00C51A89">
        <w:trPr>
          <w:cantSplit/>
          <w:trHeight w:val="510"/>
          <w:jc w:val="center"/>
        </w:trPr>
        <w:tc>
          <w:tcPr>
            <w:tcW w:w="1129" w:type="dxa"/>
          </w:tcPr>
          <w:p w14:paraId="5E1ABBBF" w14:textId="68261FCE" w:rsidR="00973B13" w:rsidRPr="00D51778" w:rsidRDefault="002F41F3" w:rsidP="00AD2F28">
            <w:pPr>
              <w:spacing w:after="0"/>
              <w:rPr>
                <w:b/>
                <w:color w:val="000000" w:themeColor="text1"/>
                <w:sz w:val="22"/>
                <w:szCs w:val="22"/>
              </w:rPr>
            </w:pPr>
            <w:r w:rsidRPr="00D51778">
              <w:rPr>
                <w:b/>
                <w:bCs/>
                <w:color w:val="000000" w:themeColor="text1"/>
                <w:sz w:val="22"/>
                <w:szCs w:val="22"/>
                <w:lang w:val="ga"/>
              </w:rPr>
              <w:t>Iomlán 2021</w:t>
            </w:r>
          </w:p>
        </w:tc>
        <w:tc>
          <w:tcPr>
            <w:tcW w:w="1560" w:type="dxa"/>
          </w:tcPr>
          <w:p w14:paraId="42A18A18" w14:textId="5FA5D404" w:rsidR="00973B13" w:rsidRPr="00D51778" w:rsidRDefault="00AC0B0F" w:rsidP="00AD2F28">
            <w:pPr>
              <w:spacing w:after="0"/>
              <w:jc w:val="right"/>
              <w:rPr>
                <w:b/>
                <w:color w:val="000000" w:themeColor="text1"/>
                <w:sz w:val="22"/>
                <w:szCs w:val="22"/>
              </w:rPr>
            </w:pPr>
            <w:r w:rsidRPr="00D51778">
              <w:rPr>
                <w:b/>
                <w:bCs/>
                <w:color w:val="000000" w:themeColor="text1"/>
                <w:sz w:val="22"/>
                <w:szCs w:val="22"/>
                <w:lang w:val="ga"/>
              </w:rPr>
              <w:t>213</w:t>
            </w:r>
          </w:p>
        </w:tc>
        <w:tc>
          <w:tcPr>
            <w:tcW w:w="1417" w:type="dxa"/>
          </w:tcPr>
          <w:p w14:paraId="4A3B9049" w14:textId="5C9813DC" w:rsidR="00973B13" w:rsidRPr="00D51778" w:rsidRDefault="00AC0B0F" w:rsidP="00AD2F28">
            <w:pPr>
              <w:spacing w:after="0"/>
              <w:jc w:val="right"/>
              <w:rPr>
                <w:b/>
                <w:color w:val="000000" w:themeColor="text1"/>
                <w:sz w:val="22"/>
                <w:szCs w:val="22"/>
              </w:rPr>
            </w:pPr>
            <w:r w:rsidRPr="00D51778">
              <w:rPr>
                <w:rFonts w:cs="Arial"/>
                <w:b/>
                <w:bCs/>
                <w:color w:val="000000"/>
                <w:sz w:val="22"/>
                <w:szCs w:val="22"/>
                <w:lang w:val="ga"/>
              </w:rPr>
              <w:t xml:space="preserve">251,552 </w:t>
            </w:r>
          </w:p>
        </w:tc>
        <w:tc>
          <w:tcPr>
            <w:tcW w:w="1559" w:type="dxa"/>
          </w:tcPr>
          <w:p w14:paraId="6A1B2AFE" w14:textId="4AE41785" w:rsidR="00973B13" w:rsidRPr="00D51778" w:rsidRDefault="00AC0B0F" w:rsidP="00AD2F28">
            <w:pPr>
              <w:spacing w:after="0"/>
              <w:jc w:val="right"/>
              <w:rPr>
                <w:b/>
                <w:color w:val="000000" w:themeColor="text1"/>
                <w:sz w:val="22"/>
                <w:szCs w:val="22"/>
              </w:rPr>
            </w:pPr>
            <w:r w:rsidRPr="00D51778">
              <w:rPr>
                <w:rFonts w:cs="Arial"/>
                <w:b/>
                <w:bCs/>
                <w:color w:val="000000"/>
                <w:sz w:val="22"/>
                <w:szCs w:val="22"/>
                <w:lang w:val="ga"/>
              </w:rPr>
              <w:t xml:space="preserve">9,011 </w:t>
            </w:r>
          </w:p>
        </w:tc>
        <w:tc>
          <w:tcPr>
            <w:tcW w:w="1560" w:type="dxa"/>
          </w:tcPr>
          <w:p w14:paraId="2F4D3062" w14:textId="5278E766" w:rsidR="00973B13" w:rsidRPr="00D51778" w:rsidRDefault="00AC0B0F" w:rsidP="00AD2F28">
            <w:pPr>
              <w:spacing w:after="0"/>
              <w:jc w:val="right"/>
              <w:rPr>
                <w:b/>
                <w:color w:val="000000" w:themeColor="text1"/>
                <w:sz w:val="22"/>
                <w:szCs w:val="22"/>
              </w:rPr>
            </w:pPr>
            <w:r w:rsidRPr="00D51778">
              <w:rPr>
                <w:b/>
                <w:bCs/>
                <w:color w:val="000000" w:themeColor="text1"/>
                <w:sz w:val="22"/>
                <w:szCs w:val="22"/>
                <w:lang w:val="ga"/>
              </w:rPr>
              <w:t>3.6%</w:t>
            </w:r>
          </w:p>
        </w:tc>
        <w:tc>
          <w:tcPr>
            <w:tcW w:w="1417" w:type="dxa"/>
          </w:tcPr>
          <w:p w14:paraId="3F45FED6" w14:textId="77777777" w:rsidR="00973B13" w:rsidRPr="00D51778" w:rsidRDefault="00973B13" w:rsidP="00AD2F28">
            <w:pPr>
              <w:spacing w:after="0"/>
              <w:jc w:val="right"/>
              <w:rPr>
                <w:b/>
                <w:color w:val="000000" w:themeColor="text1"/>
                <w:sz w:val="22"/>
                <w:szCs w:val="22"/>
              </w:rPr>
            </w:pPr>
            <w:r w:rsidRPr="00D51778">
              <w:rPr>
                <w:b/>
                <w:bCs/>
                <w:color w:val="000000" w:themeColor="text1"/>
                <w:sz w:val="22"/>
                <w:szCs w:val="22"/>
                <w:lang w:val="ga"/>
              </w:rPr>
              <w:t>100%</w:t>
            </w:r>
          </w:p>
        </w:tc>
        <w:tc>
          <w:tcPr>
            <w:tcW w:w="1701" w:type="dxa"/>
          </w:tcPr>
          <w:p w14:paraId="7B4E2C68" w14:textId="77777777" w:rsidR="00973B13" w:rsidRPr="00D51778" w:rsidRDefault="00973B13" w:rsidP="00AD2F28">
            <w:pPr>
              <w:spacing w:after="0"/>
              <w:jc w:val="right"/>
              <w:rPr>
                <w:b/>
                <w:color w:val="000000" w:themeColor="text1"/>
                <w:sz w:val="22"/>
                <w:szCs w:val="22"/>
              </w:rPr>
            </w:pPr>
            <w:r w:rsidRPr="00D51778">
              <w:rPr>
                <w:b/>
                <w:bCs/>
                <w:color w:val="000000" w:themeColor="text1"/>
                <w:sz w:val="22"/>
                <w:szCs w:val="22"/>
                <w:lang w:val="ga"/>
              </w:rPr>
              <w:t>100%</w:t>
            </w:r>
          </w:p>
        </w:tc>
      </w:tr>
    </w:tbl>
    <w:p w14:paraId="562D3F99" w14:textId="77777777" w:rsidR="008A6636" w:rsidRPr="00D51778" w:rsidRDefault="008A6636" w:rsidP="008A6636">
      <w:pPr>
        <w:pStyle w:val="Heading2"/>
      </w:pPr>
    </w:p>
    <w:p w14:paraId="11F3FF2B" w14:textId="50C0D5F7" w:rsidR="008A6636" w:rsidRPr="00D51778" w:rsidRDefault="00090DB2" w:rsidP="008A6636">
      <w:pPr>
        <w:pStyle w:val="Heading2"/>
      </w:pPr>
      <w:bookmarkStart w:id="47" w:name="_Toc124367406"/>
      <w:r w:rsidRPr="00D51778">
        <w:rPr>
          <w:bCs/>
          <w:lang w:val="ga"/>
        </w:rPr>
        <w:t>2.5 An dul chun cinn ar an íos-sprioc 6% a</w:t>
      </w:r>
      <w:r w:rsidR="003D2C9D">
        <w:rPr>
          <w:bCs/>
          <w:lang w:val="ga"/>
        </w:rPr>
        <w:t xml:space="preserve"> bhaint amach faoin mbliain 2025</w:t>
      </w:r>
      <w:bookmarkEnd w:id="47"/>
    </w:p>
    <w:p w14:paraId="45457805" w14:textId="279E3731" w:rsidR="008A6636" w:rsidRPr="003D2C9D" w:rsidRDefault="008A6636" w:rsidP="0099519F">
      <w:pPr>
        <w:rPr>
          <w:lang w:eastAsia="en-IE"/>
        </w:rPr>
      </w:pPr>
      <w:r w:rsidRPr="00D51778">
        <w:rPr>
          <w:lang w:val="ga"/>
        </w:rPr>
        <w:t xml:space="preserve">Faoin </w:t>
      </w:r>
      <w:r w:rsidRPr="00D51778">
        <w:rPr>
          <w:b/>
          <w:bCs/>
          <w:lang w:val="ga"/>
        </w:rPr>
        <w:t>Straitéis Chuimsitheach Fostaíochta do Dhaoine faoi Mhíchumas 2015 – 2024</w:t>
      </w:r>
      <w:r w:rsidRPr="00D51778">
        <w:rPr>
          <w:lang w:val="ga"/>
        </w:rPr>
        <w:t xml:space="preserve">, ghabh an Rialtas air féin an sprioc reachtúil fostaíochta a mhéadú chun gur daoine a bhfuil míchumas orthu a bheidh i 6% ar a laghad d’fhostaithe san earnáil phoiblí faoin mbliain 2024. </w:t>
      </w:r>
      <w:r w:rsidR="003D2C9D" w:rsidRPr="007357A8">
        <w:rPr>
          <w:lang w:val="ga-IE" w:eastAsia="en-IE"/>
        </w:rPr>
        <w:t xml:space="preserve">Leagtar amach san </w:t>
      </w:r>
      <w:r w:rsidR="00732860" w:rsidRPr="00ED53BE">
        <w:rPr>
          <w:lang w:val="ga-IE" w:eastAsia="en-IE"/>
        </w:rPr>
        <w:t>Acht um Chinnteoir</w:t>
      </w:r>
      <w:r w:rsidR="00732860">
        <w:rPr>
          <w:lang w:val="ga-IE" w:eastAsia="en-IE"/>
        </w:rPr>
        <w:t xml:space="preserve">eacht Cuidithe (Cumas) (Leasú) </w:t>
      </w:r>
      <w:r w:rsidR="00732860" w:rsidRPr="00ED53BE">
        <w:rPr>
          <w:lang w:val="ga-IE" w:eastAsia="en-IE"/>
        </w:rPr>
        <w:t xml:space="preserve">2022 </w:t>
      </w:r>
      <w:r w:rsidR="003D2C9D" w:rsidRPr="007357A8">
        <w:rPr>
          <w:lang w:val="ga-IE" w:eastAsia="en-IE"/>
        </w:rPr>
        <w:t xml:space="preserve">a achtaíodh le déanaí, </w:t>
      </w:r>
      <w:r w:rsidR="003D2C9D" w:rsidRPr="003D2C9D">
        <w:rPr>
          <w:b/>
          <w:lang w:val="ga-IE" w:eastAsia="en-IE"/>
        </w:rPr>
        <w:t>go mbeidh an sprioc fostaíochta reachtúil ag méadú go 6% faoi 2025.</w:t>
      </w:r>
      <w:r w:rsidR="003D2C9D">
        <w:rPr>
          <w:lang w:eastAsia="en-IE"/>
        </w:rPr>
        <w:t xml:space="preserve"> </w:t>
      </w:r>
      <w:r w:rsidRPr="00D51778">
        <w:rPr>
          <w:lang w:val="ga"/>
        </w:rPr>
        <w:t xml:space="preserve">Gealltanas eile faoi </w:t>
      </w:r>
      <w:r w:rsidRPr="00D51778">
        <w:rPr>
          <w:b/>
          <w:bCs/>
          <w:lang w:val="ga"/>
        </w:rPr>
        <w:t>Chlár an Rialtais 2020</w:t>
      </w:r>
      <w:r w:rsidRPr="00D51778">
        <w:rPr>
          <w:lang w:val="ga"/>
        </w:rPr>
        <w:t xml:space="preserve"> is ea an íos-sprioc reachtúil fostaíochta a mhéadú go 6%.</w:t>
      </w:r>
    </w:p>
    <w:p w14:paraId="151A1F3A" w14:textId="56DCBFE4" w:rsidR="008A6636" w:rsidRPr="00D51778" w:rsidRDefault="008A6636" w:rsidP="0099519F">
      <w:r w:rsidRPr="00D51778">
        <w:rPr>
          <w:lang w:val="ga"/>
        </w:rPr>
        <w:t>Tá áthas ar ÚNM a thabhairt dá aire gurbh amhlaidh sa bhliain 2021 a thuairiscigh 78 gcomhlacht phoiblí (36.5%) gur daoine a bhfuil míchumas orthu a bhí i 6% ar a laghad dá bhfostaithe. Is méadú é sin i gcomparáid leis an mbliain 2020, inar thuairiscigh 61 chomhlacht phoiblí (28.4%) gur thuairiscigh 6% ar a laghad dá bhfostaithe míchumas.</w:t>
      </w:r>
    </w:p>
    <w:p w14:paraId="026CB007" w14:textId="6A30F9A0" w:rsidR="00D0484A" w:rsidRPr="00D51778" w:rsidRDefault="008A6636" w:rsidP="0099519F">
      <w:r w:rsidRPr="00D51778">
        <w:rPr>
          <w:lang w:val="ga"/>
        </w:rPr>
        <w:t>Chuir ÚNM in iúl do chomhlachtaí poiblí arís agus arís eile, agus thug sé treoir chuimsitheach dóibh ina leith, gur íos-sprioc é an figiúr 3% agus gur cheart dóibh díriú ar an sprioc sin a shárú agus ar bhogadh i dtreo an íos-sprioc 6% a</w:t>
      </w:r>
      <w:r w:rsidR="003D2C9D">
        <w:rPr>
          <w:lang w:val="ga"/>
        </w:rPr>
        <w:t xml:space="preserve"> bhaint amach faoin mbliain 2025</w:t>
      </w:r>
      <w:r w:rsidRPr="00D51778">
        <w:rPr>
          <w:lang w:val="ga"/>
        </w:rPr>
        <w:t xml:space="preserve">. Chuireamar in iúl do chomhlachtaí poiblí freisin gur gá dóibh na bearta atá i bhfeidhm acu agus an dul chun cinn atá á dhéanamh acu chun na hoibleagáidí atá orthu faoi Chuid 5 a chomhlíonadh a thaifeadadh, anuas </w:t>
      </w:r>
      <w:r w:rsidRPr="00D51778">
        <w:rPr>
          <w:lang w:val="ga"/>
        </w:rPr>
        <w:lastRenderedPageBreak/>
        <w:t>ar fhaisnéis staitistiúil a sholáthar. Tá ár gcuid comhairle agus treorach ag teacht le ceanglais an Achta um Míchumas 2005, áit nach mór do chomhlachtaí poiblí a thaispeáint cé na bearta atá i bhfeidhm acu chun fostú daoine a bhfuil míchumas orthu a chur chun cinn agus a chur ar aghaidh go gníomhach.</w:t>
      </w:r>
    </w:p>
    <w:p w14:paraId="2E045204" w14:textId="389D4223" w:rsidR="008A6636" w:rsidRPr="00D51778" w:rsidRDefault="00D478E8" w:rsidP="0099519F">
      <w:r w:rsidRPr="00D51778">
        <w:rPr>
          <w:lang w:val="ga"/>
        </w:rPr>
        <w:t>Thugamar comhairle agus treoir do chomhlachtaí poiblí maidir le bearta a d’fhéadfadh siad a chur chun feidhme chun cultúr comhionann éagsúil cuimsitheach oibre a chruthú, ar cultúr é lena gcabhraítear le hearcú agus coinneáil daoine a bhfuil míchumas orthu a mhéadú agus lena dtacaítear le fostaithe bheith ar a gcompord le linn dóibh a stádas míchumais a chur in iúl.</w:t>
      </w:r>
    </w:p>
    <w:p w14:paraId="5C52B74D" w14:textId="4289AD10" w:rsidR="00F93C8B" w:rsidRPr="00D51778" w:rsidRDefault="00B255DF" w:rsidP="0099519F">
      <w:r w:rsidRPr="00D51778">
        <w:rPr>
          <w:lang w:val="ga"/>
        </w:rPr>
        <w:t>Chuireamar in iúl do chomhlachtaí poiblí freisin go rachfaí chun tairbhe dóibh agus iad ag iarraidh cultúir chomhionanna éagsúla chuimsitheacha oibre a chruthú agus feabhas a chur ar a bhfeidhmíocht faoi Chuid 5 dá n-úsáidfeadh siad cur chuige Dearaidh Uilíoch. Nuair a úsáideann comhlachtaí poiblí an cineál sin cur chuige, tá siad á chinntiú go ndearfar go huilíoch gach ceann dá gcuid táirgí, seirbhísí, cumarsáidí agus timpeallachtaí fisiciúla (digiteacha, scríofa, labhartha agus comharthaithe, spásanna poiblí agus an timpeallacht thógtha) agus, dá bhrí sin, go mbeidh siad éasca le rochtain, le tuiscint agus le húsáid do gach duine, beag beann ar aois, ar mhéid, ar chumas nó ar mhíchumas.</w:t>
      </w:r>
    </w:p>
    <w:p w14:paraId="36C11BE0" w14:textId="2462CE44" w:rsidR="00090DB2" w:rsidRPr="00D51778" w:rsidRDefault="00090DB2" w:rsidP="00090DB2">
      <w:pPr>
        <w:pStyle w:val="Heading2"/>
      </w:pPr>
      <w:bookmarkStart w:id="48" w:name="_Toc124367407"/>
      <w:r w:rsidRPr="00D51778">
        <w:rPr>
          <w:bCs/>
          <w:lang w:val="ga"/>
        </w:rPr>
        <w:t>2.6 Samhlacha Dea-Chleachtais</w:t>
      </w:r>
      <w:bookmarkEnd w:id="48"/>
      <w:r w:rsidRPr="00D51778">
        <w:rPr>
          <w:bCs/>
          <w:lang w:val="ga"/>
        </w:rPr>
        <w:t xml:space="preserve"> </w:t>
      </w:r>
    </w:p>
    <w:p w14:paraId="3ECBD718" w14:textId="0D8CDE90" w:rsidR="00F93C8B" w:rsidRPr="00D51778" w:rsidRDefault="00090DB2" w:rsidP="0099519F">
      <w:r w:rsidRPr="00D51778">
        <w:rPr>
          <w:lang w:val="ga"/>
        </w:rPr>
        <w:t>Tá áthas ar ÚNM a thabhairt dá aire go bhfuil an chuma air gur chuir a lán Ranna Rialtais agus a lán comhlachtaí poiblí chun feidhme an chomhairle agus an treoir a thugamar dóibh maidir le cultúr comhionann éagsúil cuimsitheach oibre a chruthú trí Chur Chuige Dearaidh Uilíoch a úsáid. Is mian linn aitheantas a thabhairt do na samhlacha dea-chleachtais a chuir na comhlachtaí poiblí sin chun feidhme sa bhliain 2021.</w:t>
      </w:r>
    </w:p>
    <w:p w14:paraId="41075839" w14:textId="77777777" w:rsidR="00615643" w:rsidRPr="00D51778" w:rsidRDefault="00615643" w:rsidP="0099519F">
      <w:r w:rsidRPr="00D51778">
        <w:rPr>
          <w:lang w:val="ga"/>
        </w:rPr>
        <w:t>Thuairiscigh an-chuid de na Ranna Rialtais gur úsáid siad na samhlacha dea-chleachtais seo a leanas chun na hoibleagáidí atá orthu faoi Chuid 5 a chomhlíonadh:</w:t>
      </w:r>
    </w:p>
    <w:p w14:paraId="51D04F48" w14:textId="77777777" w:rsidR="00615643" w:rsidRPr="00D51778" w:rsidRDefault="00615643" w:rsidP="0099519F">
      <w:pPr>
        <w:pStyle w:val="ListBullet"/>
      </w:pPr>
      <w:r w:rsidRPr="00D51778">
        <w:rPr>
          <w:lang w:val="ga"/>
        </w:rPr>
        <w:t>Oifigeach Idirchaidrimh do Dhaoine faoi Mhíchumas a bheith acu, agus a chinntiú go mbeadh na sonraí teagmhála don bhall foirne sin ag gach fostaí chun go bhféadfadh siad teagmháil a dhéanamh leis/léi, más rogha leo déanamh amhlaidh</w:t>
      </w:r>
    </w:p>
    <w:p w14:paraId="3F7E6F6C" w14:textId="77777777" w:rsidR="00615643" w:rsidRPr="00D51778" w:rsidRDefault="00615643" w:rsidP="0099519F">
      <w:pPr>
        <w:pStyle w:val="ListBullet"/>
      </w:pPr>
      <w:r w:rsidRPr="00D51778">
        <w:rPr>
          <w:lang w:val="ga"/>
        </w:rPr>
        <w:t>Na cineálacha tacaíochta atá ar fáil do gach fostaí a chur in iúl dóibh, lena n-áirítear socruithe réasúnacha, a mbeartais choinneála agus an próiseas arb é atá ann cabhrú le fostaithe bheith ar a gcompord le linn dóibh a stádas míchumais a chur in iúl</w:t>
      </w:r>
    </w:p>
    <w:p w14:paraId="70855C25" w14:textId="77777777" w:rsidR="00615643" w:rsidRPr="00D51778" w:rsidRDefault="00615643" w:rsidP="0099519F">
      <w:pPr>
        <w:pStyle w:val="ListBullet"/>
      </w:pPr>
      <w:r w:rsidRPr="00D51778">
        <w:rPr>
          <w:lang w:val="ga"/>
        </w:rPr>
        <w:lastRenderedPageBreak/>
        <w:t>Deiseanna taithí oibre a sholáthar do dhaoine a bhfuil míchumas orthu tríd an gclár ‘Willing Able Mentoring’ de chuid an Chumainn um Rochtain ar Ardoideachas agus Míchumas (AHEAD), trí Chlár Foghlama Oibre an Oireachtais (OWL), trí sheirbhísí réigiúnacha Infhostaitheachta, trí WALK agus tríd an Open Doors Initiative.</w:t>
      </w:r>
      <w:r w:rsidRPr="00D51778">
        <w:rPr>
          <w:shd w:val="clear" w:color="auto" w:fill="FFFFFF"/>
          <w:lang w:val="ga"/>
        </w:rPr>
        <w:t xml:space="preserve"> Idirchaidreamh a dhéanamh leis na heagraíochtaí sin chun forbairt agus cur chun feidhme a dhéanamh ar phróisis chuimsitheacha earcaíochta, amhail a chinntiú gur cruinn, soiléir agus ar fáil i bhformáidí inrochtana a bheidh sainchuntais phoist agus fógraí poist</w:t>
      </w:r>
    </w:p>
    <w:p w14:paraId="472CF672" w14:textId="5FB03CDF" w:rsidR="00615643" w:rsidRPr="00D51778" w:rsidRDefault="00615643" w:rsidP="0099519F">
      <w:pPr>
        <w:pStyle w:val="ListBullet"/>
      </w:pPr>
      <w:r w:rsidRPr="00D51778">
        <w:rPr>
          <w:shd w:val="clear" w:color="auto" w:fill="FFFFFF"/>
          <w:lang w:val="ga"/>
        </w:rPr>
        <w:t>Aonad Éagsúlachta agus Cuimsithe a bheith acu ina rannóg acmhainní daonna faoi seach, nó grúpa oibre sonrach um chomhionannas, éagsúlacht agus cuimsiú a bhunú ina n-eagraíocht chun straitéisí comhionannais, éagsúla</w:t>
      </w:r>
      <w:r w:rsidR="0099519F">
        <w:rPr>
          <w:shd w:val="clear" w:color="auto" w:fill="FFFFFF"/>
          <w:lang w:val="ga"/>
        </w:rPr>
        <w:t>chta agus cuimsithe a fhorbairt</w:t>
      </w:r>
    </w:p>
    <w:p w14:paraId="22F748C2" w14:textId="77777777" w:rsidR="00615643" w:rsidRPr="00D51778" w:rsidRDefault="00615643" w:rsidP="0099519F">
      <w:pPr>
        <w:pStyle w:val="ListBullet"/>
      </w:pPr>
      <w:r w:rsidRPr="00D51778">
        <w:rPr>
          <w:lang w:val="ga"/>
        </w:rPr>
        <w:t>Beartais Dearaidh Uilíoch agus Pleananna Gníomhaíochta a chur chun feidhme chun a chinntiú go ndéanfaí seirbhísí, cumarsáidí, spásanna poiblí agus an timpeallacht thógtha a dhearadh go huilíoch. De bhreis ar phróisis earcaíochta cuimsithí a bheith i bhfeidhm acu, is toradh féideartha ar chur chuige Dearaidh Uilíoch a chur chun feidhme ná go gcabhraítear le comhlachtaí poiblí fórsa saothair níos éagsúla a mhealladh, lena n-áirítear daoine a bhfuil míchumas orthu.</w:t>
      </w:r>
    </w:p>
    <w:p w14:paraId="0B6AD0B2" w14:textId="672E7F21" w:rsidR="00615643" w:rsidRPr="00D51778" w:rsidRDefault="00615643" w:rsidP="0099519F">
      <w:r w:rsidRPr="0099519F">
        <w:t>Thuairiscigh comhlachtaí poiblí faoi shainchúram Ranna Rialtais freisin go raibh bearta cosúla i bhfeidhm</w:t>
      </w:r>
      <w:r w:rsidRPr="00D51778">
        <w:rPr>
          <w:lang w:val="ga"/>
        </w:rPr>
        <w:t xml:space="preserve"> acu chun na hoibleagáidí atá orthu faoi Chuid 5 a chomhlíonadh.</w:t>
      </w:r>
    </w:p>
    <w:p w14:paraId="13C9632B" w14:textId="4AA0B631" w:rsidR="00615643" w:rsidRPr="00D51778" w:rsidRDefault="00615643" w:rsidP="0099519F">
      <w:pPr>
        <w:pStyle w:val="ListBullet"/>
      </w:pPr>
      <w:r w:rsidRPr="00D51778">
        <w:rPr>
          <w:lang w:val="ga"/>
        </w:rPr>
        <w:t>Chabhraigh tiomantas seasta Bhus Átha Cliath do thús áite a thabhairt d’earcú agus coinneáil daoine a bhfuil míchumas orthu leis an gcomhlacht poiblí sin feabhas a chur ar a fheidhmíocht faoi Chuid 5</w:t>
      </w:r>
    </w:p>
    <w:p w14:paraId="3851FB85" w14:textId="77777777" w:rsidR="00615643" w:rsidRPr="00D51778" w:rsidRDefault="00F93C8B" w:rsidP="0099519F">
      <w:pPr>
        <w:pStyle w:val="ListBullet"/>
      </w:pPr>
      <w:r w:rsidRPr="00D51778">
        <w:rPr>
          <w:lang w:val="ga"/>
        </w:rPr>
        <w:t>Chomh maith leis sin, bhí roinnt beart i bhfeidhm ag Seirbhís Chúirteanna na hÉireann chun na deiseanna earcaíochta agus coinneála do dhaoine a bhfuil míchumas orthu a mhéadú. Ina measc sin bhí clár oiliúna dar teideal ‘</w:t>
      </w:r>
      <w:r w:rsidRPr="00D51778">
        <w:rPr>
          <w:b/>
          <w:bCs/>
          <w:lang w:val="ga"/>
        </w:rPr>
        <w:t>Developing your Career Path</w:t>
      </w:r>
      <w:r w:rsidRPr="00D51778">
        <w:rPr>
          <w:lang w:val="ga"/>
        </w:rPr>
        <w:t xml:space="preserve">’, rud lena dtugtar deis d’fhostaithe, fostaithe a bhfuil míchumas orthu san áireamh, chun sainaithint agus sealbhú a dhéanamh ar an oiliúint agus na scileanna a theastaíonn uathu chun dul chun cinn a dhéanamh ar a ngairm. Bhí beartais agus próisis i bhfeidhm ag an gcomhlacht poiblí sin chun dul chun cinn gairme a éascú freisin. Áiríodh leo sin beartas maidir le soghluaisteacht chliathánach lenar cuireadh ar chumas fostaithe, idir fhostaithe a bhfuil míchumas orthu agus fhostaithe nach bhfuil míchumas orthu, aistriú chuig oifig eile nó chuig seirbhís cúirte eile ar mhaithe le scileanna nua a fhorbairt nó le taithí nua a ghnóthú. Luaigh an comhlacht poiblí sin freisin go bhfuil sé de rún aige fórsa saothair agus seirbhís do chustaiméirí atá cuimsitheach agus éagsúil a chruthú trí úsáid a bhaint as </w:t>
      </w:r>
      <w:r w:rsidRPr="00D51778">
        <w:rPr>
          <w:lang w:val="ga"/>
        </w:rPr>
        <w:lastRenderedPageBreak/>
        <w:t xml:space="preserve">prionsabail an Dearaidh Uilíoch, a bhfuil mar aidhm leo feabhas a chur ar an rochtain ar an gceartas do gach duine in Éirinn. </w:t>
      </w:r>
    </w:p>
    <w:p w14:paraId="3EE7B28B" w14:textId="792B6BC4" w:rsidR="00615643" w:rsidRPr="00D51778" w:rsidRDefault="00F93C8B" w:rsidP="0099519F">
      <w:pPr>
        <w:pStyle w:val="ListBullet"/>
      </w:pPr>
      <w:r w:rsidRPr="00D51778">
        <w:rPr>
          <w:lang w:val="ga"/>
        </w:rPr>
        <w:t xml:space="preserve">Lean roinnt comhlachtaí poiblí, an Bord Taighde Sláinte san áireamh, ar aghaidh ag mionchoigeartú a straitéisí cumarsáide chun a n-áirimh foirne a chur chun cinn agus chun feabhas a chur ar na rátaí freagartha óna bhfostaithe faoi seach, go háirithe daoine a bhfuil míchumas orthu. Ní dhearna an Coimisiún um Iomaíocht agus Cosaint Tomhaltóirí áireamh foirne le roinnt blianta. Sa bhliain 2021, rinne an comhlacht poiblí seo áireamh foirne go rathúil. D’éirigh leis dea-ráta freagartha a fháil óna fhostaithe, agus 97 nduine (70.8%) den 137 bhfostaí a bhí aige ag comhlánú an áirimh. Chomh maith leis sin, chabhraigh an díriú a leag Comhairle Cathrach agus Contae Luimnigh ar fheabhas a chur ar phróisis bhailithe sonraí leis an gcomhlacht poiblí sin an íos-sprioc 6% a bhaint amach. </w:t>
      </w:r>
    </w:p>
    <w:p w14:paraId="2E404381" w14:textId="7D80C09B" w:rsidR="00F333D9" w:rsidRPr="00D51778" w:rsidRDefault="00615643" w:rsidP="00E62AFE">
      <w:pPr>
        <w:pStyle w:val="Heading2"/>
      </w:pPr>
      <w:bookmarkStart w:id="49" w:name="_Toc124367408"/>
      <w:r w:rsidRPr="00D51778">
        <w:rPr>
          <w:bCs/>
          <w:lang w:val="ga"/>
        </w:rPr>
        <w:t>2.7 An Móiminteam a Choinneáil ar Bun</w:t>
      </w:r>
      <w:bookmarkEnd w:id="49"/>
      <w:r w:rsidRPr="00D51778">
        <w:rPr>
          <w:bCs/>
          <w:lang w:val="ga"/>
        </w:rPr>
        <w:t xml:space="preserve"> </w:t>
      </w:r>
    </w:p>
    <w:p w14:paraId="726A8600" w14:textId="77777777" w:rsidR="00F333D9" w:rsidRPr="00D51778" w:rsidRDefault="00F333D9" w:rsidP="0099519F">
      <w:r w:rsidRPr="00D51778">
        <w:rPr>
          <w:lang w:val="ga"/>
        </w:rPr>
        <w:t xml:space="preserve">Aithníonn ÚNM an dul chun cinn a rinne comhlachtaí poiblí sa bhliain 2021. Cuirimid in iúl arís agus arís eile, áfach, go gcaithfidh níos mó comhlachtaí poiblí díriú ar fhianaise a thabhairt go bhfuil bearta praiticiúla á gcur chun feidhme acu chun an cuspóir sin a bhaint amach má tá an earnáil phoiblí ina hiomláine chun dul chun cinn a dhéanamh maidir leis an íos-sprioc 6% a bhaint amach. </w:t>
      </w:r>
    </w:p>
    <w:p w14:paraId="5C46F46A" w14:textId="012A5473" w:rsidR="00E62AFE" w:rsidRPr="00D51778" w:rsidRDefault="00E62AFE" w:rsidP="00E62AFE">
      <w:pPr>
        <w:pStyle w:val="Heading3"/>
      </w:pPr>
      <w:r w:rsidRPr="00D51778">
        <w:rPr>
          <w:bCs/>
          <w:lang w:val="ga"/>
        </w:rPr>
        <w:t xml:space="preserve">Freagracht as sonraí cruinne a sholáthar </w:t>
      </w:r>
    </w:p>
    <w:p w14:paraId="7BA39B8B" w14:textId="336FF60E" w:rsidR="00F333D9" w:rsidRPr="00D51778" w:rsidRDefault="00B60C97" w:rsidP="0099519F">
      <w:r w:rsidRPr="00D51778">
        <w:rPr>
          <w:lang w:val="ga"/>
        </w:rPr>
        <w:t xml:space="preserve">Údar imní do ÚNM is ea gur thuairiscigh roinnt comhlachtaí poiblí gur chuir siad sonraí míchearta isteach ar an gcéad dul síos. Cuid ríthábhachtach den phróiseas sin is ea sonraí cruinne a sholáthar. Maidir leis an bpróiseas arb é atá ann sonraí ceartaithe a chur isteach chuig Coistí Faireacháin na Ranna agus iad a chur ar aghaidh chuig ÚNM, is féidir leis moilleanna breise a chur ar an tuarascáil reachtúil ar chomhlíonadh a chur le chéile. Chuir ÚNM in iúl do chomhlachtaí poiblí agus do Choistí Faireacháin na Ranna arís agus arís eile go bhfuil sé de fhreagracht orthu a chinntiú gur cruinn atá sonraí bliantúla Chuid 5 uathu. Thugamar treoir agus tacaíocht dóibh freisin chun cabhrú leo ina leith sin.  </w:t>
      </w:r>
    </w:p>
    <w:p w14:paraId="7B4978BD" w14:textId="37B60481" w:rsidR="00F333D9" w:rsidRPr="00D51778" w:rsidRDefault="00F333D9" w:rsidP="0099519F">
      <w:pPr>
        <w:rPr>
          <w:b/>
        </w:rPr>
      </w:pPr>
      <w:r w:rsidRPr="00D51778">
        <w:rPr>
          <w:lang w:val="ga"/>
        </w:rPr>
        <w:t>Oibleagáid reachtúil ar gach comhlacht poiblí is ea sonraí cruinne a sholáthar chun críocha Chuid 5. Dá bhrí sin, tá sé le leas na gcomhlachtaí poiblí a thaispeáint cén dul chun cinn atá á dhéanamh acu gach bliain maidir le feabhas a chur ar a bpróisis bhailithe sonraí, le sonraí cruinne a chur isteach agus lena thaispeáint cé na bearta atá á gcur chun feidhme acu chun na hoibleagáidí atá orthu faoi Chuid 5 a chomhlíonadh. Tá freagracht ar chomhlachtaí poiblí freisin as a bpróisis bhailithe sonraí féin a chur chun feidhme.</w:t>
      </w:r>
    </w:p>
    <w:p w14:paraId="4CA9F3C7" w14:textId="7165B48B" w:rsidR="00F333D9" w:rsidRPr="00D51778" w:rsidRDefault="00F333D9" w:rsidP="0099519F">
      <w:r w:rsidRPr="00D51778">
        <w:rPr>
          <w:lang w:val="ga"/>
        </w:rPr>
        <w:t xml:space="preserve">Má tá comhlachtaí poiblí chun an móiminteam a choinneáil ar bun agus chun leanúint le feabhas a chur ar a bhfeidhmíocht faoi Chuid 5, molann ÚNM go mbeadh pearsanra ainmnithe ag comhlachtaí poiblí agus go mbeadh i bhfeidhm acu </w:t>
      </w:r>
      <w:r w:rsidRPr="00D51778">
        <w:rPr>
          <w:lang w:val="ga"/>
        </w:rPr>
        <w:lastRenderedPageBreak/>
        <w:t>próiseas soiléir a chuirtear in iúl do gach fostaí maidir lena bpróiseas bliantúil um shonraí Chuid 5 atá athraithe chun dáta a bhailiú, a sheiceáil agus a chur isteach.</w:t>
      </w:r>
    </w:p>
    <w:p w14:paraId="65CC1FF8" w14:textId="65C58662" w:rsidR="00E62AFE" w:rsidRPr="00D51778" w:rsidRDefault="00E62AFE" w:rsidP="00E62AFE">
      <w:pPr>
        <w:pStyle w:val="Heading3"/>
      </w:pPr>
      <w:r w:rsidRPr="00D51778">
        <w:rPr>
          <w:bCs/>
          <w:lang w:val="ga"/>
        </w:rPr>
        <w:t xml:space="preserve">Díriú ar earcaíocht chuimsitheach </w:t>
      </w:r>
    </w:p>
    <w:p w14:paraId="2EFA02B8" w14:textId="77777777" w:rsidR="00F333D9" w:rsidRPr="00D51778" w:rsidRDefault="00F333D9" w:rsidP="0099519F">
      <w:r w:rsidRPr="00D51778">
        <w:rPr>
          <w:lang w:val="ga"/>
        </w:rPr>
        <w:t>Luann ÚNM freisin go bhfuil imní air gur thuairiscigh líon beag comhlachtaí poiblí gur éiligh siad iarrthóirí a bhfuil saincháilíochtaí acu agus iad i mbun earcaíochta. Thuairiscigh na comhlachtaí poiblí sin freisin gurbh í sin an phríomhchúis nár bhain siad an íos-sprioc 3% amach sna blianta 2020 agus 2021. Thug ÚNM comhairle do chomhlachtaí poiblí arís agus arís eile maidir le bearta earcaíochta cuimsithí, lena n-áirítear deiseanna taithí oibre a sholáthar do dhaoine a bhfuil míchumas orthu, chun cabhrú leo iarrthóirí a bhfuil na cáilíochtaí oiriúnacha acu a aimsiú le haghaidh poist dhifriúla, sainróil san áireamh. Soláthraíonn an Open Doors Initiative, Employers for Change, AHEAD agus eagraíochtaí eile cineálacha éagsúla tacaíochta d’fhostóirí earnála poiblí ina leith sin.</w:t>
      </w:r>
    </w:p>
    <w:p w14:paraId="48471620" w14:textId="77777777" w:rsidR="00F333D9" w:rsidRPr="00D51778" w:rsidRDefault="00F333D9" w:rsidP="0099519F">
      <w:r w:rsidRPr="00D51778">
        <w:rPr>
          <w:lang w:val="ga"/>
        </w:rPr>
        <w:t>Sa chomhthéacs sin, ní hionann ráitis á rá go n-éileofaí sainriachtanais le haghaidh post a d’fhéadfaí a fhágáil go n-eisiafaí daoine a bhfuil míchumas orthu ón mbuíon earcach féideartha agus cúis a dteipeann ar chomhlachtaí poiblí an íos-sprioc reachtúil fostaíochta a bhaint amach. Molann ÚNM nach mór do na comhlachtaí poiblí sin próisis earcaíochta atá níos réamhghníomhaí agus níos cuimsithí a thaispeáint sa bhliain atá le teacht.</w:t>
      </w:r>
    </w:p>
    <w:p w14:paraId="2DC3658D" w14:textId="77777777" w:rsidR="00E62AFE" w:rsidRPr="00D51778" w:rsidRDefault="00F333D9" w:rsidP="0099519F">
      <w:r w:rsidRPr="00D51778">
        <w:rPr>
          <w:lang w:val="ga"/>
        </w:rPr>
        <w:t>Leanfaidh ÚNM ar aghaidh ag déanamh faireachán ar na comhlachtaí poiblí sin agus tá sé ag súil le feabhsú ina bhfeidhmíocht a fheiceáil sa bhliain atá le teacht.</w:t>
      </w:r>
    </w:p>
    <w:p w14:paraId="2E92D1BB" w14:textId="2D9913AC" w:rsidR="00E62AFE" w:rsidRPr="00D51778" w:rsidRDefault="00E62AFE" w:rsidP="0099519F">
      <w:pPr>
        <w:rPr>
          <w:rFonts w:eastAsia="SimSun"/>
        </w:rPr>
      </w:pPr>
      <w:r w:rsidRPr="00D51778">
        <w:rPr>
          <w:rFonts w:eastAsia="SimSun"/>
          <w:lang w:val="ga"/>
        </w:rPr>
        <w:br w:type="page"/>
      </w:r>
    </w:p>
    <w:p w14:paraId="52684CA4" w14:textId="6DE1A893" w:rsidR="00973B13" w:rsidRPr="007403D9" w:rsidRDefault="00973B13" w:rsidP="00973B13">
      <w:pPr>
        <w:pStyle w:val="Heading1"/>
        <w:rPr>
          <w:rFonts w:cs="Arial"/>
          <w:bCs/>
          <w:kern w:val="32"/>
          <w:sz w:val="52"/>
          <w:szCs w:val="52"/>
        </w:rPr>
      </w:pPr>
      <w:bookmarkStart w:id="50" w:name="_Toc124367409"/>
      <w:r w:rsidRPr="007403D9">
        <w:rPr>
          <w:bCs/>
          <w:kern w:val="32"/>
          <w:sz w:val="52"/>
          <w:szCs w:val="52"/>
          <w:lang w:val="ga"/>
        </w:rPr>
        <w:lastRenderedPageBreak/>
        <w:t xml:space="preserve">3. </w:t>
      </w:r>
      <w:r w:rsidRPr="007403D9">
        <w:rPr>
          <w:bCs/>
          <w:sz w:val="52"/>
          <w:szCs w:val="52"/>
          <w:lang w:val="ga"/>
        </w:rPr>
        <w:t>Faireachán agus Comhlíonadh</w:t>
      </w:r>
      <w:bookmarkEnd w:id="50"/>
    </w:p>
    <w:p w14:paraId="252FC322" w14:textId="3914AB4B" w:rsidR="00724D99" w:rsidRPr="00D51778" w:rsidRDefault="00973B13" w:rsidP="00973B13">
      <w:pPr>
        <w:pStyle w:val="Heading2"/>
      </w:pPr>
      <w:bookmarkStart w:id="51" w:name="_Toc498585838"/>
      <w:bookmarkStart w:id="52" w:name="_Toc124367410"/>
      <w:bookmarkStart w:id="53" w:name="_Toc526435819"/>
      <w:bookmarkStart w:id="54" w:name="_Toc18680253"/>
      <w:r w:rsidRPr="00D51778">
        <w:rPr>
          <w:bCs/>
          <w:lang w:val="ga"/>
        </w:rPr>
        <w:t xml:space="preserve">3.1 </w:t>
      </w:r>
      <w:bookmarkEnd w:id="51"/>
      <w:r w:rsidRPr="00D51778">
        <w:rPr>
          <w:bCs/>
          <w:lang w:val="ga"/>
        </w:rPr>
        <w:t>Comhlíonadh faoi Chuid 5 den Acht um Míchumas</w:t>
      </w:r>
      <w:bookmarkEnd w:id="52"/>
    </w:p>
    <w:p w14:paraId="10455A79" w14:textId="7BF89DF1" w:rsidR="00A2310F" w:rsidRPr="00D51778" w:rsidRDefault="00DE33B3" w:rsidP="004A0AEC">
      <w:r w:rsidRPr="0099519F">
        <w:t>Faoi alt 49 den Acht um Míchumas 2005, féadfaidh ÚNM tuilleadh faisnéise a iarraidh ó chomhlachtaí poiblí nár bhain an íos-sprioc reatha 3% amach le dhá bhliain as a chéile agus nár thug fianaise dhóthanach i dtuairisceáin Chuid 5 uathu don tréimhse iomchuí dhá bhliain sin á léiriú</w:t>
      </w:r>
      <w:r w:rsidRPr="00D51778">
        <w:rPr>
          <w:lang w:val="ga"/>
        </w:rPr>
        <w:t>:</w:t>
      </w:r>
    </w:p>
    <w:p w14:paraId="77549A91" w14:textId="16690956" w:rsidR="00A2310F" w:rsidRPr="00D51778" w:rsidRDefault="00A2310F" w:rsidP="0099519F">
      <w:pPr>
        <w:pStyle w:val="ListBullet"/>
      </w:pPr>
      <w:r w:rsidRPr="00D51778">
        <w:rPr>
          <w:lang w:val="ga"/>
        </w:rPr>
        <w:t>Cé acu a rinne nó nach ndearna siad, “a mhéid is féidir”, “gach beart réasúnach chun fostú daoine a bhfuil míchumas orthu a chur chun cinn agus chun tacú leis an bhfostú sin” le linn na tréimhse dhá bhliain, mar atá mionsonraithe faoi alt 47(</w:t>
      </w:r>
      <w:r w:rsidR="0099519F">
        <w:rPr>
          <w:lang w:val="ga"/>
        </w:rPr>
        <w:t>1)(a) den Acht um Míchumas 2005</w:t>
      </w:r>
    </w:p>
    <w:p w14:paraId="4ADD8761" w14:textId="291C077F" w:rsidR="00A2310F" w:rsidRPr="00D51778" w:rsidRDefault="00A2310F" w:rsidP="0099519F">
      <w:pPr>
        <w:pStyle w:val="ListBullet"/>
      </w:pPr>
      <w:r w:rsidRPr="00D51778">
        <w:rPr>
          <w:lang w:val="ga"/>
        </w:rPr>
        <w:t>Cé acu a bhí nó nach raibh “dea-chúis ann le gan” an sprioc fostaíochta 3% a bhaint amach sa dá bhliain, mar atá mionsonraithe faoi alt 47(2) den Acht um Míchumas 2005.</w:t>
      </w:r>
    </w:p>
    <w:p w14:paraId="22E563B0" w14:textId="30F1D1ED" w:rsidR="00A3653B" w:rsidRPr="00D51778" w:rsidRDefault="008C5B57" w:rsidP="0099519F">
      <w:r w:rsidRPr="00D51778">
        <w:rPr>
          <w:lang w:val="ga"/>
        </w:rPr>
        <w:t>Mar atá luaite i rannán 2.4, aithníonn ÚNM gur féidir, mar gheall ar a méid, go mbeidh sé deacair do chomhlachtaí poiblí beaga a bhfuil níos lú ná 50 fostaí acu an íos-sprioc reatha 3% a bhaint amach. Ní gá ach d’fhostaí amháin dul isteach iontu nó iad a fhágáil chun na comhlachtaí poiblí sin a chumasú an íos-sprioc reatha 3% a bhaint amach nó chun iad a chur ón sprioc sin a bhaint amach. Dá bhrí sin, ní dhéanann ÚNM iarrataí ar thuilleadh faisnéise, ar a dtugtar iarrataí alt 49, a eisiúint chuig na comhlachtaí poiblí beaga sin. Tugann ÚNM comhairle agus treoir leanúnach do na comhlachtaí poiblí sin agus do chomhlachtaí poiblí eile chun cabhrú leo feabhas a chur ar a bhfeidhmíocht faoi Chuid 5. Cuirimid in iúl dóibh go mbímid ag déanamh faireachán ar a bhfeidhmíocht ar bhonn leanúnach.</w:t>
      </w:r>
    </w:p>
    <w:p w14:paraId="5ABB0322" w14:textId="030CAA11" w:rsidR="004A0AEC" w:rsidRPr="00D51778" w:rsidRDefault="0057606A" w:rsidP="0099519F">
      <w:r w:rsidRPr="00D51778">
        <w:rPr>
          <w:lang w:val="ga"/>
        </w:rPr>
        <w:t>Nuair a sheolann ÚNM iarrataí alt 49 chuig comhlachtaí poiblí a bhfuil níos mó ná 50 fostaí acu, iarraimid orthu na príomhchritéir atá bunaithe ar an gcomhairle dhlíthiúil a fuair ÚNM a chumhdach sna freagraí uathu. Bhí na príomhchritéir sin mar a leanas:</w:t>
      </w:r>
    </w:p>
    <w:p w14:paraId="537423DD" w14:textId="4BF87D0F" w:rsidR="004A0AEC" w:rsidRPr="00D51778" w:rsidRDefault="004A0AEC" w:rsidP="0099519F">
      <w:pPr>
        <w:pStyle w:val="ListBullet"/>
      </w:pPr>
      <w:r w:rsidRPr="00D51778">
        <w:rPr>
          <w:b/>
          <w:bCs/>
          <w:lang w:val="ga"/>
        </w:rPr>
        <w:t>Critéir 1:</w:t>
      </w:r>
      <w:r w:rsidRPr="00D51778">
        <w:rPr>
          <w:lang w:val="ga"/>
        </w:rPr>
        <w:t xml:space="preserve"> Fianaise ar thiomantas straitéiseach pleanáilte don íos-sprioc reatha 3% a bhaint amach, mar shampla tiomantas laistigh de straitéis chorparáideach nó straitéis acmhainní daonna atá ag teacht le hoibleagáidí comhlachtaí poiblí faoin </w:t>
      </w:r>
      <w:r w:rsidRPr="00D51778">
        <w:rPr>
          <w:b/>
          <w:bCs/>
          <w:lang w:val="ga"/>
        </w:rPr>
        <w:t>Dualgas Earnála Poiblí um Chomhionannas agus Cearta an Duine</w:t>
      </w:r>
      <w:r w:rsidRPr="00D51778">
        <w:rPr>
          <w:lang w:val="ga"/>
        </w:rPr>
        <w:t xml:space="preserve"> agus faoi </w:t>
      </w:r>
      <w:r w:rsidRPr="00D51778">
        <w:rPr>
          <w:b/>
          <w:bCs/>
          <w:lang w:val="ga"/>
        </w:rPr>
        <w:t xml:space="preserve">chreat OPS 2020 (Ár Seirbhís Phoiblí 2020) le haghaidh forbairt agus nuálaíocht i seirbhís phoiblí na hÉireann </w:t>
      </w:r>
    </w:p>
    <w:p w14:paraId="2990C06F" w14:textId="77777777" w:rsidR="004A0AEC" w:rsidRPr="00D51778" w:rsidRDefault="004A0AEC" w:rsidP="0099519F">
      <w:pPr>
        <w:pStyle w:val="ListBullet"/>
      </w:pPr>
      <w:r w:rsidRPr="00D51778">
        <w:rPr>
          <w:b/>
          <w:bCs/>
          <w:lang w:val="ga"/>
        </w:rPr>
        <w:t xml:space="preserve">Critéir 2: </w:t>
      </w:r>
      <w:r w:rsidRPr="00D51778">
        <w:rPr>
          <w:lang w:val="ga"/>
        </w:rPr>
        <w:t xml:space="preserve">Fianaise ar Phlean Gníomhaíochta um Chomhionannas, Éagsúlacht agus Cuimsiú a fhorbairt le linn na tréimhse sin, ar plean é ina bhfuil Príomhtháscairí Feidhmíochta do bhearta sonracha chun timpeallacht chomhionann éagsúil chuimsitheach oibre a chruthú ina ndéantar earcú agus coinneáil daoine a bhfuil míchumas orthu a chur chun cinn agus a chur ar </w:t>
      </w:r>
      <w:r w:rsidRPr="00D51778">
        <w:rPr>
          <w:lang w:val="ga"/>
        </w:rPr>
        <w:lastRenderedPageBreak/>
        <w:t>aghaidh agus ina dtacaítear le fostaithe bheith ar a gcompord a stádas míchumais a chur in iúl.</w:t>
      </w:r>
    </w:p>
    <w:p w14:paraId="3133326C" w14:textId="77777777" w:rsidR="004A0AEC" w:rsidRPr="00D51778" w:rsidRDefault="004A0AEC" w:rsidP="0099519F">
      <w:pPr>
        <w:pStyle w:val="ListBullet"/>
      </w:pPr>
      <w:r w:rsidRPr="00D51778">
        <w:rPr>
          <w:b/>
          <w:bCs/>
          <w:szCs w:val="26"/>
          <w:lang w:val="ga"/>
        </w:rPr>
        <w:t>Critéir 3:</w:t>
      </w:r>
      <w:r w:rsidRPr="00D51778">
        <w:rPr>
          <w:szCs w:val="26"/>
          <w:lang w:val="ga"/>
        </w:rPr>
        <w:t xml:space="preserve"> </w:t>
      </w:r>
      <w:r w:rsidRPr="00D51778">
        <w:rPr>
          <w:lang w:val="ga"/>
        </w:rPr>
        <w:t>Fianaise ar aon phleanáil a rinneadh maidir le conas a d’fhéadfaí an íos-sprioc mhéadaithe 6% a bhaint amach</w:t>
      </w:r>
    </w:p>
    <w:p w14:paraId="142239BF" w14:textId="77777777" w:rsidR="004A0AEC" w:rsidRPr="00D51778" w:rsidRDefault="004A0AEC" w:rsidP="0099519F">
      <w:pPr>
        <w:pStyle w:val="ListBullet"/>
      </w:pPr>
      <w:r w:rsidRPr="00D51778">
        <w:rPr>
          <w:b/>
          <w:bCs/>
          <w:lang w:val="ga"/>
        </w:rPr>
        <w:t>Critéir 4:</w:t>
      </w:r>
      <w:r w:rsidRPr="00D51778">
        <w:rPr>
          <w:lang w:val="ga"/>
        </w:rPr>
        <w:t xml:space="preserve"> Aon bhreithniú a rinneadh ar an líon daoine a bhfuil míchumas orthu a n-earcaíonn eagraíocht iad a mhéadú go réamhghníomhach, mar shampla trí chláir thaithí oibre agus trí phróisis earcaíochta inrochtana a chur chun feidhme</w:t>
      </w:r>
    </w:p>
    <w:p w14:paraId="000E0612" w14:textId="77777777" w:rsidR="004A0AEC" w:rsidRPr="00D51778" w:rsidRDefault="004A0AEC" w:rsidP="0099519F">
      <w:pPr>
        <w:pStyle w:val="ListBullet"/>
      </w:pPr>
      <w:r w:rsidRPr="00D51778">
        <w:rPr>
          <w:b/>
          <w:bCs/>
          <w:lang w:val="ga"/>
        </w:rPr>
        <w:t>Critéir 5:</w:t>
      </w:r>
      <w:r w:rsidRPr="00D51778">
        <w:rPr>
          <w:sz w:val="20"/>
          <w:szCs w:val="20"/>
          <w:lang w:val="ga"/>
        </w:rPr>
        <w:t xml:space="preserve"> </w:t>
      </w:r>
      <w:r w:rsidRPr="00D51778">
        <w:rPr>
          <w:lang w:val="ga"/>
        </w:rPr>
        <w:t>Na bearta a rinneadh chun timpeallacht a chruthú ina dtacaítear le fostaithe bheith ar a gcompord a stádas míchumais a chur in iúl agus ina mbraitheann siad go dtacaítear leo déanamh amhlaidh</w:t>
      </w:r>
    </w:p>
    <w:p w14:paraId="350B7E10" w14:textId="342606D2" w:rsidR="004A0AEC" w:rsidRPr="00D51778" w:rsidRDefault="004A0AEC" w:rsidP="0099519F">
      <w:pPr>
        <w:pStyle w:val="ListBullet"/>
      </w:pPr>
      <w:r w:rsidRPr="00D51778">
        <w:rPr>
          <w:b/>
          <w:bCs/>
          <w:lang w:val="ga"/>
        </w:rPr>
        <w:t>Critéir 6:</w:t>
      </w:r>
      <w:r w:rsidRPr="00D51778">
        <w:rPr>
          <w:sz w:val="20"/>
          <w:szCs w:val="20"/>
          <w:lang w:val="ga"/>
        </w:rPr>
        <w:t xml:space="preserve"> </w:t>
      </w:r>
      <w:r w:rsidRPr="00D51778">
        <w:rPr>
          <w:lang w:val="ga"/>
        </w:rPr>
        <w:t>Na bearta a rinneadh chun bailiú sonraí a fheabhsú, lena n-áirítear méadú a dhéanamh ar an ráta freagartha d’aon áireamh nó feabhas a chur ar chruinneas ar shlí eile</w:t>
      </w:r>
      <w:r w:rsidR="0099519F">
        <w:rPr>
          <w:lang w:val="ga"/>
        </w:rPr>
        <w:t>.</w:t>
      </w:r>
    </w:p>
    <w:p w14:paraId="5A33475D" w14:textId="66A62347" w:rsidR="0057606A" w:rsidRPr="00D51778" w:rsidRDefault="00EF5EA4" w:rsidP="0099519F">
      <w:r w:rsidRPr="00D51778">
        <w:rPr>
          <w:lang w:val="ga"/>
        </w:rPr>
        <w:t>Iarrann ÚNM ar chomhlachtaí poiblí faisnéis a sholáthar maidir le cé acu ab ann nó nárbh ann d’aon chúiseanna bailí ar chuir cosc orthu an íos-sprioc 3% a bhaint amach sna blianta iomchuí.</w:t>
      </w:r>
    </w:p>
    <w:p w14:paraId="3BC417E1" w14:textId="5086A1DB" w:rsidR="00724D99" w:rsidRPr="00D51778" w:rsidRDefault="00EF5EA4" w:rsidP="0099519F">
      <w:r w:rsidRPr="00D51778">
        <w:rPr>
          <w:lang w:val="ga"/>
        </w:rPr>
        <w:t>Tugann ÚNM dá aire an próiseas trína mbailíonn comhlacht poiblí sonraí le linn dó breithniú a dhéanamh ar chinntí maidir le neamhchomhlíonadh Chuid 5 den Acht um Míchumas 2005. Tugann an Feidhmeannas aird ar cé acu a bhain nó nár bhain comhlacht poiblí úsáid as áireamh foirne agus ar cé acu a thuairiscigh sé ardráta freagartha nó ísealráta freagartha don áireamh sin. Ní dhéanann an fhaisnéis sin aon difear don dóigh a mbreithníonn an Feidhmeannas na figiúirí a bhíonn á dtuairisciú ag comhlacht poiblí.</w:t>
      </w:r>
    </w:p>
    <w:p w14:paraId="26B84FA6" w14:textId="0F98AF77" w:rsidR="00813D20" w:rsidRPr="00D51778" w:rsidRDefault="00813D20" w:rsidP="0099519F">
      <w:r w:rsidRPr="00D51778">
        <w:rPr>
          <w:lang w:val="ga"/>
        </w:rPr>
        <w:t>Tugann ÚNM aird freisin ar fheidhmíocht an chomhlachta phoiblí tar éis na tréimhse sonraí dhá bhliain nár bhain sé an íos-sprioc 3% amach lena linn chun a chinneadh cé acu a chuir nó nár chuir an comhlacht poiblí feabhas ar a fheidhmíocht.</w:t>
      </w:r>
    </w:p>
    <w:p w14:paraId="1E651C4F" w14:textId="101DE855" w:rsidR="0051618C" w:rsidRPr="00D51778" w:rsidRDefault="0051618C" w:rsidP="0099519F">
      <w:r w:rsidRPr="00D51778">
        <w:rPr>
          <w:lang w:val="ga"/>
        </w:rPr>
        <w:t>Déanann ÚNM na freagraí ó chomhlachtaí poiblí a athbhreithniú go grinn in aghaidh na gcritéar thuas agus in aghaidh thuairisceáin Chuid 5 uathu don tréimhse dhá bhliain is iomchuí. Is céimeanna tábhachtacha iad sin sa phróiseas trína gcinntear comhlachtaí poiblí a bheith comhlíontach nó neamhchomhlíontach faoi Chuid 5.</w:t>
      </w:r>
      <w:bookmarkEnd w:id="53"/>
      <w:bookmarkEnd w:id="54"/>
    </w:p>
    <w:p w14:paraId="6547DEFF" w14:textId="40592CAB" w:rsidR="00584908" w:rsidRPr="00D51778" w:rsidRDefault="00D77CB5" w:rsidP="00584908">
      <w:pPr>
        <w:pStyle w:val="Heading2"/>
      </w:pPr>
      <w:bookmarkStart w:id="55" w:name="_Toc124367411"/>
      <w:r w:rsidRPr="00D51778">
        <w:rPr>
          <w:bCs/>
          <w:lang w:val="ga"/>
        </w:rPr>
        <w:t xml:space="preserve">3.2 </w:t>
      </w:r>
      <w:bookmarkStart w:id="56" w:name="_Toc95301311"/>
      <w:r w:rsidRPr="00D51778">
        <w:rPr>
          <w:bCs/>
          <w:lang w:val="ga"/>
        </w:rPr>
        <w:t>Comhlíonadh an Achta - 2019 agus 2020</w:t>
      </w:r>
      <w:bookmarkEnd w:id="56"/>
      <w:bookmarkEnd w:id="55"/>
    </w:p>
    <w:p w14:paraId="1142C7CA" w14:textId="16C5691E" w:rsidR="00584908" w:rsidRPr="00D51778" w:rsidRDefault="005D7AE1" w:rsidP="0099519F">
      <w:r w:rsidRPr="00D51778">
        <w:rPr>
          <w:lang w:val="ga"/>
        </w:rPr>
        <w:t>Sna blianta 2019 agus 2020, níor bhain ceithre chomhlacht phoiblí a raibh níos mó ná 50 ball foirne acu an íos-sprioc 3% amach do na blianta 2019 agus 2020:</w:t>
      </w:r>
    </w:p>
    <w:p w14:paraId="49F73A1E" w14:textId="77777777" w:rsidR="00584908" w:rsidRPr="00D51778" w:rsidRDefault="00584908" w:rsidP="0099519F">
      <w:pPr>
        <w:pStyle w:val="ListBullet"/>
      </w:pPr>
      <w:r w:rsidRPr="00D51778">
        <w:rPr>
          <w:lang w:val="ga"/>
        </w:rPr>
        <w:lastRenderedPageBreak/>
        <w:t>Coillte</w:t>
      </w:r>
    </w:p>
    <w:p w14:paraId="2C7D7168" w14:textId="77777777" w:rsidR="00584908" w:rsidRPr="00D51778" w:rsidRDefault="00584908" w:rsidP="0099519F">
      <w:pPr>
        <w:pStyle w:val="ListBullet"/>
      </w:pPr>
      <w:r w:rsidRPr="00D51778">
        <w:rPr>
          <w:lang w:val="ga"/>
        </w:rPr>
        <w:t xml:space="preserve">Ospidéal Déidliachta Bhaile Átha Cliath </w:t>
      </w:r>
    </w:p>
    <w:p w14:paraId="63747AD2" w14:textId="77777777" w:rsidR="00584908" w:rsidRPr="00D51778" w:rsidRDefault="00584908" w:rsidP="0099519F">
      <w:pPr>
        <w:pStyle w:val="ListBullet"/>
      </w:pPr>
      <w:r w:rsidRPr="00D51778">
        <w:rPr>
          <w:lang w:val="ga"/>
        </w:rPr>
        <w:t>Feidhmeannacht na Seirbhíse Sláinte (FSS)</w:t>
      </w:r>
    </w:p>
    <w:p w14:paraId="0698B48B" w14:textId="23436F8D" w:rsidR="00584908" w:rsidRPr="00D51778" w:rsidRDefault="00584908" w:rsidP="0099519F">
      <w:pPr>
        <w:pStyle w:val="ListBullet"/>
      </w:pPr>
      <w:r w:rsidRPr="00D51778">
        <w:rPr>
          <w:lang w:val="ga"/>
        </w:rPr>
        <w:t>Fáilte Éireann</w:t>
      </w:r>
      <w:r w:rsidR="0099519F">
        <w:rPr>
          <w:lang w:val="ga"/>
        </w:rPr>
        <w:t>.</w:t>
      </w:r>
    </w:p>
    <w:p w14:paraId="4627D565" w14:textId="62518653" w:rsidR="00584908" w:rsidRPr="00D51778" w:rsidRDefault="00584908" w:rsidP="0099519F">
      <w:r w:rsidRPr="00D51778">
        <w:rPr>
          <w:lang w:val="ga"/>
        </w:rPr>
        <w:t xml:space="preserve">Sheol ÚNM iarrataí alt 49 do Coillte, d’Ospidéal Ollscoile Déidliachta Bhaile Átha Cliath agus d’Fháilte Éireann do na blianta 2019 agus 2020. </w:t>
      </w:r>
    </w:p>
    <w:p w14:paraId="2B52DB57" w14:textId="2BF356FE" w:rsidR="00584908" w:rsidRPr="00D51778" w:rsidRDefault="00584908" w:rsidP="0099519F">
      <w:r w:rsidRPr="00D51778">
        <w:rPr>
          <w:lang w:val="ga"/>
        </w:rPr>
        <w:t xml:space="preserve">Sna freagraí uathu ar iarrataí alt 49, thaispeáin gach ceann de na comhlachtaí poiblí sin go raibh roinnt beart i bhfeidhm acu chun cultúr comhionann éagsúil cuimsitheach oibre a chruthú, áit a ndíreofaí ar earcú agus coinneáil daoine a bhfuil míchumas orthu a mhéadú agus a dtacófaí le fostaithe bheith ar a gcompord le linn dóibh a stádas míchumais a chur in iúl.  </w:t>
      </w:r>
    </w:p>
    <w:p w14:paraId="52C71DF7" w14:textId="6CA96ED4" w:rsidR="005D7AE1" w:rsidRPr="00D51778" w:rsidRDefault="00584908" w:rsidP="0099519F">
      <w:r w:rsidRPr="00D51778">
        <w:rPr>
          <w:lang w:val="ga"/>
        </w:rPr>
        <w:t>Bhí tosca maolaitheacha difriúla ann a d’fhág nach raibh na trí chomhlacht phoiblí sin in ann an íos-sprioc a bhaint amach, d’ainneoin na mbeart a bhí i bhfeidhm acu.</w:t>
      </w:r>
    </w:p>
    <w:p w14:paraId="24B55DD7" w14:textId="696ECFBA" w:rsidR="00584908" w:rsidRPr="00D51778" w:rsidRDefault="00584908" w:rsidP="0099519F">
      <w:r w:rsidRPr="00D51778">
        <w:rPr>
          <w:lang w:val="ga"/>
        </w:rPr>
        <w:t>Bhí géarchéim ann sa tionscal foraoiseachta sna blianta 2019 agus 2020. Mar thoradh air sin, bhí ar Coillte lánchosc earcaíochta a chur chun feidhme, rud lenar cuireadh cosc air fostaithe nua a earcú.</w:t>
      </w:r>
    </w:p>
    <w:p w14:paraId="5CD57A13" w14:textId="7DACA9F7" w:rsidR="005D7AE1" w:rsidRPr="00D51778" w:rsidRDefault="005D7AE1" w:rsidP="0099519F">
      <w:r w:rsidRPr="00D51778">
        <w:rPr>
          <w:lang w:val="ga"/>
        </w:rPr>
        <w:t xml:space="preserve">Thuairiscigh Ospidéal Déidliachta Bhaile Átha Cliath go raibh deacrachtaí aige, mar gheall ar phaindéim COVID-19, daoine a bhfuil míchumas orthu agus daoine nach bhfuil míchumas orthu araon a earcú mar bhaill foirne riaracháin agus altranais túslíne chun obair ar an láithreán. </w:t>
      </w:r>
    </w:p>
    <w:p w14:paraId="42D07A3D" w14:textId="5449D527" w:rsidR="0046742D" w:rsidRPr="00D51778" w:rsidRDefault="0046742D" w:rsidP="0099519F">
      <w:r w:rsidRPr="00D51778">
        <w:rPr>
          <w:lang w:val="ga"/>
        </w:rPr>
        <w:t>Thuairiscigh Fáilte Éireann gur theip air an íos-sprioc 3% a bhaint amach le linn na tréimhse dhá bhliain sin mar gheall ar fhadhbanna a bhain le bailiú sonraí.</w:t>
      </w:r>
    </w:p>
    <w:p w14:paraId="6CC6134F" w14:textId="680FC277" w:rsidR="007954C1" w:rsidRPr="00D51778" w:rsidRDefault="007954C1" w:rsidP="0099519F">
      <w:r w:rsidRPr="00D51778">
        <w:rPr>
          <w:lang w:val="ga"/>
        </w:rPr>
        <w:t>Sholáthair na comhlachtaí poiblí sin fianaise freisin go raibh bearta á gcur chun feidhme acu chun aghaidh a thabhairt ar na fadhbanna. Chinn an tÚdarás nach raibh údar ann, dá bhrí sin, lena chinneadh sa deireadh go raibh na comhlachtaí poiblí sin neamhchomhlíontach do na blianta 2019 agus 2020.  Chuir ÚNM in iúl do gach ceann de na comhlachtaí poiblí sin, áfach, go leanfaimis le faireachán a dhéanamh ar an dul chun cinn atá á dhéanamh acu agus go rabhamar ag súil le feabhsú ar a bhfeidhmíocht.</w:t>
      </w:r>
    </w:p>
    <w:p w14:paraId="7B2B073C" w14:textId="2A6C224C" w:rsidR="00543502" w:rsidRPr="00D51778" w:rsidRDefault="00543502" w:rsidP="0099519F">
      <w:r w:rsidRPr="00D51778">
        <w:rPr>
          <w:lang w:val="ga"/>
        </w:rPr>
        <w:t>Tá áthas ar ÚNM a thabhairt dá aire, dá bhrí sin, gur thaispeáin na trí chomhlacht phoiblí sin feabhsú ar a bhfeidhmíocht faoi seach agus gur bhain siad an íos-sprioc 3% amach sa bhliain 2021</w:t>
      </w:r>
      <w:r w:rsidR="005C3631">
        <w:rPr>
          <w:lang w:val="ga"/>
        </w:rPr>
        <w:t>, mar atá le feiceáil i dTábla 7</w:t>
      </w:r>
      <w:r w:rsidRPr="00D51778">
        <w:rPr>
          <w:lang w:val="ga"/>
        </w:rPr>
        <w:t>.</w:t>
      </w:r>
    </w:p>
    <w:p w14:paraId="108A6AC1" w14:textId="36F9C20A" w:rsidR="00C01946" w:rsidRPr="00D51778" w:rsidRDefault="00C01946" w:rsidP="00C01946">
      <w:pPr>
        <w:pStyle w:val="TableTitle"/>
      </w:pPr>
      <w:r w:rsidRPr="00D51778">
        <w:rPr>
          <w:bCs/>
          <w:lang w:val="ga"/>
        </w:rPr>
        <w:lastRenderedPageBreak/>
        <w:t>Tá</w:t>
      </w:r>
      <w:r w:rsidR="005C3631">
        <w:rPr>
          <w:bCs/>
          <w:lang w:val="ga"/>
        </w:rPr>
        <w:t>bla 7</w:t>
      </w:r>
      <w:r w:rsidRPr="00D51778">
        <w:rPr>
          <w:bCs/>
          <w:lang w:val="ga"/>
        </w:rPr>
        <w:t>. Comhlachtaí poiblí a bhain an íos-sprioc 3% amach sa bhliain 2021</w:t>
      </w:r>
    </w:p>
    <w:tbl>
      <w:tblPr>
        <w:tblpPr w:leftFromText="180" w:rightFromText="180" w:vertAnchor="text" w:horzAnchor="page" w:tblpX="1276" w:tblpY="178"/>
        <w:tblW w:w="9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291"/>
        <w:gridCol w:w="1440"/>
        <w:gridCol w:w="2223"/>
        <w:gridCol w:w="1560"/>
        <w:gridCol w:w="2268"/>
      </w:tblGrid>
      <w:tr w:rsidR="00C01946" w:rsidRPr="00D51778" w14:paraId="45FF2ABD" w14:textId="77777777" w:rsidTr="00C01946">
        <w:trPr>
          <w:tblHeader/>
        </w:trPr>
        <w:tc>
          <w:tcPr>
            <w:tcW w:w="2291" w:type="dxa"/>
            <w:tcBorders>
              <w:bottom w:val="single" w:sz="12" w:space="0" w:color="000000"/>
            </w:tcBorders>
          </w:tcPr>
          <w:p w14:paraId="4A2F9BB2" w14:textId="77777777" w:rsidR="00C01946" w:rsidRPr="00D51778" w:rsidRDefault="00C01946" w:rsidP="00C01946">
            <w:pPr>
              <w:pStyle w:val="TableHead"/>
              <w:rPr>
                <w:sz w:val="22"/>
                <w:szCs w:val="22"/>
              </w:rPr>
            </w:pPr>
            <w:r w:rsidRPr="00D51778">
              <w:rPr>
                <w:bCs/>
                <w:sz w:val="22"/>
                <w:szCs w:val="22"/>
                <w:lang w:val="ga"/>
              </w:rPr>
              <w:t>Comhlacht Poiblí</w:t>
            </w:r>
          </w:p>
        </w:tc>
        <w:tc>
          <w:tcPr>
            <w:tcW w:w="1440" w:type="dxa"/>
            <w:tcBorders>
              <w:bottom w:val="single" w:sz="12" w:space="0" w:color="000000"/>
            </w:tcBorders>
          </w:tcPr>
          <w:p w14:paraId="1F74D20F" w14:textId="77777777" w:rsidR="00C01946" w:rsidRPr="00D51778" w:rsidRDefault="00C01946" w:rsidP="00C01946">
            <w:pPr>
              <w:pStyle w:val="TableHead"/>
              <w:rPr>
                <w:sz w:val="22"/>
                <w:szCs w:val="22"/>
              </w:rPr>
            </w:pPr>
            <w:r w:rsidRPr="00D51778">
              <w:rPr>
                <w:bCs/>
                <w:sz w:val="22"/>
                <w:szCs w:val="22"/>
                <w:lang w:val="ga"/>
              </w:rPr>
              <w:t>An líon iomlán fostaithe 2020</w:t>
            </w:r>
          </w:p>
        </w:tc>
        <w:tc>
          <w:tcPr>
            <w:tcW w:w="2223" w:type="dxa"/>
            <w:tcBorders>
              <w:bottom w:val="single" w:sz="12" w:space="0" w:color="000000"/>
            </w:tcBorders>
          </w:tcPr>
          <w:p w14:paraId="2C9B66D8" w14:textId="77777777" w:rsidR="00C51A89" w:rsidRDefault="00C01946" w:rsidP="00C01946">
            <w:pPr>
              <w:pStyle w:val="TableHead"/>
              <w:rPr>
                <w:bCs/>
                <w:sz w:val="22"/>
                <w:szCs w:val="22"/>
                <w:lang w:val="ga"/>
              </w:rPr>
            </w:pPr>
            <w:r w:rsidRPr="00D51778">
              <w:rPr>
                <w:bCs/>
                <w:sz w:val="22"/>
                <w:szCs w:val="22"/>
                <w:lang w:val="ga"/>
              </w:rPr>
              <w:t xml:space="preserve">An líon fostaithe, agus an % d’fhostaithe, a thuairiscigh míchumas </w:t>
            </w:r>
          </w:p>
          <w:p w14:paraId="5FAB4D7C" w14:textId="1C7E1940" w:rsidR="00C01946" w:rsidRPr="00D51778" w:rsidRDefault="00C01946" w:rsidP="00C01946">
            <w:pPr>
              <w:pStyle w:val="TableHead"/>
              <w:rPr>
                <w:sz w:val="22"/>
                <w:szCs w:val="22"/>
              </w:rPr>
            </w:pPr>
            <w:r w:rsidRPr="00D51778">
              <w:rPr>
                <w:bCs/>
                <w:sz w:val="22"/>
                <w:szCs w:val="22"/>
                <w:lang w:val="ga"/>
              </w:rPr>
              <w:t>2020</w:t>
            </w:r>
          </w:p>
        </w:tc>
        <w:tc>
          <w:tcPr>
            <w:tcW w:w="1560" w:type="dxa"/>
            <w:tcBorders>
              <w:bottom w:val="single" w:sz="12" w:space="0" w:color="000000"/>
            </w:tcBorders>
          </w:tcPr>
          <w:p w14:paraId="49C86530" w14:textId="77777777" w:rsidR="00C01946" w:rsidRPr="00D51778" w:rsidRDefault="00C01946" w:rsidP="00C01946">
            <w:pPr>
              <w:pStyle w:val="TableHead"/>
              <w:rPr>
                <w:sz w:val="22"/>
                <w:szCs w:val="22"/>
              </w:rPr>
            </w:pPr>
            <w:r w:rsidRPr="00D51778">
              <w:rPr>
                <w:bCs/>
                <w:sz w:val="22"/>
                <w:szCs w:val="22"/>
                <w:lang w:val="ga"/>
              </w:rPr>
              <w:t>An líon iomlán fostaithe</w:t>
            </w:r>
          </w:p>
          <w:p w14:paraId="27DEC5CB" w14:textId="77777777" w:rsidR="00C01946" w:rsidRPr="00D51778" w:rsidRDefault="00C01946" w:rsidP="00C01946">
            <w:pPr>
              <w:pStyle w:val="TableHead"/>
              <w:rPr>
                <w:sz w:val="22"/>
                <w:szCs w:val="22"/>
              </w:rPr>
            </w:pPr>
            <w:r w:rsidRPr="00D51778">
              <w:rPr>
                <w:bCs/>
                <w:sz w:val="22"/>
                <w:szCs w:val="22"/>
                <w:lang w:val="ga"/>
              </w:rPr>
              <w:t>2021</w:t>
            </w:r>
          </w:p>
        </w:tc>
        <w:tc>
          <w:tcPr>
            <w:tcW w:w="2268" w:type="dxa"/>
            <w:tcBorders>
              <w:bottom w:val="single" w:sz="12" w:space="0" w:color="000000"/>
            </w:tcBorders>
          </w:tcPr>
          <w:p w14:paraId="2856D10B" w14:textId="77777777" w:rsidR="00C01946" w:rsidRPr="00D51778" w:rsidRDefault="00C01946" w:rsidP="00C01946">
            <w:pPr>
              <w:pStyle w:val="TableHead"/>
              <w:rPr>
                <w:sz w:val="22"/>
                <w:szCs w:val="22"/>
              </w:rPr>
            </w:pPr>
            <w:r w:rsidRPr="00D51778">
              <w:rPr>
                <w:bCs/>
                <w:sz w:val="22"/>
                <w:szCs w:val="22"/>
                <w:lang w:val="ga"/>
              </w:rPr>
              <w:t>An líon fostaithe, agus an % d’fhostaithe, a thuairiscigh míchumas</w:t>
            </w:r>
          </w:p>
          <w:p w14:paraId="259E53BC" w14:textId="77777777" w:rsidR="00C01946" w:rsidRPr="00D51778" w:rsidRDefault="00C01946" w:rsidP="00C01946">
            <w:pPr>
              <w:pStyle w:val="TableHead"/>
              <w:rPr>
                <w:sz w:val="22"/>
                <w:szCs w:val="22"/>
              </w:rPr>
            </w:pPr>
            <w:r w:rsidRPr="00D51778">
              <w:rPr>
                <w:bCs/>
                <w:sz w:val="22"/>
                <w:szCs w:val="22"/>
                <w:lang w:val="ga"/>
              </w:rPr>
              <w:t>2021</w:t>
            </w:r>
          </w:p>
        </w:tc>
      </w:tr>
      <w:tr w:rsidR="00C01946" w:rsidRPr="00D51778" w14:paraId="7DE829E6" w14:textId="77777777" w:rsidTr="00C01946">
        <w:tc>
          <w:tcPr>
            <w:tcW w:w="2291" w:type="dxa"/>
            <w:tcBorders>
              <w:top w:val="single" w:sz="12" w:space="0" w:color="000000"/>
            </w:tcBorders>
          </w:tcPr>
          <w:p w14:paraId="69176D86"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Coillte</w:t>
            </w:r>
          </w:p>
        </w:tc>
        <w:tc>
          <w:tcPr>
            <w:tcW w:w="1440" w:type="dxa"/>
            <w:tcBorders>
              <w:top w:val="single" w:sz="12" w:space="0" w:color="000000"/>
            </w:tcBorders>
          </w:tcPr>
          <w:p w14:paraId="42D197DA"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447</w:t>
            </w:r>
          </w:p>
          <w:p w14:paraId="7DBB6ECB" w14:textId="77777777" w:rsidR="00C01946" w:rsidRPr="00D51778" w:rsidRDefault="00C01946" w:rsidP="00C01946">
            <w:pPr>
              <w:pStyle w:val="TableCell"/>
              <w:jc w:val="right"/>
              <w:rPr>
                <w:sz w:val="22"/>
                <w:szCs w:val="22"/>
              </w:rPr>
            </w:pPr>
          </w:p>
        </w:tc>
        <w:tc>
          <w:tcPr>
            <w:tcW w:w="2223" w:type="dxa"/>
            <w:tcBorders>
              <w:top w:val="single" w:sz="12" w:space="0" w:color="000000"/>
            </w:tcBorders>
          </w:tcPr>
          <w:p w14:paraId="1A965177"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7 (1.6%)</w:t>
            </w:r>
          </w:p>
          <w:p w14:paraId="13C0157B" w14:textId="77777777" w:rsidR="00C01946" w:rsidRPr="00D51778" w:rsidRDefault="00C01946" w:rsidP="00C01946">
            <w:pPr>
              <w:spacing w:after="0"/>
              <w:jc w:val="right"/>
              <w:rPr>
                <w:rFonts w:cs="Calibri"/>
                <w:color w:val="000000"/>
                <w:sz w:val="22"/>
                <w:szCs w:val="22"/>
              </w:rPr>
            </w:pPr>
          </w:p>
          <w:p w14:paraId="4B04BB97" w14:textId="77777777" w:rsidR="00C01946" w:rsidRPr="00D51778" w:rsidRDefault="00C01946" w:rsidP="00C01946">
            <w:pPr>
              <w:pStyle w:val="TableCell"/>
              <w:jc w:val="right"/>
              <w:rPr>
                <w:sz w:val="22"/>
                <w:szCs w:val="22"/>
              </w:rPr>
            </w:pPr>
          </w:p>
        </w:tc>
        <w:tc>
          <w:tcPr>
            <w:tcW w:w="1560" w:type="dxa"/>
            <w:tcBorders>
              <w:top w:val="single" w:sz="12" w:space="0" w:color="000000"/>
            </w:tcBorders>
          </w:tcPr>
          <w:p w14:paraId="0F9D7AA2"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444</w:t>
            </w:r>
          </w:p>
          <w:p w14:paraId="2776461C" w14:textId="77777777" w:rsidR="00C01946" w:rsidRPr="00D51778" w:rsidRDefault="00C01946" w:rsidP="00C01946">
            <w:pPr>
              <w:pStyle w:val="TableCell"/>
              <w:jc w:val="right"/>
              <w:rPr>
                <w:sz w:val="22"/>
                <w:szCs w:val="22"/>
              </w:rPr>
            </w:pPr>
          </w:p>
        </w:tc>
        <w:tc>
          <w:tcPr>
            <w:tcW w:w="2268" w:type="dxa"/>
            <w:tcBorders>
              <w:top w:val="single" w:sz="12" w:space="0" w:color="000000"/>
            </w:tcBorders>
          </w:tcPr>
          <w:p w14:paraId="7F6C6EEB" w14:textId="77777777" w:rsidR="00C01946" w:rsidRPr="00D51778" w:rsidRDefault="00C01946" w:rsidP="00C01946">
            <w:pPr>
              <w:pStyle w:val="TableCell"/>
              <w:jc w:val="right"/>
              <w:rPr>
                <w:sz w:val="22"/>
                <w:szCs w:val="22"/>
              </w:rPr>
            </w:pPr>
            <w:r w:rsidRPr="00D51778">
              <w:rPr>
                <w:sz w:val="22"/>
                <w:szCs w:val="22"/>
                <w:lang w:val="ga"/>
              </w:rPr>
              <w:t>15 (3.4%)</w:t>
            </w:r>
          </w:p>
        </w:tc>
      </w:tr>
      <w:tr w:rsidR="00C01946" w:rsidRPr="00D51778" w14:paraId="100D73BB" w14:textId="77777777" w:rsidTr="00C01946">
        <w:tc>
          <w:tcPr>
            <w:tcW w:w="2291" w:type="dxa"/>
            <w:tcBorders>
              <w:top w:val="single" w:sz="12" w:space="0" w:color="000000"/>
              <w:bottom w:val="single" w:sz="12" w:space="0" w:color="000000"/>
            </w:tcBorders>
          </w:tcPr>
          <w:p w14:paraId="4E9C588F"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 xml:space="preserve">Ospidéal Ollscoile Déidliachta Bhaile Átha Cliath </w:t>
            </w:r>
          </w:p>
        </w:tc>
        <w:tc>
          <w:tcPr>
            <w:tcW w:w="1440" w:type="dxa"/>
            <w:tcBorders>
              <w:top w:val="single" w:sz="12" w:space="0" w:color="000000"/>
              <w:bottom w:val="single" w:sz="12" w:space="0" w:color="000000"/>
            </w:tcBorders>
          </w:tcPr>
          <w:p w14:paraId="5EFE5777"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209</w:t>
            </w:r>
          </w:p>
          <w:p w14:paraId="5E6E5130" w14:textId="77777777" w:rsidR="00C01946" w:rsidRPr="00D51778"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492D79ED" w14:textId="77777777" w:rsidR="00C01946" w:rsidRPr="00D51778" w:rsidRDefault="00C01946" w:rsidP="00C01946">
            <w:pPr>
              <w:pStyle w:val="TableCell"/>
              <w:jc w:val="right"/>
              <w:rPr>
                <w:sz w:val="22"/>
                <w:szCs w:val="22"/>
              </w:rPr>
            </w:pPr>
            <w:r w:rsidRPr="00D51778">
              <w:rPr>
                <w:sz w:val="22"/>
                <w:szCs w:val="22"/>
                <w:lang w:val="ga"/>
              </w:rPr>
              <w:t>6 (2.9%)</w:t>
            </w:r>
          </w:p>
        </w:tc>
        <w:tc>
          <w:tcPr>
            <w:tcW w:w="1560" w:type="dxa"/>
            <w:tcBorders>
              <w:top w:val="single" w:sz="12" w:space="0" w:color="000000"/>
              <w:bottom w:val="single" w:sz="12" w:space="0" w:color="000000"/>
            </w:tcBorders>
          </w:tcPr>
          <w:p w14:paraId="70AB4A9E"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212</w:t>
            </w:r>
          </w:p>
          <w:p w14:paraId="765A8136" w14:textId="77777777" w:rsidR="00C01946" w:rsidRPr="00D51778"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091BF187" w14:textId="77777777" w:rsidR="00C01946" w:rsidRPr="00D51778" w:rsidRDefault="00C01946" w:rsidP="00C01946">
            <w:pPr>
              <w:pStyle w:val="TableCell"/>
              <w:jc w:val="right"/>
              <w:rPr>
                <w:sz w:val="22"/>
                <w:szCs w:val="22"/>
              </w:rPr>
            </w:pPr>
            <w:r w:rsidRPr="00D51778">
              <w:rPr>
                <w:sz w:val="22"/>
                <w:szCs w:val="22"/>
                <w:lang w:val="ga"/>
              </w:rPr>
              <w:t>10 (4.7%)</w:t>
            </w:r>
          </w:p>
        </w:tc>
      </w:tr>
      <w:tr w:rsidR="00C01946" w:rsidRPr="00D51778" w14:paraId="5C77685F" w14:textId="77777777" w:rsidTr="00C01946">
        <w:tc>
          <w:tcPr>
            <w:tcW w:w="2291" w:type="dxa"/>
            <w:tcBorders>
              <w:top w:val="single" w:sz="12" w:space="0" w:color="000000"/>
            </w:tcBorders>
          </w:tcPr>
          <w:p w14:paraId="6F1D7C70"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 xml:space="preserve">Fáilte Éireann </w:t>
            </w:r>
          </w:p>
        </w:tc>
        <w:tc>
          <w:tcPr>
            <w:tcW w:w="1440" w:type="dxa"/>
            <w:tcBorders>
              <w:top w:val="single" w:sz="12" w:space="0" w:color="000000"/>
            </w:tcBorders>
          </w:tcPr>
          <w:p w14:paraId="593BB4AB" w14:textId="77777777" w:rsidR="00C01946" w:rsidRPr="00D51778" w:rsidRDefault="00C01946" w:rsidP="00C01946">
            <w:pPr>
              <w:pStyle w:val="TableCell"/>
              <w:jc w:val="right"/>
              <w:rPr>
                <w:sz w:val="22"/>
                <w:szCs w:val="22"/>
              </w:rPr>
            </w:pPr>
            <w:r w:rsidRPr="00D51778">
              <w:rPr>
                <w:sz w:val="22"/>
                <w:szCs w:val="22"/>
                <w:lang w:val="ga"/>
              </w:rPr>
              <w:t>376</w:t>
            </w:r>
          </w:p>
        </w:tc>
        <w:tc>
          <w:tcPr>
            <w:tcW w:w="2223" w:type="dxa"/>
            <w:tcBorders>
              <w:top w:val="single" w:sz="12" w:space="0" w:color="000000"/>
            </w:tcBorders>
          </w:tcPr>
          <w:p w14:paraId="628EF82F" w14:textId="77777777" w:rsidR="00C01946" w:rsidRPr="00D51778" w:rsidRDefault="00C01946" w:rsidP="00C01946">
            <w:pPr>
              <w:pStyle w:val="TableCell"/>
              <w:jc w:val="right"/>
              <w:rPr>
                <w:sz w:val="22"/>
                <w:szCs w:val="22"/>
              </w:rPr>
            </w:pPr>
            <w:r w:rsidRPr="00D51778">
              <w:rPr>
                <w:sz w:val="22"/>
                <w:szCs w:val="22"/>
                <w:lang w:val="ga"/>
              </w:rPr>
              <w:t>7 (1.9%)</w:t>
            </w:r>
          </w:p>
        </w:tc>
        <w:tc>
          <w:tcPr>
            <w:tcW w:w="1560" w:type="dxa"/>
            <w:tcBorders>
              <w:top w:val="single" w:sz="12" w:space="0" w:color="000000"/>
            </w:tcBorders>
          </w:tcPr>
          <w:p w14:paraId="21D40AC7" w14:textId="77777777" w:rsidR="00C01946" w:rsidRPr="00D51778" w:rsidRDefault="00C01946" w:rsidP="00C01946">
            <w:pPr>
              <w:pStyle w:val="TableCell"/>
              <w:jc w:val="right"/>
              <w:rPr>
                <w:sz w:val="22"/>
                <w:szCs w:val="22"/>
              </w:rPr>
            </w:pPr>
            <w:r w:rsidRPr="00D51778">
              <w:rPr>
                <w:sz w:val="22"/>
                <w:szCs w:val="22"/>
                <w:lang w:val="ga"/>
              </w:rPr>
              <w:t>382</w:t>
            </w:r>
          </w:p>
        </w:tc>
        <w:tc>
          <w:tcPr>
            <w:tcW w:w="2268" w:type="dxa"/>
            <w:tcBorders>
              <w:top w:val="single" w:sz="12" w:space="0" w:color="000000"/>
            </w:tcBorders>
          </w:tcPr>
          <w:p w14:paraId="5EAE36C1" w14:textId="77777777" w:rsidR="00C01946" w:rsidRPr="00D51778" w:rsidRDefault="00C01946" w:rsidP="00C01946">
            <w:pPr>
              <w:pStyle w:val="TableCell"/>
              <w:jc w:val="right"/>
              <w:rPr>
                <w:sz w:val="22"/>
                <w:szCs w:val="22"/>
              </w:rPr>
            </w:pPr>
            <w:r w:rsidRPr="00D51778">
              <w:rPr>
                <w:sz w:val="22"/>
                <w:szCs w:val="22"/>
                <w:lang w:val="ga"/>
              </w:rPr>
              <w:t xml:space="preserve">12 (3.1%) </w:t>
            </w:r>
          </w:p>
        </w:tc>
      </w:tr>
    </w:tbl>
    <w:p w14:paraId="1496F0B9" w14:textId="17CA6A30" w:rsidR="000064E4" w:rsidRPr="00D51778" w:rsidRDefault="000064E4" w:rsidP="00584908"/>
    <w:p w14:paraId="08186F58" w14:textId="24E23AF7" w:rsidR="00584908" w:rsidRPr="00D51778" w:rsidRDefault="00584908" w:rsidP="0099519F">
      <w:r w:rsidRPr="00D51778">
        <w:rPr>
          <w:lang w:val="ga"/>
        </w:rPr>
        <w:t>Níor bhain FSS an íos-sprioc 3% amach sa bhliain 2019 ná sa bhliain 2020. Mar a luadh cheana féin, tá athbhreithniú á dhéanamh ag ÚNM ar an bhfreagra a thug FSS ar iarraidh alt 49 do na blianta 2018 agus 2019. A luaithe a bheidh an próiseas sin curtha i gcrích, eiseoidh ÚNM iarraidh alt 49 chuig FSS do na blianta 2019 agus 2020. Aithníonn ÚNM gur thit paindéim COVID-19 amach le linn na tréimhse tuairiscithe sin agus go raibh tionchar suntasach aici sin ar FSS go háirithe.</w:t>
      </w:r>
    </w:p>
    <w:p w14:paraId="7FD296AC" w14:textId="643203F7" w:rsidR="00584908" w:rsidRPr="00D51778" w:rsidRDefault="0013362E" w:rsidP="004A318D">
      <w:pPr>
        <w:pStyle w:val="Heading2"/>
      </w:pPr>
      <w:bookmarkStart w:id="57" w:name="_Toc124367412"/>
      <w:r w:rsidRPr="00D51778">
        <w:rPr>
          <w:bCs/>
          <w:lang w:val="ga"/>
        </w:rPr>
        <w:t>3.3 Comhlíonadh an Achta - 2020 agus 2021</w:t>
      </w:r>
      <w:bookmarkEnd w:id="57"/>
    </w:p>
    <w:p w14:paraId="4CEB3540" w14:textId="65ED509F" w:rsidR="00584908" w:rsidRPr="00D51778" w:rsidRDefault="008C427C" w:rsidP="0099519F">
      <w:r w:rsidRPr="00D51778">
        <w:rPr>
          <w:lang w:val="ga"/>
        </w:rPr>
        <w:t>Níor bhain na ceithre chomhlacht phoiblí seo a leanas an íos-sprioc 3% amach sa bhliain 2020 ná sa bhliain 2021</w:t>
      </w:r>
      <w:r w:rsidR="0099519F">
        <w:rPr>
          <w:lang w:val="ga"/>
        </w:rPr>
        <w:t>:</w:t>
      </w:r>
    </w:p>
    <w:p w14:paraId="5A4201D5" w14:textId="4994E183" w:rsidR="004A318D" w:rsidRPr="00D51778" w:rsidRDefault="004A318D" w:rsidP="0099519F">
      <w:pPr>
        <w:pStyle w:val="ListBullet"/>
      </w:pPr>
      <w:r w:rsidRPr="00D51778">
        <w:rPr>
          <w:lang w:val="ga"/>
        </w:rPr>
        <w:t>FSS</w:t>
      </w:r>
    </w:p>
    <w:p w14:paraId="5FF0D1C1" w14:textId="569D1BAE" w:rsidR="004A318D" w:rsidRPr="00D51778" w:rsidRDefault="004A318D" w:rsidP="0099519F">
      <w:pPr>
        <w:pStyle w:val="ListBullet"/>
      </w:pPr>
      <w:r w:rsidRPr="00D51778">
        <w:rPr>
          <w:lang w:val="ga"/>
        </w:rPr>
        <w:t>Institiúid Teicneolaíochta na Gaillimhe-Maigh Eo</w:t>
      </w:r>
    </w:p>
    <w:p w14:paraId="2EE569C2" w14:textId="758C2EB7" w:rsidR="004A318D" w:rsidRPr="00D51778" w:rsidRDefault="004A318D" w:rsidP="0099519F">
      <w:pPr>
        <w:pStyle w:val="ListBullet"/>
      </w:pPr>
      <w:r w:rsidRPr="00D51778">
        <w:rPr>
          <w:lang w:val="ga"/>
        </w:rPr>
        <w:t xml:space="preserve">An Chomhairle Náisiúnta um Oideachas Speisialta </w:t>
      </w:r>
    </w:p>
    <w:p w14:paraId="23D6CF0C" w14:textId="308FEC72" w:rsidR="00BB35CE" w:rsidRPr="00D51778" w:rsidRDefault="004A318D" w:rsidP="0099519F">
      <w:pPr>
        <w:pStyle w:val="ListBullet"/>
      </w:pPr>
      <w:r w:rsidRPr="00D51778">
        <w:rPr>
          <w:lang w:val="ga"/>
        </w:rPr>
        <w:t xml:space="preserve">Campas Coinneála Leanaí Bhaile an Oibricigh </w:t>
      </w:r>
    </w:p>
    <w:p w14:paraId="5AD48C97" w14:textId="695E9997" w:rsidR="00BB35CE" w:rsidRPr="00D51778" w:rsidRDefault="00BB35CE" w:rsidP="0099519F">
      <w:r w:rsidRPr="00D51778">
        <w:rPr>
          <w:lang w:val="ga"/>
        </w:rPr>
        <w:t>Mionsonraítear feidhmíocht na gc</w:t>
      </w:r>
      <w:r w:rsidR="005C3631">
        <w:rPr>
          <w:lang w:val="ga"/>
        </w:rPr>
        <w:t>omhlachtaí poiblí sin i dTábla 8</w:t>
      </w:r>
      <w:r w:rsidRPr="00D51778">
        <w:rPr>
          <w:lang w:val="ga"/>
        </w:rPr>
        <w:t xml:space="preserve"> thíos:</w:t>
      </w:r>
    </w:p>
    <w:p w14:paraId="16550D9E" w14:textId="4FC9902B" w:rsidR="00C01946" w:rsidRPr="00D51778" w:rsidRDefault="005C3631" w:rsidP="00C01946">
      <w:pPr>
        <w:pStyle w:val="TableTitle"/>
      </w:pPr>
      <w:r>
        <w:rPr>
          <w:bCs/>
          <w:lang w:val="ga"/>
        </w:rPr>
        <w:lastRenderedPageBreak/>
        <w:t>Tábla 8</w:t>
      </w:r>
      <w:r w:rsidR="00C01946" w:rsidRPr="00D51778">
        <w:rPr>
          <w:bCs/>
          <w:lang w:val="ga"/>
        </w:rPr>
        <w:t>. Comhlachtaí poiblí nár bhain an íos-sprioc 3% amach sa bhliain 2020 ná sa bhliain 2021</w:t>
      </w:r>
    </w:p>
    <w:tbl>
      <w:tblPr>
        <w:tblpPr w:leftFromText="180" w:rightFromText="180" w:vertAnchor="text" w:horzAnchor="page" w:tblpX="1126" w:tblpY="265"/>
        <w:tblW w:w="100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574"/>
        <w:gridCol w:w="1440"/>
        <w:gridCol w:w="2223"/>
        <w:gridCol w:w="1560"/>
        <w:gridCol w:w="2268"/>
      </w:tblGrid>
      <w:tr w:rsidR="00C01946" w:rsidRPr="00D51778" w14:paraId="632CCEB6" w14:textId="77777777" w:rsidTr="00C01946">
        <w:trPr>
          <w:tblHeader/>
        </w:trPr>
        <w:tc>
          <w:tcPr>
            <w:tcW w:w="2574" w:type="dxa"/>
            <w:tcBorders>
              <w:bottom w:val="single" w:sz="12" w:space="0" w:color="000000"/>
            </w:tcBorders>
          </w:tcPr>
          <w:p w14:paraId="4E46A531" w14:textId="77777777" w:rsidR="00C01946" w:rsidRPr="00D51778" w:rsidRDefault="00C01946" w:rsidP="00C01946">
            <w:pPr>
              <w:pStyle w:val="TableHead"/>
              <w:rPr>
                <w:sz w:val="22"/>
                <w:szCs w:val="22"/>
              </w:rPr>
            </w:pPr>
            <w:r w:rsidRPr="00D51778">
              <w:rPr>
                <w:bCs/>
                <w:sz w:val="22"/>
                <w:szCs w:val="22"/>
                <w:lang w:val="ga"/>
              </w:rPr>
              <w:t>Comhlacht Poiblí</w:t>
            </w:r>
          </w:p>
        </w:tc>
        <w:tc>
          <w:tcPr>
            <w:tcW w:w="1440" w:type="dxa"/>
            <w:tcBorders>
              <w:bottom w:val="single" w:sz="12" w:space="0" w:color="000000"/>
            </w:tcBorders>
          </w:tcPr>
          <w:p w14:paraId="073C3454" w14:textId="77777777" w:rsidR="00C01946" w:rsidRPr="00D51778" w:rsidRDefault="00C01946" w:rsidP="00C01946">
            <w:pPr>
              <w:pStyle w:val="TableHead"/>
              <w:rPr>
                <w:sz w:val="22"/>
                <w:szCs w:val="22"/>
              </w:rPr>
            </w:pPr>
            <w:r w:rsidRPr="00D51778">
              <w:rPr>
                <w:bCs/>
                <w:sz w:val="22"/>
                <w:szCs w:val="22"/>
                <w:lang w:val="ga"/>
              </w:rPr>
              <w:t>An líon iomlán fostaithe 2020</w:t>
            </w:r>
          </w:p>
        </w:tc>
        <w:tc>
          <w:tcPr>
            <w:tcW w:w="2223" w:type="dxa"/>
            <w:tcBorders>
              <w:bottom w:val="single" w:sz="12" w:space="0" w:color="000000"/>
            </w:tcBorders>
          </w:tcPr>
          <w:p w14:paraId="39753A68" w14:textId="77777777" w:rsidR="00C51A89" w:rsidRDefault="00C01946" w:rsidP="00C01946">
            <w:pPr>
              <w:pStyle w:val="TableHead"/>
              <w:rPr>
                <w:bCs/>
                <w:sz w:val="22"/>
                <w:szCs w:val="22"/>
                <w:lang w:val="ga"/>
              </w:rPr>
            </w:pPr>
            <w:r w:rsidRPr="00D51778">
              <w:rPr>
                <w:bCs/>
                <w:sz w:val="22"/>
                <w:szCs w:val="22"/>
                <w:lang w:val="ga"/>
              </w:rPr>
              <w:t xml:space="preserve">An líon fostaithe, agus an % d’fhostaithe, a thuairiscigh míchumas </w:t>
            </w:r>
          </w:p>
          <w:p w14:paraId="2BB020BB" w14:textId="29C659F1" w:rsidR="00C01946" w:rsidRPr="00D51778" w:rsidRDefault="00C01946" w:rsidP="00C01946">
            <w:pPr>
              <w:pStyle w:val="TableHead"/>
              <w:rPr>
                <w:sz w:val="22"/>
                <w:szCs w:val="22"/>
              </w:rPr>
            </w:pPr>
            <w:r w:rsidRPr="00D51778">
              <w:rPr>
                <w:bCs/>
                <w:sz w:val="22"/>
                <w:szCs w:val="22"/>
                <w:lang w:val="ga"/>
              </w:rPr>
              <w:t>2020</w:t>
            </w:r>
          </w:p>
        </w:tc>
        <w:tc>
          <w:tcPr>
            <w:tcW w:w="1560" w:type="dxa"/>
            <w:tcBorders>
              <w:bottom w:val="single" w:sz="12" w:space="0" w:color="000000"/>
            </w:tcBorders>
          </w:tcPr>
          <w:p w14:paraId="1EE471D7" w14:textId="77777777" w:rsidR="00C01946" w:rsidRPr="00D51778" w:rsidRDefault="00C01946" w:rsidP="00C01946">
            <w:pPr>
              <w:pStyle w:val="TableHead"/>
              <w:rPr>
                <w:sz w:val="22"/>
                <w:szCs w:val="22"/>
              </w:rPr>
            </w:pPr>
            <w:r w:rsidRPr="00D51778">
              <w:rPr>
                <w:bCs/>
                <w:sz w:val="22"/>
                <w:szCs w:val="22"/>
                <w:lang w:val="ga"/>
              </w:rPr>
              <w:t>An líon iomlán fostaithe</w:t>
            </w:r>
          </w:p>
          <w:p w14:paraId="3CEFF8A8" w14:textId="77777777" w:rsidR="00C01946" w:rsidRPr="00D51778" w:rsidRDefault="00C01946" w:rsidP="00C01946">
            <w:pPr>
              <w:pStyle w:val="TableHead"/>
              <w:rPr>
                <w:sz w:val="22"/>
                <w:szCs w:val="22"/>
              </w:rPr>
            </w:pPr>
            <w:r w:rsidRPr="00D51778">
              <w:rPr>
                <w:bCs/>
                <w:sz w:val="22"/>
                <w:szCs w:val="22"/>
                <w:lang w:val="ga"/>
              </w:rPr>
              <w:t>2021</w:t>
            </w:r>
          </w:p>
        </w:tc>
        <w:tc>
          <w:tcPr>
            <w:tcW w:w="2268" w:type="dxa"/>
            <w:tcBorders>
              <w:bottom w:val="single" w:sz="12" w:space="0" w:color="000000"/>
            </w:tcBorders>
          </w:tcPr>
          <w:p w14:paraId="5D231DAC" w14:textId="77777777" w:rsidR="00C01946" w:rsidRPr="00D51778" w:rsidRDefault="00C01946" w:rsidP="00C01946">
            <w:pPr>
              <w:pStyle w:val="TableHead"/>
              <w:rPr>
                <w:sz w:val="22"/>
                <w:szCs w:val="22"/>
              </w:rPr>
            </w:pPr>
            <w:r w:rsidRPr="00D51778">
              <w:rPr>
                <w:bCs/>
                <w:sz w:val="22"/>
                <w:szCs w:val="22"/>
                <w:lang w:val="ga"/>
              </w:rPr>
              <w:t>An líon fostaithe, agus an % d’fhostaithe, a thuairiscigh míchumas</w:t>
            </w:r>
          </w:p>
          <w:p w14:paraId="273624C1" w14:textId="77777777" w:rsidR="00C01946" w:rsidRPr="00D51778" w:rsidRDefault="00C01946" w:rsidP="00C01946">
            <w:pPr>
              <w:pStyle w:val="TableHead"/>
              <w:rPr>
                <w:sz w:val="22"/>
                <w:szCs w:val="22"/>
              </w:rPr>
            </w:pPr>
            <w:r w:rsidRPr="00D51778">
              <w:rPr>
                <w:bCs/>
                <w:sz w:val="22"/>
                <w:szCs w:val="22"/>
                <w:lang w:val="ga"/>
              </w:rPr>
              <w:t>2021</w:t>
            </w:r>
          </w:p>
        </w:tc>
      </w:tr>
      <w:tr w:rsidR="00C01946" w:rsidRPr="00D51778" w14:paraId="7EF22890" w14:textId="77777777" w:rsidTr="00C01946">
        <w:tc>
          <w:tcPr>
            <w:tcW w:w="2574" w:type="dxa"/>
            <w:tcBorders>
              <w:top w:val="single" w:sz="12" w:space="0" w:color="000000"/>
            </w:tcBorders>
          </w:tcPr>
          <w:p w14:paraId="49030AB6"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 xml:space="preserve">FSS </w:t>
            </w:r>
          </w:p>
        </w:tc>
        <w:tc>
          <w:tcPr>
            <w:tcW w:w="1440" w:type="dxa"/>
            <w:tcBorders>
              <w:top w:val="single" w:sz="12" w:space="0" w:color="000000"/>
            </w:tcBorders>
          </w:tcPr>
          <w:p w14:paraId="14BEC5DB"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92,612</w:t>
            </w:r>
          </w:p>
          <w:p w14:paraId="75B91EF3" w14:textId="77777777" w:rsidR="00C01946" w:rsidRPr="00D51778" w:rsidRDefault="00C01946" w:rsidP="00C01946">
            <w:pPr>
              <w:pStyle w:val="TableCell"/>
              <w:jc w:val="right"/>
              <w:rPr>
                <w:sz w:val="22"/>
                <w:szCs w:val="22"/>
              </w:rPr>
            </w:pPr>
          </w:p>
        </w:tc>
        <w:tc>
          <w:tcPr>
            <w:tcW w:w="2223" w:type="dxa"/>
            <w:tcBorders>
              <w:top w:val="single" w:sz="12" w:space="0" w:color="000000"/>
            </w:tcBorders>
          </w:tcPr>
          <w:p w14:paraId="59E5398D"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514 (0.6%)</w:t>
            </w:r>
          </w:p>
          <w:p w14:paraId="49DDB801" w14:textId="77777777" w:rsidR="00C01946" w:rsidRPr="00D51778" w:rsidRDefault="00C01946" w:rsidP="00C01946">
            <w:pPr>
              <w:spacing w:after="0"/>
              <w:jc w:val="right"/>
              <w:rPr>
                <w:rFonts w:cs="Calibri"/>
                <w:color w:val="000000"/>
                <w:sz w:val="22"/>
                <w:szCs w:val="22"/>
              </w:rPr>
            </w:pPr>
          </w:p>
          <w:p w14:paraId="59E8D9C6" w14:textId="77777777" w:rsidR="00C01946" w:rsidRPr="00D51778" w:rsidRDefault="00C01946" w:rsidP="00C01946">
            <w:pPr>
              <w:pStyle w:val="TableCell"/>
              <w:jc w:val="right"/>
              <w:rPr>
                <w:sz w:val="22"/>
                <w:szCs w:val="22"/>
              </w:rPr>
            </w:pPr>
          </w:p>
        </w:tc>
        <w:tc>
          <w:tcPr>
            <w:tcW w:w="1560" w:type="dxa"/>
            <w:tcBorders>
              <w:top w:val="single" w:sz="12" w:space="0" w:color="000000"/>
            </w:tcBorders>
          </w:tcPr>
          <w:p w14:paraId="54F771D8"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96,675</w:t>
            </w:r>
          </w:p>
          <w:p w14:paraId="33D76168" w14:textId="77777777" w:rsidR="00C01946" w:rsidRPr="00D51778" w:rsidRDefault="00C01946" w:rsidP="00C01946">
            <w:pPr>
              <w:pStyle w:val="TableCell"/>
              <w:jc w:val="right"/>
              <w:rPr>
                <w:sz w:val="22"/>
                <w:szCs w:val="22"/>
              </w:rPr>
            </w:pPr>
          </w:p>
        </w:tc>
        <w:tc>
          <w:tcPr>
            <w:tcW w:w="2268" w:type="dxa"/>
            <w:tcBorders>
              <w:top w:val="single" w:sz="12" w:space="0" w:color="000000"/>
            </w:tcBorders>
          </w:tcPr>
          <w:p w14:paraId="68C0A8DF" w14:textId="3BA1CF7F"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1</w:t>
            </w:r>
            <w:r w:rsidR="00673ADF">
              <w:rPr>
                <w:rFonts w:cs="Calibri"/>
                <w:color w:val="000000"/>
                <w:sz w:val="22"/>
                <w:szCs w:val="22"/>
                <w:lang w:val="ga"/>
              </w:rPr>
              <w:t>,</w:t>
            </w:r>
            <w:r w:rsidRPr="00D51778">
              <w:rPr>
                <w:rFonts w:cs="Calibri"/>
                <w:color w:val="000000"/>
                <w:sz w:val="22"/>
                <w:szCs w:val="22"/>
                <w:lang w:val="ga"/>
              </w:rPr>
              <w:t>508 (1.6%)</w:t>
            </w:r>
          </w:p>
          <w:p w14:paraId="421B67E6" w14:textId="77777777" w:rsidR="00C01946" w:rsidRPr="00D51778" w:rsidRDefault="00C01946" w:rsidP="00C01946">
            <w:pPr>
              <w:spacing w:after="0"/>
              <w:jc w:val="right"/>
              <w:rPr>
                <w:rFonts w:cs="Calibri"/>
                <w:color w:val="000000"/>
                <w:sz w:val="22"/>
                <w:szCs w:val="22"/>
              </w:rPr>
            </w:pPr>
          </w:p>
          <w:p w14:paraId="306DCA2F" w14:textId="77777777" w:rsidR="00C01946" w:rsidRPr="00D51778" w:rsidRDefault="00C01946" w:rsidP="00C01946">
            <w:pPr>
              <w:pStyle w:val="TableCell"/>
              <w:jc w:val="right"/>
              <w:rPr>
                <w:sz w:val="22"/>
                <w:szCs w:val="22"/>
              </w:rPr>
            </w:pPr>
          </w:p>
        </w:tc>
      </w:tr>
      <w:tr w:rsidR="00C01946" w:rsidRPr="00D51778" w14:paraId="727287CD" w14:textId="77777777" w:rsidTr="00C01946">
        <w:tc>
          <w:tcPr>
            <w:tcW w:w="2574" w:type="dxa"/>
            <w:tcBorders>
              <w:top w:val="single" w:sz="12" w:space="0" w:color="000000"/>
              <w:bottom w:val="single" w:sz="12" w:space="0" w:color="000000"/>
            </w:tcBorders>
          </w:tcPr>
          <w:p w14:paraId="2B0B250F"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Institiúid Teicneolaíochta na Gaillimhe-Maigh Eo</w:t>
            </w:r>
          </w:p>
        </w:tc>
        <w:tc>
          <w:tcPr>
            <w:tcW w:w="1440" w:type="dxa"/>
            <w:tcBorders>
              <w:top w:val="single" w:sz="12" w:space="0" w:color="000000"/>
              <w:bottom w:val="single" w:sz="12" w:space="0" w:color="000000"/>
            </w:tcBorders>
          </w:tcPr>
          <w:p w14:paraId="659976F4"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989</w:t>
            </w:r>
          </w:p>
          <w:p w14:paraId="4B756BEC" w14:textId="77777777" w:rsidR="00C01946" w:rsidRPr="00D51778"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72BA0B2E"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23 (2.3%)</w:t>
            </w:r>
          </w:p>
          <w:p w14:paraId="664BEABB" w14:textId="77777777" w:rsidR="00C01946" w:rsidRPr="00D51778" w:rsidRDefault="00C01946" w:rsidP="00C01946">
            <w:pPr>
              <w:spacing w:after="0"/>
              <w:jc w:val="right"/>
              <w:rPr>
                <w:rFonts w:cs="Calibri"/>
                <w:color w:val="000000"/>
                <w:sz w:val="22"/>
                <w:szCs w:val="22"/>
              </w:rPr>
            </w:pPr>
          </w:p>
          <w:p w14:paraId="0978EE11" w14:textId="77777777" w:rsidR="00C01946" w:rsidRPr="00D51778" w:rsidRDefault="00C01946" w:rsidP="00C01946">
            <w:pPr>
              <w:pStyle w:val="TableCell"/>
              <w:jc w:val="right"/>
              <w:rPr>
                <w:sz w:val="22"/>
                <w:szCs w:val="22"/>
              </w:rPr>
            </w:pPr>
          </w:p>
        </w:tc>
        <w:tc>
          <w:tcPr>
            <w:tcW w:w="1560" w:type="dxa"/>
            <w:tcBorders>
              <w:top w:val="single" w:sz="12" w:space="0" w:color="000000"/>
              <w:bottom w:val="single" w:sz="12" w:space="0" w:color="000000"/>
            </w:tcBorders>
          </w:tcPr>
          <w:p w14:paraId="7F51A563"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1,057</w:t>
            </w:r>
          </w:p>
          <w:p w14:paraId="7A42D566" w14:textId="77777777" w:rsidR="00C01946" w:rsidRPr="00D51778"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7101B5CB"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30 (2.8%)</w:t>
            </w:r>
          </w:p>
          <w:p w14:paraId="69A823CE" w14:textId="77777777" w:rsidR="00C01946" w:rsidRPr="00D51778" w:rsidRDefault="00C01946" w:rsidP="00C01946">
            <w:pPr>
              <w:pStyle w:val="TableCell"/>
              <w:jc w:val="right"/>
              <w:rPr>
                <w:sz w:val="22"/>
                <w:szCs w:val="22"/>
              </w:rPr>
            </w:pPr>
          </w:p>
        </w:tc>
      </w:tr>
      <w:tr w:rsidR="00C01946" w:rsidRPr="00D51778" w14:paraId="47C13ED0" w14:textId="77777777" w:rsidTr="00C01946">
        <w:tc>
          <w:tcPr>
            <w:tcW w:w="2574" w:type="dxa"/>
            <w:tcBorders>
              <w:top w:val="single" w:sz="12" w:space="0" w:color="000000"/>
              <w:bottom w:val="single" w:sz="12" w:space="0" w:color="000000"/>
            </w:tcBorders>
          </w:tcPr>
          <w:p w14:paraId="2ED0A7E1" w14:textId="77777777" w:rsidR="00C01946" w:rsidRPr="00D51778" w:rsidRDefault="00C01946" w:rsidP="00C01946">
            <w:pPr>
              <w:pStyle w:val="TableRowHead"/>
              <w:rPr>
                <w:rFonts w:ascii="Gill Sans MT" w:hAnsi="Gill Sans MT"/>
                <w:sz w:val="22"/>
                <w:szCs w:val="22"/>
              </w:rPr>
            </w:pPr>
            <w:r w:rsidRPr="00D51778">
              <w:rPr>
                <w:rFonts w:ascii="Gill Sans MT" w:hAnsi="Gill Sans MT"/>
                <w:bCs/>
                <w:sz w:val="22"/>
                <w:szCs w:val="22"/>
                <w:lang w:val="ga"/>
              </w:rPr>
              <w:t xml:space="preserve">An Chomhairle Náisiúnta um Oideachas Speisialta </w:t>
            </w:r>
          </w:p>
        </w:tc>
        <w:tc>
          <w:tcPr>
            <w:tcW w:w="1440" w:type="dxa"/>
            <w:tcBorders>
              <w:top w:val="single" w:sz="12" w:space="0" w:color="000000"/>
              <w:bottom w:val="single" w:sz="12" w:space="0" w:color="000000"/>
            </w:tcBorders>
          </w:tcPr>
          <w:p w14:paraId="15C52581"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238</w:t>
            </w:r>
          </w:p>
          <w:p w14:paraId="473C7345" w14:textId="77777777" w:rsidR="00C01946" w:rsidRPr="00D51778" w:rsidRDefault="00C01946" w:rsidP="00C01946">
            <w:pPr>
              <w:pStyle w:val="TableCell"/>
              <w:jc w:val="right"/>
              <w:rPr>
                <w:sz w:val="22"/>
                <w:szCs w:val="22"/>
              </w:rPr>
            </w:pPr>
          </w:p>
        </w:tc>
        <w:tc>
          <w:tcPr>
            <w:tcW w:w="2223" w:type="dxa"/>
            <w:tcBorders>
              <w:top w:val="single" w:sz="12" w:space="0" w:color="000000"/>
              <w:bottom w:val="single" w:sz="12" w:space="0" w:color="000000"/>
            </w:tcBorders>
          </w:tcPr>
          <w:p w14:paraId="751EFAC0"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6 (2.5%)</w:t>
            </w:r>
          </w:p>
          <w:p w14:paraId="40868C0A" w14:textId="77777777" w:rsidR="00C01946" w:rsidRPr="00D51778" w:rsidRDefault="00C01946" w:rsidP="00C01946">
            <w:pPr>
              <w:spacing w:after="0"/>
              <w:jc w:val="right"/>
              <w:rPr>
                <w:rFonts w:cs="Calibri"/>
                <w:color w:val="000000"/>
                <w:sz w:val="22"/>
                <w:szCs w:val="22"/>
              </w:rPr>
            </w:pPr>
          </w:p>
          <w:p w14:paraId="04B731E1" w14:textId="77777777" w:rsidR="00C01946" w:rsidRPr="00D51778" w:rsidRDefault="00C01946" w:rsidP="00C01946">
            <w:pPr>
              <w:pStyle w:val="TableCell"/>
              <w:jc w:val="right"/>
              <w:rPr>
                <w:sz w:val="22"/>
                <w:szCs w:val="22"/>
              </w:rPr>
            </w:pPr>
          </w:p>
        </w:tc>
        <w:tc>
          <w:tcPr>
            <w:tcW w:w="1560" w:type="dxa"/>
            <w:tcBorders>
              <w:top w:val="single" w:sz="12" w:space="0" w:color="000000"/>
              <w:bottom w:val="single" w:sz="12" w:space="0" w:color="000000"/>
            </w:tcBorders>
          </w:tcPr>
          <w:p w14:paraId="03013AD7"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239</w:t>
            </w:r>
          </w:p>
          <w:p w14:paraId="613B0320" w14:textId="77777777" w:rsidR="00C01946" w:rsidRPr="00D51778" w:rsidRDefault="00C01946" w:rsidP="00C01946">
            <w:pPr>
              <w:pStyle w:val="TableCell"/>
              <w:jc w:val="right"/>
              <w:rPr>
                <w:sz w:val="22"/>
                <w:szCs w:val="22"/>
              </w:rPr>
            </w:pPr>
          </w:p>
        </w:tc>
        <w:tc>
          <w:tcPr>
            <w:tcW w:w="2268" w:type="dxa"/>
            <w:tcBorders>
              <w:top w:val="single" w:sz="12" w:space="0" w:color="000000"/>
              <w:bottom w:val="single" w:sz="12" w:space="0" w:color="000000"/>
            </w:tcBorders>
          </w:tcPr>
          <w:p w14:paraId="2FF3C53C"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6 (2.5%)</w:t>
            </w:r>
          </w:p>
          <w:p w14:paraId="35E25AC6" w14:textId="77777777" w:rsidR="00C01946" w:rsidRPr="00D51778" w:rsidRDefault="00C01946" w:rsidP="00C01946">
            <w:pPr>
              <w:pStyle w:val="TableCell"/>
              <w:jc w:val="right"/>
              <w:rPr>
                <w:sz w:val="22"/>
                <w:szCs w:val="22"/>
              </w:rPr>
            </w:pPr>
          </w:p>
        </w:tc>
      </w:tr>
      <w:tr w:rsidR="00C01946" w:rsidRPr="00D51778" w14:paraId="4CAB83EE" w14:textId="77777777" w:rsidTr="00C01946">
        <w:tc>
          <w:tcPr>
            <w:tcW w:w="2574" w:type="dxa"/>
            <w:tcBorders>
              <w:top w:val="single" w:sz="12" w:space="0" w:color="000000"/>
            </w:tcBorders>
          </w:tcPr>
          <w:p w14:paraId="5B938615" w14:textId="0942F2DA" w:rsidR="00C01946" w:rsidRPr="00D51778" w:rsidRDefault="00C01946" w:rsidP="007403D9">
            <w:pPr>
              <w:pStyle w:val="ListBullet"/>
              <w:numPr>
                <w:ilvl w:val="0"/>
                <w:numId w:val="0"/>
              </w:numPr>
              <w:spacing w:before="0" w:after="0"/>
              <w:rPr>
                <w:b/>
                <w:sz w:val="22"/>
                <w:szCs w:val="22"/>
              </w:rPr>
            </w:pPr>
            <w:r w:rsidRPr="00D51778">
              <w:rPr>
                <w:b/>
                <w:bCs/>
                <w:sz w:val="22"/>
                <w:szCs w:val="22"/>
                <w:lang w:val="ga"/>
              </w:rPr>
              <w:t>Campas Coinneála</w:t>
            </w:r>
            <w:r w:rsidR="007403D9">
              <w:rPr>
                <w:b/>
                <w:bCs/>
                <w:sz w:val="22"/>
                <w:szCs w:val="22"/>
                <w:lang w:val="ga"/>
              </w:rPr>
              <w:t xml:space="preserve"> </w:t>
            </w:r>
            <w:r w:rsidRPr="00D51778">
              <w:rPr>
                <w:b/>
                <w:bCs/>
                <w:sz w:val="22"/>
                <w:szCs w:val="22"/>
                <w:lang w:val="ga"/>
              </w:rPr>
              <w:t>Leanaí Bhaile an Oibricigh</w:t>
            </w:r>
          </w:p>
          <w:p w14:paraId="458BA946" w14:textId="77777777" w:rsidR="00C01946" w:rsidRPr="00D51778" w:rsidRDefault="00C01946" w:rsidP="00C01946">
            <w:pPr>
              <w:pStyle w:val="ListBullet"/>
              <w:numPr>
                <w:ilvl w:val="0"/>
                <w:numId w:val="0"/>
              </w:numPr>
              <w:spacing w:before="0" w:after="0"/>
              <w:ind w:left="357" w:hanging="357"/>
              <w:rPr>
                <w:b/>
                <w:sz w:val="22"/>
                <w:szCs w:val="22"/>
              </w:rPr>
            </w:pPr>
            <w:r w:rsidRPr="00D51778">
              <w:rPr>
                <w:b/>
                <w:bCs/>
                <w:sz w:val="22"/>
                <w:szCs w:val="22"/>
                <w:lang w:val="ga"/>
              </w:rPr>
              <w:t xml:space="preserve"> </w:t>
            </w:r>
          </w:p>
          <w:p w14:paraId="19E9AD83" w14:textId="77777777" w:rsidR="00C01946" w:rsidRPr="00D51778" w:rsidRDefault="00C01946" w:rsidP="00C01946">
            <w:pPr>
              <w:pStyle w:val="TableRowHead"/>
              <w:rPr>
                <w:rFonts w:ascii="Gill Sans MT" w:hAnsi="Gill Sans MT"/>
                <w:sz w:val="22"/>
                <w:szCs w:val="22"/>
              </w:rPr>
            </w:pPr>
          </w:p>
        </w:tc>
        <w:tc>
          <w:tcPr>
            <w:tcW w:w="1440" w:type="dxa"/>
            <w:tcBorders>
              <w:top w:val="single" w:sz="12" w:space="0" w:color="000000"/>
            </w:tcBorders>
          </w:tcPr>
          <w:p w14:paraId="34B22E37"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273</w:t>
            </w:r>
          </w:p>
          <w:p w14:paraId="32A3D397" w14:textId="77777777" w:rsidR="00C01946" w:rsidRPr="00D51778" w:rsidRDefault="00C01946" w:rsidP="00C01946">
            <w:pPr>
              <w:pStyle w:val="TableCell"/>
              <w:jc w:val="right"/>
              <w:rPr>
                <w:sz w:val="22"/>
                <w:szCs w:val="22"/>
              </w:rPr>
            </w:pPr>
          </w:p>
        </w:tc>
        <w:tc>
          <w:tcPr>
            <w:tcW w:w="2223" w:type="dxa"/>
            <w:tcBorders>
              <w:top w:val="single" w:sz="12" w:space="0" w:color="000000"/>
            </w:tcBorders>
          </w:tcPr>
          <w:p w14:paraId="51F91901"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8 (2.9%)</w:t>
            </w:r>
          </w:p>
          <w:p w14:paraId="5C410A56" w14:textId="77777777" w:rsidR="00C01946" w:rsidRPr="00D51778" w:rsidRDefault="00C01946" w:rsidP="00C01946">
            <w:pPr>
              <w:spacing w:after="0"/>
              <w:jc w:val="right"/>
              <w:rPr>
                <w:rFonts w:cs="Calibri"/>
                <w:color w:val="000000"/>
                <w:sz w:val="22"/>
                <w:szCs w:val="22"/>
              </w:rPr>
            </w:pPr>
          </w:p>
          <w:p w14:paraId="46367051" w14:textId="77777777" w:rsidR="00C01946" w:rsidRPr="00D51778" w:rsidRDefault="00C01946" w:rsidP="00C01946">
            <w:pPr>
              <w:pStyle w:val="TableCell"/>
              <w:jc w:val="right"/>
              <w:rPr>
                <w:sz w:val="22"/>
                <w:szCs w:val="22"/>
              </w:rPr>
            </w:pPr>
          </w:p>
        </w:tc>
        <w:tc>
          <w:tcPr>
            <w:tcW w:w="1560" w:type="dxa"/>
            <w:tcBorders>
              <w:top w:val="single" w:sz="12" w:space="0" w:color="000000"/>
            </w:tcBorders>
          </w:tcPr>
          <w:p w14:paraId="317F9C8F"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260</w:t>
            </w:r>
          </w:p>
          <w:p w14:paraId="07A5D838" w14:textId="77777777" w:rsidR="00C01946" w:rsidRPr="00D51778" w:rsidRDefault="00C01946" w:rsidP="00C01946">
            <w:pPr>
              <w:pStyle w:val="TableCell"/>
              <w:jc w:val="right"/>
              <w:rPr>
                <w:sz w:val="22"/>
                <w:szCs w:val="22"/>
              </w:rPr>
            </w:pPr>
          </w:p>
        </w:tc>
        <w:tc>
          <w:tcPr>
            <w:tcW w:w="2268" w:type="dxa"/>
            <w:tcBorders>
              <w:top w:val="single" w:sz="12" w:space="0" w:color="000000"/>
            </w:tcBorders>
          </w:tcPr>
          <w:p w14:paraId="00648DA7" w14:textId="77777777" w:rsidR="00C01946" w:rsidRPr="00D51778" w:rsidRDefault="00C01946" w:rsidP="00C01946">
            <w:pPr>
              <w:spacing w:after="0"/>
              <w:jc w:val="right"/>
              <w:rPr>
                <w:rFonts w:cs="Calibri"/>
                <w:color w:val="000000"/>
                <w:sz w:val="22"/>
                <w:szCs w:val="22"/>
              </w:rPr>
            </w:pPr>
            <w:r w:rsidRPr="00D51778">
              <w:rPr>
                <w:rFonts w:cs="Calibri"/>
                <w:color w:val="000000"/>
                <w:sz w:val="22"/>
                <w:szCs w:val="22"/>
                <w:lang w:val="ga"/>
              </w:rPr>
              <w:t>5 (1.9%)</w:t>
            </w:r>
          </w:p>
          <w:p w14:paraId="2C9AE0B6" w14:textId="77777777" w:rsidR="00C01946" w:rsidRPr="00D51778" w:rsidRDefault="00C01946" w:rsidP="00C01946">
            <w:pPr>
              <w:pStyle w:val="TableCell"/>
              <w:jc w:val="right"/>
              <w:rPr>
                <w:sz w:val="22"/>
                <w:szCs w:val="22"/>
              </w:rPr>
            </w:pPr>
          </w:p>
        </w:tc>
      </w:tr>
    </w:tbl>
    <w:p w14:paraId="06BDFA72" w14:textId="5A92C7E8" w:rsidR="00D62B8B" w:rsidRPr="00D51778" w:rsidRDefault="00D62B8B" w:rsidP="00BB35CE">
      <w:pPr>
        <w:pStyle w:val="ListBullet"/>
        <w:numPr>
          <w:ilvl w:val="0"/>
          <w:numId w:val="0"/>
        </w:numPr>
      </w:pPr>
    </w:p>
    <w:p w14:paraId="093836C7" w14:textId="6D8036E6" w:rsidR="00BB35CE" w:rsidRPr="00D51778" w:rsidRDefault="00FE5912" w:rsidP="0099519F">
      <w:r w:rsidRPr="00D51778">
        <w:rPr>
          <w:lang w:val="ga"/>
        </w:rPr>
        <w:t xml:space="preserve">Rinne ÚNM athbhreithniú grinn ar thuairisceáin Chuid 5 ó na comhlachtaí poiblí sin don tréimhse dhá bhliain sin. Tugann ÚNM dá aire gurbh amhlaidh, as measc na gcomhlachtaí poiblí uile sin, ba bheag nár éirigh le hInstitiúid Teicneolaíochta na Gaillimhe-Maigh Eo an íos-sprioc 3% a bhaint amach sa bhliain 2021. Thug an comhlacht poiblí sin fianaise mhionsonraithe i dtuairisceáin Chuid 5 uaidh á léiriú go raibh roinnt beart i bhfeidhm aige chun a oibleagáidí faoi Chuid 5 a chomhlíonadh. Ba é an phríomhchúis nár éirigh leis an gcomhlacht poiblí sin an íos-sprioc 3% a bhaint amach sa tréimhse dhá bhliain sin ná go raibh sé ag cumasc le hInstitiúid Teicneolaíochta, Sligeach, agus le hInstitiúid Teicneolaíochta Leitir Ceanainn ag an am chun Ollscoil Teicneolaíochta an Atlantaigh a chruthú. Tugadh an cumasc sin i gcrích agus cruthaíodh an comhlacht poiblí nua i mí Aibreáin 2022.  Le linn an phróisis sin, tháinig athrú ar an líon iomlán fostaithe agus ar an líon fostaithe a thuairiscigh míchumas toisc gur fhág fostaithe an comhlacht nó go ndeachaigh siad ar scor. Thug an comhlacht poiblí sin fianaise á léiriú gur chuir sé bearta chun feidhme cheana féin sa bhliain 2021 chun feabhas a chur ar a fheidhmíocht faoi Chuid 5 as seo amach.  Dá bhrí sin, ní sheolfaidh ÚNM iarraidh alt 49 chuig an gcomhlacht poiblí sin don tréimhse dhá bhliain sin. </w:t>
      </w:r>
    </w:p>
    <w:p w14:paraId="1D6A03F4" w14:textId="3F21B842" w:rsidR="0047321E" w:rsidRPr="00D51778" w:rsidRDefault="00E9439E" w:rsidP="0099519F">
      <w:r w:rsidRPr="00D51778">
        <w:rPr>
          <w:lang w:val="ga"/>
        </w:rPr>
        <w:lastRenderedPageBreak/>
        <w:t>Bainfidh ÚNM leas as na cumhachtaí reachtúla atá aige faoi alt 49 den Acht, áfach, chun tuilleadh faisnéise a iarraidh ó FSS maidir leis na bearta a bhí i bhfeidhm aige chun feabhas a chur ar a fheidhmíocht faoi Chuid 5.</w:t>
      </w:r>
    </w:p>
    <w:p w14:paraId="4ED79652" w14:textId="5B741A37" w:rsidR="00E87513" w:rsidRPr="00D51778" w:rsidRDefault="0047321E" w:rsidP="0099519F">
      <w:r w:rsidRPr="00D51778">
        <w:rPr>
          <w:lang w:val="ga"/>
        </w:rPr>
        <w:t>Seolfaimid iarrataí alt 49 chuig an gComhairle Náisiúnta um Oideachas Speisialta agus chuig Campas Coinneála Leanaí Bhaile an Oibricigh freisin chun deis a thabhairt do na comhlachtaí poiblí sin tuilleadh faisnéise agus soiléire a thabhairt dúinn maidir leis na bearta atá i bhfeidhm acu chun a n-oibleagáidí faoi Chuid 5 a chomhlíonadh agus maidir leis na cúiseanna nár bhain siad an íos-sprioc 3% amach.</w:t>
      </w:r>
    </w:p>
    <w:p w14:paraId="19A056E4" w14:textId="5228641E" w:rsidR="00973B13" w:rsidRPr="00D51778" w:rsidRDefault="0013362E" w:rsidP="00973B13">
      <w:pPr>
        <w:pStyle w:val="Heading2"/>
      </w:pPr>
      <w:bookmarkStart w:id="58" w:name="_Toc498585841"/>
      <w:bookmarkStart w:id="59" w:name="_Toc18680257"/>
      <w:bookmarkStart w:id="60" w:name="_Toc526435823"/>
      <w:bookmarkStart w:id="61" w:name="_Toc124367413"/>
      <w:r w:rsidRPr="00D51778">
        <w:rPr>
          <w:bCs/>
          <w:lang w:val="ga"/>
        </w:rPr>
        <w:t>3.4 Coistí Faireacháin</w:t>
      </w:r>
      <w:bookmarkEnd w:id="58"/>
      <w:bookmarkEnd w:id="59"/>
      <w:bookmarkEnd w:id="60"/>
      <w:bookmarkEnd w:id="61"/>
    </w:p>
    <w:p w14:paraId="28D80567" w14:textId="20E7D4E3" w:rsidR="00FC0298" w:rsidRPr="00D51778" w:rsidRDefault="00973B13" w:rsidP="0099519F">
      <w:r w:rsidRPr="00D51778">
        <w:rPr>
          <w:lang w:val="ga"/>
        </w:rPr>
        <w:t>Leanann na Coistí Faireacháin orthu ag obair le ÚNM chun a chinntiú go scaiptear ar chomhlachtaí poiblí an treoir uainn maidir le timpeallacht chuimsitheach oibre a chruthú agus chun tacú le comhlachtaí poiblí tuilleadh daoine a bhfuil míchumas orthu a earcú de réir a chéile.</w:t>
      </w:r>
    </w:p>
    <w:p w14:paraId="08A23104" w14:textId="066C8CC4" w:rsidR="00973B13" w:rsidRPr="00D51778" w:rsidRDefault="000B2489" w:rsidP="00973B13">
      <w:pPr>
        <w:pStyle w:val="Heading2"/>
      </w:pPr>
      <w:bookmarkStart w:id="62" w:name="_Toc124367414"/>
      <w:r w:rsidRPr="00D51778">
        <w:rPr>
          <w:bCs/>
          <w:lang w:val="ga"/>
        </w:rPr>
        <w:t xml:space="preserve">3.5 </w:t>
      </w:r>
      <w:bookmarkStart w:id="63" w:name="_Toc56497156"/>
      <w:bookmarkStart w:id="64" w:name="_Toc18680259"/>
      <w:bookmarkStart w:id="65" w:name="_Toc526435825"/>
      <w:bookmarkStart w:id="66" w:name="_Toc498585843"/>
      <w:r w:rsidRPr="00D51778">
        <w:rPr>
          <w:bCs/>
          <w:lang w:val="ga"/>
        </w:rPr>
        <w:t xml:space="preserve">Earráidí </w:t>
      </w:r>
      <w:bookmarkEnd w:id="63"/>
      <w:bookmarkEnd w:id="64"/>
      <w:bookmarkEnd w:id="65"/>
      <w:bookmarkEnd w:id="66"/>
      <w:r w:rsidRPr="00D51778">
        <w:rPr>
          <w:bCs/>
          <w:lang w:val="ga"/>
        </w:rPr>
        <w:t>– athruithe i sonraí</w:t>
      </w:r>
      <w:bookmarkEnd w:id="62"/>
    </w:p>
    <w:p w14:paraId="67FF25AF" w14:textId="059EEFF0" w:rsidR="00973B13" w:rsidRPr="00D51778" w:rsidRDefault="00AE050D" w:rsidP="0099519F">
      <w:pPr>
        <w:rPr>
          <w:rFonts w:ascii="Rockwell" w:hAnsi="Rockwell"/>
        </w:rPr>
      </w:pPr>
      <w:r w:rsidRPr="00D51778">
        <w:rPr>
          <w:lang w:val="ga"/>
        </w:rPr>
        <w:t>Ní raibh aon earráidí ann sna sonraí a foilsíodh go dtí seo.</w:t>
      </w:r>
      <w:r w:rsidRPr="00D51778">
        <w:rPr>
          <w:lang w:val="ga"/>
        </w:rPr>
        <w:br w:type="page"/>
      </w:r>
    </w:p>
    <w:p w14:paraId="318D8A00" w14:textId="1704A508" w:rsidR="00E9499C" w:rsidRPr="00D51778" w:rsidRDefault="00973B13" w:rsidP="00D77C26">
      <w:pPr>
        <w:pStyle w:val="Heading1"/>
      </w:pPr>
      <w:bookmarkStart w:id="67" w:name="_Toc124367415"/>
      <w:r w:rsidRPr="00D51778">
        <w:rPr>
          <w:bCs/>
          <w:lang w:val="ga"/>
        </w:rPr>
        <w:lastRenderedPageBreak/>
        <w:t>Aguisín A – Ranna Rialtais</w:t>
      </w:r>
      <w:bookmarkEnd w:id="67"/>
    </w:p>
    <w:p w14:paraId="43118BBC" w14:textId="7636F8DB" w:rsidR="00100447" w:rsidRPr="00D51778" w:rsidRDefault="00100447" w:rsidP="00100447">
      <w:pPr>
        <w:pStyle w:val="TableTitle"/>
        <w:jc w:val="left"/>
      </w:pPr>
    </w:p>
    <w:tbl>
      <w:tblPr>
        <w:tblW w:w="11199" w:type="dxa"/>
        <w:tblInd w:w="-11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01"/>
        <w:gridCol w:w="1701"/>
        <w:gridCol w:w="1843"/>
        <w:gridCol w:w="1559"/>
        <w:gridCol w:w="1418"/>
        <w:gridCol w:w="1417"/>
        <w:gridCol w:w="1560"/>
      </w:tblGrid>
      <w:tr w:rsidR="00F25E62" w:rsidRPr="00D51778" w14:paraId="28E38A6C" w14:textId="77777777" w:rsidTr="00FD4D06">
        <w:trPr>
          <w:tblHeader/>
        </w:trPr>
        <w:tc>
          <w:tcPr>
            <w:tcW w:w="1701" w:type="dxa"/>
            <w:tcBorders>
              <w:bottom w:val="single" w:sz="12" w:space="0" w:color="000000"/>
            </w:tcBorders>
          </w:tcPr>
          <w:p w14:paraId="1D35EC9D" w14:textId="305A4352" w:rsidR="0007589F" w:rsidRPr="00FD4D06" w:rsidRDefault="0007589F" w:rsidP="0007589F">
            <w:pPr>
              <w:pStyle w:val="TableHead"/>
              <w:rPr>
                <w:sz w:val="22"/>
                <w:szCs w:val="22"/>
              </w:rPr>
            </w:pPr>
            <w:r w:rsidRPr="00FD4D06">
              <w:rPr>
                <w:bCs/>
                <w:sz w:val="22"/>
                <w:szCs w:val="22"/>
                <w:lang w:val="ga"/>
              </w:rPr>
              <w:t xml:space="preserve">Roinn </w:t>
            </w:r>
          </w:p>
        </w:tc>
        <w:tc>
          <w:tcPr>
            <w:tcW w:w="1701" w:type="dxa"/>
            <w:tcBorders>
              <w:bottom w:val="single" w:sz="12" w:space="0" w:color="000000"/>
            </w:tcBorders>
          </w:tcPr>
          <w:p w14:paraId="7725361A" w14:textId="77777777" w:rsidR="006009BB" w:rsidRDefault="00E011F1" w:rsidP="0007589F">
            <w:pPr>
              <w:pStyle w:val="TableHead"/>
              <w:rPr>
                <w:bCs/>
                <w:sz w:val="22"/>
                <w:szCs w:val="22"/>
                <w:lang w:val="ga"/>
              </w:rPr>
            </w:pPr>
            <w:r w:rsidRPr="00FD4D06">
              <w:rPr>
                <w:bCs/>
                <w:sz w:val="22"/>
                <w:szCs w:val="22"/>
                <w:lang w:val="ga"/>
              </w:rPr>
              <w:t xml:space="preserve">An líon iomlán fostaithe </w:t>
            </w:r>
          </w:p>
          <w:p w14:paraId="38C2F636" w14:textId="28F26BFB" w:rsidR="0007589F" w:rsidRPr="00FD4D06" w:rsidRDefault="00E011F1" w:rsidP="0007589F">
            <w:pPr>
              <w:pStyle w:val="TableHead"/>
              <w:rPr>
                <w:sz w:val="22"/>
                <w:szCs w:val="22"/>
              </w:rPr>
            </w:pPr>
            <w:r w:rsidRPr="00FD4D06">
              <w:rPr>
                <w:bCs/>
                <w:sz w:val="22"/>
                <w:szCs w:val="22"/>
                <w:lang w:val="ga"/>
              </w:rPr>
              <w:t>2020</w:t>
            </w:r>
          </w:p>
        </w:tc>
        <w:tc>
          <w:tcPr>
            <w:tcW w:w="1843" w:type="dxa"/>
            <w:tcBorders>
              <w:bottom w:val="single" w:sz="12" w:space="0" w:color="000000"/>
            </w:tcBorders>
          </w:tcPr>
          <w:p w14:paraId="3F0CDEEA" w14:textId="0EB4AB05" w:rsidR="0007589F" w:rsidRPr="00FD4D06" w:rsidRDefault="00E011F1" w:rsidP="0007589F">
            <w:pPr>
              <w:pStyle w:val="TableHead"/>
              <w:rPr>
                <w:sz w:val="22"/>
                <w:szCs w:val="22"/>
              </w:rPr>
            </w:pPr>
            <w:r w:rsidRPr="00FD4D06">
              <w:rPr>
                <w:bCs/>
                <w:sz w:val="22"/>
                <w:szCs w:val="22"/>
                <w:lang w:val="ga"/>
              </w:rPr>
              <w:t xml:space="preserve">An líon fostaithe a thuairiscigh míchumas </w:t>
            </w:r>
          </w:p>
          <w:p w14:paraId="2A6C51C8" w14:textId="46CC08DC" w:rsidR="0007589F" w:rsidRPr="00FD4D06" w:rsidRDefault="00F1261F" w:rsidP="0007589F">
            <w:pPr>
              <w:pStyle w:val="TableHead"/>
              <w:rPr>
                <w:sz w:val="22"/>
                <w:szCs w:val="22"/>
              </w:rPr>
            </w:pPr>
            <w:r w:rsidRPr="00FD4D06">
              <w:rPr>
                <w:bCs/>
                <w:sz w:val="22"/>
                <w:szCs w:val="22"/>
                <w:lang w:val="ga"/>
              </w:rPr>
              <w:t>2020</w:t>
            </w:r>
          </w:p>
        </w:tc>
        <w:tc>
          <w:tcPr>
            <w:tcW w:w="1559" w:type="dxa"/>
            <w:tcBorders>
              <w:bottom w:val="single" w:sz="12" w:space="0" w:color="000000"/>
            </w:tcBorders>
          </w:tcPr>
          <w:p w14:paraId="34A20F71" w14:textId="68344F07" w:rsidR="0007589F" w:rsidRPr="00FD4D06" w:rsidRDefault="0007589F" w:rsidP="0007589F">
            <w:pPr>
              <w:pStyle w:val="TableHead"/>
              <w:rPr>
                <w:sz w:val="22"/>
                <w:szCs w:val="22"/>
              </w:rPr>
            </w:pPr>
            <w:r w:rsidRPr="00FD4D06">
              <w:rPr>
                <w:bCs/>
                <w:sz w:val="22"/>
                <w:szCs w:val="22"/>
                <w:lang w:val="ga"/>
              </w:rPr>
              <w:t>An % d’fhostaithe a thuairiscigh</w:t>
            </w:r>
          </w:p>
          <w:p w14:paraId="188A292B" w14:textId="55E25576" w:rsidR="0007589F" w:rsidRPr="00FD4D06" w:rsidRDefault="003D0375" w:rsidP="0007589F">
            <w:pPr>
              <w:pStyle w:val="TableHead"/>
              <w:rPr>
                <w:sz w:val="22"/>
                <w:szCs w:val="22"/>
              </w:rPr>
            </w:pPr>
            <w:r w:rsidRPr="00FD4D06">
              <w:rPr>
                <w:bCs/>
                <w:sz w:val="22"/>
                <w:szCs w:val="22"/>
                <w:lang w:val="ga"/>
              </w:rPr>
              <w:t>míchumas 2020</w:t>
            </w:r>
          </w:p>
        </w:tc>
        <w:tc>
          <w:tcPr>
            <w:tcW w:w="1418" w:type="dxa"/>
            <w:tcBorders>
              <w:bottom w:val="single" w:sz="12" w:space="0" w:color="000000"/>
            </w:tcBorders>
          </w:tcPr>
          <w:p w14:paraId="075A235A" w14:textId="6E622839" w:rsidR="0007589F" w:rsidRPr="00FD4D06" w:rsidRDefault="00F1261F" w:rsidP="0007589F">
            <w:pPr>
              <w:pStyle w:val="TableHead"/>
              <w:rPr>
                <w:sz w:val="22"/>
                <w:szCs w:val="22"/>
              </w:rPr>
            </w:pPr>
            <w:r w:rsidRPr="00FD4D06">
              <w:rPr>
                <w:bCs/>
                <w:sz w:val="22"/>
                <w:szCs w:val="22"/>
                <w:lang w:val="ga"/>
              </w:rPr>
              <w:t>An líon iomlán fostaithe 2021</w:t>
            </w:r>
          </w:p>
        </w:tc>
        <w:tc>
          <w:tcPr>
            <w:tcW w:w="1417" w:type="dxa"/>
            <w:tcBorders>
              <w:bottom w:val="single" w:sz="12" w:space="0" w:color="000000"/>
            </w:tcBorders>
          </w:tcPr>
          <w:p w14:paraId="11B1062F" w14:textId="77777777" w:rsidR="00FD4D06" w:rsidRDefault="00E011F1" w:rsidP="0007589F">
            <w:pPr>
              <w:pStyle w:val="TableHead"/>
              <w:rPr>
                <w:bCs/>
                <w:sz w:val="22"/>
                <w:szCs w:val="22"/>
                <w:lang w:val="ga"/>
              </w:rPr>
            </w:pPr>
            <w:r w:rsidRPr="00FD4D06">
              <w:rPr>
                <w:bCs/>
                <w:sz w:val="22"/>
                <w:szCs w:val="22"/>
                <w:lang w:val="ga"/>
              </w:rPr>
              <w:t xml:space="preserve">An líon fostaithe </w:t>
            </w:r>
          </w:p>
          <w:p w14:paraId="46982EE5" w14:textId="447D3041" w:rsidR="0007589F" w:rsidRPr="00FD4D06" w:rsidRDefault="00E011F1" w:rsidP="0007589F">
            <w:pPr>
              <w:pStyle w:val="TableHead"/>
              <w:rPr>
                <w:sz w:val="22"/>
                <w:szCs w:val="22"/>
              </w:rPr>
            </w:pPr>
            <w:r w:rsidRPr="00FD4D06">
              <w:rPr>
                <w:bCs/>
                <w:sz w:val="22"/>
                <w:szCs w:val="22"/>
                <w:lang w:val="ga"/>
              </w:rPr>
              <w:t xml:space="preserve">a thuairiscigh míchumas </w:t>
            </w:r>
          </w:p>
          <w:p w14:paraId="280AE72C" w14:textId="3D9D2061" w:rsidR="0007589F" w:rsidRPr="00FD4D06" w:rsidRDefault="00F1261F" w:rsidP="0007589F">
            <w:pPr>
              <w:pStyle w:val="TableHead"/>
              <w:rPr>
                <w:sz w:val="22"/>
                <w:szCs w:val="22"/>
              </w:rPr>
            </w:pPr>
            <w:r w:rsidRPr="00FD4D06">
              <w:rPr>
                <w:bCs/>
                <w:sz w:val="22"/>
                <w:szCs w:val="22"/>
                <w:lang w:val="ga"/>
              </w:rPr>
              <w:t>2021</w:t>
            </w:r>
          </w:p>
        </w:tc>
        <w:tc>
          <w:tcPr>
            <w:tcW w:w="1560" w:type="dxa"/>
            <w:tcBorders>
              <w:bottom w:val="single" w:sz="12" w:space="0" w:color="000000"/>
            </w:tcBorders>
          </w:tcPr>
          <w:p w14:paraId="14C5846D" w14:textId="730656B0" w:rsidR="0007589F" w:rsidRPr="00FD4D06" w:rsidRDefault="0007589F" w:rsidP="0007589F">
            <w:pPr>
              <w:pStyle w:val="TableHead"/>
              <w:rPr>
                <w:sz w:val="22"/>
                <w:szCs w:val="22"/>
              </w:rPr>
            </w:pPr>
            <w:r w:rsidRPr="00FD4D06">
              <w:rPr>
                <w:bCs/>
                <w:sz w:val="22"/>
                <w:szCs w:val="22"/>
                <w:lang w:val="ga"/>
              </w:rPr>
              <w:t>An % d’fhostaithe a thuairiscigh</w:t>
            </w:r>
          </w:p>
          <w:p w14:paraId="455354A8" w14:textId="5C6B7C8B" w:rsidR="0007589F" w:rsidRPr="00FD4D06" w:rsidRDefault="003D0375" w:rsidP="0007589F">
            <w:pPr>
              <w:pStyle w:val="TableHead"/>
              <w:rPr>
                <w:sz w:val="22"/>
                <w:szCs w:val="22"/>
              </w:rPr>
            </w:pPr>
            <w:r w:rsidRPr="00FD4D06">
              <w:rPr>
                <w:bCs/>
                <w:sz w:val="22"/>
                <w:szCs w:val="22"/>
                <w:lang w:val="ga"/>
              </w:rPr>
              <w:t>míchumas 2021</w:t>
            </w:r>
          </w:p>
        </w:tc>
      </w:tr>
      <w:tr w:rsidR="009C43B1" w:rsidRPr="00D51778" w14:paraId="58AADFE2" w14:textId="77777777" w:rsidTr="00FD4D06">
        <w:tc>
          <w:tcPr>
            <w:tcW w:w="1701" w:type="dxa"/>
            <w:tcBorders>
              <w:top w:val="single" w:sz="12" w:space="0" w:color="000000"/>
            </w:tcBorders>
          </w:tcPr>
          <w:p w14:paraId="3C421F76" w14:textId="13A022A7" w:rsidR="009C43B1" w:rsidRPr="00D51778" w:rsidRDefault="009C43B1" w:rsidP="00634303">
            <w:pPr>
              <w:rPr>
                <w:sz w:val="22"/>
                <w:szCs w:val="22"/>
              </w:rPr>
            </w:pPr>
            <w:r w:rsidRPr="00D51778">
              <w:rPr>
                <w:rFonts w:cs="Calibri"/>
                <w:color w:val="000000"/>
                <w:sz w:val="22"/>
                <w:szCs w:val="22"/>
                <w:lang w:val="ga"/>
              </w:rPr>
              <w:t>An Roinn Talmhaíochta, Bia agus Mara</w:t>
            </w:r>
          </w:p>
        </w:tc>
        <w:tc>
          <w:tcPr>
            <w:tcW w:w="1701" w:type="dxa"/>
            <w:tcBorders>
              <w:top w:val="single" w:sz="12" w:space="0" w:color="000000"/>
            </w:tcBorders>
          </w:tcPr>
          <w:p w14:paraId="4FBDBD9E" w14:textId="3FE76BDF" w:rsidR="009C43B1" w:rsidRPr="00D51778" w:rsidRDefault="009C43B1" w:rsidP="00F01992">
            <w:pPr>
              <w:jc w:val="right"/>
              <w:rPr>
                <w:sz w:val="22"/>
                <w:szCs w:val="22"/>
              </w:rPr>
            </w:pPr>
            <w:r w:rsidRPr="00D51778">
              <w:rPr>
                <w:rFonts w:cs="Calibri"/>
                <w:color w:val="000000"/>
                <w:sz w:val="22"/>
                <w:szCs w:val="22"/>
                <w:lang w:val="ga"/>
              </w:rPr>
              <w:t>3,749</w:t>
            </w:r>
          </w:p>
        </w:tc>
        <w:tc>
          <w:tcPr>
            <w:tcW w:w="1843" w:type="dxa"/>
            <w:tcBorders>
              <w:top w:val="single" w:sz="12" w:space="0" w:color="000000"/>
            </w:tcBorders>
          </w:tcPr>
          <w:p w14:paraId="3D2048BD" w14:textId="7010AE29" w:rsidR="009C43B1" w:rsidRPr="00D51778" w:rsidRDefault="009C43B1" w:rsidP="00F01992">
            <w:pPr>
              <w:jc w:val="right"/>
              <w:rPr>
                <w:sz w:val="22"/>
                <w:szCs w:val="22"/>
              </w:rPr>
            </w:pPr>
            <w:r w:rsidRPr="00D51778">
              <w:rPr>
                <w:rFonts w:cs="Calibri"/>
                <w:color w:val="000000"/>
                <w:sz w:val="22"/>
                <w:szCs w:val="22"/>
                <w:lang w:val="ga"/>
              </w:rPr>
              <w:t>137</w:t>
            </w:r>
          </w:p>
        </w:tc>
        <w:tc>
          <w:tcPr>
            <w:tcW w:w="1559" w:type="dxa"/>
            <w:tcBorders>
              <w:top w:val="single" w:sz="12" w:space="0" w:color="000000"/>
            </w:tcBorders>
          </w:tcPr>
          <w:p w14:paraId="1A935B8C" w14:textId="4BF114E0" w:rsidR="009C43B1" w:rsidRPr="00D51778" w:rsidRDefault="009C43B1" w:rsidP="00F01992">
            <w:pPr>
              <w:jc w:val="right"/>
              <w:rPr>
                <w:sz w:val="22"/>
                <w:szCs w:val="22"/>
              </w:rPr>
            </w:pPr>
            <w:r w:rsidRPr="00D51778">
              <w:rPr>
                <w:rFonts w:cs="Calibri"/>
                <w:color w:val="000000"/>
                <w:sz w:val="22"/>
                <w:szCs w:val="22"/>
                <w:lang w:val="ga"/>
              </w:rPr>
              <w:t>3.7%</w:t>
            </w:r>
          </w:p>
        </w:tc>
        <w:tc>
          <w:tcPr>
            <w:tcW w:w="1418" w:type="dxa"/>
            <w:tcBorders>
              <w:top w:val="single" w:sz="12" w:space="0" w:color="000000"/>
            </w:tcBorders>
          </w:tcPr>
          <w:p w14:paraId="222BB804" w14:textId="3625D1B5" w:rsidR="009C43B1" w:rsidRPr="00D51778" w:rsidRDefault="009C43B1" w:rsidP="00F01992">
            <w:pPr>
              <w:jc w:val="right"/>
              <w:rPr>
                <w:sz w:val="22"/>
                <w:szCs w:val="22"/>
              </w:rPr>
            </w:pPr>
            <w:r w:rsidRPr="00D51778">
              <w:rPr>
                <w:rFonts w:cs="Calibri"/>
                <w:color w:val="000000"/>
                <w:sz w:val="22"/>
                <w:szCs w:val="22"/>
                <w:lang w:val="ga"/>
              </w:rPr>
              <w:t>3,868</w:t>
            </w:r>
          </w:p>
        </w:tc>
        <w:tc>
          <w:tcPr>
            <w:tcW w:w="1417" w:type="dxa"/>
            <w:tcBorders>
              <w:top w:val="single" w:sz="12" w:space="0" w:color="000000"/>
            </w:tcBorders>
          </w:tcPr>
          <w:p w14:paraId="023F471A" w14:textId="5FD16A08" w:rsidR="009C43B1" w:rsidRPr="00D51778" w:rsidRDefault="009C43B1" w:rsidP="00F01992">
            <w:pPr>
              <w:jc w:val="right"/>
              <w:rPr>
                <w:sz w:val="22"/>
                <w:szCs w:val="22"/>
              </w:rPr>
            </w:pPr>
            <w:r w:rsidRPr="00D51778">
              <w:rPr>
                <w:rFonts w:cs="Calibri"/>
                <w:color w:val="000000"/>
                <w:sz w:val="22"/>
                <w:szCs w:val="22"/>
                <w:lang w:val="ga"/>
              </w:rPr>
              <w:t>139</w:t>
            </w:r>
          </w:p>
        </w:tc>
        <w:tc>
          <w:tcPr>
            <w:tcW w:w="1560" w:type="dxa"/>
            <w:tcBorders>
              <w:top w:val="single" w:sz="12" w:space="0" w:color="000000"/>
            </w:tcBorders>
          </w:tcPr>
          <w:p w14:paraId="50975529" w14:textId="41CF0843" w:rsidR="009C43B1" w:rsidRPr="00D51778" w:rsidRDefault="009C43B1" w:rsidP="00F01992">
            <w:pPr>
              <w:jc w:val="right"/>
              <w:rPr>
                <w:sz w:val="22"/>
                <w:szCs w:val="22"/>
              </w:rPr>
            </w:pPr>
            <w:r w:rsidRPr="00D51778">
              <w:rPr>
                <w:rFonts w:cs="Calibri"/>
                <w:color w:val="000000"/>
                <w:sz w:val="22"/>
                <w:szCs w:val="22"/>
                <w:lang w:val="ga"/>
              </w:rPr>
              <w:t>3.6%</w:t>
            </w:r>
          </w:p>
        </w:tc>
      </w:tr>
      <w:tr w:rsidR="009C43B1" w:rsidRPr="00D51778" w14:paraId="1F2A44B9" w14:textId="77777777" w:rsidTr="00FD4D06">
        <w:tc>
          <w:tcPr>
            <w:tcW w:w="1701" w:type="dxa"/>
          </w:tcPr>
          <w:p w14:paraId="2E5BD7B7" w14:textId="015E2CCD" w:rsidR="009C43B1" w:rsidRPr="00D51778" w:rsidRDefault="009C43B1" w:rsidP="00634303">
            <w:pPr>
              <w:rPr>
                <w:sz w:val="22"/>
                <w:szCs w:val="22"/>
              </w:rPr>
            </w:pPr>
            <w:r w:rsidRPr="00D51778">
              <w:rPr>
                <w:rFonts w:cs="Calibri"/>
                <w:color w:val="000000"/>
                <w:sz w:val="22"/>
                <w:szCs w:val="22"/>
                <w:lang w:val="ga"/>
              </w:rPr>
              <w:t xml:space="preserve">An Roinn Leanaí, Comhionannais, Míchumais, Lánpháirtíochta agus Óige </w:t>
            </w:r>
          </w:p>
        </w:tc>
        <w:tc>
          <w:tcPr>
            <w:tcW w:w="1701" w:type="dxa"/>
          </w:tcPr>
          <w:p w14:paraId="146F4F91" w14:textId="3EA8E39B" w:rsidR="009C43B1" w:rsidRPr="00D51778" w:rsidRDefault="009C43B1" w:rsidP="00F01992">
            <w:pPr>
              <w:pStyle w:val="TableCell"/>
              <w:jc w:val="right"/>
              <w:rPr>
                <w:sz w:val="22"/>
                <w:szCs w:val="22"/>
              </w:rPr>
            </w:pPr>
            <w:r w:rsidRPr="00D51778">
              <w:rPr>
                <w:rFonts w:cs="Calibri"/>
                <w:color w:val="000000"/>
                <w:sz w:val="22"/>
                <w:szCs w:val="22"/>
                <w:lang w:val="ga"/>
              </w:rPr>
              <w:t>375</w:t>
            </w:r>
          </w:p>
        </w:tc>
        <w:tc>
          <w:tcPr>
            <w:tcW w:w="1843" w:type="dxa"/>
          </w:tcPr>
          <w:p w14:paraId="0D4C171D" w14:textId="4AF63C3A" w:rsidR="009C43B1" w:rsidRPr="00D51778" w:rsidRDefault="009C43B1" w:rsidP="00F01992">
            <w:pPr>
              <w:pStyle w:val="TableCell"/>
              <w:jc w:val="right"/>
              <w:rPr>
                <w:sz w:val="22"/>
                <w:szCs w:val="22"/>
              </w:rPr>
            </w:pPr>
            <w:r w:rsidRPr="00D51778">
              <w:rPr>
                <w:rFonts w:cs="Calibri"/>
                <w:color w:val="000000"/>
                <w:sz w:val="22"/>
                <w:szCs w:val="22"/>
                <w:lang w:val="ga"/>
              </w:rPr>
              <w:t>20</w:t>
            </w:r>
          </w:p>
        </w:tc>
        <w:tc>
          <w:tcPr>
            <w:tcW w:w="1559" w:type="dxa"/>
          </w:tcPr>
          <w:p w14:paraId="3B1F782C" w14:textId="7ABAC551" w:rsidR="009C43B1" w:rsidRPr="00D51778" w:rsidRDefault="009C43B1" w:rsidP="00F01992">
            <w:pPr>
              <w:pStyle w:val="TableCell"/>
              <w:jc w:val="right"/>
              <w:rPr>
                <w:sz w:val="22"/>
                <w:szCs w:val="22"/>
              </w:rPr>
            </w:pPr>
            <w:r w:rsidRPr="00D51778">
              <w:rPr>
                <w:rFonts w:cs="Calibri"/>
                <w:color w:val="000000"/>
                <w:sz w:val="22"/>
                <w:szCs w:val="22"/>
                <w:lang w:val="ga"/>
              </w:rPr>
              <w:t>5.3%</w:t>
            </w:r>
          </w:p>
        </w:tc>
        <w:tc>
          <w:tcPr>
            <w:tcW w:w="1418" w:type="dxa"/>
          </w:tcPr>
          <w:p w14:paraId="4151F225" w14:textId="44F65692" w:rsidR="009C43B1" w:rsidRPr="00D51778" w:rsidRDefault="009C43B1" w:rsidP="00F01992">
            <w:pPr>
              <w:jc w:val="right"/>
              <w:rPr>
                <w:sz w:val="22"/>
                <w:szCs w:val="22"/>
              </w:rPr>
            </w:pPr>
            <w:r w:rsidRPr="00D51778">
              <w:rPr>
                <w:rFonts w:cs="Calibri"/>
                <w:color w:val="000000"/>
                <w:sz w:val="22"/>
                <w:szCs w:val="22"/>
                <w:lang w:val="ga"/>
              </w:rPr>
              <w:t>494</w:t>
            </w:r>
          </w:p>
        </w:tc>
        <w:tc>
          <w:tcPr>
            <w:tcW w:w="1417" w:type="dxa"/>
          </w:tcPr>
          <w:p w14:paraId="7FC35E30" w14:textId="7FDD95C9" w:rsidR="009C43B1" w:rsidRPr="00D51778" w:rsidRDefault="009C43B1" w:rsidP="00F01992">
            <w:pPr>
              <w:jc w:val="right"/>
              <w:rPr>
                <w:sz w:val="22"/>
                <w:szCs w:val="22"/>
              </w:rPr>
            </w:pPr>
            <w:r w:rsidRPr="00D51778">
              <w:rPr>
                <w:rFonts w:cs="Calibri"/>
                <w:color w:val="000000"/>
                <w:sz w:val="22"/>
                <w:szCs w:val="22"/>
                <w:lang w:val="ga"/>
              </w:rPr>
              <w:t>43</w:t>
            </w:r>
          </w:p>
        </w:tc>
        <w:tc>
          <w:tcPr>
            <w:tcW w:w="1560" w:type="dxa"/>
          </w:tcPr>
          <w:p w14:paraId="05015519" w14:textId="3E7CD4CC" w:rsidR="009C43B1" w:rsidRPr="00D51778" w:rsidRDefault="009C43B1" w:rsidP="00F01992">
            <w:pPr>
              <w:jc w:val="right"/>
              <w:rPr>
                <w:sz w:val="22"/>
                <w:szCs w:val="22"/>
              </w:rPr>
            </w:pPr>
            <w:r w:rsidRPr="00D51778">
              <w:rPr>
                <w:rFonts w:cs="Calibri"/>
                <w:color w:val="000000"/>
                <w:sz w:val="22"/>
                <w:szCs w:val="22"/>
                <w:lang w:val="ga"/>
              </w:rPr>
              <w:t>8.7%</w:t>
            </w:r>
          </w:p>
        </w:tc>
      </w:tr>
      <w:tr w:rsidR="009C43B1" w:rsidRPr="00D51778" w14:paraId="44073D63" w14:textId="77777777" w:rsidTr="00FD4D06">
        <w:tc>
          <w:tcPr>
            <w:tcW w:w="1701" w:type="dxa"/>
          </w:tcPr>
          <w:p w14:paraId="339B403B" w14:textId="14E95691" w:rsidR="009C43B1" w:rsidRPr="00D51778" w:rsidRDefault="009C43B1" w:rsidP="00634303">
            <w:pPr>
              <w:rPr>
                <w:sz w:val="22"/>
                <w:szCs w:val="22"/>
              </w:rPr>
            </w:pPr>
            <w:r w:rsidRPr="00D51778">
              <w:rPr>
                <w:rFonts w:cs="Calibri"/>
                <w:color w:val="000000"/>
                <w:sz w:val="22"/>
                <w:szCs w:val="22"/>
                <w:lang w:val="ga"/>
              </w:rPr>
              <w:t>An Roinn Cosanta</w:t>
            </w:r>
          </w:p>
        </w:tc>
        <w:tc>
          <w:tcPr>
            <w:tcW w:w="1701" w:type="dxa"/>
          </w:tcPr>
          <w:p w14:paraId="65FBD4CC" w14:textId="703096D5" w:rsidR="009C43B1" w:rsidRPr="00D51778" w:rsidRDefault="009C43B1" w:rsidP="00F01992">
            <w:pPr>
              <w:pStyle w:val="TableCell"/>
              <w:jc w:val="right"/>
              <w:rPr>
                <w:sz w:val="22"/>
                <w:szCs w:val="22"/>
              </w:rPr>
            </w:pPr>
            <w:r w:rsidRPr="00D51778">
              <w:rPr>
                <w:rFonts w:cs="Calibri"/>
                <w:color w:val="000000"/>
                <w:sz w:val="22"/>
                <w:szCs w:val="22"/>
                <w:lang w:val="ga"/>
              </w:rPr>
              <w:t>374</w:t>
            </w:r>
          </w:p>
        </w:tc>
        <w:tc>
          <w:tcPr>
            <w:tcW w:w="1843" w:type="dxa"/>
          </w:tcPr>
          <w:p w14:paraId="091F8D40" w14:textId="6371551C" w:rsidR="009C43B1" w:rsidRPr="00D51778" w:rsidRDefault="009C43B1" w:rsidP="00F01992">
            <w:pPr>
              <w:pStyle w:val="TableCell"/>
              <w:jc w:val="right"/>
              <w:rPr>
                <w:sz w:val="22"/>
                <w:szCs w:val="22"/>
              </w:rPr>
            </w:pPr>
            <w:r w:rsidRPr="00D51778">
              <w:rPr>
                <w:rFonts w:cs="Calibri"/>
                <w:color w:val="000000"/>
                <w:sz w:val="22"/>
                <w:szCs w:val="22"/>
                <w:lang w:val="ga"/>
              </w:rPr>
              <w:t>16</w:t>
            </w:r>
          </w:p>
        </w:tc>
        <w:tc>
          <w:tcPr>
            <w:tcW w:w="1559" w:type="dxa"/>
          </w:tcPr>
          <w:p w14:paraId="1A7A7C63" w14:textId="6A309C80" w:rsidR="009C43B1" w:rsidRPr="00D51778" w:rsidRDefault="009C43B1" w:rsidP="00F01992">
            <w:pPr>
              <w:pStyle w:val="TableCell"/>
              <w:jc w:val="right"/>
              <w:rPr>
                <w:sz w:val="22"/>
                <w:szCs w:val="22"/>
              </w:rPr>
            </w:pPr>
            <w:r w:rsidRPr="00D51778">
              <w:rPr>
                <w:rFonts w:cs="Calibri"/>
                <w:color w:val="000000"/>
                <w:sz w:val="22"/>
                <w:szCs w:val="22"/>
                <w:lang w:val="ga"/>
              </w:rPr>
              <w:t>4.3%</w:t>
            </w:r>
          </w:p>
        </w:tc>
        <w:tc>
          <w:tcPr>
            <w:tcW w:w="1418" w:type="dxa"/>
          </w:tcPr>
          <w:p w14:paraId="680294EA" w14:textId="3963F7FB" w:rsidR="009C43B1" w:rsidRPr="00D51778" w:rsidRDefault="009C43B1" w:rsidP="00F01992">
            <w:pPr>
              <w:jc w:val="right"/>
              <w:rPr>
                <w:sz w:val="22"/>
                <w:szCs w:val="22"/>
              </w:rPr>
            </w:pPr>
            <w:r w:rsidRPr="00D51778">
              <w:rPr>
                <w:rFonts w:cs="Calibri"/>
                <w:color w:val="000000"/>
                <w:sz w:val="22"/>
                <w:szCs w:val="22"/>
                <w:lang w:val="ga"/>
              </w:rPr>
              <w:t>386</w:t>
            </w:r>
          </w:p>
        </w:tc>
        <w:tc>
          <w:tcPr>
            <w:tcW w:w="1417" w:type="dxa"/>
          </w:tcPr>
          <w:p w14:paraId="4617C2A1" w14:textId="72C8465D" w:rsidR="009C43B1" w:rsidRPr="00D51778" w:rsidRDefault="009C43B1" w:rsidP="00F01992">
            <w:pPr>
              <w:jc w:val="right"/>
              <w:rPr>
                <w:sz w:val="22"/>
                <w:szCs w:val="22"/>
              </w:rPr>
            </w:pPr>
            <w:r w:rsidRPr="00D51778">
              <w:rPr>
                <w:rFonts w:cs="Calibri"/>
                <w:color w:val="000000"/>
                <w:sz w:val="22"/>
                <w:szCs w:val="22"/>
                <w:lang w:val="ga"/>
              </w:rPr>
              <w:t>18</w:t>
            </w:r>
          </w:p>
        </w:tc>
        <w:tc>
          <w:tcPr>
            <w:tcW w:w="1560" w:type="dxa"/>
          </w:tcPr>
          <w:p w14:paraId="18926A5D" w14:textId="55FC6382" w:rsidR="009C43B1" w:rsidRPr="00D51778" w:rsidRDefault="009C43B1" w:rsidP="00F01992">
            <w:pPr>
              <w:jc w:val="right"/>
              <w:rPr>
                <w:sz w:val="22"/>
                <w:szCs w:val="22"/>
              </w:rPr>
            </w:pPr>
            <w:r w:rsidRPr="00D51778">
              <w:rPr>
                <w:rFonts w:cs="Calibri"/>
                <w:color w:val="000000"/>
                <w:sz w:val="22"/>
                <w:szCs w:val="22"/>
                <w:lang w:val="ga"/>
              </w:rPr>
              <w:t>4.7%</w:t>
            </w:r>
          </w:p>
        </w:tc>
      </w:tr>
      <w:tr w:rsidR="009C43B1" w:rsidRPr="00D51778" w14:paraId="0AB8FCD8" w14:textId="77777777" w:rsidTr="00FD4D06">
        <w:tc>
          <w:tcPr>
            <w:tcW w:w="1701" w:type="dxa"/>
          </w:tcPr>
          <w:p w14:paraId="393C0B16" w14:textId="56AAC4F4" w:rsidR="009C43B1" w:rsidRPr="00D51778" w:rsidRDefault="009C43B1" w:rsidP="00634303">
            <w:pPr>
              <w:rPr>
                <w:sz w:val="22"/>
                <w:szCs w:val="22"/>
              </w:rPr>
            </w:pPr>
            <w:r w:rsidRPr="00D51778">
              <w:rPr>
                <w:rFonts w:cs="Calibri"/>
                <w:color w:val="000000"/>
                <w:sz w:val="22"/>
                <w:szCs w:val="22"/>
                <w:lang w:val="ga"/>
              </w:rPr>
              <w:t>An Roinn Cosanta - Fostaithe is Sibhialtaigh</w:t>
            </w:r>
          </w:p>
        </w:tc>
        <w:tc>
          <w:tcPr>
            <w:tcW w:w="1701" w:type="dxa"/>
          </w:tcPr>
          <w:p w14:paraId="4F820B81" w14:textId="13176E4E" w:rsidR="009C43B1" w:rsidRPr="00D51778" w:rsidRDefault="009C43B1" w:rsidP="00F01992">
            <w:pPr>
              <w:pStyle w:val="TableCell"/>
              <w:jc w:val="right"/>
              <w:rPr>
                <w:sz w:val="22"/>
                <w:szCs w:val="22"/>
              </w:rPr>
            </w:pPr>
            <w:r w:rsidRPr="00D51778">
              <w:rPr>
                <w:rFonts w:cs="Calibri"/>
                <w:color w:val="000000"/>
                <w:sz w:val="22"/>
                <w:szCs w:val="22"/>
                <w:lang w:val="ga"/>
              </w:rPr>
              <w:t>455</w:t>
            </w:r>
          </w:p>
        </w:tc>
        <w:tc>
          <w:tcPr>
            <w:tcW w:w="1843" w:type="dxa"/>
          </w:tcPr>
          <w:p w14:paraId="4B003CC3" w14:textId="0DDAFD6C" w:rsidR="009C43B1" w:rsidRPr="00D51778" w:rsidRDefault="009C43B1" w:rsidP="00F01992">
            <w:pPr>
              <w:pStyle w:val="TableCell"/>
              <w:jc w:val="right"/>
              <w:rPr>
                <w:sz w:val="22"/>
                <w:szCs w:val="22"/>
              </w:rPr>
            </w:pPr>
            <w:r w:rsidRPr="00D51778">
              <w:rPr>
                <w:rFonts w:cs="Calibri"/>
                <w:color w:val="000000"/>
                <w:sz w:val="22"/>
                <w:szCs w:val="22"/>
                <w:lang w:val="ga"/>
              </w:rPr>
              <w:t>28</w:t>
            </w:r>
          </w:p>
        </w:tc>
        <w:tc>
          <w:tcPr>
            <w:tcW w:w="1559" w:type="dxa"/>
          </w:tcPr>
          <w:p w14:paraId="6327EA11" w14:textId="65F0BFE0" w:rsidR="009C43B1" w:rsidRPr="00D51778" w:rsidRDefault="009C43B1" w:rsidP="00F01992">
            <w:pPr>
              <w:pStyle w:val="TableCell"/>
              <w:jc w:val="right"/>
              <w:rPr>
                <w:sz w:val="22"/>
                <w:szCs w:val="22"/>
              </w:rPr>
            </w:pPr>
            <w:r w:rsidRPr="00D51778">
              <w:rPr>
                <w:rFonts w:cs="Calibri"/>
                <w:color w:val="000000"/>
                <w:sz w:val="22"/>
                <w:szCs w:val="22"/>
                <w:lang w:val="ga"/>
              </w:rPr>
              <w:t>6.2%</w:t>
            </w:r>
          </w:p>
        </w:tc>
        <w:tc>
          <w:tcPr>
            <w:tcW w:w="1418" w:type="dxa"/>
          </w:tcPr>
          <w:p w14:paraId="0D4B773B" w14:textId="4B2D22F6" w:rsidR="009C43B1" w:rsidRPr="00D51778" w:rsidRDefault="009C43B1" w:rsidP="00F01992">
            <w:pPr>
              <w:jc w:val="right"/>
              <w:rPr>
                <w:sz w:val="22"/>
                <w:szCs w:val="22"/>
              </w:rPr>
            </w:pPr>
            <w:r w:rsidRPr="00D51778">
              <w:rPr>
                <w:rFonts w:cs="Calibri"/>
                <w:color w:val="000000"/>
                <w:sz w:val="22"/>
                <w:szCs w:val="22"/>
                <w:lang w:val="ga"/>
              </w:rPr>
              <w:t>451</w:t>
            </w:r>
          </w:p>
        </w:tc>
        <w:tc>
          <w:tcPr>
            <w:tcW w:w="1417" w:type="dxa"/>
          </w:tcPr>
          <w:p w14:paraId="2329B8E0" w14:textId="084051DA" w:rsidR="009C43B1" w:rsidRPr="00D51778" w:rsidRDefault="009C43B1" w:rsidP="00F01992">
            <w:pPr>
              <w:jc w:val="right"/>
              <w:rPr>
                <w:sz w:val="22"/>
                <w:szCs w:val="22"/>
              </w:rPr>
            </w:pPr>
            <w:r w:rsidRPr="00D51778">
              <w:rPr>
                <w:rFonts w:cs="Calibri"/>
                <w:color w:val="000000"/>
                <w:sz w:val="22"/>
                <w:szCs w:val="22"/>
                <w:lang w:val="ga"/>
              </w:rPr>
              <w:t>28</w:t>
            </w:r>
          </w:p>
        </w:tc>
        <w:tc>
          <w:tcPr>
            <w:tcW w:w="1560" w:type="dxa"/>
          </w:tcPr>
          <w:p w14:paraId="12A623D2" w14:textId="4E82646B" w:rsidR="009C43B1" w:rsidRPr="00D51778" w:rsidRDefault="009C43B1" w:rsidP="00F01992">
            <w:pPr>
              <w:jc w:val="right"/>
              <w:rPr>
                <w:sz w:val="22"/>
                <w:szCs w:val="22"/>
              </w:rPr>
            </w:pPr>
            <w:r w:rsidRPr="00D51778">
              <w:rPr>
                <w:rFonts w:cs="Calibri"/>
                <w:color w:val="000000"/>
                <w:sz w:val="22"/>
                <w:szCs w:val="22"/>
                <w:lang w:val="ga"/>
              </w:rPr>
              <w:t>6.2%</w:t>
            </w:r>
          </w:p>
        </w:tc>
      </w:tr>
      <w:tr w:rsidR="009C43B1" w:rsidRPr="00D51778" w14:paraId="25FB28D5" w14:textId="77777777" w:rsidTr="00FD4D06">
        <w:tc>
          <w:tcPr>
            <w:tcW w:w="1701" w:type="dxa"/>
          </w:tcPr>
          <w:p w14:paraId="042150E1" w14:textId="7052A688" w:rsidR="009C43B1" w:rsidRPr="00D51778" w:rsidRDefault="009C43B1" w:rsidP="00634303">
            <w:pPr>
              <w:rPr>
                <w:sz w:val="22"/>
                <w:szCs w:val="22"/>
              </w:rPr>
            </w:pPr>
            <w:r w:rsidRPr="00D51778">
              <w:rPr>
                <w:rFonts w:cs="Calibri"/>
                <w:color w:val="000000"/>
                <w:sz w:val="22"/>
                <w:szCs w:val="22"/>
                <w:lang w:val="ga"/>
              </w:rPr>
              <w:t>An Roinn Oideachais</w:t>
            </w:r>
          </w:p>
        </w:tc>
        <w:tc>
          <w:tcPr>
            <w:tcW w:w="1701" w:type="dxa"/>
          </w:tcPr>
          <w:p w14:paraId="0D286FAE" w14:textId="74421CDF" w:rsidR="009C43B1" w:rsidRPr="00D51778" w:rsidRDefault="009C43B1" w:rsidP="00F01992">
            <w:pPr>
              <w:pStyle w:val="TableCell"/>
              <w:jc w:val="right"/>
              <w:rPr>
                <w:sz w:val="22"/>
                <w:szCs w:val="22"/>
              </w:rPr>
            </w:pPr>
            <w:r w:rsidRPr="00D51778">
              <w:rPr>
                <w:rFonts w:cs="Calibri"/>
                <w:color w:val="000000"/>
                <w:sz w:val="22"/>
                <w:szCs w:val="22"/>
                <w:lang w:val="ga"/>
              </w:rPr>
              <w:t>1,367</w:t>
            </w:r>
          </w:p>
        </w:tc>
        <w:tc>
          <w:tcPr>
            <w:tcW w:w="1843" w:type="dxa"/>
          </w:tcPr>
          <w:p w14:paraId="63511291" w14:textId="2538E171" w:rsidR="009C43B1" w:rsidRPr="00D51778" w:rsidRDefault="009C43B1" w:rsidP="00F01992">
            <w:pPr>
              <w:pStyle w:val="TableCell"/>
              <w:jc w:val="right"/>
              <w:rPr>
                <w:sz w:val="22"/>
                <w:szCs w:val="22"/>
              </w:rPr>
            </w:pPr>
            <w:r w:rsidRPr="00D51778">
              <w:rPr>
                <w:rFonts w:cs="Calibri"/>
                <w:color w:val="000000"/>
                <w:sz w:val="22"/>
                <w:szCs w:val="22"/>
                <w:lang w:val="ga"/>
              </w:rPr>
              <w:t>49</w:t>
            </w:r>
          </w:p>
        </w:tc>
        <w:tc>
          <w:tcPr>
            <w:tcW w:w="1559" w:type="dxa"/>
          </w:tcPr>
          <w:p w14:paraId="384232E5" w14:textId="5FFDEB5C" w:rsidR="009C43B1" w:rsidRPr="00D51778" w:rsidRDefault="009C43B1" w:rsidP="00F01992">
            <w:pPr>
              <w:pStyle w:val="TableCell"/>
              <w:jc w:val="right"/>
              <w:rPr>
                <w:sz w:val="22"/>
                <w:szCs w:val="22"/>
              </w:rPr>
            </w:pPr>
            <w:r w:rsidRPr="00D51778">
              <w:rPr>
                <w:rFonts w:cs="Calibri"/>
                <w:color w:val="000000"/>
                <w:sz w:val="22"/>
                <w:szCs w:val="22"/>
                <w:lang w:val="ga"/>
              </w:rPr>
              <w:t>3.6%</w:t>
            </w:r>
          </w:p>
        </w:tc>
        <w:tc>
          <w:tcPr>
            <w:tcW w:w="1418" w:type="dxa"/>
          </w:tcPr>
          <w:p w14:paraId="5EA75C72" w14:textId="1979CEAA" w:rsidR="009C43B1" w:rsidRPr="00D51778" w:rsidRDefault="009C43B1" w:rsidP="00F01992">
            <w:pPr>
              <w:jc w:val="right"/>
              <w:rPr>
                <w:sz w:val="22"/>
                <w:szCs w:val="22"/>
              </w:rPr>
            </w:pPr>
            <w:r w:rsidRPr="00D51778">
              <w:rPr>
                <w:rFonts w:cs="Calibri"/>
                <w:color w:val="000000"/>
                <w:sz w:val="22"/>
                <w:szCs w:val="22"/>
                <w:lang w:val="ga"/>
              </w:rPr>
              <w:t>1,569</w:t>
            </w:r>
          </w:p>
        </w:tc>
        <w:tc>
          <w:tcPr>
            <w:tcW w:w="1417" w:type="dxa"/>
          </w:tcPr>
          <w:p w14:paraId="559278C6" w14:textId="2690D99C" w:rsidR="009C43B1" w:rsidRPr="00D51778" w:rsidRDefault="009C43B1" w:rsidP="00F01992">
            <w:pPr>
              <w:jc w:val="right"/>
              <w:rPr>
                <w:sz w:val="22"/>
                <w:szCs w:val="22"/>
              </w:rPr>
            </w:pPr>
            <w:r w:rsidRPr="00D51778">
              <w:rPr>
                <w:rFonts w:cs="Calibri"/>
                <w:color w:val="000000"/>
                <w:sz w:val="22"/>
                <w:szCs w:val="22"/>
                <w:lang w:val="ga"/>
              </w:rPr>
              <w:t>48</w:t>
            </w:r>
          </w:p>
        </w:tc>
        <w:tc>
          <w:tcPr>
            <w:tcW w:w="1560" w:type="dxa"/>
          </w:tcPr>
          <w:p w14:paraId="6F302B54" w14:textId="7B532FD0" w:rsidR="009C43B1" w:rsidRPr="00D51778" w:rsidRDefault="009C43B1" w:rsidP="00F01992">
            <w:pPr>
              <w:jc w:val="right"/>
              <w:rPr>
                <w:sz w:val="22"/>
                <w:szCs w:val="22"/>
              </w:rPr>
            </w:pPr>
            <w:r w:rsidRPr="00D51778">
              <w:rPr>
                <w:rFonts w:cs="Calibri"/>
                <w:color w:val="000000"/>
                <w:sz w:val="22"/>
                <w:szCs w:val="22"/>
                <w:lang w:val="ga"/>
              </w:rPr>
              <w:t>3.1%</w:t>
            </w:r>
          </w:p>
        </w:tc>
      </w:tr>
      <w:tr w:rsidR="009C43B1" w:rsidRPr="00D51778" w14:paraId="384F82A5" w14:textId="77777777" w:rsidTr="00FD4D06">
        <w:tc>
          <w:tcPr>
            <w:tcW w:w="1701" w:type="dxa"/>
          </w:tcPr>
          <w:p w14:paraId="3D180929" w14:textId="2DCBA87E" w:rsidR="009C43B1" w:rsidRPr="00D51778" w:rsidRDefault="009C43B1" w:rsidP="00634303">
            <w:pPr>
              <w:rPr>
                <w:sz w:val="22"/>
                <w:szCs w:val="22"/>
              </w:rPr>
            </w:pPr>
            <w:r w:rsidRPr="00D51778">
              <w:rPr>
                <w:rFonts w:cs="Calibri"/>
                <w:color w:val="000000"/>
                <w:sz w:val="22"/>
                <w:szCs w:val="22"/>
                <w:lang w:val="ga"/>
              </w:rPr>
              <w:t xml:space="preserve">An Roinn Fiontar, Trádála agus Fostaíochta </w:t>
            </w:r>
          </w:p>
        </w:tc>
        <w:tc>
          <w:tcPr>
            <w:tcW w:w="1701" w:type="dxa"/>
          </w:tcPr>
          <w:p w14:paraId="5E2451D2" w14:textId="6EAE42B6" w:rsidR="009C43B1" w:rsidRPr="00D51778" w:rsidRDefault="009C43B1" w:rsidP="00F01992">
            <w:pPr>
              <w:pStyle w:val="TableCell"/>
              <w:jc w:val="right"/>
              <w:rPr>
                <w:rFonts w:cs="Arial"/>
                <w:sz w:val="22"/>
                <w:szCs w:val="22"/>
              </w:rPr>
            </w:pPr>
            <w:r w:rsidRPr="00D51778">
              <w:rPr>
                <w:rFonts w:cs="Calibri"/>
                <w:color w:val="000000"/>
                <w:sz w:val="22"/>
                <w:szCs w:val="22"/>
                <w:lang w:val="ga"/>
              </w:rPr>
              <w:t>923</w:t>
            </w:r>
          </w:p>
        </w:tc>
        <w:tc>
          <w:tcPr>
            <w:tcW w:w="1843" w:type="dxa"/>
          </w:tcPr>
          <w:p w14:paraId="3263BCA8" w14:textId="122D714A" w:rsidR="009C43B1" w:rsidRPr="00D51778" w:rsidRDefault="009C43B1" w:rsidP="00F01992">
            <w:pPr>
              <w:pStyle w:val="TableCell"/>
              <w:jc w:val="right"/>
              <w:rPr>
                <w:rFonts w:cs="Arial"/>
                <w:sz w:val="22"/>
                <w:szCs w:val="22"/>
              </w:rPr>
            </w:pPr>
            <w:r w:rsidRPr="00D51778">
              <w:rPr>
                <w:rFonts w:cs="Calibri"/>
                <w:color w:val="000000"/>
                <w:sz w:val="22"/>
                <w:szCs w:val="22"/>
                <w:lang w:val="ga"/>
              </w:rPr>
              <w:t>43</w:t>
            </w:r>
          </w:p>
        </w:tc>
        <w:tc>
          <w:tcPr>
            <w:tcW w:w="1559" w:type="dxa"/>
          </w:tcPr>
          <w:p w14:paraId="37494AEE" w14:textId="2B3B1359" w:rsidR="009C43B1" w:rsidRPr="00D51778" w:rsidRDefault="009C43B1" w:rsidP="00F01992">
            <w:pPr>
              <w:pStyle w:val="TableCell"/>
              <w:jc w:val="right"/>
              <w:rPr>
                <w:rFonts w:cs="Arial"/>
                <w:sz w:val="22"/>
                <w:szCs w:val="22"/>
              </w:rPr>
            </w:pPr>
            <w:r w:rsidRPr="00D51778">
              <w:rPr>
                <w:rFonts w:cs="Calibri"/>
                <w:color w:val="000000"/>
                <w:sz w:val="22"/>
                <w:szCs w:val="22"/>
                <w:lang w:val="ga"/>
              </w:rPr>
              <w:t>4.7%</w:t>
            </w:r>
          </w:p>
        </w:tc>
        <w:tc>
          <w:tcPr>
            <w:tcW w:w="1418" w:type="dxa"/>
          </w:tcPr>
          <w:p w14:paraId="11CC5465" w14:textId="15701D90" w:rsidR="009C43B1" w:rsidRPr="00D51778" w:rsidRDefault="009C43B1" w:rsidP="00F01992">
            <w:pPr>
              <w:jc w:val="right"/>
              <w:rPr>
                <w:sz w:val="22"/>
                <w:szCs w:val="22"/>
              </w:rPr>
            </w:pPr>
            <w:r w:rsidRPr="00D51778">
              <w:rPr>
                <w:rFonts w:cs="Calibri"/>
                <w:color w:val="000000"/>
                <w:sz w:val="22"/>
                <w:szCs w:val="22"/>
                <w:lang w:val="ga"/>
              </w:rPr>
              <w:t>960</w:t>
            </w:r>
          </w:p>
        </w:tc>
        <w:tc>
          <w:tcPr>
            <w:tcW w:w="1417" w:type="dxa"/>
          </w:tcPr>
          <w:p w14:paraId="66CE688D" w14:textId="1DF8FF1B" w:rsidR="009C43B1" w:rsidRPr="00D51778" w:rsidRDefault="009C43B1" w:rsidP="00F01992">
            <w:pPr>
              <w:jc w:val="right"/>
              <w:rPr>
                <w:sz w:val="22"/>
                <w:szCs w:val="22"/>
              </w:rPr>
            </w:pPr>
            <w:r w:rsidRPr="00D51778">
              <w:rPr>
                <w:rFonts w:cs="Calibri"/>
                <w:color w:val="000000"/>
                <w:sz w:val="22"/>
                <w:szCs w:val="22"/>
                <w:lang w:val="ga"/>
              </w:rPr>
              <w:t>78</w:t>
            </w:r>
          </w:p>
        </w:tc>
        <w:tc>
          <w:tcPr>
            <w:tcW w:w="1560" w:type="dxa"/>
          </w:tcPr>
          <w:p w14:paraId="178DDC77" w14:textId="415E41B0" w:rsidR="009C43B1" w:rsidRPr="00D51778" w:rsidRDefault="009C43B1" w:rsidP="00F01992">
            <w:pPr>
              <w:jc w:val="right"/>
              <w:rPr>
                <w:sz w:val="22"/>
                <w:szCs w:val="22"/>
              </w:rPr>
            </w:pPr>
            <w:r w:rsidRPr="00D51778">
              <w:rPr>
                <w:rFonts w:cs="Calibri"/>
                <w:color w:val="000000"/>
                <w:sz w:val="22"/>
                <w:szCs w:val="22"/>
                <w:lang w:val="ga"/>
              </w:rPr>
              <w:t>8.1%</w:t>
            </w:r>
          </w:p>
        </w:tc>
      </w:tr>
      <w:tr w:rsidR="009C43B1" w:rsidRPr="00D51778" w14:paraId="062C590F" w14:textId="77777777" w:rsidTr="00FD4D06">
        <w:tc>
          <w:tcPr>
            <w:tcW w:w="1701" w:type="dxa"/>
          </w:tcPr>
          <w:p w14:paraId="54E2719D" w14:textId="790BB1A0" w:rsidR="009C43B1" w:rsidRPr="00D51778" w:rsidRDefault="009C43B1" w:rsidP="00634303">
            <w:pPr>
              <w:rPr>
                <w:sz w:val="22"/>
                <w:szCs w:val="22"/>
              </w:rPr>
            </w:pPr>
            <w:r w:rsidRPr="00D51778">
              <w:rPr>
                <w:rFonts w:cs="Calibri"/>
                <w:color w:val="000000"/>
                <w:sz w:val="22"/>
                <w:szCs w:val="22"/>
                <w:lang w:val="ga"/>
              </w:rPr>
              <w:t>An Roinn Airgeadais</w:t>
            </w:r>
          </w:p>
        </w:tc>
        <w:tc>
          <w:tcPr>
            <w:tcW w:w="1701" w:type="dxa"/>
          </w:tcPr>
          <w:p w14:paraId="0E2D6410" w14:textId="2E424411" w:rsidR="009C43B1" w:rsidRPr="00D51778" w:rsidRDefault="009C43B1" w:rsidP="00F01992">
            <w:pPr>
              <w:pStyle w:val="TableCell"/>
              <w:jc w:val="right"/>
              <w:rPr>
                <w:rFonts w:cs="Arial"/>
                <w:sz w:val="22"/>
                <w:szCs w:val="22"/>
              </w:rPr>
            </w:pPr>
            <w:r w:rsidRPr="00D51778">
              <w:rPr>
                <w:rFonts w:cs="Calibri"/>
                <w:color w:val="000000"/>
                <w:sz w:val="22"/>
                <w:szCs w:val="22"/>
                <w:lang w:val="ga"/>
              </w:rPr>
              <w:t>320</w:t>
            </w:r>
          </w:p>
        </w:tc>
        <w:tc>
          <w:tcPr>
            <w:tcW w:w="1843" w:type="dxa"/>
          </w:tcPr>
          <w:p w14:paraId="7E646CFC" w14:textId="745FD110" w:rsidR="009C43B1" w:rsidRPr="00D51778" w:rsidRDefault="009C43B1" w:rsidP="00F01992">
            <w:pPr>
              <w:pStyle w:val="TableCell"/>
              <w:jc w:val="right"/>
              <w:rPr>
                <w:rFonts w:cs="Arial"/>
                <w:sz w:val="22"/>
                <w:szCs w:val="22"/>
              </w:rPr>
            </w:pPr>
            <w:r w:rsidRPr="00D51778">
              <w:rPr>
                <w:rFonts w:cs="Calibri"/>
                <w:color w:val="000000"/>
                <w:sz w:val="22"/>
                <w:szCs w:val="22"/>
                <w:lang w:val="ga"/>
              </w:rPr>
              <w:t>14</w:t>
            </w:r>
          </w:p>
        </w:tc>
        <w:tc>
          <w:tcPr>
            <w:tcW w:w="1559" w:type="dxa"/>
          </w:tcPr>
          <w:p w14:paraId="6DB60212" w14:textId="1461F887" w:rsidR="009C43B1" w:rsidRPr="00D51778" w:rsidRDefault="009C43B1" w:rsidP="00F01992">
            <w:pPr>
              <w:pStyle w:val="TableCell"/>
              <w:jc w:val="right"/>
              <w:rPr>
                <w:rFonts w:cs="Arial"/>
                <w:sz w:val="22"/>
                <w:szCs w:val="22"/>
              </w:rPr>
            </w:pPr>
            <w:r w:rsidRPr="00D51778">
              <w:rPr>
                <w:rFonts w:cs="Calibri"/>
                <w:color w:val="000000"/>
                <w:sz w:val="22"/>
                <w:szCs w:val="22"/>
                <w:lang w:val="ga"/>
              </w:rPr>
              <w:t>4.4%</w:t>
            </w:r>
          </w:p>
        </w:tc>
        <w:tc>
          <w:tcPr>
            <w:tcW w:w="1418" w:type="dxa"/>
          </w:tcPr>
          <w:p w14:paraId="7A7A568F" w14:textId="092AECF7" w:rsidR="009C43B1" w:rsidRPr="00D51778" w:rsidRDefault="009C43B1" w:rsidP="00F01992">
            <w:pPr>
              <w:jc w:val="right"/>
              <w:rPr>
                <w:sz w:val="22"/>
                <w:szCs w:val="22"/>
              </w:rPr>
            </w:pPr>
            <w:r w:rsidRPr="00D51778">
              <w:rPr>
                <w:rFonts w:cs="Calibri"/>
                <w:color w:val="000000"/>
                <w:sz w:val="22"/>
                <w:szCs w:val="22"/>
                <w:lang w:val="ga"/>
              </w:rPr>
              <w:t>331</w:t>
            </w:r>
          </w:p>
        </w:tc>
        <w:tc>
          <w:tcPr>
            <w:tcW w:w="1417" w:type="dxa"/>
          </w:tcPr>
          <w:p w14:paraId="4257AD0D" w14:textId="745F6295" w:rsidR="009C43B1" w:rsidRPr="00D51778" w:rsidRDefault="009C43B1" w:rsidP="00F01992">
            <w:pPr>
              <w:jc w:val="right"/>
              <w:rPr>
                <w:sz w:val="22"/>
                <w:szCs w:val="22"/>
              </w:rPr>
            </w:pPr>
            <w:r w:rsidRPr="00D51778">
              <w:rPr>
                <w:rFonts w:cs="Calibri"/>
                <w:color w:val="000000"/>
                <w:sz w:val="22"/>
                <w:szCs w:val="22"/>
                <w:lang w:val="ga"/>
              </w:rPr>
              <w:t>16</w:t>
            </w:r>
          </w:p>
        </w:tc>
        <w:tc>
          <w:tcPr>
            <w:tcW w:w="1560" w:type="dxa"/>
          </w:tcPr>
          <w:p w14:paraId="3896A45D" w14:textId="580AD1FB" w:rsidR="009C43B1" w:rsidRPr="00D51778" w:rsidRDefault="009C43B1" w:rsidP="00F01992">
            <w:pPr>
              <w:jc w:val="right"/>
              <w:rPr>
                <w:sz w:val="22"/>
                <w:szCs w:val="22"/>
              </w:rPr>
            </w:pPr>
            <w:r w:rsidRPr="00D51778">
              <w:rPr>
                <w:rFonts w:cs="Calibri"/>
                <w:color w:val="000000"/>
                <w:sz w:val="22"/>
                <w:szCs w:val="22"/>
                <w:lang w:val="ga"/>
              </w:rPr>
              <w:t>4.8%</w:t>
            </w:r>
          </w:p>
        </w:tc>
      </w:tr>
      <w:tr w:rsidR="009C43B1" w:rsidRPr="00D51778" w14:paraId="6C680A50" w14:textId="77777777" w:rsidTr="00FD4D06">
        <w:tc>
          <w:tcPr>
            <w:tcW w:w="1701" w:type="dxa"/>
          </w:tcPr>
          <w:p w14:paraId="2BE4F429" w14:textId="50AA4EBF" w:rsidR="009C43B1" w:rsidRPr="00D51778" w:rsidRDefault="009C43B1" w:rsidP="00634303">
            <w:pPr>
              <w:rPr>
                <w:sz w:val="22"/>
                <w:szCs w:val="22"/>
              </w:rPr>
            </w:pPr>
            <w:r w:rsidRPr="00D51778">
              <w:rPr>
                <w:rFonts w:cs="Calibri"/>
                <w:color w:val="000000"/>
                <w:sz w:val="22"/>
                <w:szCs w:val="22"/>
                <w:lang w:val="ga"/>
              </w:rPr>
              <w:t>An Roinn Gnóthaí Eachtracha</w:t>
            </w:r>
          </w:p>
        </w:tc>
        <w:tc>
          <w:tcPr>
            <w:tcW w:w="1701" w:type="dxa"/>
          </w:tcPr>
          <w:p w14:paraId="0977921A" w14:textId="67CBAF41" w:rsidR="009C43B1" w:rsidRPr="00D51778" w:rsidRDefault="009C43B1" w:rsidP="00F01992">
            <w:pPr>
              <w:pStyle w:val="TableCell"/>
              <w:jc w:val="right"/>
              <w:rPr>
                <w:rFonts w:cs="Arial"/>
                <w:sz w:val="22"/>
                <w:szCs w:val="22"/>
              </w:rPr>
            </w:pPr>
            <w:r w:rsidRPr="00D51778">
              <w:rPr>
                <w:rFonts w:cs="Calibri"/>
                <w:color w:val="000000"/>
                <w:sz w:val="22"/>
                <w:szCs w:val="22"/>
                <w:lang w:val="ga"/>
              </w:rPr>
              <w:t>2,455</w:t>
            </w:r>
          </w:p>
        </w:tc>
        <w:tc>
          <w:tcPr>
            <w:tcW w:w="1843" w:type="dxa"/>
          </w:tcPr>
          <w:p w14:paraId="4B2CB4AE" w14:textId="1AE440F6" w:rsidR="009C43B1" w:rsidRPr="00D51778" w:rsidRDefault="009C43B1" w:rsidP="00F01992">
            <w:pPr>
              <w:pStyle w:val="TableCell"/>
              <w:jc w:val="right"/>
              <w:rPr>
                <w:rFonts w:cs="Arial"/>
                <w:sz w:val="22"/>
                <w:szCs w:val="22"/>
              </w:rPr>
            </w:pPr>
            <w:r w:rsidRPr="00D51778">
              <w:rPr>
                <w:rFonts w:cs="Calibri"/>
                <w:color w:val="000000"/>
                <w:sz w:val="22"/>
                <w:szCs w:val="22"/>
                <w:lang w:val="ga"/>
              </w:rPr>
              <w:t>129</w:t>
            </w:r>
          </w:p>
        </w:tc>
        <w:tc>
          <w:tcPr>
            <w:tcW w:w="1559" w:type="dxa"/>
          </w:tcPr>
          <w:p w14:paraId="0D1C4AC2" w14:textId="0D88198E" w:rsidR="009C43B1" w:rsidRPr="00D51778" w:rsidRDefault="009C43B1" w:rsidP="00F01992">
            <w:pPr>
              <w:pStyle w:val="TableCell"/>
              <w:jc w:val="right"/>
              <w:rPr>
                <w:rFonts w:cs="Arial"/>
                <w:sz w:val="22"/>
                <w:szCs w:val="22"/>
              </w:rPr>
            </w:pPr>
            <w:r w:rsidRPr="00D51778">
              <w:rPr>
                <w:rFonts w:cs="Calibri"/>
                <w:color w:val="000000"/>
                <w:sz w:val="22"/>
                <w:szCs w:val="22"/>
                <w:lang w:val="ga"/>
              </w:rPr>
              <w:t>5.3%</w:t>
            </w:r>
          </w:p>
        </w:tc>
        <w:tc>
          <w:tcPr>
            <w:tcW w:w="1418" w:type="dxa"/>
          </w:tcPr>
          <w:p w14:paraId="116CBC43" w14:textId="3C3C1034" w:rsidR="009C43B1" w:rsidRPr="00D51778" w:rsidRDefault="009C43B1" w:rsidP="00F01992">
            <w:pPr>
              <w:jc w:val="right"/>
              <w:rPr>
                <w:sz w:val="22"/>
                <w:szCs w:val="22"/>
              </w:rPr>
            </w:pPr>
            <w:r w:rsidRPr="00D51778">
              <w:rPr>
                <w:rFonts w:cs="Calibri"/>
                <w:color w:val="000000"/>
                <w:sz w:val="22"/>
                <w:szCs w:val="22"/>
                <w:lang w:val="ga"/>
              </w:rPr>
              <w:t>1,849</w:t>
            </w:r>
          </w:p>
        </w:tc>
        <w:tc>
          <w:tcPr>
            <w:tcW w:w="1417" w:type="dxa"/>
          </w:tcPr>
          <w:p w14:paraId="137F0A45" w14:textId="0A55DBAD" w:rsidR="009C43B1" w:rsidRPr="00D51778" w:rsidRDefault="009C43B1" w:rsidP="00F01992">
            <w:pPr>
              <w:jc w:val="right"/>
              <w:rPr>
                <w:sz w:val="22"/>
                <w:szCs w:val="22"/>
              </w:rPr>
            </w:pPr>
            <w:r w:rsidRPr="00D51778">
              <w:rPr>
                <w:rFonts w:cs="Calibri"/>
                <w:color w:val="000000"/>
                <w:sz w:val="22"/>
                <w:szCs w:val="22"/>
                <w:lang w:val="ga"/>
              </w:rPr>
              <w:t>123</w:t>
            </w:r>
          </w:p>
        </w:tc>
        <w:tc>
          <w:tcPr>
            <w:tcW w:w="1560" w:type="dxa"/>
          </w:tcPr>
          <w:p w14:paraId="0BB9A7D3" w14:textId="32266A3E" w:rsidR="009C43B1" w:rsidRPr="00D51778" w:rsidRDefault="009C43B1" w:rsidP="00F01992">
            <w:pPr>
              <w:jc w:val="right"/>
              <w:rPr>
                <w:sz w:val="22"/>
                <w:szCs w:val="22"/>
              </w:rPr>
            </w:pPr>
            <w:r w:rsidRPr="00D51778">
              <w:rPr>
                <w:rFonts w:cs="Calibri"/>
                <w:color w:val="000000"/>
                <w:sz w:val="22"/>
                <w:szCs w:val="22"/>
                <w:lang w:val="ga"/>
              </w:rPr>
              <w:t>6.7%</w:t>
            </w:r>
          </w:p>
        </w:tc>
      </w:tr>
      <w:tr w:rsidR="009C43B1" w:rsidRPr="00D51778" w14:paraId="005D16EB" w14:textId="77777777" w:rsidTr="00FD4D06">
        <w:tc>
          <w:tcPr>
            <w:tcW w:w="1701" w:type="dxa"/>
          </w:tcPr>
          <w:p w14:paraId="7BE27615" w14:textId="309BC689" w:rsidR="009C43B1" w:rsidRPr="00D51778" w:rsidRDefault="009C43B1" w:rsidP="00634303">
            <w:pPr>
              <w:rPr>
                <w:sz w:val="22"/>
                <w:szCs w:val="22"/>
              </w:rPr>
            </w:pPr>
            <w:r w:rsidRPr="00D51778">
              <w:rPr>
                <w:rFonts w:cs="Calibri"/>
                <w:color w:val="000000"/>
                <w:sz w:val="22"/>
                <w:szCs w:val="22"/>
                <w:lang w:val="ga"/>
              </w:rPr>
              <w:t xml:space="preserve">An Roinn Breisoideachais agus Ardoideachais, Taighde, </w:t>
            </w:r>
            <w:r w:rsidRPr="00D51778">
              <w:rPr>
                <w:rFonts w:cs="Calibri"/>
                <w:color w:val="000000"/>
                <w:sz w:val="22"/>
                <w:szCs w:val="22"/>
                <w:lang w:val="ga"/>
              </w:rPr>
              <w:lastRenderedPageBreak/>
              <w:t>Nuálaíochta agus Eolaíochta</w:t>
            </w:r>
          </w:p>
        </w:tc>
        <w:tc>
          <w:tcPr>
            <w:tcW w:w="1701" w:type="dxa"/>
          </w:tcPr>
          <w:p w14:paraId="39D8F3B9" w14:textId="324725A9" w:rsidR="009C43B1" w:rsidRPr="00D51778" w:rsidRDefault="009C43B1" w:rsidP="00F01992">
            <w:pPr>
              <w:pStyle w:val="TableCell"/>
              <w:jc w:val="right"/>
              <w:rPr>
                <w:rFonts w:cs="Arial"/>
                <w:sz w:val="22"/>
                <w:szCs w:val="22"/>
              </w:rPr>
            </w:pPr>
            <w:r w:rsidRPr="00D51778">
              <w:rPr>
                <w:rFonts w:cs="Calibri"/>
                <w:color w:val="000000"/>
                <w:sz w:val="22"/>
                <w:szCs w:val="22"/>
                <w:lang w:val="ga"/>
              </w:rPr>
              <w:lastRenderedPageBreak/>
              <w:t>136</w:t>
            </w:r>
          </w:p>
        </w:tc>
        <w:tc>
          <w:tcPr>
            <w:tcW w:w="1843" w:type="dxa"/>
          </w:tcPr>
          <w:p w14:paraId="530ACFDB" w14:textId="419CD171" w:rsidR="009C43B1" w:rsidRPr="00D51778" w:rsidRDefault="009C43B1" w:rsidP="00F01992">
            <w:pPr>
              <w:pStyle w:val="TableCell"/>
              <w:jc w:val="right"/>
              <w:rPr>
                <w:rFonts w:cs="Arial"/>
                <w:sz w:val="22"/>
                <w:szCs w:val="22"/>
              </w:rPr>
            </w:pPr>
            <w:r w:rsidRPr="00D51778">
              <w:rPr>
                <w:rFonts w:cs="Calibri"/>
                <w:color w:val="000000"/>
                <w:sz w:val="22"/>
                <w:szCs w:val="22"/>
                <w:lang w:val="ga"/>
              </w:rPr>
              <w:t>5</w:t>
            </w:r>
          </w:p>
        </w:tc>
        <w:tc>
          <w:tcPr>
            <w:tcW w:w="1559" w:type="dxa"/>
          </w:tcPr>
          <w:p w14:paraId="60D4E19E" w14:textId="39490D24" w:rsidR="009C43B1" w:rsidRPr="00D51778" w:rsidRDefault="009C43B1" w:rsidP="00F01992">
            <w:pPr>
              <w:pStyle w:val="TableCell"/>
              <w:jc w:val="right"/>
              <w:rPr>
                <w:rFonts w:cs="Arial"/>
                <w:sz w:val="22"/>
                <w:szCs w:val="22"/>
              </w:rPr>
            </w:pPr>
            <w:r w:rsidRPr="00D51778">
              <w:rPr>
                <w:rFonts w:cs="Calibri"/>
                <w:color w:val="000000"/>
                <w:sz w:val="22"/>
                <w:szCs w:val="22"/>
                <w:lang w:val="ga"/>
              </w:rPr>
              <w:t>3.7%</w:t>
            </w:r>
          </w:p>
        </w:tc>
        <w:tc>
          <w:tcPr>
            <w:tcW w:w="1418" w:type="dxa"/>
          </w:tcPr>
          <w:p w14:paraId="61E05B2A" w14:textId="54B9245D" w:rsidR="009C43B1" w:rsidRPr="00D51778" w:rsidRDefault="009C43B1" w:rsidP="00F01992">
            <w:pPr>
              <w:jc w:val="right"/>
              <w:rPr>
                <w:sz w:val="22"/>
                <w:szCs w:val="22"/>
              </w:rPr>
            </w:pPr>
            <w:r w:rsidRPr="00D51778">
              <w:rPr>
                <w:rFonts w:cs="Calibri"/>
                <w:color w:val="000000"/>
                <w:sz w:val="22"/>
                <w:szCs w:val="22"/>
                <w:lang w:val="ga"/>
              </w:rPr>
              <w:t>200</w:t>
            </w:r>
          </w:p>
        </w:tc>
        <w:tc>
          <w:tcPr>
            <w:tcW w:w="1417" w:type="dxa"/>
          </w:tcPr>
          <w:p w14:paraId="77164241" w14:textId="1AD944E8" w:rsidR="009C43B1" w:rsidRPr="00D51778" w:rsidRDefault="009C43B1" w:rsidP="00F01992">
            <w:pPr>
              <w:jc w:val="right"/>
              <w:rPr>
                <w:sz w:val="22"/>
                <w:szCs w:val="22"/>
              </w:rPr>
            </w:pPr>
            <w:r w:rsidRPr="00D51778">
              <w:rPr>
                <w:rFonts w:cs="Calibri"/>
                <w:color w:val="000000"/>
                <w:sz w:val="22"/>
                <w:szCs w:val="22"/>
                <w:lang w:val="ga"/>
              </w:rPr>
              <w:t>6</w:t>
            </w:r>
          </w:p>
        </w:tc>
        <w:tc>
          <w:tcPr>
            <w:tcW w:w="1560" w:type="dxa"/>
          </w:tcPr>
          <w:p w14:paraId="2BF8BC50" w14:textId="06C6A11F" w:rsidR="009C43B1" w:rsidRPr="00D51778" w:rsidRDefault="009C43B1" w:rsidP="00F01992">
            <w:pPr>
              <w:jc w:val="right"/>
              <w:rPr>
                <w:sz w:val="22"/>
                <w:szCs w:val="22"/>
              </w:rPr>
            </w:pPr>
            <w:r w:rsidRPr="00D51778">
              <w:rPr>
                <w:rFonts w:cs="Calibri"/>
                <w:color w:val="000000"/>
                <w:sz w:val="22"/>
                <w:szCs w:val="22"/>
                <w:lang w:val="ga"/>
              </w:rPr>
              <w:t>3.0%</w:t>
            </w:r>
          </w:p>
        </w:tc>
      </w:tr>
      <w:tr w:rsidR="009C43B1" w:rsidRPr="00D51778" w14:paraId="09883B85" w14:textId="77777777" w:rsidTr="00FD4D06">
        <w:tc>
          <w:tcPr>
            <w:tcW w:w="1701" w:type="dxa"/>
          </w:tcPr>
          <w:p w14:paraId="290CF4AA" w14:textId="631C44BE" w:rsidR="009C43B1" w:rsidRPr="00D51778" w:rsidRDefault="009C43B1" w:rsidP="00634303">
            <w:pPr>
              <w:rPr>
                <w:sz w:val="22"/>
                <w:szCs w:val="22"/>
              </w:rPr>
            </w:pPr>
            <w:r w:rsidRPr="00D51778">
              <w:rPr>
                <w:rFonts w:cs="Calibri"/>
                <w:color w:val="000000"/>
                <w:sz w:val="22"/>
                <w:szCs w:val="22"/>
                <w:lang w:val="ga"/>
              </w:rPr>
              <w:t>An Roinn Sláinte</w:t>
            </w:r>
          </w:p>
        </w:tc>
        <w:tc>
          <w:tcPr>
            <w:tcW w:w="1701" w:type="dxa"/>
          </w:tcPr>
          <w:p w14:paraId="7112EA8F" w14:textId="6E7CA13A" w:rsidR="009C43B1" w:rsidRPr="00D51778" w:rsidRDefault="009C43B1" w:rsidP="00F01992">
            <w:pPr>
              <w:pStyle w:val="TableCell"/>
              <w:jc w:val="right"/>
              <w:rPr>
                <w:rFonts w:cs="Arial"/>
                <w:sz w:val="22"/>
                <w:szCs w:val="22"/>
              </w:rPr>
            </w:pPr>
            <w:r w:rsidRPr="00D51778">
              <w:rPr>
                <w:rFonts w:cs="Calibri"/>
                <w:color w:val="000000"/>
                <w:sz w:val="22"/>
                <w:szCs w:val="22"/>
                <w:lang w:val="ga"/>
              </w:rPr>
              <w:t>614</w:t>
            </w:r>
          </w:p>
        </w:tc>
        <w:tc>
          <w:tcPr>
            <w:tcW w:w="1843" w:type="dxa"/>
          </w:tcPr>
          <w:p w14:paraId="7DBD50C1" w14:textId="381BBF1B" w:rsidR="009C43B1" w:rsidRPr="00D51778" w:rsidRDefault="009C43B1" w:rsidP="00F01992">
            <w:pPr>
              <w:pStyle w:val="TableCell"/>
              <w:jc w:val="right"/>
              <w:rPr>
                <w:rFonts w:cs="Arial"/>
                <w:sz w:val="22"/>
                <w:szCs w:val="22"/>
              </w:rPr>
            </w:pPr>
            <w:r w:rsidRPr="00D51778">
              <w:rPr>
                <w:rFonts w:cs="Calibri"/>
                <w:color w:val="000000"/>
                <w:sz w:val="22"/>
                <w:szCs w:val="22"/>
                <w:lang w:val="ga"/>
              </w:rPr>
              <w:t>44</w:t>
            </w:r>
          </w:p>
        </w:tc>
        <w:tc>
          <w:tcPr>
            <w:tcW w:w="1559" w:type="dxa"/>
          </w:tcPr>
          <w:p w14:paraId="62CFF007" w14:textId="4289EC87" w:rsidR="009C43B1" w:rsidRPr="00D51778" w:rsidRDefault="009C43B1" w:rsidP="00F01992">
            <w:pPr>
              <w:pStyle w:val="TableCell"/>
              <w:jc w:val="right"/>
              <w:rPr>
                <w:rFonts w:cs="Arial"/>
                <w:sz w:val="22"/>
                <w:szCs w:val="22"/>
              </w:rPr>
            </w:pPr>
            <w:r w:rsidRPr="00D51778">
              <w:rPr>
                <w:rFonts w:cs="Calibri"/>
                <w:color w:val="000000"/>
                <w:sz w:val="22"/>
                <w:szCs w:val="22"/>
                <w:lang w:val="ga"/>
              </w:rPr>
              <w:t>7.2%</w:t>
            </w:r>
          </w:p>
        </w:tc>
        <w:tc>
          <w:tcPr>
            <w:tcW w:w="1418" w:type="dxa"/>
          </w:tcPr>
          <w:p w14:paraId="5E381661" w14:textId="5DB4EBC9" w:rsidR="009C43B1" w:rsidRPr="00D51778" w:rsidRDefault="009C43B1" w:rsidP="00F01992">
            <w:pPr>
              <w:jc w:val="right"/>
              <w:rPr>
                <w:sz w:val="22"/>
                <w:szCs w:val="22"/>
              </w:rPr>
            </w:pPr>
            <w:r w:rsidRPr="00D51778">
              <w:rPr>
                <w:rFonts w:cs="Calibri"/>
                <w:color w:val="000000"/>
                <w:sz w:val="22"/>
                <w:szCs w:val="22"/>
                <w:lang w:val="ga"/>
              </w:rPr>
              <w:t>691</w:t>
            </w:r>
          </w:p>
        </w:tc>
        <w:tc>
          <w:tcPr>
            <w:tcW w:w="1417" w:type="dxa"/>
          </w:tcPr>
          <w:p w14:paraId="28BF7F46" w14:textId="1C352F95" w:rsidR="009C43B1" w:rsidRPr="00D51778" w:rsidRDefault="009C43B1" w:rsidP="00F01992">
            <w:pPr>
              <w:jc w:val="right"/>
              <w:rPr>
                <w:sz w:val="22"/>
                <w:szCs w:val="22"/>
              </w:rPr>
            </w:pPr>
            <w:r w:rsidRPr="00D51778">
              <w:rPr>
                <w:rFonts w:cs="Calibri"/>
                <w:color w:val="000000"/>
                <w:sz w:val="22"/>
                <w:szCs w:val="22"/>
                <w:lang w:val="ga"/>
              </w:rPr>
              <w:t>52</w:t>
            </w:r>
          </w:p>
        </w:tc>
        <w:tc>
          <w:tcPr>
            <w:tcW w:w="1560" w:type="dxa"/>
          </w:tcPr>
          <w:p w14:paraId="558279D1" w14:textId="0D1FD883" w:rsidR="009C43B1" w:rsidRPr="00D51778" w:rsidRDefault="009C43B1" w:rsidP="00F01992">
            <w:pPr>
              <w:jc w:val="right"/>
              <w:rPr>
                <w:sz w:val="22"/>
                <w:szCs w:val="22"/>
              </w:rPr>
            </w:pPr>
            <w:r w:rsidRPr="00D51778">
              <w:rPr>
                <w:rFonts w:cs="Calibri"/>
                <w:color w:val="000000"/>
                <w:sz w:val="22"/>
                <w:szCs w:val="22"/>
                <w:lang w:val="ga"/>
              </w:rPr>
              <w:t>7.5%</w:t>
            </w:r>
          </w:p>
        </w:tc>
      </w:tr>
      <w:tr w:rsidR="009C43B1" w:rsidRPr="00D51778" w14:paraId="437B51FB" w14:textId="77777777" w:rsidTr="00FD4D06">
        <w:tc>
          <w:tcPr>
            <w:tcW w:w="1701" w:type="dxa"/>
          </w:tcPr>
          <w:p w14:paraId="7130239A" w14:textId="4E861818" w:rsidR="009C43B1" w:rsidRPr="00D51778" w:rsidRDefault="009C43B1" w:rsidP="00634303">
            <w:pPr>
              <w:rPr>
                <w:sz w:val="22"/>
                <w:szCs w:val="22"/>
              </w:rPr>
            </w:pPr>
            <w:r w:rsidRPr="00D51778">
              <w:rPr>
                <w:rFonts w:cs="Calibri"/>
                <w:color w:val="000000"/>
                <w:sz w:val="22"/>
                <w:szCs w:val="22"/>
                <w:lang w:val="ga"/>
              </w:rPr>
              <w:t>An Roinn Tithíochta, Rialtais Áitiúil agus Oidhreachta</w:t>
            </w:r>
          </w:p>
        </w:tc>
        <w:tc>
          <w:tcPr>
            <w:tcW w:w="1701" w:type="dxa"/>
          </w:tcPr>
          <w:p w14:paraId="5ED2B3EB" w14:textId="44B3E8FE" w:rsidR="009C43B1" w:rsidRPr="00D51778" w:rsidRDefault="009C43B1" w:rsidP="00F01992">
            <w:pPr>
              <w:pStyle w:val="TableCell"/>
              <w:jc w:val="right"/>
              <w:rPr>
                <w:rFonts w:cs="Arial"/>
                <w:sz w:val="22"/>
                <w:szCs w:val="22"/>
              </w:rPr>
            </w:pPr>
            <w:r w:rsidRPr="00D51778">
              <w:rPr>
                <w:rFonts w:cs="Calibri"/>
                <w:color w:val="000000"/>
                <w:sz w:val="22"/>
                <w:szCs w:val="22"/>
                <w:lang w:val="ga"/>
              </w:rPr>
              <w:t>1,255</w:t>
            </w:r>
          </w:p>
        </w:tc>
        <w:tc>
          <w:tcPr>
            <w:tcW w:w="1843" w:type="dxa"/>
          </w:tcPr>
          <w:p w14:paraId="544D2AA4" w14:textId="1B7F4D98" w:rsidR="009C43B1" w:rsidRPr="00D51778" w:rsidRDefault="009C43B1" w:rsidP="00F01992">
            <w:pPr>
              <w:pStyle w:val="TableCell"/>
              <w:jc w:val="right"/>
              <w:rPr>
                <w:rFonts w:cs="Arial"/>
                <w:sz w:val="22"/>
                <w:szCs w:val="22"/>
              </w:rPr>
            </w:pPr>
            <w:r w:rsidRPr="00D51778">
              <w:rPr>
                <w:rFonts w:cs="Calibri"/>
                <w:color w:val="000000"/>
                <w:sz w:val="22"/>
                <w:szCs w:val="22"/>
                <w:lang w:val="ga"/>
              </w:rPr>
              <w:t>77</w:t>
            </w:r>
          </w:p>
        </w:tc>
        <w:tc>
          <w:tcPr>
            <w:tcW w:w="1559" w:type="dxa"/>
          </w:tcPr>
          <w:p w14:paraId="2F69C17A" w14:textId="4043D7B3" w:rsidR="009C43B1" w:rsidRPr="00D51778" w:rsidRDefault="009C43B1" w:rsidP="00F01992">
            <w:pPr>
              <w:pStyle w:val="TableCell"/>
              <w:jc w:val="right"/>
              <w:rPr>
                <w:rFonts w:cs="Arial"/>
                <w:sz w:val="22"/>
                <w:szCs w:val="22"/>
              </w:rPr>
            </w:pPr>
            <w:r w:rsidRPr="00D51778">
              <w:rPr>
                <w:rFonts w:cs="Calibri"/>
                <w:color w:val="000000"/>
                <w:sz w:val="22"/>
                <w:szCs w:val="22"/>
                <w:lang w:val="ga"/>
              </w:rPr>
              <w:t>6.1%</w:t>
            </w:r>
          </w:p>
        </w:tc>
        <w:tc>
          <w:tcPr>
            <w:tcW w:w="1418" w:type="dxa"/>
          </w:tcPr>
          <w:p w14:paraId="07302E61" w14:textId="3D82F4E5" w:rsidR="009C43B1" w:rsidRPr="00D51778" w:rsidRDefault="009C43B1" w:rsidP="00F01992">
            <w:pPr>
              <w:jc w:val="right"/>
              <w:rPr>
                <w:sz w:val="22"/>
                <w:szCs w:val="22"/>
              </w:rPr>
            </w:pPr>
            <w:r w:rsidRPr="00D51778">
              <w:rPr>
                <w:rFonts w:cs="Calibri"/>
                <w:color w:val="000000"/>
                <w:sz w:val="22"/>
                <w:szCs w:val="22"/>
                <w:lang w:val="ga"/>
              </w:rPr>
              <w:t>1,409</w:t>
            </w:r>
          </w:p>
        </w:tc>
        <w:tc>
          <w:tcPr>
            <w:tcW w:w="1417" w:type="dxa"/>
          </w:tcPr>
          <w:p w14:paraId="5E6FF689" w14:textId="3F6F1C8E" w:rsidR="009C43B1" w:rsidRPr="00D51778" w:rsidRDefault="009C43B1" w:rsidP="00F01992">
            <w:pPr>
              <w:jc w:val="right"/>
              <w:rPr>
                <w:sz w:val="22"/>
                <w:szCs w:val="22"/>
              </w:rPr>
            </w:pPr>
            <w:r w:rsidRPr="00D51778">
              <w:rPr>
                <w:rFonts w:cs="Calibri"/>
                <w:color w:val="000000"/>
                <w:sz w:val="22"/>
                <w:szCs w:val="22"/>
                <w:lang w:val="ga"/>
              </w:rPr>
              <w:t>108</w:t>
            </w:r>
          </w:p>
        </w:tc>
        <w:tc>
          <w:tcPr>
            <w:tcW w:w="1560" w:type="dxa"/>
          </w:tcPr>
          <w:p w14:paraId="0851C18F" w14:textId="19C1E08D" w:rsidR="009C43B1" w:rsidRPr="00D51778" w:rsidRDefault="009C43B1" w:rsidP="00F01992">
            <w:pPr>
              <w:jc w:val="right"/>
              <w:rPr>
                <w:sz w:val="22"/>
                <w:szCs w:val="22"/>
              </w:rPr>
            </w:pPr>
            <w:r w:rsidRPr="00D51778">
              <w:rPr>
                <w:rFonts w:cs="Calibri"/>
                <w:color w:val="000000"/>
                <w:sz w:val="22"/>
                <w:szCs w:val="22"/>
                <w:lang w:val="ga"/>
              </w:rPr>
              <w:t>7.7%</w:t>
            </w:r>
          </w:p>
        </w:tc>
      </w:tr>
      <w:tr w:rsidR="009C43B1" w:rsidRPr="00D51778" w14:paraId="69D38BC9" w14:textId="77777777" w:rsidTr="00FD4D06">
        <w:tc>
          <w:tcPr>
            <w:tcW w:w="1701" w:type="dxa"/>
          </w:tcPr>
          <w:p w14:paraId="508437D7" w14:textId="09574037" w:rsidR="009C43B1" w:rsidRPr="00D51778" w:rsidRDefault="009C43B1" w:rsidP="00634303">
            <w:pPr>
              <w:rPr>
                <w:sz w:val="22"/>
                <w:szCs w:val="22"/>
              </w:rPr>
            </w:pPr>
            <w:r w:rsidRPr="00D51778">
              <w:rPr>
                <w:rFonts w:cs="Calibri"/>
                <w:color w:val="000000"/>
                <w:sz w:val="22"/>
                <w:szCs w:val="22"/>
                <w:lang w:val="ga"/>
              </w:rPr>
              <w:t>An Roinn Dlí agus Cirt</w:t>
            </w:r>
          </w:p>
        </w:tc>
        <w:tc>
          <w:tcPr>
            <w:tcW w:w="1701" w:type="dxa"/>
          </w:tcPr>
          <w:p w14:paraId="7B5F05C0" w14:textId="0C43A1C3" w:rsidR="009C43B1" w:rsidRPr="00D51778" w:rsidRDefault="009C43B1" w:rsidP="00F01992">
            <w:pPr>
              <w:pStyle w:val="TableCell"/>
              <w:jc w:val="right"/>
              <w:rPr>
                <w:rFonts w:cs="Arial"/>
                <w:sz w:val="22"/>
                <w:szCs w:val="22"/>
              </w:rPr>
            </w:pPr>
            <w:r w:rsidRPr="00D51778">
              <w:rPr>
                <w:rFonts w:cs="Calibri"/>
                <w:color w:val="000000"/>
                <w:sz w:val="22"/>
                <w:szCs w:val="22"/>
                <w:lang w:val="ga"/>
              </w:rPr>
              <w:t>2350</w:t>
            </w:r>
          </w:p>
        </w:tc>
        <w:tc>
          <w:tcPr>
            <w:tcW w:w="1843" w:type="dxa"/>
          </w:tcPr>
          <w:p w14:paraId="076C7E01" w14:textId="7DD09170" w:rsidR="009C43B1" w:rsidRPr="00D51778" w:rsidRDefault="009C43B1" w:rsidP="00F01992">
            <w:pPr>
              <w:pStyle w:val="TableCell"/>
              <w:jc w:val="right"/>
              <w:rPr>
                <w:rFonts w:cs="Arial"/>
                <w:sz w:val="22"/>
                <w:szCs w:val="22"/>
              </w:rPr>
            </w:pPr>
            <w:r w:rsidRPr="00D51778">
              <w:rPr>
                <w:rFonts w:cs="Calibri"/>
                <w:color w:val="000000"/>
                <w:sz w:val="22"/>
                <w:szCs w:val="22"/>
                <w:lang w:val="ga"/>
              </w:rPr>
              <w:t>120</w:t>
            </w:r>
          </w:p>
        </w:tc>
        <w:tc>
          <w:tcPr>
            <w:tcW w:w="1559" w:type="dxa"/>
          </w:tcPr>
          <w:p w14:paraId="682AAB87" w14:textId="05B6D402" w:rsidR="009C43B1" w:rsidRPr="00D51778" w:rsidRDefault="009C43B1" w:rsidP="00F01992">
            <w:pPr>
              <w:pStyle w:val="TableCell"/>
              <w:jc w:val="right"/>
              <w:rPr>
                <w:rFonts w:cs="Arial"/>
                <w:sz w:val="22"/>
                <w:szCs w:val="22"/>
              </w:rPr>
            </w:pPr>
            <w:r w:rsidRPr="00D51778">
              <w:rPr>
                <w:rFonts w:cs="Calibri"/>
                <w:color w:val="000000"/>
                <w:sz w:val="22"/>
                <w:szCs w:val="22"/>
                <w:lang w:val="ga"/>
              </w:rPr>
              <w:t>5.1%</w:t>
            </w:r>
          </w:p>
        </w:tc>
        <w:tc>
          <w:tcPr>
            <w:tcW w:w="1418" w:type="dxa"/>
          </w:tcPr>
          <w:p w14:paraId="4803389A" w14:textId="72433632" w:rsidR="009C43B1" w:rsidRPr="00D51778" w:rsidRDefault="009C43B1" w:rsidP="00F01992">
            <w:pPr>
              <w:jc w:val="right"/>
              <w:rPr>
                <w:sz w:val="22"/>
                <w:szCs w:val="22"/>
              </w:rPr>
            </w:pPr>
            <w:r w:rsidRPr="00D51778">
              <w:rPr>
                <w:rFonts w:cs="Calibri"/>
                <w:color w:val="000000"/>
                <w:sz w:val="22"/>
                <w:szCs w:val="22"/>
                <w:lang w:val="ga"/>
              </w:rPr>
              <w:t>2,425</w:t>
            </w:r>
          </w:p>
        </w:tc>
        <w:tc>
          <w:tcPr>
            <w:tcW w:w="1417" w:type="dxa"/>
          </w:tcPr>
          <w:p w14:paraId="3E9F4EA0" w14:textId="24A73A9F" w:rsidR="009C43B1" w:rsidRPr="00D51778" w:rsidRDefault="009C43B1" w:rsidP="00F01992">
            <w:pPr>
              <w:jc w:val="right"/>
              <w:rPr>
                <w:sz w:val="22"/>
                <w:szCs w:val="22"/>
              </w:rPr>
            </w:pPr>
            <w:r w:rsidRPr="00D51778">
              <w:rPr>
                <w:rFonts w:cs="Calibri"/>
                <w:color w:val="000000"/>
                <w:sz w:val="22"/>
                <w:szCs w:val="22"/>
                <w:lang w:val="ga"/>
              </w:rPr>
              <w:t>216</w:t>
            </w:r>
          </w:p>
        </w:tc>
        <w:tc>
          <w:tcPr>
            <w:tcW w:w="1560" w:type="dxa"/>
          </w:tcPr>
          <w:p w14:paraId="0098326F" w14:textId="3DD03539" w:rsidR="009C43B1" w:rsidRPr="00D51778" w:rsidRDefault="009C43B1" w:rsidP="00F01992">
            <w:pPr>
              <w:jc w:val="right"/>
              <w:rPr>
                <w:sz w:val="22"/>
                <w:szCs w:val="22"/>
              </w:rPr>
            </w:pPr>
            <w:r w:rsidRPr="00D51778">
              <w:rPr>
                <w:rFonts w:cs="Calibri"/>
                <w:color w:val="000000"/>
                <w:sz w:val="22"/>
                <w:szCs w:val="22"/>
                <w:lang w:val="ga"/>
              </w:rPr>
              <w:t>8.9%</w:t>
            </w:r>
          </w:p>
        </w:tc>
      </w:tr>
      <w:tr w:rsidR="009C43B1" w:rsidRPr="00D51778" w14:paraId="76565765" w14:textId="77777777" w:rsidTr="00FD4D06">
        <w:tc>
          <w:tcPr>
            <w:tcW w:w="1701" w:type="dxa"/>
          </w:tcPr>
          <w:p w14:paraId="2449010C" w14:textId="73473C3E" w:rsidR="009C43B1" w:rsidRPr="00D51778" w:rsidRDefault="009C43B1" w:rsidP="00634303">
            <w:pPr>
              <w:rPr>
                <w:sz w:val="22"/>
                <w:szCs w:val="22"/>
              </w:rPr>
            </w:pPr>
            <w:r w:rsidRPr="00D51778">
              <w:rPr>
                <w:rFonts w:cs="Calibri"/>
                <w:color w:val="000000"/>
                <w:sz w:val="22"/>
                <w:szCs w:val="22"/>
                <w:lang w:val="ga"/>
              </w:rPr>
              <w:t>An Roinn Caiteachais Phoiblí agus Athchóirithe</w:t>
            </w:r>
          </w:p>
        </w:tc>
        <w:tc>
          <w:tcPr>
            <w:tcW w:w="1701" w:type="dxa"/>
          </w:tcPr>
          <w:p w14:paraId="1FB9F63D" w14:textId="19A17AA0" w:rsidR="009C43B1" w:rsidRPr="00D51778" w:rsidRDefault="009C43B1" w:rsidP="00F01992">
            <w:pPr>
              <w:pStyle w:val="TableCell"/>
              <w:jc w:val="right"/>
              <w:rPr>
                <w:rFonts w:cs="Arial"/>
                <w:sz w:val="22"/>
                <w:szCs w:val="22"/>
              </w:rPr>
            </w:pPr>
            <w:r w:rsidRPr="00D51778">
              <w:rPr>
                <w:rFonts w:cs="Calibri"/>
                <w:color w:val="000000"/>
                <w:sz w:val="22"/>
                <w:szCs w:val="22"/>
                <w:lang w:val="ga"/>
              </w:rPr>
              <w:t>460</w:t>
            </w:r>
          </w:p>
        </w:tc>
        <w:tc>
          <w:tcPr>
            <w:tcW w:w="1843" w:type="dxa"/>
          </w:tcPr>
          <w:p w14:paraId="3C284393" w14:textId="456871FE" w:rsidR="009C43B1" w:rsidRPr="00D51778" w:rsidRDefault="009C43B1" w:rsidP="00F01992">
            <w:pPr>
              <w:pStyle w:val="TableCell"/>
              <w:jc w:val="right"/>
              <w:rPr>
                <w:rFonts w:cs="Arial"/>
                <w:sz w:val="22"/>
                <w:szCs w:val="22"/>
              </w:rPr>
            </w:pPr>
            <w:r w:rsidRPr="00D51778">
              <w:rPr>
                <w:rFonts w:cs="Calibri"/>
                <w:color w:val="000000"/>
                <w:sz w:val="22"/>
                <w:szCs w:val="22"/>
                <w:lang w:val="ga"/>
              </w:rPr>
              <w:t>14</w:t>
            </w:r>
          </w:p>
        </w:tc>
        <w:tc>
          <w:tcPr>
            <w:tcW w:w="1559" w:type="dxa"/>
          </w:tcPr>
          <w:p w14:paraId="6FB527D4" w14:textId="51F00C5E" w:rsidR="009C43B1" w:rsidRPr="00D51778" w:rsidRDefault="009C43B1" w:rsidP="00F01992">
            <w:pPr>
              <w:pStyle w:val="TableCell"/>
              <w:jc w:val="right"/>
              <w:rPr>
                <w:rFonts w:cs="Arial"/>
                <w:sz w:val="22"/>
                <w:szCs w:val="22"/>
              </w:rPr>
            </w:pPr>
            <w:r w:rsidRPr="00D51778">
              <w:rPr>
                <w:rFonts w:cs="Calibri"/>
                <w:color w:val="000000"/>
                <w:sz w:val="22"/>
                <w:szCs w:val="22"/>
                <w:lang w:val="ga"/>
              </w:rPr>
              <w:t>3.0%</w:t>
            </w:r>
          </w:p>
        </w:tc>
        <w:tc>
          <w:tcPr>
            <w:tcW w:w="1418" w:type="dxa"/>
          </w:tcPr>
          <w:p w14:paraId="13C5F085" w14:textId="1211C60D" w:rsidR="009C43B1" w:rsidRPr="00D51778" w:rsidRDefault="009C43B1" w:rsidP="00F01992">
            <w:pPr>
              <w:jc w:val="right"/>
              <w:rPr>
                <w:sz w:val="22"/>
                <w:szCs w:val="22"/>
              </w:rPr>
            </w:pPr>
            <w:r w:rsidRPr="00D51778">
              <w:rPr>
                <w:rFonts w:cs="Calibri"/>
                <w:color w:val="000000"/>
                <w:sz w:val="22"/>
                <w:szCs w:val="22"/>
                <w:lang w:val="ga"/>
              </w:rPr>
              <w:t>452</w:t>
            </w:r>
          </w:p>
        </w:tc>
        <w:tc>
          <w:tcPr>
            <w:tcW w:w="1417" w:type="dxa"/>
          </w:tcPr>
          <w:p w14:paraId="2BA8E593" w14:textId="3E80A0BB" w:rsidR="009C43B1" w:rsidRPr="00D51778" w:rsidRDefault="009C43B1" w:rsidP="00F01992">
            <w:pPr>
              <w:jc w:val="right"/>
              <w:rPr>
                <w:sz w:val="22"/>
                <w:szCs w:val="22"/>
              </w:rPr>
            </w:pPr>
            <w:r w:rsidRPr="00D51778">
              <w:rPr>
                <w:rFonts w:cs="Calibri"/>
                <w:color w:val="000000"/>
                <w:sz w:val="22"/>
                <w:szCs w:val="22"/>
                <w:lang w:val="ga"/>
              </w:rPr>
              <w:t>17</w:t>
            </w:r>
          </w:p>
        </w:tc>
        <w:tc>
          <w:tcPr>
            <w:tcW w:w="1560" w:type="dxa"/>
          </w:tcPr>
          <w:p w14:paraId="097C0848" w14:textId="7796A7CA" w:rsidR="009C43B1" w:rsidRPr="00D51778" w:rsidRDefault="009C43B1" w:rsidP="00F01992">
            <w:pPr>
              <w:jc w:val="right"/>
              <w:rPr>
                <w:sz w:val="22"/>
                <w:szCs w:val="22"/>
              </w:rPr>
            </w:pPr>
            <w:r w:rsidRPr="00D51778">
              <w:rPr>
                <w:rFonts w:cs="Calibri"/>
                <w:color w:val="000000"/>
                <w:sz w:val="22"/>
                <w:szCs w:val="22"/>
                <w:lang w:val="ga"/>
              </w:rPr>
              <w:t>3.8%</w:t>
            </w:r>
          </w:p>
        </w:tc>
      </w:tr>
      <w:tr w:rsidR="009C43B1" w:rsidRPr="00D51778" w14:paraId="18B3D1FA" w14:textId="77777777" w:rsidTr="00FD4D06">
        <w:tc>
          <w:tcPr>
            <w:tcW w:w="1701" w:type="dxa"/>
          </w:tcPr>
          <w:p w14:paraId="0B2D2317" w14:textId="0EDF148E" w:rsidR="009C43B1" w:rsidRPr="00D51778" w:rsidRDefault="009C43B1" w:rsidP="00634303">
            <w:pPr>
              <w:rPr>
                <w:sz w:val="22"/>
                <w:szCs w:val="22"/>
              </w:rPr>
            </w:pPr>
            <w:r w:rsidRPr="00D51778">
              <w:rPr>
                <w:rFonts w:cs="Calibri"/>
                <w:color w:val="000000"/>
                <w:sz w:val="22"/>
                <w:szCs w:val="22"/>
                <w:lang w:val="ga"/>
              </w:rPr>
              <w:t>An Roinn Forbartha Tuaithe agus Pobail</w:t>
            </w:r>
          </w:p>
        </w:tc>
        <w:tc>
          <w:tcPr>
            <w:tcW w:w="1701" w:type="dxa"/>
          </w:tcPr>
          <w:p w14:paraId="5DA7F09C" w14:textId="62EA1C39" w:rsidR="009C43B1" w:rsidRPr="00D51778" w:rsidRDefault="009C43B1" w:rsidP="00F01992">
            <w:pPr>
              <w:pStyle w:val="TableCell"/>
              <w:jc w:val="right"/>
              <w:rPr>
                <w:rFonts w:cs="Arial"/>
                <w:sz w:val="22"/>
                <w:szCs w:val="22"/>
              </w:rPr>
            </w:pPr>
            <w:r w:rsidRPr="00D51778">
              <w:rPr>
                <w:rFonts w:cs="Calibri"/>
                <w:color w:val="000000"/>
                <w:sz w:val="22"/>
                <w:szCs w:val="22"/>
                <w:lang w:val="ga"/>
              </w:rPr>
              <w:t>160</w:t>
            </w:r>
          </w:p>
        </w:tc>
        <w:tc>
          <w:tcPr>
            <w:tcW w:w="1843" w:type="dxa"/>
          </w:tcPr>
          <w:p w14:paraId="0EC686E9" w14:textId="52EA044D" w:rsidR="009C43B1" w:rsidRPr="00D51778" w:rsidRDefault="009C43B1" w:rsidP="00F01992">
            <w:pPr>
              <w:pStyle w:val="TableCell"/>
              <w:jc w:val="right"/>
              <w:rPr>
                <w:rFonts w:cs="Arial"/>
                <w:sz w:val="22"/>
                <w:szCs w:val="22"/>
              </w:rPr>
            </w:pPr>
            <w:r w:rsidRPr="00D51778">
              <w:rPr>
                <w:rFonts w:cs="Calibri"/>
                <w:color w:val="000000"/>
                <w:sz w:val="22"/>
                <w:szCs w:val="22"/>
                <w:lang w:val="ga"/>
              </w:rPr>
              <w:t>13</w:t>
            </w:r>
          </w:p>
        </w:tc>
        <w:tc>
          <w:tcPr>
            <w:tcW w:w="1559" w:type="dxa"/>
          </w:tcPr>
          <w:p w14:paraId="7132643F" w14:textId="01176278" w:rsidR="009C43B1" w:rsidRPr="00D51778" w:rsidRDefault="009C43B1" w:rsidP="00F01992">
            <w:pPr>
              <w:pStyle w:val="TableCell"/>
              <w:jc w:val="right"/>
              <w:rPr>
                <w:rFonts w:cs="Arial"/>
                <w:sz w:val="22"/>
                <w:szCs w:val="22"/>
              </w:rPr>
            </w:pPr>
            <w:r w:rsidRPr="00D51778">
              <w:rPr>
                <w:rFonts w:cs="Calibri"/>
                <w:color w:val="000000"/>
                <w:sz w:val="22"/>
                <w:szCs w:val="22"/>
                <w:lang w:val="ga"/>
              </w:rPr>
              <w:t>8.1%</w:t>
            </w:r>
          </w:p>
        </w:tc>
        <w:tc>
          <w:tcPr>
            <w:tcW w:w="1418" w:type="dxa"/>
          </w:tcPr>
          <w:p w14:paraId="353CA94B" w14:textId="4EE7AA87" w:rsidR="009C43B1" w:rsidRPr="00D51778" w:rsidRDefault="009C43B1" w:rsidP="00F01992">
            <w:pPr>
              <w:jc w:val="right"/>
              <w:rPr>
                <w:sz w:val="22"/>
                <w:szCs w:val="22"/>
              </w:rPr>
            </w:pPr>
            <w:r w:rsidRPr="00D51778">
              <w:rPr>
                <w:rFonts w:cs="Calibri"/>
                <w:color w:val="000000"/>
                <w:sz w:val="22"/>
                <w:szCs w:val="22"/>
                <w:lang w:val="ga"/>
              </w:rPr>
              <w:t>163</w:t>
            </w:r>
          </w:p>
        </w:tc>
        <w:tc>
          <w:tcPr>
            <w:tcW w:w="1417" w:type="dxa"/>
          </w:tcPr>
          <w:p w14:paraId="73376501" w14:textId="67A2FDE6" w:rsidR="009C43B1" w:rsidRPr="00D51778" w:rsidRDefault="009C43B1" w:rsidP="00F01992">
            <w:pPr>
              <w:jc w:val="right"/>
              <w:rPr>
                <w:sz w:val="22"/>
                <w:szCs w:val="22"/>
              </w:rPr>
            </w:pPr>
            <w:r w:rsidRPr="00D51778">
              <w:rPr>
                <w:rFonts w:cs="Calibri"/>
                <w:color w:val="000000"/>
                <w:sz w:val="22"/>
                <w:szCs w:val="22"/>
                <w:lang w:val="ga"/>
              </w:rPr>
              <w:t>13</w:t>
            </w:r>
          </w:p>
        </w:tc>
        <w:tc>
          <w:tcPr>
            <w:tcW w:w="1560" w:type="dxa"/>
          </w:tcPr>
          <w:p w14:paraId="2F2AD17F" w14:textId="69AFF9A6" w:rsidR="009C43B1" w:rsidRPr="00D51778" w:rsidRDefault="009C43B1" w:rsidP="00F01992">
            <w:pPr>
              <w:jc w:val="right"/>
              <w:rPr>
                <w:sz w:val="22"/>
                <w:szCs w:val="22"/>
              </w:rPr>
            </w:pPr>
            <w:r w:rsidRPr="00D51778">
              <w:rPr>
                <w:rFonts w:cs="Calibri"/>
                <w:color w:val="000000"/>
                <w:sz w:val="22"/>
                <w:szCs w:val="22"/>
                <w:lang w:val="ga"/>
              </w:rPr>
              <w:t>8.0%</w:t>
            </w:r>
          </w:p>
        </w:tc>
      </w:tr>
      <w:tr w:rsidR="009C43B1" w:rsidRPr="00D51778" w14:paraId="11D687F1" w14:textId="77777777" w:rsidTr="00FD4D06">
        <w:tc>
          <w:tcPr>
            <w:tcW w:w="1701" w:type="dxa"/>
          </w:tcPr>
          <w:p w14:paraId="371AA368" w14:textId="1F245325" w:rsidR="009C43B1" w:rsidRPr="00D51778" w:rsidRDefault="009C43B1" w:rsidP="00634303">
            <w:pPr>
              <w:rPr>
                <w:sz w:val="22"/>
                <w:szCs w:val="22"/>
              </w:rPr>
            </w:pPr>
            <w:r w:rsidRPr="00D51778">
              <w:rPr>
                <w:rFonts w:cs="Calibri"/>
                <w:color w:val="000000"/>
                <w:sz w:val="22"/>
                <w:szCs w:val="22"/>
                <w:lang w:val="ga"/>
              </w:rPr>
              <w:t>An Roinn Coimirce Sóisialaí</w:t>
            </w:r>
          </w:p>
        </w:tc>
        <w:tc>
          <w:tcPr>
            <w:tcW w:w="1701" w:type="dxa"/>
          </w:tcPr>
          <w:p w14:paraId="13FBABA5" w14:textId="578C5390" w:rsidR="009C43B1" w:rsidRPr="00D51778" w:rsidRDefault="009C43B1" w:rsidP="00F01992">
            <w:pPr>
              <w:pStyle w:val="TableCell"/>
              <w:jc w:val="right"/>
              <w:rPr>
                <w:rFonts w:cs="Arial"/>
                <w:sz w:val="22"/>
                <w:szCs w:val="22"/>
              </w:rPr>
            </w:pPr>
            <w:r w:rsidRPr="00D51778">
              <w:rPr>
                <w:rFonts w:cs="Calibri"/>
                <w:color w:val="000000"/>
                <w:sz w:val="22"/>
                <w:szCs w:val="22"/>
                <w:lang w:val="ga"/>
              </w:rPr>
              <w:t>6</w:t>
            </w:r>
            <w:r w:rsidR="00673ADF">
              <w:rPr>
                <w:rFonts w:cs="Calibri"/>
                <w:color w:val="000000"/>
                <w:sz w:val="22"/>
                <w:szCs w:val="22"/>
                <w:lang w:val="ga"/>
              </w:rPr>
              <w:t>,</w:t>
            </w:r>
            <w:r w:rsidRPr="00D51778">
              <w:rPr>
                <w:rFonts w:cs="Calibri"/>
                <w:color w:val="000000"/>
                <w:sz w:val="22"/>
                <w:szCs w:val="22"/>
                <w:lang w:val="ga"/>
              </w:rPr>
              <w:t>715</w:t>
            </w:r>
          </w:p>
        </w:tc>
        <w:tc>
          <w:tcPr>
            <w:tcW w:w="1843" w:type="dxa"/>
          </w:tcPr>
          <w:p w14:paraId="38F48AC5" w14:textId="76B3CE71" w:rsidR="009C43B1" w:rsidRPr="00D51778" w:rsidRDefault="009C43B1" w:rsidP="00F01992">
            <w:pPr>
              <w:pStyle w:val="TableCell"/>
              <w:jc w:val="right"/>
              <w:rPr>
                <w:rFonts w:cs="Arial"/>
                <w:sz w:val="22"/>
                <w:szCs w:val="22"/>
              </w:rPr>
            </w:pPr>
            <w:r w:rsidRPr="00D51778">
              <w:rPr>
                <w:rFonts w:cs="Calibri"/>
                <w:color w:val="000000"/>
                <w:sz w:val="22"/>
                <w:szCs w:val="22"/>
                <w:lang w:val="ga"/>
              </w:rPr>
              <w:t>386</w:t>
            </w:r>
          </w:p>
        </w:tc>
        <w:tc>
          <w:tcPr>
            <w:tcW w:w="1559" w:type="dxa"/>
          </w:tcPr>
          <w:p w14:paraId="187C7964" w14:textId="792953C8" w:rsidR="009C43B1" w:rsidRPr="00D51778" w:rsidRDefault="009C43B1" w:rsidP="00F01992">
            <w:pPr>
              <w:pStyle w:val="TableCell"/>
              <w:jc w:val="right"/>
              <w:rPr>
                <w:rFonts w:cs="Arial"/>
                <w:sz w:val="22"/>
                <w:szCs w:val="22"/>
              </w:rPr>
            </w:pPr>
            <w:r w:rsidRPr="00D51778">
              <w:rPr>
                <w:rFonts w:cs="Calibri"/>
                <w:color w:val="000000"/>
                <w:sz w:val="22"/>
                <w:szCs w:val="22"/>
                <w:lang w:val="ga"/>
              </w:rPr>
              <w:t>5.7%</w:t>
            </w:r>
          </w:p>
        </w:tc>
        <w:tc>
          <w:tcPr>
            <w:tcW w:w="1418" w:type="dxa"/>
          </w:tcPr>
          <w:p w14:paraId="7A49B24A" w14:textId="25F7251F" w:rsidR="009C43B1" w:rsidRPr="00D51778" w:rsidRDefault="009C43B1" w:rsidP="00F01992">
            <w:pPr>
              <w:jc w:val="right"/>
              <w:rPr>
                <w:sz w:val="22"/>
                <w:szCs w:val="22"/>
              </w:rPr>
            </w:pPr>
            <w:r w:rsidRPr="00D51778">
              <w:rPr>
                <w:rFonts w:cs="Calibri"/>
                <w:color w:val="000000"/>
                <w:sz w:val="22"/>
                <w:szCs w:val="22"/>
                <w:lang w:val="ga"/>
              </w:rPr>
              <w:t>6,719</w:t>
            </w:r>
          </w:p>
        </w:tc>
        <w:tc>
          <w:tcPr>
            <w:tcW w:w="1417" w:type="dxa"/>
          </w:tcPr>
          <w:p w14:paraId="7849AD3A" w14:textId="72F343D5" w:rsidR="009C43B1" w:rsidRPr="00D51778" w:rsidRDefault="009C43B1" w:rsidP="00F01992">
            <w:pPr>
              <w:jc w:val="right"/>
              <w:rPr>
                <w:sz w:val="22"/>
                <w:szCs w:val="22"/>
              </w:rPr>
            </w:pPr>
            <w:r w:rsidRPr="00D51778">
              <w:rPr>
                <w:rFonts w:cs="Calibri"/>
                <w:color w:val="000000"/>
                <w:sz w:val="22"/>
                <w:szCs w:val="22"/>
                <w:lang w:val="ga"/>
              </w:rPr>
              <w:t>440</w:t>
            </w:r>
          </w:p>
        </w:tc>
        <w:tc>
          <w:tcPr>
            <w:tcW w:w="1560" w:type="dxa"/>
          </w:tcPr>
          <w:p w14:paraId="3D877D16" w14:textId="1F094C85" w:rsidR="009C43B1" w:rsidRPr="00D51778" w:rsidRDefault="009C43B1" w:rsidP="00F01992">
            <w:pPr>
              <w:jc w:val="right"/>
              <w:rPr>
                <w:sz w:val="22"/>
                <w:szCs w:val="22"/>
              </w:rPr>
            </w:pPr>
            <w:r w:rsidRPr="00D51778">
              <w:rPr>
                <w:rFonts w:cs="Calibri"/>
                <w:color w:val="000000"/>
                <w:sz w:val="22"/>
                <w:szCs w:val="22"/>
                <w:lang w:val="ga"/>
              </w:rPr>
              <w:t>6.5%</w:t>
            </w:r>
          </w:p>
        </w:tc>
      </w:tr>
      <w:tr w:rsidR="009C43B1" w:rsidRPr="00D51778" w14:paraId="5641A843" w14:textId="77777777" w:rsidTr="00FD4D06">
        <w:tc>
          <w:tcPr>
            <w:tcW w:w="1701" w:type="dxa"/>
          </w:tcPr>
          <w:p w14:paraId="70ED93FF" w14:textId="4F9677D3" w:rsidR="009C43B1" w:rsidRPr="00D51778" w:rsidRDefault="009C43B1" w:rsidP="00634303">
            <w:pPr>
              <w:rPr>
                <w:sz w:val="22"/>
                <w:szCs w:val="22"/>
              </w:rPr>
            </w:pPr>
            <w:r w:rsidRPr="00D51778">
              <w:rPr>
                <w:rFonts w:cs="Calibri"/>
                <w:color w:val="000000"/>
                <w:sz w:val="22"/>
                <w:szCs w:val="22"/>
                <w:lang w:val="ga"/>
              </w:rPr>
              <w:t>An Roinn Comhshaoil, Aeráide agus Cumarsáide</w:t>
            </w:r>
          </w:p>
        </w:tc>
        <w:tc>
          <w:tcPr>
            <w:tcW w:w="1701" w:type="dxa"/>
          </w:tcPr>
          <w:p w14:paraId="65537EE4" w14:textId="043AF106" w:rsidR="009C43B1" w:rsidRPr="00D51778" w:rsidRDefault="009C43B1" w:rsidP="00F01992">
            <w:pPr>
              <w:pStyle w:val="TableCell"/>
              <w:jc w:val="right"/>
              <w:rPr>
                <w:rFonts w:cs="Arial"/>
                <w:sz w:val="22"/>
                <w:szCs w:val="22"/>
              </w:rPr>
            </w:pPr>
            <w:r w:rsidRPr="00D51778">
              <w:rPr>
                <w:rFonts w:cs="Calibri"/>
                <w:color w:val="000000"/>
                <w:sz w:val="22"/>
                <w:szCs w:val="22"/>
                <w:lang w:val="ga"/>
              </w:rPr>
              <w:t>411</w:t>
            </w:r>
          </w:p>
        </w:tc>
        <w:tc>
          <w:tcPr>
            <w:tcW w:w="1843" w:type="dxa"/>
          </w:tcPr>
          <w:p w14:paraId="4F37E857" w14:textId="6B03C866" w:rsidR="009C43B1" w:rsidRPr="00D51778" w:rsidRDefault="009C43B1" w:rsidP="00F01992">
            <w:pPr>
              <w:pStyle w:val="TableCell"/>
              <w:jc w:val="right"/>
              <w:rPr>
                <w:rFonts w:cs="Arial"/>
                <w:sz w:val="22"/>
                <w:szCs w:val="22"/>
              </w:rPr>
            </w:pPr>
            <w:r w:rsidRPr="00D51778">
              <w:rPr>
                <w:rFonts w:cs="Calibri"/>
                <w:color w:val="000000"/>
                <w:sz w:val="22"/>
                <w:szCs w:val="22"/>
                <w:lang w:val="ga"/>
              </w:rPr>
              <w:t>14</w:t>
            </w:r>
          </w:p>
        </w:tc>
        <w:tc>
          <w:tcPr>
            <w:tcW w:w="1559" w:type="dxa"/>
          </w:tcPr>
          <w:p w14:paraId="2ED92095" w14:textId="418016B8" w:rsidR="009C43B1" w:rsidRPr="00D51778" w:rsidRDefault="009C43B1" w:rsidP="00F01992">
            <w:pPr>
              <w:pStyle w:val="TableCell"/>
              <w:jc w:val="right"/>
              <w:rPr>
                <w:rFonts w:cs="Arial"/>
                <w:sz w:val="22"/>
                <w:szCs w:val="22"/>
              </w:rPr>
            </w:pPr>
            <w:r w:rsidRPr="00D51778">
              <w:rPr>
                <w:rFonts w:cs="Calibri"/>
                <w:color w:val="000000"/>
                <w:sz w:val="22"/>
                <w:szCs w:val="22"/>
                <w:lang w:val="ga"/>
              </w:rPr>
              <w:t>3.4%</w:t>
            </w:r>
          </w:p>
        </w:tc>
        <w:tc>
          <w:tcPr>
            <w:tcW w:w="1418" w:type="dxa"/>
          </w:tcPr>
          <w:p w14:paraId="5AC3B8D6" w14:textId="3115D356" w:rsidR="009C43B1" w:rsidRPr="00D51778" w:rsidRDefault="009C43B1" w:rsidP="00F01992">
            <w:pPr>
              <w:jc w:val="right"/>
              <w:rPr>
                <w:sz w:val="22"/>
                <w:szCs w:val="22"/>
              </w:rPr>
            </w:pPr>
            <w:r w:rsidRPr="00D51778">
              <w:rPr>
                <w:rFonts w:cs="Calibri"/>
                <w:color w:val="000000"/>
                <w:sz w:val="22"/>
                <w:szCs w:val="22"/>
                <w:lang w:val="ga"/>
              </w:rPr>
              <w:t>447</w:t>
            </w:r>
          </w:p>
        </w:tc>
        <w:tc>
          <w:tcPr>
            <w:tcW w:w="1417" w:type="dxa"/>
          </w:tcPr>
          <w:p w14:paraId="2196D93D" w14:textId="797E3611" w:rsidR="009C43B1" w:rsidRPr="00D51778" w:rsidRDefault="009C43B1" w:rsidP="00F01992">
            <w:pPr>
              <w:jc w:val="right"/>
              <w:rPr>
                <w:sz w:val="22"/>
                <w:szCs w:val="22"/>
              </w:rPr>
            </w:pPr>
            <w:r w:rsidRPr="00D51778">
              <w:rPr>
                <w:rFonts w:cs="Calibri"/>
                <w:color w:val="000000"/>
                <w:sz w:val="22"/>
                <w:szCs w:val="22"/>
                <w:lang w:val="ga"/>
              </w:rPr>
              <w:t>17</w:t>
            </w:r>
          </w:p>
        </w:tc>
        <w:tc>
          <w:tcPr>
            <w:tcW w:w="1560" w:type="dxa"/>
          </w:tcPr>
          <w:p w14:paraId="3318B76D" w14:textId="42C93D6B" w:rsidR="009C43B1" w:rsidRPr="00D51778" w:rsidRDefault="009C43B1" w:rsidP="00F01992">
            <w:pPr>
              <w:jc w:val="right"/>
              <w:rPr>
                <w:sz w:val="22"/>
                <w:szCs w:val="22"/>
              </w:rPr>
            </w:pPr>
            <w:r w:rsidRPr="00D51778">
              <w:rPr>
                <w:rFonts w:cs="Calibri"/>
                <w:color w:val="000000"/>
                <w:sz w:val="22"/>
                <w:szCs w:val="22"/>
                <w:lang w:val="ga"/>
              </w:rPr>
              <w:t>3.8%</w:t>
            </w:r>
          </w:p>
        </w:tc>
      </w:tr>
      <w:tr w:rsidR="009C43B1" w:rsidRPr="00D51778" w14:paraId="5D4674EB" w14:textId="77777777" w:rsidTr="00FD4D06">
        <w:tc>
          <w:tcPr>
            <w:tcW w:w="1701" w:type="dxa"/>
          </w:tcPr>
          <w:p w14:paraId="525CA19E" w14:textId="5A7FBB22" w:rsidR="009C43B1" w:rsidRPr="00D51778" w:rsidRDefault="009C43B1" w:rsidP="00634303">
            <w:pPr>
              <w:rPr>
                <w:sz w:val="22"/>
                <w:szCs w:val="22"/>
              </w:rPr>
            </w:pPr>
            <w:r w:rsidRPr="00D51778">
              <w:rPr>
                <w:rFonts w:cs="Calibri"/>
                <w:color w:val="000000"/>
                <w:sz w:val="22"/>
                <w:szCs w:val="22"/>
                <w:lang w:val="ga"/>
              </w:rPr>
              <w:t>Roinn an Taoisigh</w:t>
            </w:r>
          </w:p>
        </w:tc>
        <w:tc>
          <w:tcPr>
            <w:tcW w:w="1701" w:type="dxa"/>
          </w:tcPr>
          <w:p w14:paraId="46B0FDCB" w14:textId="643D3710" w:rsidR="009C43B1" w:rsidRPr="00D51778" w:rsidRDefault="009C43B1" w:rsidP="00F01992">
            <w:pPr>
              <w:pStyle w:val="TableCell"/>
              <w:jc w:val="right"/>
              <w:rPr>
                <w:rFonts w:cs="Arial"/>
                <w:sz w:val="22"/>
                <w:szCs w:val="22"/>
              </w:rPr>
            </w:pPr>
            <w:r w:rsidRPr="00D51778">
              <w:rPr>
                <w:rFonts w:cs="Calibri"/>
                <w:color w:val="000000"/>
                <w:sz w:val="22"/>
                <w:szCs w:val="22"/>
                <w:lang w:val="ga"/>
              </w:rPr>
              <w:t>240</w:t>
            </w:r>
          </w:p>
        </w:tc>
        <w:tc>
          <w:tcPr>
            <w:tcW w:w="1843" w:type="dxa"/>
          </w:tcPr>
          <w:p w14:paraId="0F0534F5" w14:textId="0B2BDAEF" w:rsidR="009C43B1" w:rsidRPr="00D51778" w:rsidRDefault="009C43B1" w:rsidP="00F01992">
            <w:pPr>
              <w:pStyle w:val="TableCell"/>
              <w:jc w:val="right"/>
              <w:rPr>
                <w:rFonts w:cs="Arial"/>
                <w:sz w:val="22"/>
                <w:szCs w:val="22"/>
              </w:rPr>
            </w:pPr>
            <w:r w:rsidRPr="00D51778">
              <w:rPr>
                <w:rFonts w:cs="Calibri"/>
                <w:color w:val="000000"/>
                <w:sz w:val="22"/>
                <w:szCs w:val="22"/>
                <w:lang w:val="ga"/>
              </w:rPr>
              <w:t>8</w:t>
            </w:r>
          </w:p>
        </w:tc>
        <w:tc>
          <w:tcPr>
            <w:tcW w:w="1559" w:type="dxa"/>
          </w:tcPr>
          <w:p w14:paraId="55CD572C" w14:textId="69F467FC" w:rsidR="009C43B1" w:rsidRPr="00D51778" w:rsidRDefault="009C43B1" w:rsidP="00F01992">
            <w:pPr>
              <w:pStyle w:val="TableCell"/>
              <w:jc w:val="right"/>
              <w:rPr>
                <w:rFonts w:cs="Arial"/>
                <w:sz w:val="22"/>
                <w:szCs w:val="22"/>
              </w:rPr>
            </w:pPr>
            <w:r w:rsidRPr="00D51778">
              <w:rPr>
                <w:rFonts w:cs="Calibri"/>
                <w:color w:val="000000"/>
                <w:sz w:val="22"/>
                <w:szCs w:val="22"/>
                <w:lang w:val="ga"/>
              </w:rPr>
              <w:t>3.3%</w:t>
            </w:r>
          </w:p>
        </w:tc>
        <w:tc>
          <w:tcPr>
            <w:tcW w:w="1418" w:type="dxa"/>
          </w:tcPr>
          <w:p w14:paraId="4196075B" w14:textId="2D595506" w:rsidR="009C43B1" w:rsidRPr="00D51778" w:rsidRDefault="009C43B1" w:rsidP="00F01992">
            <w:pPr>
              <w:jc w:val="right"/>
              <w:rPr>
                <w:sz w:val="22"/>
                <w:szCs w:val="22"/>
              </w:rPr>
            </w:pPr>
            <w:r w:rsidRPr="00D51778">
              <w:rPr>
                <w:rFonts w:cs="Calibri"/>
                <w:color w:val="000000"/>
                <w:sz w:val="22"/>
                <w:szCs w:val="22"/>
                <w:lang w:val="ga"/>
              </w:rPr>
              <w:t>240</w:t>
            </w:r>
          </w:p>
        </w:tc>
        <w:tc>
          <w:tcPr>
            <w:tcW w:w="1417" w:type="dxa"/>
          </w:tcPr>
          <w:p w14:paraId="33A4F5C4" w14:textId="79ED1565" w:rsidR="009C43B1" w:rsidRPr="00D51778" w:rsidRDefault="009C43B1" w:rsidP="00F01992">
            <w:pPr>
              <w:jc w:val="right"/>
              <w:rPr>
                <w:sz w:val="22"/>
                <w:szCs w:val="22"/>
              </w:rPr>
            </w:pPr>
            <w:r w:rsidRPr="00D51778">
              <w:rPr>
                <w:rFonts w:cs="Calibri"/>
                <w:color w:val="000000"/>
                <w:sz w:val="22"/>
                <w:szCs w:val="22"/>
                <w:lang w:val="ga"/>
              </w:rPr>
              <w:t>8</w:t>
            </w:r>
          </w:p>
        </w:tc>
        <w:tc>
          <w:tcPr>
            <w:tcW w:w="1560" w:type="dxa"/>
          </w:tcPr>
          <w:p w14:paraId="5A753386" w14:textId="3D460711" w:rsidR="009C43B1" w:rsidRPr="00D51778" w:rsidRDefault="009C43B1" w:rsidP="00F01992">
            <w:pPr>
              <w:jc w:val="right"/>
              <w:rPr>
                <w:sz w:val="22"/>
                <w:szCs w:val="22"/>
              </w:rPr>
            </w:pPr>
            <w:r w:rsidRPr="00D51778">
              <w:rPr>
                <w:rFonts w:cs="Calibri"/>
                <w:color w:val="000000"/>
                <w:sz w:val="22"/>
                <w:szCs w:val="22"/>
                <w:lang w:val="ga"/>
              </w:rPr>
              <w:t>3.3%</w:t>
            </w:r>
          </w:p>
        </w:tc>
      </w:tr>
      <w:tr w:rsidR="009C43B1" w:rsidRPr="00D51778" w14:paraId="4784EDD3" w14:textId="77777777" w:rsidTr="00FD4D06">
        <w:tc>
          <w:tcPr>
            <w:tcW w:w="1701" w:type="dxa"/>
          </w:tcPr>
          <w:p w14:paraId="22B1DB67" w14:textId="713AED40" w:rsidR="009C43B1" w:rsidRPr="00D51778" w:rsidRDefault="009C43B1" w:rsidP="00634303">
            <w:pPr>
              <w:rPr>
                <w:sz w:val="22"/>
                <w:szCs w:val="22"/>
              </w:rPr>
            </w:pPr>
            <w:r w:rsidRPr="00D51778">
              <w:rPr>
                <w:rFonts w:cs="Calibri"/>
                <w:color w:val="000000"/>
                <w:sz w:val="22"/>
                <w:szCs w:val="22"/>
                <w:lang w:val="ga"/>
              </w:rPr>
              <w:t xml:space="preserve">An Roinn Turasóireachta, Cultúir, Ealaíon, Gaeltachta, Spóirt agus Meán </w:t>
            </w:r>
          </w:p>
        </w:tc>
        <w:tc>
          <w:tcPr>
            <w:tcW w:w="1701" w:type="dxa"/>
          </w:tcPr>
          <w:p w14:paraId="1C3ACC32" w14:textId="1B765062" w:rsidR="009C43B1" w:rsidRPr="00D51778" w:rsidRDefault="009C43B1" w:rsidP="00F01992">
            <w:pPr>
              <w:pStyle w:val="TableCell"/>
              <w:jc w:val="right"/>
              <w:rPr>
                <w:rFonts w:cs="Arial"/>
                <w:sz w:val="22"/>
                <w:szCs w:val="22"/>
              </w:rPr>
            </w:pPr>
            <w:r w:rsidRPr="00D51778">
              <w:rPr>
                <w:rFonts w:cs="Calibri"/>
                <w:color w:val="000000"/>
                <w:sz w:val="22"/>
                <w:szCs w:val="22"/>
                <w:lang w:val="ga"/>
              </w:rPr>
              <w:t>355</w:t>
            </w:r>
          </w:p>
        </w:tc>
        <w:tc>
          <w:tcPr>
            <w:tcW w:w="1843" w:type="dxa"/>
          </w:tcPr>
          <w:p w14:paraId="16B86279" w14:textId="2C7AA944" w:rsidR="009C43B1" w:rsidRPr="00D51778" w:rsidRDefault="009C43B1" w:rsidP="00F01992">
            <w:pPr>
              <w:pStyle w:val="TableCell"/>
              <w:jc w:val="right"/>
              <w:rPr>
                <w:rFonts w:cs="Arial"/>
                <w:sz w:val="22"/>
                <w:szCs w:val="22"/>
              </w:rPr>
            </w:pPr>
            <w:r w:rsidRPr="00D51778">
              <w:rPr>
                <w:rFonts w:cs="Calibri"/>
                <w:color w:val="000000"/>
                <w:sz w:val="22"/>
                <w:szCs w:val="22"/>
                <w:lang w:val="ga"/>
              </w:rPr>
              <w:t>34</w:t>
            </w:r>
          </w:p>
        </w:tc>
        <w:tc>
          <w:tcPr>
            <w:tcW w:w="1559" w:type="dxa"/>
          </w:tcPr>
          <w:p w14:paraId="3AA67A4C" w14:textId="604611E6" w:rsidR="009C43B1" w:rsidRPr="00D51778" w:rsidRDefault="009C43B1" w:rsidP="00F01992">
            <w:pPr>
              <w:pStyle w:val="TableCell"/>
              <w:jc w:val="right"/>
              <w:rPr>
                <w:rFonts w:cs="Arial"/>
                <w:sz w:val="22"/>
                <w:szCs w:val="22"/>
              </w:rPr>
            </w:pPr>
            <w:r w:rsidRPr="00D51778">
              <w:rPr>
                <w:rFonts w:cs="Calibri"/>
                <w:color w:val="000000"/>
                <w:sz w:val="22"/>
                <w:szCs w:val="22"/>
                <w:lang w:val="ga"/>
              </w:rPr>
              <w:t>9.6%</w:t>
            </w:r>
          </w:p>
        </w:tc>
        <w:tc>
          <w:tcPr>
            <w:tcW w:w="1418" w:type="dxa"/>
          </w:tcPr>
          <w:p w14:paraId="1FAE943F" w14:textId="571F854B" w:rsidR="009C43B1" w:rsidRPr="00D51778" w:rsidRDefault="009C43B1" w:rsidP="00F01992">
            <w:pPr>
              <w:jc w:val="right"/>
              <w:rPr>
                <w:sz w:val="22"/>
                <w:szCs w:val="22"/>
              </w:rPr>
            </w:pPr>
            <w:r w:rsidRPr="00D51778">
              <w:rPr>
                <w:rFonts w:cs="Calibri"/>
                <w:color w:val="000000"/>
                <w:sz w:val="22"/>
                <w:szCs w:val="22"/>
                <w:lang w:val="ga"/>
              </w:rPr>
              <w:t>370</w:t>
            </w:r>
          </w:p>
        </w:tc>
        <w:tc>
          <w:tcPr>
            <w:tcW w:w="1417" w:type="dxa"/>
          </w:tcPr>
          <w:p w14:paraId="0779F82D" w14:textId="175AC133" w:rsidR="009C43B1" w:rsidRPr="00D51778" w:rsidRDefault="009C43B1" w:rsidP="00F01992">
            <w:pPr>
              <w:jc w:val="right"/>
              <w:rPr>
                <w:sz w:val="22"/>
                <w:szCs w:val="22"/>
              </w:rPr>
            </w:pPr>
            <w:r w:rsidRPr="00D51778">
              <w:rPr>
                <w:rFonts w:cs="Calibri"/>
                <w:color w:val="000000"/>
                <w:sz w:val="22"/>
                <w:szCs w:val="22"/>
                <w:lang w:val="ga"/>
              </w:rPr>
              <w:t>40</w:t>
            </w:r>
          </w:p>
        </w:tc>
        <w:tc>
          <w:tcPr>
            <w:tcW w:w="1560" w:type="dxa"/>
          </w:tcPr>
          <w:p w14:paraId="6D328E2B" w14:textId="4289DECF" w:rsidR="009C43B1" w:rsidRPr="00D51778" w:rsidRDefault="009C43B1" w:rsidP="00F01992">
            <w:pPr>
              <w:jc w:val="right"/>
              <w:rPr>
                <w:sz w:val="22"/>
                <w:szCs w:val="22"/>
              </w:rPr>
            </w:pPr>
            <w:r w:rsidRPr="00D51778">
              <w:rPr>
                <w:rFonts w:cs="Calibri"/>
                <w:color w:val="000000"/>
                <w:sz w:val="22"/>
                <w:szCs w:val="22"/>
                <w:lang w:val="ga"/>
              </w:rPr>
              <w:t>10.8%</w:t>
            </w:r>
          </w:p>
        </w:tc>
      </w:tr>
      <w:tr w:rsidR="009C43B1" w:rsidRPr="00D51778" w14:paraId="697B0CB7" w14:textId="77777777" w:rsidTr="00FD4D06">
        <w:tc>
          <w:tcPr>
            <w:tcW w:w="1701" w:type="dxa"/>
          </w:tcPr>
          <w:p w14:paraId="0E3AED31" w14:textId="7CACB1A6" w:rsidR="009C43B1" w:rsidRPr="00D51778" w:rsidRDefault="009C43B1" w:rsidP="00634303">
            <w:pPr>
              <w:rPr>
                <w:sz w:val="22"/>
                <w:szCs w:val="22"/>
              </w:rPr>
            </w:pPr>
            <w:r w:rsidRPr="00D51778">
              <w:rPr>
                <w:rFonts w:cs="Calibri"/>
                <w:color w:val="000000"/>
                <w:sz w:val="22"/>
                <w:szCs w:val="22"/>
                <w:lang w:val="ga"/>
              </w:rPr>
              <w:lastRenderedPageBreak/>
              <w:t>An Roinn Iompair</w:t>
            </w:r>
          </w:p>
        </w:tc>
        <w:tc>
          <w:tcPr>
            <w:tcW w:w="1701" w:type="dxa"/>
          </w:tcPr>
          <w:p w14:paraId="05AA2BC6" w14:textId="24F684D6" w:rsidR="009C43B1" w:rsidRPr="00D51778" w:rsidRDefault="009C43B1" w:rsidP="00F01992">
            <w:pPr>
              <w:pStyle w:val="TableCell"/>
              <w:jc w:val="right"/>
              <w:rPr>
                <w:rFonts w:cs="Arial"/>
                <w:sz w:val="22"/>
                <w:szCs w:val="22"/>
              </w:rPr>
            </w:pPr>
            <w:r w:rsidRPr="00D51778">
              <w:rPr>
                <w:rFonts w:cs="Calibri"/>
                <w:color w:val="000000"/>
                <w:sz w:val="22"/>
                <w:szCs w:val="22"/>
                <w:lang w:val="ga"/>
              </w:rPr>
              <w:t>557</w:t>
            </w:r>
          </w:p>
        </w:tc>
        <w:tc>
          <w:tcPr>
            <w:tcW w:w="1843" w:type="dxa"/>
          </w:tcPr>
          <w:p w14:paraId="6C5DFC88" w14:textId="78BC5025" w:rsidR="009C43B1" w:rsidRPr="00D51778" w:rsidRDefault="009C43B1" w:rsidP="00F01992">
            <w:pPr>
              <w:pStyle w:val="TableCell"/>
              <w:jc w:val="right"/>
              <w:rPr>
                <w:rFonts w:cs="Arial"/>
                <w:sz w:val="22"/>
                <w:szCs w:val="22"/>
              </w:rPr>
            </w:pPr>
            <w:r w:rsidRPr="00D51778">
              <w:rPr>
                <w:rFonts w:cs="Calibri"/>
                <w:color w:val="000000"/>
                <w:sz w:val="22"/>
                <w:szCs w:val="22"/>
                <w:lang w:val="ga"/>
              </w:rPr>
              <w:t>17</w:t>
            </w:r>
          </w:p>
        </w:tc>
        <w:tc>
          <w:tcPr>
            <w:tcW w:w="1559" w:type="dxa"/>
          </w:tcPr>
          <w:p w14:paraId="6CADD0AF" w14:textId="7B299F36" w:rsidR="009C43B1" w:rsidRPr="00D51778" w:rsidRDefault="009C43B1" w:rsidP="00F01992">
            <w:pPr>
              <w:pStyle w:val="TableCell"/>
              <w:jc w:val="right"/>
              <w:rPr>
                <w:rFonts w:cs="Arial"/>
                <w:sz w:val="22"/>
                <w:szCs w:val="22"/>
              </w:rPr>
            </w:pPr>
            <w:r w:rsidRPr="00D51778">
              <w:rPr>
                <w:rFonts w:cs="Calibri"/>
                <w:color w:val="000000"/>
                <w:sz w:val="22"/>
                <w:szCs w:val="22"/>
                <w:lang w:val="ga"/>
              </w:rPr>
              <w:t>3.1%</w:t>
            </w:r>
          </w:p>
        </w:tc>
        <w:tc>
          <w:tcPr>
            <w:tcW w:w="1418" w:type="dxa"/>
          </w:tcPr>
          <w:p w14:paraId="632BBD56" w14:textId="6F497E56" w:rsidR="009C43B1" w:rsidRPr="00D51778" w:rsidRDefault="009C43B1" w:rsidP="00F01992">
            <w:pPr>
              <w:jc w:val="right"/>
              <w:rPr>
                <w:sz w:val="22"/>
                <w:szCs w:val="22"/>
              </w:rPr>
            </w:pPr>
            <w:r w:rsidRPr="00D51778">
              <w:rPr>
                <w:rFonts w:cs="Calibri"/>
                <w:color w:val="000000"/>
                <w:sz w:val="22"/>
                <w:szCs w:val="22"/>
                <w:lang w:val="ga"/>
              </w:rPr>
              <w:t>566</w:t>
            </w:r>
          </w:p>
        </w:tc>
        <w:tc>
          <w:tcPr>
            <w:tcW w:w="1417" w:type="dxa"/>
          </w:tcPr>
          <w:p w14:paraId="200B7E83" w14:textId="0FB27E99" w:rsidR="009C43B1" w:rsidRPr="00D51778" w:rsidRDefault="009C43B1" w:rsidP="00F01992">
            <w:pPr>
              <w:jc w:val="right"/>
              <w:rPr>
                <w:sz w:val="22"/>
                <w:szCs w:val="22"/>
              </w:rPr>
            </w:pPr>
            <w:r w:rsidRPr="00D51778">
              <w:rPr>
                <w:rFonts w:cs="Calibri"/>
                <w:color w:val="000000"/>
                <w:sz w:val="22"/>
                <w:szCs w:val="22"/>
                <w:lang w:val="ga"/>
              </w:rPr>
              <w:t>17</w:t>
            </w:r>
          </w:p>
        </w:tc>
        <w:tc>
          <w:tcPr>
            <w:tcW w:w="1560" w:type="dxa"/>
          </w:tcPr>
          <w:p w14:paraId="74011B23" w14:textId="3E35778D" w:rsidR="009C43B1" w:rsidRPr="00D51778" w:rsidRDefault="009C43B1" w:rsidP="00F01992">
            <w:pPr>
              <w:jc w:val="right"/>
              <w:rPr>
                <w:sz w:val="22"/>
                <w:szCs w:val="22"/>
              </w:rPr>
            </w:pPr>
            <w:r w:rsidRPr="00D51778">
              <w:rPr>
                <w:rFonts w:cs="Calibri"/>
                <w:color w:val="000000"/>
                <w:sz w:val="22"/>
                <w:szCs w:val="22"/>
                <w:lang w:val="ga"/>
              </w:rPr>
              <w:t>3.0%</w:t>
            </w:r>
          </w:p>
        </w:tc>
      </w:tr>
      <w:tr w:rsidR="00C3715B" w:rsidRPr="00D51778" w14:paraId="1188EB47" w14:textId="77777777" w:rsidTr="00FD4D06">
        <w:trPr>
          <w:trHeight w:val="583"/>
        </w:trPr>
        <w:tc>
          <w:tcPr>
            <w:tcW w:w="1701" w:type="dxa"/>
          </w:tcPr>
          <w:p w14:paraId="4689B125" w14:textId="0288E46A" w:rsidR="00C3715B" w:rsidRPr="00D51778" w:rsidRDefault="00C3715B" w:rsidP="00634303">
            <w:pPr>
              <w:rPr>
                <w:rFonts w:cs="Arial"/>
                <w:b/>
                <w:sz w:val="22"/>
                <w:szCs w:val="22"/>
              </w:rPr>
            </w:pPr>
            <w:r w:rsidRPr="00D51778">
              <w:rPr>
                <w:rFonts w:cs="Arial"/>
                <w:b/>
                <w:bCs/>
                <w:sz w:val="22"/>
                <w:szCs w:val="22"/>
                <w:lang w:val="ga"/>
              </w:rPr>
              <w:t>Mór-Iomlán</w:t>
            </w:r>
          </w:p>
        </w:tc>
        <w:tc>
          <w:tcPr>
            <w:tcW w:w="1701" w:type="dxa"/>
          </w:tcPr>
          <w:p w14:paraId="7FD9EC80" w14:textId="33EA3EBF" w:rsidR="007971E0" w:rsidRPr="00D51778" w:rsidRDefault="007971E0" w:rsidP="00F01992">
            <w:pPr>
              <w:spacing w:after="0"/>
              <w:jc w:val="right"/>
              <w:rPr>
                <w:rFonts w:cs="Calibri"/>
                <w:b/>
                <w:bCs/>
                <w:color w:val="000000"/>
                <w:sz w:val="22"/>
                <w:szCs w:val="22"/>
              </w:rPr>
            </w:pPr>
            <w:r w:rsidRPr="00D51778">
              <w:rPr>
                <w:rFonts w:cs="Calibri"/>
                <w:b/>
                <w:bCs/>
                <w:color w:val="000000"/>
                <w:sz w:val="22"/>
                <w:szCs w:val="22"/>
                <w:lang w:val="ga"/>
              </w:rPr>
              <w:t>23,271</w:t>
            </w:r>
          </w:p>
          <w:p w14:paraId="2B5DA864" w14:textId="57390C78" w:rsidR="00C3715B" w:rsidRPr="00D51778" w:rsidRDefault="00C3715B" w:rsidP="00F01992">
            <w:pPr>
              <w:pStyle w:val="TableCell"/>
              <w:jc w:val="right"/>
              <w:rPr>
                <w:rFonts w:cs="Arial"/>
                <w:sz w:val="22"/>
                <w:szCs w:val="22"/>
              </w:rPr>
            </w:pPr>
          </w:p>
        </w:tc>
        <w:tc>
          <w:tcPr>
            <w:tcW w:w="1843" w:type="dxa"/>
          </w:tcPr>
          <w:p w14:paraId="2FB69F12" w14:textId="786D87FF" w:rsidR="007971E0" w:rsidRPr="00D51778" w:rsidRDefault="007971E0" w:rsidP="00F01992">
            <w:pPr>
              <w:spacing w:after="0"/>
              <w:jc w:val="right"/>
              <w:rPr>
                <w:rFonts w:cs="Calibri"/>
                <w:b/>
                <w:bCs/>
                <w:color w:val="000000"/>
                <w:sz w:val="22"/>
                <w:szCs w:val="22"/>
              </w:rPr>
            </w:pPr>
            <w:r w:rsidRPr="00D51778">
              <w:rPr>
                <w:rFonts w:cs="Calibri"/>
                <w:b/>
                <w:bCs/>
                <w:color w:val="000000"/>
                <w:sz w:val="22"/>
                <w:szCs w:val="22"/>
                <w:lang w:val="ga"/>
              </w:rPr>
              <w:t>1,168</w:t>
            </w:r>
          </w:p>
          <w:p w14:paraId="4311D6E6" w14:textId="4CE3B8E5" w:rsidR="00C3715B" w:rsidRPr="00D51778" w:rsidRDefault="00C3715B" w:rsidP="00F01992">
            <w:pPr>
              <w:spacing w:after="0"/>
              <w:jc w:val="right"/>
              <w:rPr>
                <w:rFonts w:cs="Arial"/>
                <w:sz w:val="22"/>
                <w:szCs w:val="22"/>
              </w:rPr>
            </w:pPr>
          </w:p>
        </w:tc>
        <w:tc>
          <w:tcPr>
            <w:tcW w:w="1559" w:type="dxa"/>
          </w:tcPr>
          <w:p w14:paraId="6764EDB1" w14:textId="400054D9" w:rsidR="00F01992" w:rsidRPr="00D51778" w:rsidRDefault="00F01992" w:rsidP="00F01992">
            <w:pPr>
              <w:spacing w:after="0" w:line="360" w:lineRule="auto"/>
              <w:jc w:val="right"/>
              <w:rPr>
                <w:rFonts w:cs="Calibri"/>
                <w:b/>
                <w:bCs/>
                <w:color w:val="000000"/>
                <w:sz w:val="22"/>
                <w:szCs w:val="22"/>
              </w:rPr>
            </w:pPr>
            <w:r w:rsidRPr="00D51778">
              <w:rPr>
                <w:rFonts w:cs="Calibri"/>
                <w:b/>
                <w:bCs/>
                <w:color w:val="000000"/>
                <w:sz w:val="22"/>
                <w:szCs w:val="22"/>
                <w:lang w:val="ga"/>
              </w:rPr>
              <w:t>5.0%</w:t>
            </w:r>
          </w:p>
          <w:p w14:paraId="78A9863E" w14:textId="4DA408DC" w:rsidR="007971E0" w:rsidRPr="00D51778" w:rsidRDefault="007971E0" w:rsidP="00F01992">
            <w:pPr>
              <w:spacing w:after="0"/>
              <w:jc w:val="right"/>
              <w:rPr>
                <w:rFonts w:cs="Calibri"/>
                <w:b/>
                <w:bCs/>
                <w:color w:val="000000"/>
                <w:sz w:val="22"/>
                <w:szCs w:val="22"/>
              </w:rPr>
            </w:pPr>
          </w:p>
          <w:p w14:paraId="1E6E15D7" w14:textId="22C8775A" w:rsidR="00947CC0" w:rsidRPr="00D51778" w:rsidRDefault="00947CC0" w:rsidP="00F01992">
            <w:pPr>
              <w:pStyle w:val="TableCell"/>
              <w:jc w:val="right"/>
              <w:rPr>
                <w:rFonts w:cs="Arial"/>
                <w:sz w:val="22"/>
                <w:szCs w:val="22"/>
              </w:rPr>
            </w:pPr>
          </w:p>
        </w:tc>
        <w:tc>
          <w:tcPr>
            <w:tcW w:w="1418" w:type="dxa"/>
          </w:tcPr>
          <w:p w14:paraId="6D6A3446" w14:textId="22887C01" w:rsidR="007971E0" w:rsidRPr="00D51778" w:rsidRDefault="007971E0" w:rsidP="00F01992">
            <w:pPr>
              <w:spacing w:after="0"/>
              <w:jc w:val="right"/>
              <w:rPr>
                <w:rFonts w:cs="Calibri"/>
                <w:b/>
                <w:bCs/>
                <w:color w:val="000000"/>
                <w:sz w:val="22"/>
                <w:szCs w:val="22"/>
              </w:rPr>
            </w:pPr>
            <w:r w:rsidRPr="00D51778">
              <w:rPr>
                <w:rFonts w:cs="Calibri"/>
                <w:b/>
                <w:bCs/>
                <w:color w:val="000000"/>
                <w:sz w:val="22"/>
                <w:szCs w:val="22"/>
                <w:lang w:val="ga"/>
              </w:rPr>
              <w:t>23,590</w:t>
            </w:r>
          </w:p>
          <w:p w14:paraId="00489C3F" w14:textId="77777777" w:rsidR="00C3715B" w:rsidRPr="00D51778" w:rsidRDefault="00C3715B" w:rsidP="00F01992">
            <w:pPr>
              <w:pStyle w:val="TableCell"/>
              <w:jc w:val="right"/>
              <w:rPr>
                <w:b/>
                <w:sz w:val="22"/>
                <w:szCs w:val="22"/>
              </w:rPr>
            </w:pPr>
          </w:p>
        </w:tc>
        <w:tc>
          <w:tcPr>
            <w:tcW w:w="1417" w:type="dxa"/>
          </w:tcPr>
          <w:p w14:paraId="76D760FE" w14:textId="5581F64C" w:rsidR="007971E0" w:rsidRPr="00D51778" w:rsidRDefault="007971E0" w:rsidP="00F01992">
            <w:pPr>
              <w:spacing w:after="0"/>
              <w:jc w:val="right"/>
              <w:rPr>
                <w:rFonts w:cs="Calibri"/>
                <w:b/>
                <w:bCs/>
                <w:color w:val="000000"/>
                <w:sz w:val="22"/>
                <w:szCs w:val="22"/>
              </w:rPr>
            </w:pPr>
            <w:r w:rsidRPr="00D51778">
              <w:rPr>
                <w:rFonts w:cs="Calibri"/>
                <w:b/>
                <w:bCs/>
                <w:color w:val="000000"/>
                <w:sz w:val="22"/>
                <w:szCs w:val="22"/>
                <w:lang w:val="ga"/>
              </w:rPr>
              <w:t>1,427</w:t>
            </w:r>
          </w:p>
          <w:p w14:paraId="7C9EC6C5" w14:textId="77777777" w:rsidR="00C3715B" w:rsidRPr="00D51778" w:rsidRDefault="00C3715B" w:rsidP="00F01992">
            <w:pPr>
              <w:pStyle w:val="TableCell"/>
              <w:jc w:val="right"/>
              <w:rPr>
                <w:b/>
                <w:sz w:val="22"/>
                <w:szCs w:val="22"/>
              </w:rPr>
            </w:pPr>
          </w:p>
        </w:tc>
        <w:tc>
          <w:tcPr>
            <w:tcW w:w="1560" w:type="dxa"/>
          </w:tcPr>
          <w:p w14:paraId="6A339B4B" w14:textId="68575A0F" w:rsidR="007971E0" w:rsidRPr="00D51778" w:rsidRDefault="00114AEC" w:rsidP="00F01992">
            <w:pPr>
              <w:spacing w:after="0"/>
              <w:jc w:val="right"/>
              <w:rPr>
                <w:rFonts w:cs="Calibri"/>
                <w:b/>
                <w:bCs/>
                <w:color w:val="000000"/>
                <w:sz w:val="22"/>
                <w:szCs w:val="22"/>
              </w:rPr>
            </w:pPr>
            <w:r w:rsidRPr="00D51778">
              <w:rPr>
                <w:rFonts w:cs="Calibri"/>
                <w:b/>
                <w:bCs/>
                <w:color w:val="000000"/>
                <w:sz w:val="22"/>
                <w:szCs w:val="22"/>
                <w:lang w:val="ga"/>
              </w:rPr>
              <w:t>6.0%</w:t>
            </w:r>
          </w:p>
          <w:p w14:paraId="723C6202" w14:textId="77777777" w:rsidR="00C3715B" w:rsidRPr="00D51778" w:rsidRDefault="00C3715B" w:rsidP="00F01992">
            <w:pPr>
              <w:pStyle w:val="TableCell"/>
              <w:jc w:val="right"/>
              <w:rPr>
                <w:b/>
                <w:sz w:val="22"/>
                <w:szCs w:val="22"/>
              </w:rPr>
            </w:pPr>
          </w:p>
        </w:tc>
      </w:tr>
    </w:tbl>
    <w:p w14:paraId="11C24871" w14:textId="7CB0A648" w:rsidR="000B0FE6" w:rsidRPr="00D51778" w:rsidRDefault="000B0FE6" w:rsidP="00B72A0D">
      <w:r w:rsidRPr="00D51778">
        <w:rPr>
          <w:lang w:val="ga"/>
        </w:rPr>
        <w:br w:type="page"/>
      </w:r>
    </w:p>
    <w:p w14:paraId="011794A5" w14:textId="07DCB031" w:rsidR="000D5C5D" w:rsidRPr="00D51778" w:rsidRDefault="00973B13" w:rsidP="00D2484D">
      <w:pPr>
        <w:pStyle w:val="Heading1"/>
      </w:pPr>
      <w:bookmarkStart w:id="68" w:name="_Toc124367416"/>
      <w:r w:rsidRPr="00D51778">
        <w:rPr>
          <w:bCs/>
          <w:lang w:val="ga"/>
        </w:rPr>
        <w:lastRenderedPageBreak/>
        <w:t>Aguisín B – Comhlachtaí poiblí</w:t>
      </w:r>
      <w:bookmarkEnd w:id="68"/>
    </w:p>
    <w:p w14:paraId="7AEBF6B3" w14:textId="59C3792C" w:rsidR="008A0762" w:rsidRPr="00D51778" w:rsidRDefault="008A0762" w:rsidP="001624B2">
      <w:pPr>
        <w:pStyle w:val="Heading2"/>
        <w:rPr>
          <w:color w:val="000000" w:themeColor="text1"/>
        </w:rPr>
      </w:pPr>
    </w:p>
    <w:p w14:paraId="04AFE297" w14:textId="6777376A" w:rsidR="001624B2" w:rsidRPr="00D51778" w:rsidRDefault="008A0762" w:rsidP="001624B2">
      <w:pPr>
        <w:pStyle w:val="Heading2"/>
        <w:jc w:val="center"/>
        <w:rPr>
          <w:color w:val="000000" w:themeColor="text1"/>
        </w:rPr>
      </w:pPr>
      <w:bookmarkStart w:id="69" w:name="_Toc124367417"/>
      <w:r w:rsidRPr="00D51778">
        <w:rPr>
          <w:bCs/>
          <w:color w:val="000000" w:themeColor="text1"/>
          <w:lang w:val="ga"/>
        </w:rPr>
        <w:t>An Roinn Talmhaíochta, Bia agus Mara</w:t>
      </w:r>
      <w:bookmarkEnd w:id="69"/>
    </w:p>
    <w:tbl>
      <w:tblPr>
        <w:tblpPr w:leftFromText="180" w:rightFromText="180" w:vertAnchor="text" w:horzAnchor="page" w:tblpX="578" w:tblpY="241"/>
        <w:tblW w:w="111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70"/>
        <w:gridCol w:w="1701"/>
        <w:gridCol w:w="1559"/>
        <w:gridCol w:w="1559"/>
        <w:gridCol w:w="1418"/>
        <w:gridCol w:w="1559"/>
        <w:gridCol w:w="1418"/>
      </w:tblGrid>
      <w:tr w:rsidR="00D2484D" w:rsidRPr="00D51778" w14:paraId="5294944E" w14:textId="77777777" w:rsidTr="006910EB">
        <w:trPr>
          <w:tblHeader/>
        </w:trPr>
        <w:tc>
          <w:tcPr>
            <w:tcW w:w="1970" w:type="dxa"/>
          </w:tcPr>
          <w:p w14:paraId="26C5C848" w14:textId="77777777" w:rsidR="00D2484D" w:rsidRPr="0046554A" w:rsidRDefault="00D2484D" w:rsidP="00444A59">
            <w:pPr>
              <w:pStyle w:val="TableHead"/>
              <w:rPr>
                <w:sz w:val="22"/>
                <w:szCs w:val="22"/>
              </w:rPr>
            </w:pPr>
            <w:r w:rsidRPr="0046554A">
              <w:rPr>
                <w:bCs/>
                <w:sz w:val="22"/>
                <w:szCs w:val="22"/>
                <w:lang w:val="ga"/>
              </w:rPr>
              <w:t>Comhlacht Poiblí</w:t>
            </w:r>
          </w:p>
        </w:tc>
        <w:tc>
          <w:tcPr>
            <w:tcW w:w="1701" w:type="dxa"/>
          </w:tcPr>
          <w:p w14:paraId="5C1F6668" w14:textId="77777777" w:rsidR="0023464B" w:rsidRPr="0046554A" w:rsidRDefault="00D2484D" w:rsidP="00444A59">
            <w:pPr>
              <w:pStyle w:val="TableHead"/>
              <w:rPr>
                <w:bCs/>
                <w:sz w:val="22"/>
                <w:szCs w:val="22"/>
                <w:lang w:val="ga"/>
              </w:rPr>
            </w:pPr>
            <w:r w:rsidRPr="0046554A">
              <w:rPr>
                <w:bCs/>
                <w:sz w:val="22"/>
                <w:szCs w:val="22"/>
                <w:lang w:val="ga"/>
              </w:rPr>
              <w:t xml:space="preserve">An líon iomlán fostaithe </w:t>
            </w:r>
          </w:p>
          <w:p w14:paraId="0CA13FA3" w14:textId="0EF4B062" w:rsidR="00D2484D" w:rsidRPr="0046554A" w:rsidRDefault="00D2484D" w:rsidP="00444A59">
            <w:pPr>
              <w:pStyle w:val="TableHead"/>
              <w:rPr>
                <w:sz w:val="22"/>
                <w:szCs w:val="22"/>
              </w:rPr>
            </w:pPr>
            <w:r w:rsidRPr="0046554A">
              <w:rPr>
                <w:bCs/>
                <w:sz w:val="22"/>
                <w:szCs w:val="22"/>
                <w:lang w:val="ga"/>
              </w:rPr>
              <w:t>2020</w:t>
            </w:r>
          </w:p>
        </w:tc>
        <w:tc>
          <w:tcPr>
            <w:tcW w:w="1559" w:type="dxa"/>
          </w:tcPr>
          <w:p w14:paraId="2112FCA6" w14:textId="77777777" w:rsidR="00D2484D" w:rsidRPr="0046554A" w:rsidRDefault="00D2484D" w:rsidP="00444A59">
            <w:pPr>
              <w:pStyle w:val="TableHead"/>
              <w:rPr>
                <w:sz w:val="22"/>
                <w:szCs w:val="22"/>
              </w:rPr>
            </w:pPr>
            <w:r w:rsidRPr="0046554A">
              <w:rPr>
                <w:bCs/>
                <w:sz w:val="22"/>
                <w:szCs w:val="22"/>
                <w:lang w:val="ga"/>
              </w:rPr>
              <w:t xml:space="preserve">An líon fostaithe a thuairiscigh míchumas </w:t>
            </w:r>
          </w:p>
          <w:p w14:paraId="70733B20" w14:textId="77777777" w:rsidR="00D2484D" w:rsidRPr="0046554A" w:rsidRDefault="00D2484D" w:rsidP="00444A59">
            <w:pPr>
              <w:pStyle w:val="TableHead"/>
              <w:rPr>
                <w:sz w:val="22"/>
                <w:szCs w:val="22"/>
              </w:rPr>
            </w:pPr>
            <w:r w:rsidRPr="0046554A">
              <w:rPr>
                <w:bCs/>
                <w:sz w:val="22"/>
                <w:szCs w:val="22"/>
                <w:lang w:val="ga"/>
              </w:rPr>
              <w:t>2020</w:t>
            </w:r>
          </w:p>
        </w:tc>
        <w:tc>
          <w:tcPr>
            <w:tcW w:w="1559" w:type="dxa"/>
          </w:tcPr>
          <w:p w14:paraId="0FB03E21" w14:textId="77777777" w:rsidR="00D2484D" w:rsidRPr="0046554A" w:rsidRDefault="00D2484D" w:rsidP="00444A59">
            <w:pPr>
              <w:pStyle w:val="TableHead"/>
              <w:rPr>
                <w:sz w:val="22"/>
                <w:szCs w:val="22"/>
              </w:rPr>
            </w:pPr>
            <w:r w:rsidRPr="0046554A">
              <w:rPr>
                <w:bCs/>
                <w:sz w:val="22"/>
                <w:szCs w:val="22"/>
                <w:lang w:val="ga"/>
              </w:rPr>
              <w:t>An % d’fhostaithe a thuairiscigh</w:t>
            </w:r>
          </w:p>
          <w:p w14:paraId="774C2312" w14:textId="77777777" w:rsidR="00D2484D" w:rsidRPr="0046554A" w:rsidRDefault="00D2484D" w:rsidP="00444A59">
            <w:pPr>
              <w:pStyle w:val="TableHead"/>
              <w:rPr>
                <w:sz w:val="22"/>
                <w:szCs w:val="22"/>
              </w:rPr>
            </w:pPr>
            <w:r w:rsidRPr="0046554A">
              <w:rPr>
                <w:bCs/>
                <w:sz w:val="22"/>
                <w:szCs w:val="22"/>
                <w:lang w:val="ga"/>
              </w:rPr>
              <w:t>míchumas 2020</w:t>
            </w:r>
          </w:p>
        </w:tc>
        <w:tc>
          <w:tcPr>
            <w:tcW w:w="1418" w:type="dxa"/>
          </w:tcPr>
          <w:p w14:paraId="3EEA5463" w14:textId="77777777" w:rsidR="00D2484D" w:rsidRPr="0046554A" w:rsidRDefault="00D2484D" w:rsidP="00444A59">
            <w:pPr>
              <w:pStyle w:val="TableHead"/>
              <w:rPr>
                <w:sz w:val="22"/>
                <w:szCs w:val="22"/>
              </w:rPr>
            </w:pPr>
            <w:r w:rsidRPr="0046554A">
              <w:rPr>
                <w:bCs/>
                <w:sz w:val="22"/>
                <w:szCs w:val="22"/>
                <w:lang w:val="ga"/>
              </w:rPr>
              <w:t>An líon iomlán fostaithe 2021</w:t>
            </w:r>
          </w:p>
        </w:tc>
        <w:tc>
          <w:tcPr>
            <w:tcW w:w="1559" w:type="dxa"/>
          </w:tcPr>
          <w:p w14:paraId="3EB434B4" w14:textId="77777777" w:rsidR="00D2484D" w:rsidRPr="0046554A" w:rsidRDefault="00D2484D" w:rsidP="00444A59">
            <w:pPr>
              <w:pStyle w:val="TableHead"/>
              <w:rPr>
                <w:sz w:val="22"/>
                <w:szCs w:val="22"/>
              </w:rPr>
            </w:pPr>
            <w:r w:rsidRPr="0046554A">
              <w:rPr>
                <w:bCs/>
                <w:sz w:val="22"/>
                <w:szCs w:val="22"/>
                <w:lang w:val="ga"/>
              </w:rPr>
              <w:t xml:space="preserve">An líon fostaithe a thuairiscigh míchumas </w:t>
            </w:r>
          </w:p>
          <w:p w14:paraId="2256B5F5" w14:textId="77777777" w:rsidR="00D2484D" w:rsidRPr="0046554A" w:rsidRDefault="00D2484D" w:rsidP="00444A59">
            <w:pPr>
              <w:pStyle w:val="TableHead"/>
              <w:rPr>
                <w:sz w:val="22"/>
                <w:szCs w:val="22"/>
              </w:rPr>
            </w:pPr>
            <w:r w:rsidRPr="0046554A">
              <w:rPr>
                <w:bCs/>
                <w:sz w:val="22"/>
                <w:szCs w:val="22"/>
                <w:lang w:val="ga"/>
              </w:rPr>
              <w:t>2021</w:t>
            </w:r>
          </w:p>
        </w:tc>
        <w:tc>
          <w:tcPr>
            <w:tcW w:w="1418" w:type="dxa"/>
          </w:tcPr>
          <w:p w14:paraId="738F464D" w14:textId="77777777" w:rsidR="00D2484D" w:rsidRPr="0046554A" w:rsidRDefault="00D2484D" w:rsidP="00444A59">
            <w:pPr>
              <w:pStyle w:val="TableHead"/>
              <w:ind w:right="-232"/>
              <w:rPr>
                <w:sz w:val="22"/>
                <w:szCs w:val="22"/>
              </w:rPr>
            </w:pPr>
            <w:r w:rsidRPr="0046554A">
              <w:rPr>
                <w:bCs/>
                <w:sz w:val="22"/>
                <w:szCs w:val="22"/>
                <w:lang w:val="ga"/>
              </w:rPr>
              <w:t>An % d’fhostaithe a thuairiscigh</w:t>
            </w:r>
          </w:p>
          <w:p w14:paraId="5A88F10E" w14:textId="77777777" w:rsidR="00D2484D" w:rsidRPr="0046554A" w:rsidRDefault="00D2484D" w:rsidP="00444A59">
            <w:pPr>
              <w:pStyle w:val="TableHead"/>
              <w:rPr>
                <w:sz w:val="22"/>
                <w:szCs w:val="22"/>
              </w:rPr>
            </w:pPr>
            <w:r w:rsidRPr="0046554A">
              <w:rPr>
                <w:bCs/>
                <w:sz w:val="22"/>
                <w:szCs w:val="22"/>
                <w:lang w:val="ga"/>
              </w:rPr>
              <w:t>míchumas 2021</w:t>
            </w:r>
          </w:p>
        </w:tc>
      </w:tr>
      <w:tr w:rsidR="00D2484D" w:rsidRPr="00D51778" w14:paraId="3BEAD1DB" w14:textId="77777777" w:rsidTr="006910EB">
        <w:trPr>
          <w:tblHeader/>
        </w:trPr>
        <w:tc>
          <w:tcPr>
            <w:tcW w:w="1970" w:type="dxa"/>
          </w:tcPr>
          <w:p w14:paraId="290A5598" w14:textId="77777777" w:rsidR="00D2484D" w:rsidRPr="00D51778" w:rsidRDefault="00D2484D" w:rsidP="00444A59">
            <w:pPr>
              <w:pStyle w:val="TableHead"/>
              <w:rPr>
                <w:b w:val="0"/>
                <w:sz w:val="22"/>
                <w:szCs w:val="22"/>
              </w:rPr>
            </w:pPr>
            <w:r w:rsidRPr="00D51778">
              <w:rPr>
                <w:rFonts w:cs="Calibri"/>
                <w:b w:val="0"/>
                <w:color w:val="000000"/>
                <w:sz w:val="22"/>
                <w:szCs w:val="22"/>
                <w:lang w:val="ga"/>
              </w:rPr>
              <w:t>Bord Bia</w:t>
            </w:r>
          </w:p>
        </w:tc>
        <w:tc>
          <w:tcPr>
            <w:tcW w:w="1701" w:type="dxa"/>
          </w:tcPr>
          <w:p w14:paraId="0C82793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154</w:t>
            </w:r>
          </w:p>
        </w:tc>
        <w:tc>
          <w:tcPr>
            <w:tcW w:w="1559" w:type="dxa"/>
          </w:tcPr>
          <w:p w14:paraId="04711A63"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6</w:t>
            </w:r>
          </w:p>
        </w:tc>
        <w:tc>
          <w:tcPr>
            <w:tcW w:w="1559" w:type="dxa"/>
          </w:tcPr>
          <w:p w14:paraId="020DEE8F"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3.9%</w:t>
            </w:r>
          </w:p>
        </w:tc>
        <w:tc>
          <w:tcPr>
            <w:tcW w:w="1418" w:type="dxa"/>
          </w:tcPr>
          <w:p w14:paraId="6B8585F7" w14:textId="77777777" w:rsidR="00D2484D" w:rsidRPr="00D51778" w:rsidRDefault="00D2484D" w:rsidP="00444A59">
            <w:pPr>
              <w:jc w:val="right"/>
              <w:rPr>
                <w:sz w:val="22"/>
                <w:szCs w:val="22"/>
              </w:rPr>
            </w:pPr>
            <w:r w:rsidRPr="00D51778">
              <w:rPr>
                <w:rFonts w:cs="Calibri"/>
                <w:color w:val="000000"/>
                <w:sz w:val="22"/>
                <w:szCs w:val="22"/>
                <w:lang w:val="ga"/>
              </w:rPr>
              <w:t>150</w:t>
            </w:r>
          </w:p>
        </w:tc>
        <w:tc>
          <w:tcPr>
            <w:tcW w:w="1559" w:type="dxa"/>
          </w:tcPr>
          <w:p w14:paraId="7C714067"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w:t>
            </w:r>
          </w:p>
        </w:tc>
        <w:tc>
          <w:tcPr>
            <w:tcW w:w="1418" w:type="dxa"/>
          </w:tcPr>
          <w:p w14:paraId="1FC0A0F0"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2.0%</w:t>
            </w:r>
          </w:p>
        </w:tc>
      </w:tr>
      <w:tr w:rsidR="00D2484D" w:rsidRPr="00D51778" w14:paraId="65A3D5EE" w14:textId="77777777" w:rsidTr="006910EB">
        <w:trPr>
          <w:tblHeader/>
        </w:trPr>
        <w:tc>
          <w:tcPr>
            <w:tcW w:w="1970" w:type="dxa"/>
          </w:tcPr>
          <w:p w14:paraId="3A81A104" w14:textId="77777777" w:rsidR="00D2484D" w:rsidRPr="00D51778" w:rsidRDefault="00D2484D" w:rsidP="00444A59">
            <w:pPr>
              <w:pStyle w:val="TableHead"/>
              <w:rPr>
                <w:b w:val="0"/>
                <w:sz w:val="22"/>
                <w:szCs w:val="22"/>
              </w:rPr>
            </w:pPr>
            <w:r w:rsidRPr="00D51778">
              <w:rPr>
                <w:rFonts w:cs="Calibri"/>
                <w:b w:val="0"/>
                <w:color w:val="000000"/>
                <w:sz w:val="22"/>
                <w:szCs w:val="22"/>
                <w:lang w:val="ga"/>
              </w:rPr>
              <w:t>Bord Iascaigh Mhara</w:t>
            </w:r>
          </w:p>
        </w:tc>
        <w:tc>
          <w:tcPr>
            <w:tcW w:w="1701" w:type="dxa"/>
          </w:tcPr>
          <w:p w14:paraId="1A0AE3DB"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130</w:t>
            </w:r>
          </w:p>
        </w:tc>
        <w:tc>
          <w:tcPr>
            <w:tcW w:w="1559" w:type="dxa"/>
          </w:tcPr>
          <w:p w14:paraId="2ED41463"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7</w:t>
            </w:r>
          </w:p>
        </w:tc>
        <w:tc>
          <w:tcPr>
            <w:tcW w:w="1559" w:type="dxa"/>
          </w:tcPr>
          <w:p w14:paraId="191EECEA"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5.4%</w:t>
            </w:r>
          </w:p>
        </w:tc>
        <w:tc>
          <w:tcPr>
            <w:tcW w:w="1418" w:type="dxa"/>
          </w:tcPr>
          <w:p w14:paraId="52738368" w14:textId="77777777" w:rsidR="00D2484D" w:rsidRPr="00D51778" w:rsidRDefault="00D2484D" w:rsidP="00444A59">
            <w:pPr>
              <w:jc w:val="right"/>
              <w:rPr>
                <w:sz w:val="22"/>
                <w:szCs w:val="22"/>
              </w:rPr>
            </w:pPr>
            <w:r w:rsidRPr="00D51778">
              <w:rPr>
                <w:rFonts w:cs="Calibri"/>
                <w:color w:val="000000"/>
                <w:sz w:val="22"/>
                <w:szCs w:val="22"/>
                <w:lang w:val="ga"/>
              </w:rPr>
              <w:t>124</w:t>
            </w:r>
          </w:p>
        </w:tc>
        <w:tc>
          <w:tcPr>
            <w:tcW w:w="1559" w:type="dxa"/>
          </w:tcPr>
          <w:p w14:paraId="348501AD"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14</w:t>
            </w:r>
          </w:p>
        </w:tc>
        <w:tc>
          <w:tcPr>
            <w:tcW w:w="1418" w:type="dxa"/>
          </w:tcPr>
          <w:p w14:paraId="6D9E1BF7"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11.3%</w:t>
            </w:r>
          </w:p>
        </w:tc>
      </w:tr>
      <w:tr w:rsidR="00D2484D" w:rsidRPr="00D51778" w14:paraId="73B6A991" w14:textId="77777777" w:rsidTr="006910EB">
        <w:trPr>
          <w:tblHeader/>
        </w:trPr>
        <w:tc>
          <w:tcPr>
            <w:tcW w:w="1970" w:type="dxa"/>
          </w:tcPr>
          <w:p w14:paraId="5952E766" w14:textId="77777777" w:rsidR="00D2484D" w:rsidRPr="00D51778" w:rsidRDefault="00D2484D" w:rsidP="00444A59">
            <w:pPr>
              <w:pStyle w:val="TableHead"/>
              <w:rPr>
                <w:b w:val="0"/>
                <w:sz w:val="22"/>
                <w:szCs w:val="22"/>
              </w:rPr>
            </w:pPr>
            <w:r w:rsidRPr="00D51778">
              <w:rPr>
                <w:rFonts w:cs="Calibri"/>
                <w:b w:val="0"/>
                <w:color w:val="000000"/>
                <w:sz w:val="22"/>
                <w:szCs w:val="22"/>
                <w:lang w:val="ga"/>
              </w:rPr>
              <w:t>Coillte</w:t>
            </w:r>
          </w:p>
        </w:tc>
        <w:tc>
          <w:tcPr>
            <w:tcW w:w="1701" w:type="dxa"/>
          </w:tcPr>
          <w:p w14:paraId="5C840906"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447</w:t>
            </w:r>
          </w:p>
        </w:tc>
        <w:tc>
          <w:tcPr>
            <w:tcW w:w="1559" w:type="dxa"/>
          </w:tcPr>
          <w:p w14:paraId="505B044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7</w:t>
            </w:r>
          </w:p>
        </w:tc>
        <w:tc>
          <w:tcPr>
            <w:tcW w:w="1559" w:type="dxa"/>
          </w:tcPr>
          <w:p w14:paraId="4EBFA3C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1.6%</w:t>
            </w:r>
          </w:p>
        </w:tc>
        <w:tc>
          <w:tcPr>
            <w:tcW w:w="1418" w:type="dxa"/>
          </w:tcPr>
          <w:p w14:paraId="28FB0BE5" w14:textId="77777777" w:rsidR="00D2484D" w:rsidRPr="00D51778" w:rsidRDefault="00D2484D" w:rsidP="00444A59">
            <w:pPr>
              <w:jc w:val="right"/>
              <w:rPr>
                <w:sz w:val="22"/>
                <w:szCs w:val="22"/>
              </w:rPr>
            </w:pPr>
            <w:r w:rsidRPr="00D51778">
              <w:rPr>
                <w:rFonts w:cs="Calibri"/>
                <w:color w:val="000000"/>
                <w:sz w:val="22"/>
                <w:szCs w:val="22"/>
                <w:lang w:val="ga"/>
              </w:rPr>
              <w:t>444</w:t>
            </w:r>
          </w:p>
        </w:tc>
        <w:tc>
          <w:tcPr>
            <w:tcW w:w="1559" w:type="dxa"/>
          </w:tcPr>
          <w:p w14:paraId="42041AAC"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15</w:t>
            </w:r>
          </w:p>
        </w:tc>
        <w:tc>
          <w:tcPr>
            <w:tcW w:w="1418" w:type="dxa"/>
          </w:tcPr>
          <w:p w14:paraId="32800117"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3.4%</w:t>
            </w:r>
          </w:p>
        </w:tc>
      </w:tr>
      <w:tr w:rsidR="00D2484D" w:rsidRPr="00D51778" w14:paraId="27F49A04" w14:textId="77777777" w:rsidTr="006910EB">
        <w:trPr>
          <w:tblHeader/>
        </w:trPr>
        <w:tc>
          <w:tcPr>
            <w:tcW w:w="1970" w:type="dxa"/>
          </w:tcPr>
          <w:p w14:paraId="41941431" w14:textId="77777777" w:rsidR="00D2484D" w:rsidRPr="00D51778" w:rsidRDefault="00D2484D" w:rsidP="00444A59">
            <w:pPr>
              <w:pStyle w:val="TableHead"/>
              <w:rPr>
                <w:b w:val="0"/>
                <w:sz w:val="22"/>
                <w:szCs w:val="22"/>
              </w:rPr>
            </w:pPr>
            <w:r w:rsidRPr="00D51778">
              <w:rPr>
                <w:rFonts w:cs="Calibri"/>
                <w:b w:val="0"/>
                <w:color w:val="000000"/>
                <w:sz w:val="22"/>
                <w:szCs w:val="22"/>
                <w:lang w:val="ga"/>
              </w:rPr>
              <w:t>Rásaíocht Capall Éireann</w:t>
            </w:r>
          </w:p>
        </w:tc>
        <w:tc>
          <w:tcPr>
            <w:tcW w:w="1701" w:type="dxa"/>
          </w:tcPr>
          <w:p w14:paraId="68D760A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222</w:t>
            </w:r>
          </w:p>
        </w:tc>
        <w:tc>
          <w:tcPr>
            <w:tcW w:w="1559" w:type="dxa"/>
          </w:tcPr>
          <w:p w14:paraId="29A40A77"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13</w:t>
            </w:r>
          </w:p>
        </w:tc>
        <w:tc>
          <w:tcPr>
            <w:tcW w:w="1559" w:type="dxa"/>
          </w:tcPr>
          <w:p w14:paraId="15322D42"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5.9%</w:t>
            </w:r>
          </w:p>
        </w:tc>
        <w:tc>
          <w:tcPr>
            <w:tcW w:w="1418" w:type="dxa"/>
          </w:tcPr>
          <w:p w14:paraId="40FEEF07" w14:textId="77777777" w:rsidR="00D2484D" w:rsidRPr="00D51778" w:rsidRDefault="00D2484D" w:rsidP="00444A59">
            <w:pPr>
              <w:jc w:val="right"/>
              <w:rPr>
                <w:sz w:val="22"/>
                <w:szCs w:val="22"/>
              </w:rPr>
            </w:pPr>
            <w:r w:rsidRPr="00D51778">
              <w:rPr>
                <w:rFonts w:cs="Calibri"/>
                <w:color w:val="000000"/>
                <w:sz w:val="22"/>
                <w:szCs w:val="22"/>
                <w:lang w:val="ga"/>
              </w:rPr>
              <w:t>225</w:t>
            </w:r>
          </w:p>
        </w:tc>
        <w:tc>
          <w:tcPr>
            <w:tcW w:w="1559" w:type="dxa"/>
          </w:tcPr>
          <w:p w14:paraId="0F24C646"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8</w:t>
            </w:r>
          </w:p>
        </w:tc>
        <w:tc>
          <w:tcPr>
            <w:tcW w:w="1418" w:type="dxa"/>
          </w:tcPr>
          <w:p w14:paraId="10D7200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3.6%</w:t>
            </w:r>
          </w:p>
        </w:tc>
      </w:tr>
      <w:tr w:rsidR="00D2484D" w:rsidRPr="00D51778" w14:paraId="2DC169FF" w14:textId="77777777" w:rsidTr="006910EB">
        <w:trPr>
          <w:tblHeader/>
        </w:trPr>
        <w:tc>
          <w:tcPr>
            <w:tcW w:w="1970" w:type="dxa"/>
          </w:tcPr>
          <w:p w14:paraId="6DC54D63" w14:textId="77777777" w:rsidR="00D2484D" w:rsidRPr="00D51778" w:rsidRDefault="00D2484D" w:rsidP="00444A59">
            <w:pPr>
              <w:pStyle w:val="TableHead"/>
              <w:rPr>
                <w:b w:val="0"/>
                <w:sz w:val="22"/>
                <w:szCs w:val="22"/>
              </w:rPr>
            </w:pPr>
            <w:r w:rsidRPr="00D51778">
              <w:rPr>
                <w:rFonts w:cs="Calibri"/>
                <w:b w:val="0"/>
                <w:color w:val="000000"/>
                <w:sz w:val="22"/>
                <w:szCs w:val="22"/>
                <w:lang w:val="ga"/>
              </w:rPr>
              <w:t>Graí Náisiúnta na hÉireann</w:t>
            </w:r>
          </w:p>
        </w:tc>
        <w:tc>
          <w:tcPr>
            <w:tcW w:w="1701" w:type="dxa"/>
          </w:tcPr>
          <w:p w14:paraId="4536C92C"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52</w:t>
            </w:r>
          </w:p>
        </w:tc>
        <w:tc>
          <w:tcPr>
            <w:tcW w:w="1559" w:type="dxa"/>
          </w:tcPr>
          <w:p w14:paraId="61D080B6"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4</w:t>
            </w:r>
          </w:p>
        </w:tc>
        <w:tc>
          <w:tcPr>
            <w:tcW w:w="1559" w:type="dxa"/>
          </w:tcPr>
          <w:p w14:paraId="16E6BD42"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7.7%</w:t>
            </w:r>
          </w:p>
        </w:tc>
        <w:tc>
          <w:tcPr>
            <w:tcW w:w="1418" w:type="dxa"/>
          </w:tcPr>
          <w:p w14:paraId="2CF7391C" w14:textId="77777777" w:rsidR="00D2484D" w:rsidRPr="00D51778" w:rsidRDefault="00D2484D" w:rsidP="00444A59">
            <w:pPr>
              <w:jc w:val="right"/>
              <w:rPr>
                <w:sz w:val="22"/>
                <w:szCs w:val="22"/>
              </w:rPr>
            </w:pPr>
            <w:r w:rsidRPr="00D51778">
              <w:rPr>
                <w:rFonts w:cs="Calibri"/>
                <w:color w:val="000000"/>
                <w:sz w:val="22"/>
                <w:szCs w:val="22"/>
                <w:lang w:val="ga"/>
              </w:rPr>
              <w:t>47</w:t>
            </w:r>
          </w:p>
        </w:tc>
        <w:tc>
          <w:tcPr>
            <w:tcW w:w="1559" w:type="dxa"/>
          </w:tcPr>
          <w:p w14:paraId="2356C07D"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w:t>
            </w:r>
          </w:p>
        </w:tc>
        <w:tc>
          <w:tcPr>
            <w:tcW w:w="1418" w:type="dxa"/>
          </w:tcPr>
          <w:p w14:paraId="522342AB"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6.4%</w:t>
            </w:r>
          </w:p>
        </w:tc>
      </w:tr>
      <w:tr w:rsidR="00D2484D" w:rsidRPr="00D51778" w14:paraId="60CEDF06" w14:textId="77777777" w:rsidTr="006910EB">
        <w:trPr>
          <w:tblHeader/>
        </w:trPr>
        <w:tc>
          <w:tcPr>
            <w:tcW w:w="1970" w:type="dxa"/>
          </w:tcPr>
          <w:p w14:paraId="700C273D" w14:textId="77777777" w:rsidR="00D2484D" w:rsidRPr="00D51778" w:rsidRDefault="00D2484D" w:rsidP="00444A59">
            <w:pPr>
              <w:pStyle w:val="TableHead"/>
              <w:rPr>
                <w:b w:val="0"/>
                <w:sz w:val="22"/>
                <w:szCs w:val="22"/>
              </w:rPr>
            </w:pPr>
            <w:r w:rsidRPr="00D51778">
              <w:rPr>
                <w:rFonts w:cs="Calibri"/>
                <w:b w:val="0"/>
                <w:color w:val="000000"/>
                <w:sz w:val="22"/>
                <w:szCs w:val="22"/>
                <w:lang w:val="ga"/>
              </w:rPr>
              <w:t>Foras na Mara</w:t>
            </w:r>
          </w:p>
        </w:tc>
        <w:tc>
          <w:tcPr>
            <w:tcW w:w="1701" w:type="dxa"/>
          </w:tcPr>
          <w:p w14:paraId="1D4A3391"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234</w:t>
            </w:r>
          </w:p>
        </w:tc>
        <w:tc>
          <w:tcPr>
            <w:tcW w:w="1559" w:type="dxa"/>
          </w:tcPr>
          <w:p w14:paraId="42A90470"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12</w:t>
            </w:r>
          </w:p>
        </w:tc>
        <w:tc>
          <w:tcPr>
            <w:tcW w:w="1559" w:type="dxa"/>
          </w:tcPr>
          <w:p w14:paraId="691C107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5.1%</w:t>
            </w:r>
          </w:p>
        </w:tc>
        <w:tc>
          <w:tcPr>
            <w:tcW w:w="1418" w:type="dxa"/>
          </w:tcPr>
          <w:p w14:paraId="74B03530" w14:textId="77777777" w:rsidR="00D2484D" w:rsidRPr="00D51778" w:rsidRDefault="00D2484D" w:rsidP="00444A59">
            <w:pPr>
              <w:jc w:val="right"/>
              <w:rPr>
                <w:sz w:val="22"/>
                <w:szCs w:val="22"/>
              </w:rPr>
            </w:pPr>
            <w:r w:rsidRPr="00D51778">
              <w:rPr>
                <w:rFonts w:cs="Calibri"/>
                <w:color w:val="000000"/>
                <w:sz w:val="22"/>
                <w:szCs w:val="22"/>
                <w:lang w:val="ga"/>
              </w:rPr>
              <w:t>237</w:t>
            </w:r>
          </w:p>
        </w:tc>
        <w:tc>
          <w:tcPr>
            <w:tcW w:w="1559" w:type="dxa"/>
          </w:tcPr>
          <w:p w14:paraId="26F566BA"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16</w:t>
            </w:r>
          </w:p>
        </w:tc>
        <w:tc>
          <w:tcPr>
            <w:tcW w:w="1418" w:type="dxa"/>
          </w:tcPr>
          <w:p w14:paraId="2F72C3D0"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6.8%</w:t>
            </w:r>
          </w:p>
        </w:tc>
      </w:tr>
      <w:tr w:rsidR="00D2484D" w:rsidRPr="00D51778" w14:paraId="479CB420" w14:textId="77777777" w:rsidTr="006910EB">
        <w:trPr>
          <w:tblHeader/>
        </w:trPr>
        <w:tc>
          <w:tcPr>
            <w:tcW w:w="1970" w:type="dxa"/>
          </w:tcPr>
          <w:p w14:paraId="7B4EC88F" w14:textId="77777777" w:rsidR="00D2484D" w:rsidRPr="00D51778" w:rsidRDefault="00D2484D" w:rsidP="00444A59">
            <w:pPr>
              <w:pStyle w:val="TableHead"/>
              <w:rPr>
                <w:b w:val="0"/>
                <w:sz w:val="22"/>
                <w:szCs w:val="22"/>
              </w:rPr>
            </w:pPr>
            <w:r w:rsidRPr="00D51778">
              <w:rPr>
                <w:rFonts w:cs="Calibri"/>
                <w:b w:val="0"/>
                <w:color w:val="000000"/>
                <w:sz w:val="22"/>
                <w:szCs w:val="22"/>
                <w:lang w:val="ga"/>
              </w:rPr>
              <w:t>An Ghníomhaireacht Náisiúnta Bainne</w:t>
            </w:r>
          </w:p>
        </w:tc>
        <w:tc>
          <w:tcPr>
            <w:tcW w:w="1701" w:type="dxa"/>
          </w:tcPr>
          <w:p w14:paraId="18711EEC"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w:t>
            </w:r>
          </w:p>
        </w:tc>
        <w:tc>
          <w:tcPr>
            <w:tcW w:w="1559" w:type="dxa"/>
          </w:tcPr>
          <w:p w14:paraId="46BBF8B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w:t>
            </w:r>
          </w:p>
        </w:tc>
        <w:tc>
          <w:tcPr>
            <w:tcW w:w="1559" w:type="dxa"/>
          </w:tcPr>
          <w:p w14:paraId="344121B4"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0.0%</w:t>
            </w:r>
          </w:p>
        </w:tc>
        <w:tc>
          <w:tcPr>
            <w:tcW w:w="1418" w:type="dxa"/>
          </w:tcPr>
          <w:p w14:paraId="41B6CA16" w14:textId="77777777" w:rsidR="00D2484D" w:rsidRPr="00D51778" w:rsidRDefault="00D2484D" w:rsidP="00444A59">
            <w:pPr>
              <w:jc w:val="right"/>
              <w:rPr>
                <w:sz w:val="22"/>
                <w:szCs w:val="22"/>
              </w:rPr>
            </w:pPr>
            <w:r w:rsidRPr="00D51778">
              <w:rPr>
                <w:rFonts w:cs="Calibri"/>
                <w:color w:val="000000"/>
                <w:sz w:val="22"/>
                <w:szCs w:val="22"/>
                <w:lang w:val="ga"/>
              </w:rPr>
              <w:t>5</w:t>
            </w:r>
          </w:p>
        </w:tc>
        <w:tc>
          <w:tcPr>
            <w:tcW w:w="1559" w:type="dxa"/>
          </w:tcPr>
          <w:p w14:paraId="1C7383B6"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w:t>
            </w:r>
          </w:p>
        </w:tc>
        <w:tc>
          <w:tcPr>
            <w:tcW w:w="1418" w:type="dxa"/>
          </w:tcPr>
          <w:p w14:paraId="1690AF2B"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0.0%</w:t>
            </w:r>
          </w:p>
        </w:tc>
      </w:tr>
      <w:tr w:rsidR="00D2484D" w:rsidRPr="00D51778" w14:paraId="2F6510DD" w14:textId="77777777" w:rsidTr="006910EB">
        <w:trPr>
          <w:tblHeader/>
        </w:trPr>
        <w:tc>
          <w:tcPr>
            <w:tcW w:w="1970" w:type="dxa"/>
          </w:tcPr>
          <w:p w14:paraId="61B70F9B" w14:textId="77777777" w:rsidR="00D2484D" w:rsidRPr="00D51778" w:rsidRDefault="00D2484D" w:rsidP="00444A59">
            <w:pPr>
              <w:pStyle w:val="TableHead"/>
              <w:rPr>
                <w:b w:val="0"/>
                <w:sz w:val="22"/>
                <w:szCs w:val="22"/>
              </w:rPr>
            </w:pPr>
            <w:r w:rsidRPr="00D51778">
              <w:rPr>
                <w:rFonts w:cs="Calibri"/>
                <w:b w:val="0"/>
                <w:color w:val="000000"/>
                <w:sz w:val="22"/>
                <w:szCs w:val="22"/>
                <w:lang w:val="ga"/>
              </w:rPr>
              <w:t xml:space="preserve">Rásaíocht Con Éireann </w:t>
            </w:r>
          </w:p>
        </w:tc>
        <w:tc>
          <w:tcPr>
            <w:tcW w:w="1701" w:type="dxa"/>
          </w:tcPr>
          <w:p w14:paraId="46DEA14C" w14:textId="77777777" w:rsidR="00D2484D" w:rsidRPr="00D51778" w:rsidRDefault="00D2484D" w:rsidP="00444A59">
            <w:pPr>
              <w:pStyle w:val="TableHead"/>
              <w:jc w:val="right"/>
              <w:rPr>
                <w:rFonts w:cs="Arial"/>
                <w:b w:val="0"/>
                <w:sz w:val="22"/>
                <w:szCs w:val="22"/>
              </w:rPr>
            </w:pPr>
            <w:r w:rsidRPr="00D51778">
              <w:rPr>
                <w:rFonts w:cs="Calibri"/>
                <w:b w:val="0"/>
                <w:color w:val="000000"/>
                <w:sz w:val="22"/>
                <w:szCs w:val="22"/>
                <w:lang w:val="ga"/>
              </w:rPr>
              <w:t>162</w:t>
            </w:r>
          </w:p>
        </w:tc>
        <w:tc>
          <w:tcPr>
            <w:tcW w:w="1559" w:type="dxa"/>
          </w:tcPr>
          <w:p w14:paraId="65DEC157" w14:textId="77777777" w:rsidR="00D2484D" w:rsidRPr="00D51778" w:rsidRDefault="00D2484D" w:rsidP="00444A59">
            <w:pPr>
              <w:pStyle w:val="TableHead"/>
              <w:jc w:val="right"/>
              <w:rPr>
                <w:rFonts w:cs="Arial"/>
                <w:b w:val="0"/>
                <w:sz w:val="22"/>
                <w:szCs w:val="22"/>
              </w:rPr>
            </w:pPr>
            <w:r w:rsidRPr="00D51778">
              <w:rPr>
                <w:rFonts w:cs="Calibri"/>
                <w:b w:val="0"/>
                <w:color w:val="000000"/>
                <w:sz w:val="22"/>
                <w:szCs w:val="22"/>
                <w:lang w:val="ga"/>
              </w:rPr>
              <w:t>19</w:t>
            </w:r>
          </w:p>
        </w:tc>
        <w:tc>
          <w:tcPr>
            <w:tcW w:w="1559" w:type="dxa"/>
          </w:tcPr>
          <w:p w14:paraId="2DAC138D" w14:textId="77777777" w:rsidR="00D2484D" w:rsidRPr="00D51778" w:rsidRDefault="00D2484D" w:rsidP="00444A59">
            <w:pPr>
              <w:pStyle w:val="TableHead"/>
              <w:jc w:val="right"/>
              <w:rPr>
                <w:rFonts w:cs="Arial"/>
                <w:b w:val="0"/>
                <w:sz w:val="22"/>
                <w:szCs w:val="22"/>
              </w:rPr>
            </w:pPr>
            <w:r w:rsidRPr="00D51778">
              <w:rPr>
                <w:rFonts w:cs="Calibri"/>
                <w:b w:val="0"/>
                <w:color w:val="000000"/>
                <w:sz w:val="22"/>
                <w:szCs w:val="22"/>
                <w:lang w:val="ga"/>
              </w:rPr>
              <w:t>11.7%</w:t>
            </w:r>
          </w:p>
        </w:tc>
        <w:tc>
          <w:tcPr>
            <w:tcW w:w="1418" w:type="dxa"/>
          </w:tcPr>
          <w:p w14:paraId="3D76E61C" w14:textId="77777777" w:rsidR="00D2484D" w:rsidRPr="00D51778" w:rsidRDefault="00D2484D" w:rsidP="00444A59">
            <w:pPr>
              <w:jc w:val="right"/>
              <w:rPr>
                <w:sz w:val="22"/>
                <w:szCs w:val="22"/>
              </w:rPr>
            </w:pPr>
            <w:r w:rsidRPr="00D51778">
              <w:rPr>
                <w:rFonts w:cs="Calibri"/>
                <w:color w:val="000000"/>
                <w:sz w:val="22"/>
                <w:szCs w:val="22"/>
                <w:lang w:val="ga"/>
              </w:rPr>
              <w:t>560</w:t>
            </w:r>
          </w:p>
        </w:tc>
        <w:tc>
          <w:tcPr>
            <w:tcW w:w="1559" w:type="dxa"/>
          </w:tcPr>
          <w:p w14:paraId="15668A81" w14:textId="77777777" w:rsidR="00D2484D" w:rsidRPr="00D51778" w:rsidRDefault="00D2484D" w:rsidP="00444A59">
            <w:pPr>
              <w:pStyle w:val="TableHead"/>
              <w:jc w:val="right"/>
              <w:rPr>
                <w:rFonts w:cs="Calibri"/>
                <w:b w:val="0"/>
                <w:color w:val="000000"/>
                <w:sz w:val="22"/>
                <w:szCs w:val="22"/>
              </w:rPr>
            </w:pPr>
            <w:r w:rsidRPr="00D51778">
              <w:rPr>
                <w:rFonts w:cs="Calibri"/>
                <w:b w:val="0"/>
                <w:color w:val="000000"/>
                <w:sz w:val="22"/>
                <w:szCs w:val="22"/>
                <w:lang w:val="ga"/>
              </w:rPr>
              <w:t>19</w:t>
            </w:r>
          </w:p>
        </w:tc>
        <w:tc>
          <w:tcPr>
            <w:tcW w:w="1418" w:type="dxa"/>
          </w:tcPr>
          <w:p w14:paraId="19DC3189"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3.4%</w:t>
            </w:r>
          </w:p>
        </w:tc>
      </w:tr>
      <w:tr w:rsidR="00D2484D" w:rsidRPr="00D51778" w14:paraId="76376F7F" w14:textId="77777777" w:rsidTr="006910EB">
        <w:trPr>
          <w:tblHeader/>
        </w:trPr>
        <w:tc>
          <w:tcPr>
            <w:tcW w:w="1970" w:type="dxa"/>
          </w:tcPr>
          <w:p w14:paraId="5344BBAF" w14:textId="77777777" w:rsidR="00D2484D" w:rsidRPr="00D51778" w:rsidRDefault="00D2484D" w:rsidP="00444A59">
            <w:pPr>
              <w:pStyle w:val="TableHead"/>
              <w:spacing w:after="240"/>
              <w:rPr>
                <w:b w:val="0"/>
                <w:sz w:val="22"/>
                <w:szCs w:val="22"/>
              </w:rPr>
            </w:pPr>
            <w:r w:rsidRPr="00D51778">
              <w:rPr>
                <w:rFonts w:cs="Calibri"/>
                <w:b w:val="0"/>
                <w:color w:val="000000"/>
                <w:sz w:val="22"/>
                <w:szCs w:val="22"/>
                <w:lang w:val="ga"/>
              </w:rPr>
              <w:t>An tÚdarás um Chosaint Iascaigh Mhara</w:t>
            </w:r>
          </w:p>
        </w:tc>
        <w:tc>
          <w:tcPr>
            <w:tcW w:w="1701" w:type="dxa"/>
          </w:tcPr>
          <w:p w14:paraId="0EE11AC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148</w:t>
            </w:r>
          </w:p>
        </w:tc>
        <w:tc>
          <w:tcPr>
            <w:tcW w:w="1559" w:type="dxa"/>
          </w:tcPr>
          <w:p w14:paraId="6CCCA42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6</w:t>
            </w:r>
          </w:p>
        </w:tc>
        <w:tc>
          <w:tcPr>
            <w:tcW w:w="1559" w:type="dxa"/>
          </w:tcPr>
          <w:p w14:paraId="01C22292"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4.1%</w:t>
            </w:r>
          </w:p>
        </w:tc>
        <w:tc>
          <w:tcPr>
            <w:tcW w:w="1418" w:type="dxa"/>
          </w:tcPr>
          <w:p w14:paraId="0FB4E9B9" w14:textId="77777777" w:rsidR="00D2484D" w:rsidRPr="00D51778" w:rsidRDefault="00D2484D" w:rsidP="00444A59">
            <w:pPr>
              <w:jc w:val="right"/>
              <w:rPr>
                <w:sz w:val="22"/>
                <w:szCs w:val="22"/>
              </w:rPr>
            </w:pPr>
            <w:r w:rsidRPr="00D51778">
              <w:rPr>
                <w:rFonts w:cs="Calibri"/>
                <w:color w:val="000000"/>
                <w:sz w:val="22"/>
                <w:szCs w:val="22"/>
                <w:lang w:val="ga"/>
              </w:rPr>
              <w:t>170</w:t>
            </w:r>
          </w:p>
        </w:tc>
        <w:tc>
          <w:tcPr>
            <w:tcW w:w="1559" w:type="dxa"/>
          </w:tcPr>
          <w:p w14:paraId="2A7717E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11</w:t>
            </w:r>
          </w:p>
        </w:tc>
        <w:tc>
          <w:tcPr>
            <w:tcW w:w="1418" w:type="dxa"/>
          </w:tcPr>
          <w:p w14:paraId="35DCE484"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6.5%</w:t>
            </w:r>
          </w:p>
        </w:tc>
      </w:tr>
      <w:tr w:rsidR="00D2484D" w:rsidRPr="00D51778" w14:paraId="15DC8A97" w14:textId="77777777" w:rsidTr="006910EB">
        <w:trPr>
          <w:tblHeader/>
        </w:trPr>
        <w:tc>
          <w:tcPr>
            <w:tcW w:w="1970" w:type="dxa"/>
          </w:tcPr>
          <w:p w14:paraId="47BD4948" w14:textId="77777777" w:rsidR="00D2484D" w:rsidRPr="00D51778" w:rsidRDefault="00D2484D" w:rsidP="00444A59">
            <w:pPr>
              <w:pStyle w:val="TableHead"/>
              <w:rPr>
                <w:b w:val="0"/>
                <w:sz w:val="22"/>
                <w:szCs w:val="22"/>
              </w:rPr>
            </w:pPr>
            <w:r w:rsidRPr="00D51778">
              <w:rPr>
                <w:rFonts w:cs="Calibri"/>
                <w:b w:val="0"/>
                <w:color w:val="000000"/>
                <w:sz w:val="22"/>
                <w:szCs w:val="22"/>
                <w:lang w:val="ga"/>
              </w:rPr>
              <w:t xml:space="preserve">Teagasc </w:t>
            </w:r>
          </w:p>
        </w:tc>
        <w:tc>
          <w:tcPr>
            <w:tcW w:w="1701" w:type="dxa"/>
          </w:tcPr>
          <w:p w14:paraId="43B1299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1,383</w:t>
            </w:r>
          </w:p>
        </w:tc>
        <w:tc>
          <w:tcPr>
            <w:tcW w:w="1559" w:type="dxa"/>
          </w:tcPr>
          <w:p w14:paraId="7E958F45"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53</w:t>
            </w:r>
          </w:p>
        </w:tc>
        <w:tc>
          <w:tcPr>
            <w:tcW w:w="1559" w:type="dxa"/>
          </w:tcPr>
          <w:p w14:paraId="4AA64F37"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3.8%</w:t>
            </w:r>
          </w:p>
        </w:tc>
        <w:tc>
          <w:tcPr>
            <w:tcW w:w="1418" w:type="dxa"/>
          </w:tcPr>
          <w:p w14:paraId="6939C247" w14:textId="77777777" w:rsidR="00D2484D" w:rsidRPr="00D51778" w:rsidRDefault="00D2484D" w:rsidP="00444A59">
            <w:pPr>
              <w:jc w:val="right"/>
              <w:rPr>
                <w:sz w:val="22"/>
                <w:szCs w:val="22"/>
              </w:rPr>
            </w:pPr>
            <w:r w:rsidRPr="00D51778">
              <w:rPr>
                <w:rFonts w:cs="Calibri"/>
                <w:color w:val="000000"/>
                <w:sz w:val="22"/>
                <w:szCs w:val="22"/>
                <w:lang w:val="ga"/>
              </w:rPr>
              <w:t>1,387</w:t>
            </w:r>
          </w:p>
        </w:tc>
        <w:tc>
          <w:tcPr>
            <w:tcW w:w="1559" w:type="dxa"/>
          </w:tcPr>
          <w:p w14:paraId="67DEFAB4"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53</w:t>
            </w:r>
          </w:p>
        </w:tc>
        <w:tc>
          <w:tcPr>
            <w:tcW w:w="1418" w:type="dxa"/>
          </w:tcPr>
          <w:p w14:paraId="7044AE38"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3.8%</w:t>
            </w:r>
          </w:p>
        </w:tc>
      </w:tr>
      <w:tr w:rsidR="00D2484D" w:rsidRPr="00D51778" w14:paraId="3DF4A745" w14:textId="77777777" w:rsidTr="006910EB">
        <w:trPr>
          <w:tblHeader/>
        </w:trPr>
        <w:tc>
          <w:tcPr>
            <w:tcW w:w="1970" w:type="dxa"/>
          </w:tcPr>
          <w:p w14:paraId="48BD7A3A" w14:textId="77777777" w:rsidR="00D2484D" w:rsidRPr="00D51778" w:rsidRDefault="00D2484D" w:rsidP="00444A59">
            <w:pPr>
              <w:pStyle w:val="TableHead"/>
              <w:rPr>
                <w:b w:val="0"/>
                <w:sz w:val="22"/>
                <w:szCs w:val="22"/>
              </w:rPr>
            </w:pPr>
            <w:r w:rsidRPr="00D51778">
              <w:rPr>
                <w:rFonts w:cs="Calibri"/>
                <w:b w:val="0"/>
                <w:color w:val="000000"/>
                <w:sz w:val="22"/>
                <w:szCs w:val="22"/>
                <w:lang w:val="ga"/>
              </w:rPr>
              <w:t>Comhairle Tréidlianna na hÉireann</w:t>
            </w:r>
          </w:p>
        </w:tc>
        <w:tc>
          <w:tcPr>
            <w:tcW w:w="1701" w:type="dxa"/>
          </w:tcPr>
          <w:p w14:paraId="2806E5D4"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9</w:t>
            </w:r>
          </w:p>
        </w:tc>
        <w:tc>
          <w:tcPr>
            <w:tcW w:w="1559" w:type="dxa"/>
          </w:tcPr>
          <w:p w14:paraId="2BABB8EE"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w:t>
            </w:r>
          </w:p>
        </w:tc>
        <w:tc>
          <w:tcPr>
            <w:tcW w:w="1559" w:type="dxa"/>
          </w:tcPr>
          <w:p w14:paraId="75E23DCD"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0.0%</w:t>
            </w:r>
          </w:p>
        </w:tc>
        <w:tc>
          <w:tcPr>
            <w:tcW w:w="1418" w:type="dxa"/>
          </w:tcPr>
          <w:p w14:paraId="0369DC49" w14:textId="77777777" w:rsidR="00D2484D" w:rsidRPr="00D51778" w:rsidRDefault="00D2484D" w:rsidP="00444A59">
            <w:pPr>
              <w:jc w:val="right"/>
              <w:rPr>
                <w:sz w:val="22"/>
                <w:szCs w:val="22"/>
              </w:rPr>
            </w:pPr>
            <w:r w:rsidRPr="00D51778">
              <w:rPr>
                <w:rFonts w:cs="Calibri"/>
                <w:color w:val="000000"/>
                <w:sz w:val="22"/>
                <w:szCs w:val="22"/>
                <w:lang w:val="ga"/>
              </w:rPr>
              <w:t>11</w:t>
            </w:r>
          </w:p>
        </w:tc>
        <w:tc>
          <w:tcPr>
            <w:tcW w:w="1559" w:type="dxa"/>
          </w:tcPr>
          <w:p w14:paraId="0F3484E9"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w:t>
            </w:r>
          </w:p>
        </w:tc>
        <w:tc>
          <w:tcPr>
            <w:tcW w:w="1418" w:type="dxa"/>
          </w:tcPr>
          <w:p w14:paraId="6CDB8E72" w14:textId="77777777" w:rsidR="00D2484D" w:rsidRPr="00D51778" w:rsidRDefault="00D2484D" w:rsidP="00444A59">
            <w:pPr>
              <w:pStyle w:val="TableHead"/>
              <w:jc w:val="right"/>
              <w:rPr>
                <w:b w:val="0"/>
                <w:sz w:val="22"/>
                <w:szCs w:val="22"/>
              </w:rPr>
            </w:pPr>
            <w:r w:rsidRPr="00D51778">
              <w:rPr>
                <w:rFonts w:cs="Calibri"/>
                <w:b w:val="0"/>
                <w:color w:val="000000"/>
                <w:sz w:val="22"/>
                <w:szCs w:val="22"/>
                <w:lang w:val="ga"/>
              </w:rPr>
              <w:t>0.0%</w:t>
            </w:r>
          </w:p>
        </w:tc>
      </w:tr>
      <w:tr w:rsidR="00D2484D" w:rsidRPr="00D51778" w14:paraId="716D207A" w14:textId="77777777" w:rsidTr="006910EB">
        <w:trPr>
          <w:tblHeader/>
        </w:trPr>
        <w:tc>
          <w:tcPr>
            <w:tcW w:w="1970" w:type="dxa"/>
          </w:tcPr>
          <w:p w14:paraId="6DC1E5A5" w14:textId="77777777" w:rsidR="00D2484D" w:rsidRPr="00D51778" w:rsidRDefault="00D2484D" w:rsidP="00444A59">
            <w:pPr>
              <w:pStyle w:val="TableHead"/>
              <w:rPr>
                <w:sz w:val="22"/>
                <w:szCs w:val="22"/>
              </w:rPr>
            </w:pPr>
            <w:r w:rsidRPr="00D51778">
              <w:rPr>
                <w:bCs/>
                <w:sz w:val="22"/>
                <w:szCs w:val="22"/>
                <w:lang w:val="ga"/>
              </w:rPr>
              <w:t>Mór-Iomlán</w:t>
            </w:r>
          </w:p>
        </w:tc>
        <w:tc>
          <w:tcPr>
            <w:tcW w:w="1701" w:type="dxa"/>
          </w:tcPr>
          <w:p w14:paraId="4293D424"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2,946</w:t>
            </w:r>
          </w:p>
          <w:p w14:paraId="3C3E43D1" w14:textId="77777777" w:rsidR="00D2484D" w:rsidRPr="00D51778" w:rsidRDefault="00D2484D" w:rsidP="00444A59">
            <w:pPr>
              <w:pStyle w:val="TableHead"/>
              <w:jc w:val="right"/>
              <w:rPr>
                <w:sz w:val="22"/>
                <w:szCs w:val="22"/>
              </w:rPr>
            </w:pPr>
          </w:p>
        </w:tc>
        <w:tc>
          <w:tcPr>
            <w:tcW w:w="1559" w:type="dxa"/>
          </w:tcPr>
          <w:p w14:paraId="3BBC817E"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127</w:t>
            </w:r>
          </w:p>
          <w:p w14:paraId="49C08D13" w14:textId="77777777" w:rsidR="00D2484D" w:rsidRPr="00D51778" w:rsidRDefault="00D2484D" w:rsidP="00444A59">
            <w:pPr>
              <w:pStyle w:val="TableHead"/>
              <w:jc w:val="right"/>
              <w:rPr>
                <w:sz w:val="22"/>
                <w:szCs w:val="22"/>
              </w:rPr>
            </w:pPr>
          </w:p>
        </w:tc>
        <w:tc>
          <w:tcPr>
            <w:tcW w:w="1559" w:type="dxa"/>
          </w:tcPr>
          <w:p w14:paraId="7AF0E49F"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4.3%</w:t>
            </w:r>
          </w:p>
          <w:p w14:paraId="067F95FC" w14:textId="77777777" w:rsidR="00D2484D" w:rsidRPr="00D51778" w:rsidRDefault="00D2484D" w:rsidP="00444A59">
            <w:pPr>
              <w:pStyle w:val="TableHead"/>
              <w:jc w:val="right"/>
              <w:rPr>
                <w:sz w:val="22"/>
                <w:szCs w:val="22"/>
              </w:rPr>
            </w:pPr>
          </w:p>
        </w:tc>
        <w:tc>
          <w:tcPr>
            <w:tcW w:w="1418" w:type="dxa"/>
          </w:tcPr>
          <w:p w14:paraId="67A99F83"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3,360</w:t>
            </w:r>
          </w:p>
          <w:p w14:paraId="715962EB" w14:textId="77777777" w:rsidR="00D2484D" w:rsidRPr="00D51778" w:rsidRDefault="00D2484D" w:rsidP="00444A59">
            <w:pPr>
              <w:pStyle w:val="TableHead"/>
              <w:jc w:val="right"/>
              <w:rPr>
                <w:sz w:val="22"/>
                <w:szCs w:val="22"/>
              </w:rPr>
            </w:pPr>
          </w:p>
        </w:tc>
        <w:tc>
          <w:tcPr>
            <w:tcW w:w="1559" w:type="dxa"/>
          </w:tcPr>
          <w:p w14:paraId="0D34B4A8"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142</w:t>
            </w:r>
          </w:p>
          <w:p w14:paraId="3A033812" w14:textId="77777777" w:rsidR="00D2484D" w:rsidRPr="00D51778" w:rsidRDefault="00D2484D" w:rsidP="00444A59">
            <w:pPr>
              <w:pStyle w:val="TableHead"/>
              <w:jc w:val="right"/>
              <w:rPr>
                <w:sz w:val="22"/>
                <w:szCs w:val="22"/>
              </w:rPr>
            </w:pPr>
          </w:p>
        </w:tc>
        <w:tc>
          <w:tcPr>
            <w:tcW w:w="1418" w:type="dxa"/>
          </w:tcPr>
          <w:p w14:paraId="288AD65E" w14:textId="77777777" w:rsidR="00D2484D" w:rsidRPr="00D51778" w:rsidRDefault="00D2484D" w:rsidP="00444A59">
            <w:pPr>
              <w:spacing w:after="0"/>
              <w:jc w:val="right"/>
              <w:rPr>
                <w:rFonts w:cs="Calibri"/>
                <w:b/>
                <w:bCs/>
                <w:color w:val="000000"/>
                <w:sz w:val="22"/>
                <w:szCs w:val="22"/>
              </w:rPr>
            </w:pPr>
            <w:r w:rsidRPr="00D51778">
              <w:rPr>
                <w:rFonts w:cs="Calibri"/>
                <w:b/>
                <w:bCs/>
                <w:color w:val="000000"/>
                <w:sz w:val="22"/>
                <w:szCs w:val="22"/>
                <w:lang w:val="ga"/>
              </w:rPr>
              <w:t>4.2%</w:t>
            </w:r>
          </w:p>
          <w:p w14:paraId="714EA717" w14:textId="77777777" w:rsidR="00D2484D" w:rsidRPr="00D51778" w:rsidRDefault="00D2484D" w:rsidP="00444A59">
            <w:pPr>
              <w:pStyle w:val="TableHead"/>
              <w:jc w:val="right"/>
              <w:rPr>
                <w:sz w:val="22"/>
                <w:szCs w:val="22"/>
              </w:rPr>
            </w:pPr>
          </w:p>
        </w:tc>
      </w:tr>
    </w:tbl>
    <w:p w14:paraId="6395DB3C" w14:textId="77777777" w:rsidR="000D5C5D" w:rsidRPr="00D51778" w:rsidRDefault="000D5C5D" w:rsidP="000D5C5D"/>
    <w:p w14:paraId="79E0AA9F" w14:textId="77777777" w:rsidR="00371279" w:rsidRPr="00D51778" w:rsidRDefault="00371279" w:rsidP="00371279">
      <w:pPr>
        <w:pStyle w:val="TableSummary"/>
      </w:pPr>
    </w:p>
    <w:p w14:paraId="5A417D36" w14:textId="77777777" w:rsidR="00DC03A4" w:rsidRDefault="00DC03A4" w:rsidP="001624B2">
      <w:pPr>
        <w:pStyle w:val="Heading2"/>
        <w:jc w:val="center"/>
        <w:rPr>
          <w:bCs/>
          <w:color w:val="000000" w:themeColor="text1"/>
          <w:lang w:val="ga"/>
        </w:rPr>
      </w:pPr>
    </w:p>
    <w:p w14:paraId="722CAF47" w14:textId="77777777" w:rsidR="00DC03A4" w:rsidRDefault="00DC03A4" w:rsidP="001624B2">
      <w:pPr>
        <w:pStyle w:val="Heading2"/>
        <w:jc w:val="center"/>
        <w:rPr>
          <w:bCs/>
          <w:color w:val="000000" w:themeColor="text1"/>
          <w:lang w:val="ga"/>
        </w:rPr>
      </w:pPr>
    </w:p>
    <w:p w14:paraId="1C322B54" w14:textId="7EA3EF9F" w:rsidR="00813069" w:rsidRPr="00D51778" w:rsidRDefault="00DA7F72" w:rsidP="001624B2">
      <w:pPr>
        <w:pStyle w:val="Heading2"/>
        <w:jc w:val="center"/>
        <w:rPr>
          <w:color w:val="000000" w:themeColor="text1"/>
        </w:rPr>
      </w:pPr>
      <w:bookmarkStart w:id="70" w:name="_Toc124367418"/>
      <w:r w:rsidRPr="00D51778">
        <w:rPr>
          <w:bCs/>
          <w:color w:val="000000" w:themeColor="text1"/>
          <w:lang w:val="ga"/>
        </w:rPr>
        <w:lastRenderedPageBreak/>
        <w:t>An Roinn Leanaí, Comhionannais, Míchumais, Lánpháirtíochta agus Óige</w:t>
      </w:r>
      <w:bookmarkEnd w:id="70"/>
    </w:p>
    <w:tbl>
      <w:tblPr>
        <w:tblStyle w:val="TableGrid"/>
        <w:tblpPr w:leftFromText="180" w:rightFromText="180" w:vertAnchor="text" w:horzAnchor="page" w:tblpX="496" w:tblpY="285"/>
        <w:tblW w:w="11194" w:type="dxa"/>
        <w:tblLayout w:type="fixed"/>
        <w:tblLook w:val="04A0" w:firstRow="1" w:lastRow="0" w:firstColumn="1" w:lastColumn="0" w:noHBand="0" w:noVBand="1"/>
        <w:tblCaption w:val="Appendix B Public bodies"/>
        <w:tblDescription w:val="Department of Children and Youth Affairs"/>
      </w:tblPr>
      <w:tblGrid>
        <w:gridCol w:w="2122"/>
        <w:gridCol w:w="1701"/>
        <w:gridCol w:w="1559"/>
        <w:gridCol w:w="1559"/>
        <w:gridCol w:w="1276"/>
        <w:gridCol w:w="1417"/>
        <w:gridCol w:w="1560"/>
      </w:tblGrid>
      <w:tr w:rsidR="00D2484D" w:rsidRPr="00D51778" w14:paraId="103DD96E" w14:textId="77777777" w:rsidTr="00DC03A4">
        <w:trPr>
          <w:tblHeader/>
        </w:trPr>
        <w:tc>
          <w:tcPr>
            <w:tcW w:w="2122" w:type="dxa"/>
          </w:tcPr>
          <w:p w14:paraId="138331FA"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Comhlacht Poiblí</w:t>
            </w:r>
          </w:p>
        </w:tc>
        <w:tc>
          <w:tcPr>
            <w:tcW w:w="1701" w:type="dxa"/>
          </w:tcPr>
          <w:p w14:paraId="1567E000" w14:textId="77777777" w:rsidR="0023464B" w:rsidRPr="0046554A" w:rsidRDefault="00D2484D" w:rsidP="00D2484D">
            <w:pPr>
              <w:pStyle w:val="TableRowHead"/>
              <w:rPr>
                <w:rFonts w:ascii="Gill Sans MT" w:hAnsi="Gill Sans MT"/>
                <w:bCs/>
                <w:sz w:val="22"/>
                <w:szCs w:val="22"/>
                <w:lang w:val="ga"/>
              </w:rPr>
            </w:pPr>
            <w:r w:rsidRPr="0046554A">
              <w:rPr>
                <w:rFonts w:ascii="Gill Sans MT" w:hAnsi="Gill Sans MT"/>
                <w:bCs/>
                <w:sz w:val="22"/>
                <w:szCs w:val="22"/>
                <w:lang w:val="ga"/>
              </w:rPr>
              <w:t xml:space="preserve">An líon iomlán fostaithe </w:t>
            </w:r>
          </w:p>
          <w:p w14:paraId="2B2109F4" w14:textId="51BE87AD"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2020</w:t>
            </w:r>
          </w:p>
        </w:tc>
        <w:tc>
          <w:tcPr>
            <w:tcW w:w="1559" w:type="dxa"/>
          </w:tcPr>
          <w:p w14:paraId="7944F687" w14:textId="77777777" w:rsidR="00DC03A4" w:rsidRPr="0046554A" w:rsidRDefault="00D2484D" w:rsidP="00D2484D">
            <w:pPr>
              <w:pStyle w:val="TableRowHead"/>
              <w:rPr>
                <w:rFonts w:ascii="Gill Sans MT" w:hAnsi="Gill Sans MT"/>
                <w:bCs/>
                <w:sz w:val="22"/>
                <w:szCs w:val="22"/>
                <w:lang w:val="ga"/>
              </w:rPr>
            </w:pPr>
            <w:r w:rsidRPr="0046554A">
              <w:rPr>
                <w:rFonts w:ascii="Gill Sans MT" w:hAnsi="Gill Sans MT"/>
                <w:bCs/>
                <w:sz w:val="22"/>
                <w:szCs w:val="22"/>
                <w:lang w:val="ga"/>
              </w:rPr>
              <w:t xml:space="preserve">An líon fostaithe </w:t>
            </w:r>
          </w:p>
          <w:p w14:paraId="2D87B015" w14:textId="34248D14"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a thuairiscigh míchumas</w:t>
            </w:r>
          </w:p>
          <w:p w14:paraId="497AD252"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2020</w:t>
            </w:r>
          </w:p>
        </w:tc>
        <w:tc>
          <w:tcPr>
            <w:tcW w:w="1559" w:type="dxa"/>
          </w:tcPr>
          <w:p w14:paraId="07E37294"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An % d’fhostaithe a thuairiscigh</w:t>
            </w:r>
          </w:p>
          <w:p w14:paraId="3BAF42A0"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míchumas 2020</w:t>
            </w:r>
          </w:p>
        </w:tc>
        <w:tc>
          <w:tcPr>
            <w:tcW w:w="1276" w:type="dxa"/>
          </w:tcPr>
          <w:p w14:paraId="4D9BCA11"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An líon iomlán fostaithe 2021</w:t>
            </w:r>
          </w:p>
        </w:tc>
        <w:tc>
          <w:tcPr>
            <w:tcW w:w="1417" w:type="dxa"/>
          </w:tcPr>
          <w:p w14:paraId="2C861C7B" w14:textId="0E44335F" w:rsidR="00DC03A4" w:rsidRPr="0046554A" w:rsidRDefault="00D2484D" w:rsidP="00D2484D">
            <w:pPr>
              <w:pStyle w:val="TableRowHead"/>
              <w:rPr>
                <w:rFonts w:ascii="Gill Sans MT" w:hAnsi="Gill Sans MT"/>
                <w:bCs/>
                <w:sz w:val="22"/>
                <w:szCs w:val="22"/>
                <w:lang w:val="ga"/>
              </w:rPr>
            </w:pPr>
            <w:r w:rsidRPr="0046554A">
              <w:rPr>
                <w:rFonts w:ascii="Gill Sans MT" w:hAnsi="Gill Sans MT"/>
                <w:bCs/>
                <w:sz w:val="22"/>
                <w:szCs w:val="22"/>
                <w:lang w:val="ga"/>
              </w:rPr>
              <w:t xml:space="preserve">An líon fostaithe </w:t>
            </w:r>
          </w:p>
          <w:p w14:paraId="6CA3D520" w14:textId="0DC3D319"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 xml:space="preserve">a thuairiscigh míchumas </w:t>
            </w:r>
          </w:p>
          <w:p w14:paraId="64341C7E"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2021</w:t>
            </w:r>
          </w:p>
        </w:tc>
        <w:tc>
          <w:tcPr>
            <w:tcW w:w="1560" w:type="dxa"/>
          </w:tcPr>
          <w:p w14:paraId="3E35EEF5"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An % d’fhostaithe a thuairiscigh</w:t>
            </w:r>
          </w:p>
          <w:p w14:paraId="361CF709" w14:textId="77777777" w:rsidR="00D2484D" w:rsidRPr="0046554A" w:rsidRDefault="00D2484D" w:rsidP="00D2484D">
            <w:pPr>
              <w:pStyle w:val="TableRowHead"/>
              <w:rPr>
                <w:rFonts w:ascii="Gill Sans MT" w:hAnsi="Gill Sans MT"/>
                <w:sz w:val="22"/>
                <w:szCs w:val="22"/>
              </w:rPr>
            </w:pPr>
            <w:r w:rsidRPr="0046554A">
              <w:rPr>
                <w:rFonts w:ascii="Gill Sans MT" w:hAnsi="Gill Sans MT"/>
                <w:bCs/>
                <w:sz w:val="22"/>
                <w:szCs w:val="22"/>
                <w:lang w:val="ga"/>
              </w:rPr>
              <w:t>míchumas 2021</w:t>
            </w:r>
          </w:p>
        </w:tc>
      </w:tr>
      <w:tr w:rsidR="00D2484D" w:rsidRPr="00D51778" w14:paraId="4D7963D5" w14:textId="77777777" w:rsidTr="00DC03A4">
        <w:tblPrEx>
          <w:tblLook w:val="0620" w:firstRow="1" w:lastRow="0" w:firstColumn="0" w:lastColumn="0" w:noHBand="1" w:noVBand="1"/>
        </w:tblPrEx>
        <w:trPr>
          <w:trHeight w:val="255"/>
          <w:tblHeader/>
        </w:trPr>
        <w:tc>
          <w:tcPr>
            <w:tcW w:w="2122" w:type="dxa"/>
            <w:tcBorders>
              <w:top w:val="single" w:sz="4" w:space="0" w:color="auto"/>
              <w:left w:val="single" w:sz="4" w:space="0" w:color="auto"/>
              <w:bottom w:val="single" w:sz="4" w:space="0" w:color="auto"/>
              <w:right w:val="single" w:sz="4" w:space="0" w:color="auto"/>
            </w:tcBorders>
            <w:noWrap/>
          </w:tcPr>
          <w:p w14:paraId="2FCB1D8A" w14:textId="77777777" w:rsidR="00D2484D" w:rsidRPr="00D51778" w:rsidRDefault="00D2484D" w:rsidP="00D2484D">
            <w:pPr>
              <w:rPr>
                <w:rFonts w:cs="Arial"/>
                <w:sz w:val="22"/>
                <w:szCs w:val="22"/>
              </w:rPr>
            </w:pPr>
            <w:r w:rsidRPr="00D51778">
              <w:rPr>
                <w:rFonts w:cs="Calibri"/>
                <w:color w:val="000000"/>
                <w:sz w:val="22"/>
                <w:szCs w:val="22"/>
                <w:lang w:val="ga"/>
              </w:rPr>
              <w:t xml:space="preserve">Údarás Uchtála na hÉireann </w:t>
            </w:r>
          </w:p>
        </w:tc>
        <w:tc>
          <w:tcPr>
            <w:tcW w:w="1701" w:type="dxa"/>
            <w:tcBorders>
              <w:top w:val="single" w:sz="4" w:space="0" w:color="auto"/>
              <w:left w:val="nil"/>
              <w:bottom w:val="single" w:sz="4" w:space="0" w:color="auto"/>
              <w:right w:val="single" w:sz="4" w:space="0" w:color="auto"/>
            </w:tcBorders>
            <w:noWrap/>
          </w:tcPr>
          <w:p w14:paraId="1E39030A" w14:textId="77777777" w:rsidR="00D2484D" w:rsidRPr="00D51778" w:rsidRDefault="00D2484D" w:rsidP="00D2484D">
            <w:pPr>
              <w:jc w:val="right"/>
              <w:rPr>
                <w:rFonts w:cs="Arial"/>
                <w:sz w:val="22"/>
                <w:szCs w:val="22"/>
              </w:rPr>
            </w:pPr>
            <w:r w:rsidRPr="00D51778">
              <w:rPr>
                <w:rFonts w:cs="Calibri"/>
                <w:color w:val="000000"/>
                <w:sz w:val="22"/>
                <w:szCs w:val="22"/>
                <w:lang w:val="ga"/>
              </w:rPr>
              <w:t>26</w:t>
            </w:r>
          </w:p>
        </w:tc>
        <w:tc>
          <w:tcPr>
            <w:tcW w:w="1559" w:type="dxa"/>
            <w:tcBorders>
              <w:top w:val="single" w:sz="4" w:space="0" w:color="auto"/>
              <w:left w:val="nil"/>
              <w:bottom w:val="single" w:sz="4" w:space="0" w:color="auto"/>
              <w:right w:val="single" w:sz="4" w:space="0" w:color="auto"/>
            </w:tcBorders>
            <w:noWrap/>
          </w:tcPr>
          <w:p w14:paraId="0C364A30" w14:textId="77777777" w:rsidR="00D2484D" w:rsidRPr="00D51778" w:rsidRDefault="00D2484D" w:rsidP="00D2484D">
            <w:pPr>
              <w:jc w:val="right"/>
              <w:rPr>
                <w:rFonts w:cs="Arial"/>
                <w:sz w:val="22"/>
                <w:szCs w:val="22"/>
              </w:rPr>
            </w:pPr>
            <w:r w:rsidRPr="00D51778">
              <w:rPr>
                <w:rFonts w:cs="Calibri"/>
                <w:color w:val="000000"/>
                <w:sz w:val="22"/>
                <w:szCs w:val="22"/>
                <w:lang w:val="ga"/>
              </w:rPr>
              <w:t>2</w:t>
            </w:r>
          </w:p>
        </w:tc>
        <w:tc>
          <w:tcPr>
            <w:tcW w:w="1559" w:type="dxa"/>
            <w:tcBorders>
              <w:top w:val="single" w:sz="4" w:space="0" w:color="auto"/>
              <w:left w:val="nil"/>
              <w:bottom w:val="single" w:sz="4" w:space="0" w:color="auto"/>
              <w:right w:val="single" w:sz="4" w:space="0" w:color="auto"/>
            </w:tcBorders>
            <w:noWrap/>
          </w:tcPr>
          <w:p w14:paraId="19C8C5B8" w14:textId="77777777" w:rsidR="00D2484D" w:rsidRPr="00D51778" w:rsidRDefault="00D2484D" w:rsidP="00D2484D">
            <w:pPr>
              <w:jc w:val="right"/>
              <w:rPr>
                <w:rFonts w:cs="Arial"/>
                <w:sz w:val="22"/>
                <w:szCs w:val="22"/>
              </w:rPr>
            </w:pPr>
            <w:r w:rsidRPr="00D51778">
              <w:rPr>
                <w:rFonts w:cs="Calibri"/>
                <w:color w:val="000000"/>
                <w:sz w:val="22"/>
                <w:szCs w:val="22"/>
                <w:lang w:val="ga"/>
              </w:rPr>
              <w:t>7.7%</w:t>
            </w:r>
          </w:p>
        </w:tc>
        <w:tc>
          <w:tcPr>
            <w:tcW w:w="1276" w:type="dxa"/>
            <w:tcBorders>
              <w:top w:val="single" w:sz="4" w:space="0" w:color="auto"/>
              <w:left w:val="nil"/>
              <w:bottom w:val="single" w:sz="4" w:space="0" w:color="auto"/>
              <w:right w:val="single" w:sz="4" w:space="0" w:color="auto"/>
            </w:tcBorders>
            <w:noWrap/>
          </w:tcPr>
          <w:p w14:paraId="4655D2C0" w14:textId="77777777" w:rsidR="00D2484D" w:rsidRPr="00D51778" w:rsidRDefault="00D2484D" w:rsidP="00D2484D">
            <w:pPr>
              <w:jc w:val="right"/>
              <w:rPr>
                <w:rFonts w:cs="Arial"/>
                <w:sz w:val="22"/>
                <w:szCs w:val="22"/>
              </w:rPr>
            </w:pPr>
            <w:r w:rsidRPr="00D51778">
              <w:rPr>
                <w:rFonts w:cs="Calibri"/>
                <w:color w:val="000000"/>
                <w:sz w:val="22"/>
                <w:szCs w:val="22"/>
                <w:lang w:val="ga"/>
              </w:rPr>
              <w:t>31</w:t>
            </w:r>
          </w:p>
        </w:tc>
        <w:tc>
          <w:tcPr>
            <w:tcW w:w="1417" w:type="dxa"/>
            <w:tcBorders>
              <w:top w:val="single" w:sz="4" w:space="0" w:color="auto"/>
              <w:left w:val="nil"/>
              <w:bottom w:val="single" w:sz="4" w:space="0" w:color="auto"/>
              <w:right w:val="single" w:sz="4" w:space="0" w:color="auto"/>
            </w:tcBorders>
            <w:noWrap/>
          </w:tcPr>
          <w:p w14:paraId="6582DE59" w14:textId="77777777" w:rsidR="00D2484D" w:rsidRPr="00D51778" w:rsidRDefault="00D2484D" w:rsidP="00D2484D">
            <w:pPr>
              <w:jc w:val="right"/>
              <w:rPr>
                <w:rFonts w:cs="Arial"/>
                <w:sz w:val="22"/>
                <w:szCs w:val="22"/>
              </w:rPr>
            </w:pPr>
            <w:r w:rsidRPr="00D51778">
              <w:rPr>
                <w:rFonts w:cs="Calibri"/>
                <w:color w:val="000000"/>
                <w:sz w:val="22"/>
                <w:szCs w:val="22"/>
                <w:lang w:val="ga"/>
              </w:rPr>
              <w:t>2</w:t>
            </w:r>
          </w:p>
        </w:tc>
        <w:tc>
          <w:tcPr>
            <w:tcW w:w="1560" w:type="dxa"/>
            <w:tcBorders>
              <w:top w:val="single" w:sz="4" w:space="0" w:color="auto"/>
              <w:left w:val="nil"/>
              <w:bottom w:val="single" w:sz="4" w:space="0" w:color="auto"/>
              <w:right w:val="single" w:sz="4" w:space="0" w:color="auto"/>
            </w:tcBorders>
            <w:noWrap/>
          </w:tcPr>
          <w:p w14:paraId="6898EAED" w14:textId="77777777" w:rsidR="00D2484D" w:rsidRPr="00D51778" w:rsidRDefault="00D2484D" w:rsidP="00D2484D">
            <w:pPr>
              <w:jc w:val="right"/>
              <w:rPr>
                <w:rFonts w:cs="Arial"/>
                <w:sz w:val="22"/>
                <w:szCs w:val="22"/>
              </w:rPr>
            </w:pPr>
            <w:r w:rsidRPr="00D51778">
              <w:rPr>
                <w:rFonts w:cs="Calibri"/>
                <w:color w:val="000000"/>
                <w:sz w:val="22"/>
                <w:szCs w:val="22"/>
                <w:lang w:val="ga"/>
              </w:rPr>
              <w:t>6.5%</w:t>
            </w:r>
          </w:p>
        </w:tc>
      </w:tr>
      <w:tr w:rsidR="00D2484D" w:rsidRPr="00D51778" w14:paraId="6DA147D9" w14:textId="77777777" w:rsidTr="00DC03A4">
        <w:tblPrEx>
          <w:tblLook w:val="0620" w:firstRow="1" w:lastRow="0" w:firstColumn="0" w:lastColumn="0" w:noHBand="1" w:noVBand="1"/>
        </w:tblPrEx>
        <w:trPr>
          <w:trHeight w:val="255"/>
          <w:tblHeader/>
        </w:trPr>
        <w:tc>
          <w:tcPr>
            <w:tcW w:w="2122" w:type="dxa"/>
            <w:tcBorders>
              <w:top w:val="nil"/>
              <w:left w:val="single" w:sz="4" w:space="0" w:color="auto"/>
              <w:bottom w:val="single" w:sz="4" w:space="0" w:color="auto"/>
              <w:right w:val="single" w:sz="4" w:space="0" w:color="auto"/>
            </w:tcBorders>
            <w:noWrap/>
          </w:tcPr>
          <w:p w14:paraId="44F7C522" w14:textId="77777777" w:rsidR="00D2484D" w:rsidRPr="00D51778" w:rsidRDefault="00D2484D" w:rsidP="00D2484D">
            <w:pPr>
              <w:rPr>
                <w:rFonts w:cs="Arial"/>
                <w:sz w:val="22"/>
                <w:szCs w:val="22"/>
              </w:rPr>
            </w:pPr>
            <w:r w:rsidRPr="00D51778">
              <w:rPr>
                <w:rFonts w:cs="Calibri"/>
                <w:color w:val="000000"/>
                <w:sz w:val="22"/>
                <w:szCs w:val="22"/>
                <w:lang w:val="ga"/>
              </w:rPr>
              <w:t>An Ghníomhaireacht um Leanaí agus an Teaghlach (TUSLA)</w:t>
            </w:r>
          </w:p>
        </w:tc>
        <w:tc>
          <w:tcPr>
            <w:tcW w:w="1701" w:type="dxa"/>
            <w:tcBorders>
              <w:top w:val="nil"/>
              <w:left w:val="nil"/>
              <w:bottom w:val="single" w:sz="4" w:space="0" w:color="auto"/>
              <w:right w:val="single" w:sz="4" w:space="0" w:color="auto"/>
            </w:tcBorders>
            <w:noWrap/>
          </w:tcPr>
          <w:p w14:paraId="705292A0" w14:textId="77777777" w:rsidR="00D2484D" w:rsidRPr="00D51778" w:rsidRDefault="00D2484D" w:rsidP="00D2484D">
            <w:pPr>
              <w:jc w:val="right"/>
              <w:rPr>
                <w:rFonts w:cs="Arial"/>
                <w:sz w:val="22"/>
                <w:szCs w:val="22"/>
              </w:rPr>
            </w:pPr>
            <w:r w:rsidRPr="00D51778">
              <w:rPr>
                <w:rFonts w:cs="Calibri"/>
                <w:color w:val="000000"/>
                <w:sz w:val="22"/>
                <w:szCs w:val="22"/>
                <w:lang w:val="ga"/>
              </w:rPr>
              <w:t>5,258</w:t>
            </w:r>
          </w:p>
        </w:tc>
        <w:tc>
          <w:tcPr>
            <w:tcW w:w="1559" w:type="dxa"/>
            <w:tcBorders>
              <w:top w:val="nil"/>
              <w:left w:val="nil"/>
              <w:bottom w:val="single" w:sz="4" w:space="0" w:color="auto"/>
              <w:right w:val="single" w:sz="4" w:space="0" w:color="auto"/>
            </w:tcBorders>
            <w:noWrap/>
          </w:tcPr>
          <w:p w14:paraId="2ACFE5D5" w14:textId="77777777" w:rsidR="00D2484D" w:rsidRPr="00D51778" w:rsidRDefault="00D2484D" w:rsidP="00D2484D">
            <w:pPr>
              <w:jc w:val="right"/>
              <w:rPr>
                <w:rFonts w:cs="Arial"/>
                <w:sz w:val="22"/>
                <w:szCs w:val="22"/>
              </w:rPr>
            </w:pPr>
            <w:r w:rsidRPr="00D51778">
              <w:rPr>
                <w:rFonts w:cs="Calibri"/>
                <w:color w:val="000000"/>
                <w:sz w:val="22"/>
                <w:szCs w:val="22"/>
                <w:lang w:val="ga"/>
              </w:rPr>
              <w:t>206</w:t>
            </w:r>
          </w:p>
        </w:tc>
        <w:tc>
          <w:tcPr>
            <w:tcW w:w="1559" w:type="dxa"/>
            <w:tcBorders>
              <w:top w:val="nil"/>
              <w:left w:val="nil"/>
              <w:bottom w:val="single" w:sz="4" w:space="0" w:color="auto"/>
              <w:right w:val="single" w:sz="4" w:space="0" w:color="auto"/>
            </w:tcBorders>
            <w:noWrap/>
          </w:tcPr>
          <w:p w14:paraId="04B0F0D4" w14:textId="77777777" w:rsidR="00D2484D" w:rsidRPr="00D51778" w:rsidRDefault="00D2484D" w:rsidP="00D2484D">
            <w:pPr>
              <w:jc w:val="right"/>
              <w:rPr>
                <w:rFonts w:cs="Arial"/>
                <w:sz w:val="22"/>
                <w:szCs w:val="22"/>
              </w:rPr>
            </w:pPr>
            <w:r w:rsidRPr="00D51778">
              <w:rPr>
                <w:rFonts w:cs="Calibri"/>
                <w:color w:val="000000"/>
                <w:sz w:val="22"/>
                <w:szCs w:val="22"/>
                <w:lang w:val="ga"/>
              </w:rPr>
              <w:t>3.9%</w:t>
            </w:r>
          </w:p>
        </w:tc>
        <w:tc>
          <w:tcPr>
            <w:tcW w:w="1276" w:type="dxa"/>
            <w:tcBorders>
              <w:top w:val="nil"/>
              <w:left w:val="nil"/>
              <w:bottom w:val="single" w:sz="4" w:space="0" w:color="auto"/>
              <w:right w:val="single" w:sz="4" w:space="0" w:color="auto"/>
            </w:tcBorders>
            <w:noWrap/>
          </w:tcPr>
          <w:p w14:paraId="13139D55" w14:textId="77777777" w:rsidR="00D2484D" w:rsidRPr="00D51778" w:rsidRDefault="00D2484D" w:rsidP="00D2484D">
            <w:pPr>
              <w:jc w:val="right"/>
              <w:rPr>
                <w:rFonts w:cs="Arial"/>
                <w:sz w:val="22"/>
                <w:szCs w:val="22"/>
              </w:rPr>
            </w:pPr>
            <w:r w:rsidRPr="00D51778">
              <w:rPr>
                <w:rFonts w:cs="Calibri"/>
                <w:color w:val="000000"/>
                <w:sz w:val="22"/>
                <w:szCs w:val="22"/>
                <w:lang w:val="ga"/>
              </w:rPr>
              <w:t>5,306</w:t>
            </w:r>
          </w:p>
        </w:tc>
        <w:tc>
          <w:tcPr>
            <w:tcW w:w="1417" w:type="dxa"/>
            <w:tcBorders>
              <w:top w:val="nil"/>
              <w:left w:val="nil"/>
              <w:bottom w:val="single" w:sz="4" w:space="0" w:color="auto"/>
              <w:right w:val="single" w:sz="4" w:space="0" w:color="auto"/>
            </w:tcBorders>
            <w:noWrap/>
          </w:tcPr>
          <w:p w14:paraId="72876EB6" w14:textId="77777777" w:rsidR="00D2484D" w:rsidRPr="00D51778" w:rsidRDefault="00D2484D" w:rsidP="00D2484D">
            <w:pPr>
              <w:jc w:val="right"/>
              <w:rPr>
                <w:rFonts w:cs="Arial"/>
                <w:sz w:val="22"/>
                <w:szCs w:val="22"/>
              </w:rPr>
            </w:pPr>
            <w:r w:rsidRPr="00D51778">
              <w:rPr>
                <w:rFonts w:cs="Calibri"/>
                <w:color w:val="000000"/>
                <w:sz w:val="22"/>
                <w:szCs w:val="22"/>
                <w:lang w:val="ga"/>
              </w:rPr>
              <w:t>236</w:t>
            </w:r>
          </w:p>
        </w:tc>
        <w:tc>
          <w:tcPr>
            <w:tcW w:w="1560" w:type="dxa"/>
            <w:tcBorders>
              <w:top w:val="nil"/>
              <w:left w:val="nil"/>
              <w:bottom w:val="single" w:sz="4" w:space="0" w:color="auto"/>
              <w:right w:val="single" w:sz="4" w:space="0" w:color="auto"/>
            </w:tcBorders>
            <w:noWrap/>
          </w:tcPr>
          <w:p w14:paraId="50AF3C18" w14:textId="243294AC" w:rsidR="00D2484D" w:rsidRPr="00D51778" w:rsidRDefault="007E7CE3" w:rsidP="00D2484D">
            <w:pPr>
              <w:jc w:val="right"/>
              <w:rPr>
                <w:rFonts w:cs="Arial"/>
                <w:sz w:val="22"/>
                <w:szCs w:val="22"/>
              </w:rPr>
            </w:pPr>
            <w:r w:rsidRPr="00D51778">
              <w:rPr>
                <w:rFonts w:cs="Calibri"/>
                <w:color w:val="000000"/>
                <w:sz w:val="22"/>
                <w:szCs w:val="22"/>
                <w:lang w:val="ga"/>
              </w:rPr>
              <w:t>4.4%</w:t>
            </w:r>
          </w:p>
        </w:tc>
      </w:tr>
      <w:tr w:rsidR="00D2484D" w:rsidRPr="00D51778" w14:paraId="411B939A" w14:textId="77777777" w:rsidTr="00DC03A4">
        <w:tblPrEx>
          <w:tblLook w:val="0620" w:firstRow="1" w:lastRow="0" w:firstColumn="0" w:lastColumn="0" w:noHBand="1" w:noVBand="1"/>
        </w:tblPrEx>
        <w:trPr>
          <w:trHeight w:val="255"/>
          <w:tblHeader/>
        </w:trPr>
        <w:tc>
          <w:tcPr>
            <w:tcW w:w="2122" w:type="dxa"/>
            <w:tcBorders>
              <w:top w:val="nil"/>
              <w:left w:val="single" w:sz="4" w:space="0" w:color="auto"/>
              <w:bottom w:val="single" w:sz="4" w:space="0" w:color="auto"/>
              <w:right w:val="single" w:sz="4" w:space="0" w:color="auto"/>
            </w:tcBorders>
            <w:noWrap/>
          </w:tcPr>
          <w:p w14:paraId="5F4E3595" w14:textId="77777777" w:rsidR="00D2484D" w:rsidRPr="00D51778" w:rsidRDefault="00D2484D" w:rsidP="00D2484D">
            <w:pPr>
              <w:rPr>
                <w:rFonts w:cs="Arial"/>
                <w:sz w:val="22"/>
                <w:szCs w:val="22"/>
              </w:rPr>
            </w:pPr>
            <w:r w:rsidRPr="00D51778">
              <w:rPr>
                <w:rFonts w:cs="Calibri"/>
                <w:color w:val="000000"/>
                <w:sz w:val="22"/>
                <w:szCs w:val="22"/>
                <w:lang w:val="ga"/>
              </w:rPr>
              <w:t>An tÚdarás Náisiúnta Míchumais</w:t>
            </w:r>
          </w:p>
        </w:tc>
        <w:tc>
          <w:tcPr>
            <w:tcW w:w="1701" w:type="dxa"/>
            <w:tcBorders>
              <w:top w:val="nil"/>
              <w:left w:val="nil"/>
              <w:bottom w:val="single" w:sz="4" w:space="0" w:color="auto"/>
              <w:right w:val="single" w:sz="4" w:space="0" w:color="auto"/>
            </w:tcBorders>
            <w:noWrap/>
          </w:tcPr>
          <w:p w14:paraId="566A88BE" w14:textId="77777777" w:rsidR="00D2484D" w:rsidRPr="00D51778" w:rsidRDefault="00D2484D" w:rsidP="00D2484D">
            <w:pPr>
              <w:jc w:val="right"/>
              <w:rPr>
                <w:rFonts w:cs="Arial"/>
                <w:sz w:val="22"/>
                <w:szCs w:val="22"/>
              </w:rPr>
            </w:pPr>
            <w:r w:rsidRPr="00D51778">
              <w:rPr>
                <w:rFonts w:cs="Calibri"/>
                <w:color w:val="000000"/>
                <w:sz w:val="22"/>
                <w:szCs w:val="22"/>
                <w:lang w:val="ga"/>
              </w:rPr>
              <w:t>35</w:t>
            </w:r>
          </w:p>
        </w:tc>
        <w:tc>
          <w:tcPr>
            <w:tcW w:w="1559" w:type="dxa"/>
            <w:tcBorders>
              <w:top w:val="nil"/>
              <w:left w:val="nil"/>
              <w:bottom w:val="single" w:sz="4" w:space="0" w:color="auto"/>
              <w:right w:val="single" w:sz="4" w:space="0" w:color="auto"/>
            </w:tcBorders>
            <w:noWrap/>
          </w:tcPr>
          <w:p w14:paraId="500CC547" w14:textId="77777777" w:rsidR="00D2484D" w:rsidRPr="00D51778" w:rsidRDefault="00D2484D" w:rsidP="00D2484D">
            <w:pPr>
              <w:jc w:val="right"/>
              <w:rPr>
                <w:rFonts w:cs="Arial"/>
                <w:sz w:val="22"/>
                <w:szCs w:val="22"/>
              </w:rPr>
            </w:pPr>
            <w:r w:rsidRPr="00D51778">
              <w:rPr>
                <w:rFonts w:cs="Calibri"/>
                <w:color w:val="000000"/>
                <w:sz w:val="22"/>
                <w:szCs w:val="22"/>
                <w:lang w:val="ga"/>
              </w:rPr>
              <w:t>7</w:t>
            </w:r>
          </w:p>
        </w:tc>
        <w:tc>
          <w:tcPr>
            <w:tcW w:w="1559" w:type="dxa"/>
            <w:tcBorders>
              <w:top w:val="nil"/>
              <w:left w:val="nil"/>
              <w:bottom w:val="single" w:sz="4" w:space="0" w:color="auto"/>
              <w:right w:val="single" w:sz="4" w:space="0" w:color="auto"/>
            </w:tcBorders>
            <w:noWrap/>
          </w:tcPr>
          <w:p w14:paraId="14F90FFC" w14:textId="77777777" w:rsidR="00D2484D" w:rsidRPr="00D51778" w:rsidRDefault="00D2484D" w:rsidP="00D2484D">
            <w:pPr>
              <w:jc w:val="right"/>
              <w:rPr>
                <w:rFonts w:cs="Arial"/>
                <w:sz w:val="22"/>
                <w:szCs w:val="22"/>
              </w:rPr>
            </w:pPr>
            <w:r w:rsidRPr="00D51778">
              <w:rPr>
                <w:rFonts w:cs="Calibri"/>
                <w:color w:val="000000"/>
                <w:sz w:val="22"/>
                <w:szCs w:val="22"/>
                <w:lang w:val="ga"/>
              </w:rPr>
              <w:t>20.0%</w:t>
            </w:r>
          </w:p>
        </w:tc>
        <w:tc>
          <w:tcPr>
            <w:tcW w:w="1276" w:type="dxa"/>
            <w:tcBorders>
              <w:top w:val="nil"/>
              <w:left w:val="nil"/>
              <w:bottom w:val="single" w:sz="4" w:space="0" w:color="auto"/>
              <w:right w:val="single" w:sz="4" w:space="0" w:color="auto"/>
            </w:tcBorders>
            <w:noWrap/>
          </w:tcPr>
          <w:p w14:paraId="31E6EC32" w14:textId="77777777" w:rsidR="00D2484D" w:rsidRPr="00D51778" w:rsidRDefault="00D2484D" w:rsidP="00D2484D">
            <w:pPr>
              <w:jc w:val="right"/>
              <w:rPr>
                <w:rFonts w:cs="Arial"/>
                <w:sz w:val="22"/>
                <w:szCs w:val="22"/>
              </w:rPr>
            </w:pPr>
            <w:r w:rsidRPr="00D51778">
              <w:rPr>
                <w:rFonts w:cs="Calibri"/>
                <w:color w:val="000000"/>
                <w:sz w:val="22"/>
                <w:szCs w:val="22"/>
                <w:lang w:val="ga"/>
              </w:rPr>
              <w:t>39</w:t>
            </w:r>
          </w:p>
        </w:tc>
        <w:tc>
          <w:tcPr>
            <w:tcW w:w="1417" w:type="dxa"/>
            <w:tcBorders>
              <w:top w:val="nil"/>
              <w:left w:val="nil"/>
              <w:bottom w:val="single" w:sz="4" w:space="0" w:color="auto"/>
              <w:right w:val="single" w:sz="4" w:space="0" w:color="auto"/>
            </w:tcBorders>
            <w:noWrap/>
          </w:tcPr>
          <w:p w14:paraId="0300161B" w14:textId="77777777" w:rsidR="00D2484D" w:rsidRPr="00D51778" w:rsidRDefault="00D2484D" w:rsidP="00D2484D">
            <w:pPr>
              <w:jc w:val="right"/>
              <w:rPr>
                <w:rFonts w:cs="Arial"/>
                <w:sz w:val="22"/>
                <w:szCs w:val="22"/>
              </w:rPr>
            </w:pPr>
            <w:r w:rsidRPr="00D51778">
              <w:rPr>
                <w:rFonts w:cs="Calibri"/>
                <w:color w:val="000000"/>
                <w:sz w:val="22"/>
                <w:szCs w:val="22"/>
                <w:lang w:val="ga"/>
              </w:rPr>
              <w:t>8</w:t>
            </w:r>
          </w:p>
        </w:tc>
        <w:tc>
          <w:tcPr>
            <w:tcW w:w="1560" w:type="dxa"/>
            <w:tcBorders>
              <w:top w:val="nil"/>
              <w:left w:val="nil"/>
              <w:bottom w:val="single" w:sz="4" w:space="0" w:color="auto"/>
              <w:right w:val="single" w:sz="4" w:space="0" w:color="auto"/>
            </w:tcBorders>
            <w:noWrap/>
          </w:tcPr>
          <w:p w14:paraId="355CB86A" w14:textId="77777777" w:rsidR="00D2484D" w:rsidRPr="00D51778" w:rsidRDefault="00D2484D" w:rsidP="00D2484D">
            <w:pPr>
              <w:jc w:val="right"/>
              <w:rPr>
                <w:rFonts w:cs="Arial"/>
                <w:sz w:val="22"/>
                <w:szCs w:val="22"/>
              </w:rPr>
            </w:pPr>
            <w:r w:rsidRPr="00D51778">
              <w:rPr>
                <w:rFonts w:cs="Calibri"/>
                <w:color w:val="000000"/>
                <w:sz w:val="22"/>
                <w:szCs w:val="22"/>
                <w:lang w:val="ga"/>
              </w:rPr>
              <w:t>20.5%</w:t>
            </w:r>
          </w:p>
        </w:tc>
      </w:tr>
      <w:tr w:rsidR="00D2484D" w:rsidRPr="00D51778" w14:paraId="164E450E" w14:textId="77777777" w:rsidTr="00DC03A4">
        <w:tblPrEx>
          <w:tblLook w:val="0620" w:firstRow="1" w:lastRow="0" w:firstColumn="0" w:lastColumn="0" w:noHBand="1" w:noVBand="1"/>
        </w:tblPrEx>
        <w:trPr>
          <w:trHeight w:val="255"/>
          <w:tblHeader/>
        </w:trPr>
        <w:tc>
          <w:tcPr>
            <w:tcW w:w="2122" w:type="dxa"/>
            <w:tcBorders>
              <w:top w:val="nil"/>
              <w:left w:val="single" w:sz="4" w:space="0" w:color="auto"/>
              <w:bottom w:val="single" w:sz="4" w:space="0" w:color="auto"/>
              <w:right w:val="single" w:sz="4" w:space="0" w:color="auto"/>
            </w:tcBorders>
            <w:noWrap/>
          </w:tcPr>
          <w:p w14:paraId="59FA444D" w14:textId="77777777" w:rsidR="00D2484D" w:rsidRPr="00D51778" w:rsidRDefault="00D2484D" w:rsidP="00D2484D">
            <w:pPr>
              <w:rPr>
                <w:rFonts w:cs="Arial"/>
                <w:sz w:val="22"/>
                <w:szCs w:val="22"/>
              </w:rPr>
            </w:pPr>
            <w:r w:rsidRPr="00D51778">
              <w:rPr>
                <w:rFonts w:cs="Calibri"/>
                <w:color w:val="000000"/>
                <w:sz w:val="22"/>
                <w:szCs w:val="22"/>
                <w:lang w:val="ga"/>
              </w:rPr>
              <w:t>Campas Coinneála Leanaí Bhaile an Oibricigh</w:t>
            </w:r>
          </w:p>
        </w:tc>
        <w:tc>
          <w:tcPr>
            <w:tcW w:w="1701" w:type="dxa"/>
            <w:tcBorders>
              <w:top w:val="nil"/>
              <w:left w:val="nil"/>
              <w:bottom w:val="single" w:sz="4" w:space="0" w:color="auto"/>
              <w:right w:val="single" w:sz="4" w:space="0" w:color="auto"/>
            </w:tcBorders>
            <w:noWrap/>
          </w:tcPr>
          <w:p w14:paraId="711B1124" w14:textId="77777777" w:rsidR="00D2484D" w:rsidRPr="00D51778" w:rsidRDefault="00D2484D" w:rsidP="00D2484D">
            <w:pPr>
              <w:jc w:val="right"/>
              <w:rPr>
                <w:rFonts w:cs="Arial"/>
                <w:sz w:val="22"/>
                <w:szCs w:val="22"/>
              </w:rPr>
            </w:pPr>
            <w:r w:rsidRPr="00D51778">
              <w:rPr>
                <w:rFonts w:cs="Calibri"/>
                <w:color w:val="000000"/>
                <w:sz w:val="22"/>
                <w:szCs w:val="22"/>
                <w:lang w:val="ga"/>
              </w:rPr>
              <w:t>273</w:t>
            </w:r>
          </w:p>
        </w:tc>
        <w:tc>
          <w:tcPr>
            <w:tcW w:w="1559" w:type="dxa"/>
            <w:tcBorders>
              <w:top w:val="nil"/>
              <w:left w:val="nil"/>
              <w:bottom w:val="single" w:sz="4" w:space="0" w:color="auto"/>
              <w:right w:val="single" w:sz="4" w:space="0" w:color="auto"/>
            </w:tcBorders>
            <w:noWrap/>
          </w:tcPr>
          <w:p w14:paraId="366D83BF" w14:textId="77777777" w:rsidR="00D2484D" w:rsidRPr="00D51778" w:rsidRDefault="00D2484D" w:rsidP="00D2484D">
            <w:pPr>
              <w:jc w:val="right"/>
              <w:rPr>
                <w:rFonts w:cs="Arial"/>
                <w:sz w:val="22"/>
                <w:szCs w:val="22"/>
              </w:rPr>
            </w:pPr>
            <w:r w:rsidRPr="00D51778">
              <w:rPr>
                <w:rFonts w:cs="Calibri"/>
                <w:color w:val="000000"/>
                <w:sz w:val="22"/>
                <w:szCs w:val="22"/>
                <w:lang w:val="ga"/>
              </w:rPr>
              <w:t>8</w:t>
            </w:r>
          </w:p>
        </w:tc>
        <w:tc>
          <w:tcPr>
            <w:tcW w:w="1559" w:type="dxa"/>
            <w:tcBorders>
              <w:top w:val="nil"/>
              <w:left w:val="nil"/>
              <w:bottom w:val="single" w:sz="4" w:space="0" w:color="auto"/>
              <w:right w:val="single" w:sz="4" w:space="0" w:color="auto"/>
            </w:tcBorders>
            <w:noWrap/>
          </w:tcPr>
          <w:p w14:paraId="2263FEFF" w14:textId="77777777" w:rsidR="00D2484D" w:rsidRPr="00D51778" w:rsidRDefault="00D2484D" w:rsidP="00D2484D">
            <w:pPr>
              <w:jc w:val="right"/>
              <w:rPr>
                <w:rFonts w:cs="Arial"/>
                <w:sz w:val="22"/>
                <w:szCs w:val="22"/>
              </w:rPr>
            </w:pPr>
            <w:r w:rsidRPr="00D51778">
              <w:rPr>
                <w:rFonts w:cs="Calibri"/>
                <w:color w:val="000000"/>
                <w:sz w:val="22"/>
                <w:szCs w:val="22"/>
                <w:lang w:val="ga"/>
              </w:rPr>
              <w:t>2.9%</w:t>
            </w:r>
          </w:p>
        </w:tc>
        <w:tc>
          <w:tcPr>
            <w:tcW w:w="1276" w:type="dxa"/>
            <w:tcBorders>
              <w:top w:val="nil"/>
              <w:left w:val="nil"/>
              <w:bottom w:val="single" w:sz="4" w:space="0" w:color="auto"/>
              <w:right w:val="single" w:sz="4" w:space="0" w:color="auto"/>
            </w:tcBorders>
            <w:noWrap/>
          </w:tcPr>
          <w:p w14:paraId="713A307C" w14:textId="77777777" w:rsidR="00D2484D" w:rsidRPr="00D51778" w:rsidRDefault="00D2484D" w:rsidP="00D2484D">
            <w:pPr>
              <w:jc w:val="right"/>
              <w:rPr>
                <w:rFonts w:cs="Arial"/>
                <w:sz w:val="22"/>
                <w:szCs w:val="22"/>
              </w:rPr>
            </w:pPr>
            <w:r w:rsidRPr="00D51778">
              <w:rPr>
                <w:rFonts w:cs="Calibri"/>
                <w:color w:val="000000"/>
                <w:sz w:val="22"/>
                <w:szCs w:val="22"/>
                <w:lang w:val="ga"/>
              </w:rPr>
              <w:t>260</w:t>
            </w:r>
          </w:p>
        </w:tc>
        <w:tc>
          <w:tcPr>
            <w:tcW w:w="1417" w:type="dxa"/>
            <w:tcBorders>
              <w:top w:val="nil"/>
              <w:left w:val="nil"/>
              <w:bottom w:val="single" w:sz="4" w:space="0" w:color="auto"/>
              <w:right w:val="single" w:sz="4" w:space="0" w:color="auto"/>
            </w:tcBorders>
            <w:noWrap/>
          </w:tcPr>
          <w:p w14:paraId="6062F98F" w14:textId="77777777" w:rsidR="00D2484D" w:rsidRPr="00D51778" w:rsidRDefault="00D2484D" w:rsidP="00D2484D">
            <w:pPr>
              <w:jc w:val="right"/>
              <w:rPr>
                <w:rFonts w:cs="Arial"/>
                <w:sz w:val="22"/>
                <w:szCs w:val="22"/>
              </w:rPr>
            </w:pPr>
            <w:r w:rsidRPr="00D51778">
              <w:rPr>
                <w:rFonts w:cs="Calibri"/>
                <w:color w:val="000000"/>
                <w:sz w:val="22"/>
                <w:szCs w:val="22"/>
                <w:lang w:val="ga"/>
              </w:rPr>
              <w:t>5</w:t>
            </w:r>
          </w:p>
        </w:tc>
        <w:tc>
          <w:tcPr>
            <w:tcW w:w="1560" w:type="dxa"/>
            <w:tcBorders>
              <w:top w:val="nil"/>
              <w:left w:val="nil"/>
              <w:bottom w:val="single" w:sz="4" w:space="0" w:color="auto"/>
              <w:right w:val="single" w:sz="4" w:space="0" w:color="auto"/>
            </w:tcBorders>
            <w:noWrap/>
          </w:tcPr>
          <w:p w14:paraId="500CCE2C" w14:textId="77777777" w:rsidR="00D2484D" w:rsidRPr="00D51778" w:rsidRDefault="00D2484D" w:rsidP="00D2484D">
            <w:pPr>
              <w:jc w:val="right"/>
              <w:rPr>
                <w:rFonts w:cs="Arial"/>
                <w:sz w:val="22"/>
                <w:szCs w:val="22"/>
              </w:rPr>
            </w:pPr>
            <w:r w:rsidRPr="00D51778">
              <w:rPr>
                <w:rFonts w:cs="Calibri"/>
                <w:color w:val="000000"/>
                <w:sz w:val="22"/>
                <w:szCs w:val="22"/>
                <w:lang w:val="ga"/>
              </w:rPr>
              <w:t>1.9%</w:t>
            </w:r>
          </w:p>
        </w:tc>
      </w:tr>
      <w:tr w:rsidR="00D2484D" w:rsidRPr="00D51778" w14:paraId="1BD8AC31" w14:textId="77777777" w:rsidTr="00DC03A4">
        <w:tblPrEx>
          <w:tblLook w:val="0620" w:firstRow="1" w:lastRow="0" w:firstColumn="0" w:lastColumn="0" w:noHBand="1" w:noVBand="1"/>
        </w:tblPrEx>
        <w:trPr>
          <w:trHeight w:val="512"/>
          <w:tblHeader/>
        </w:trPr>
        <w:tc>
          <w:tcPr>
            <w:tcW w:w="2122" w:type="dxa"/>
          </w:tcPr>
          <w:p w14:paraId="53BBE01C" w14:textId="77777777" w:rsidR="00D2484D" w:rsidRPr="00D51778" w:rsidRDefault="00D2484D" w:rsidP="00D2484D">
            <w:pPr>
              <w:spacing w:after="0"/>
              <w:ind w:firstLineChars="11" w:firstLine="24"/>
              <w:rPr>
                <w:b/>
                <w:sz w:val="22"/>
                <w:szCs w:val="22"/>
              </w:rPr>
            </w:pPr>
            <w:r w:rsidRPr="00D51778">
              <w:rPr>
                <w:b/>
                <w:bCs/>
                <w:sz w:val="22"/>
                <w:szCs w:val="22"/>
                <w:lang w:val="ga"/>
              </w:rPr>
              <w:t>Mór-Iomlán</w:t>
            </w:r>
          </w:p>
        </w:tc>
        <w:tc>
          <w:tcPr>
            <w:tcW w:w="1701" w:type="dxa"/>
            <w:tcBorders>
              <w:top w:val="single" w:sz="4" w:space="0" w:color="auto"/>
              <w:left w:val="single" w:sz="4" w:space="0" w:color="auto"/>
              <w:bottom w:val="single" w:sz="4" w:space="0" w:color="auto"/>
              <w:right w:val="single" w:sz="4" w:space="0" w:color="auto"/>
            </w:tcBorders>
          </w:tcPr>
          <w:p w14:paraId="69916A96" w14:textId="77777777" w:rsidR="00D2484D" w:rsidRPr="00D51778" w:rsidRDefault="00D2484D" w:rsidP="00D2484D">
            <w:pPr>
              <w:spacing w:after="0"/>
              <w:jc w:val="right"/>
              <w:rPr>
                <w:rFonts w:cs="Calibri"/>
                <w:b/>
                <w:bCs/>
                <w:color w:val="000000"/>
                <w:sz w:val="22"/>
                <w:szCs w:val="22"/>
              </w:rPr>
            </w:pPr>
            <w:r w:rsidRPr="00D51778">
              <w:rPr>
                <w:rFonts w:cs="Calibri"/>
                <w:b/>
                <w:bCs/>
                <w:color w:val="000000"/>
                <w:sz w:val="22"/>
                <w:szCs w:val="22"/>
                <w:lang w:val="ga"/>
              </w:rPr>
              <w:t>5,592</w:t>
            </w:r>
          </w:p>
          <w:p w14:paraId="0AB2E339" w14:textId="77777777" w:rsidR="00D2484D" w:rsidRPr="00D51778" w:rsidRDefault="00D2484D" w:rsidP="00D2484D">
            <w:pPr>
              <w:jc w:val="right"/>
              <w:rPr>
                <w:rFont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C3B64F" w14:textId="77777777" w:rsidR="00D2484D" w:rsidRPr="00D51778" w:rsidRDefault="00D2484D" w:rsidP="00D2484D">
            <w:pPr>
              <w:spacing w:after="0"/>
              <w:jc w:val="right"/>
              <w:rPr>
                <w:rFonts w:cs="Calibri"/>
                <w:b/>
                <w:bCs/>
                <w:color w:val="000000"/>
                <w:sz w:val="22"/>
                <w:szCs w:val="22"/>
              </w:rPr>
            </w:pPr>
            <w:r w:rsidRPr="00D51778">
              <w:rPr>
                <w:rFonts w:cs="Calibri"/>
                <w:b/>
                <w:bCs/>
                <w:color w:val="000000"/>
                <w:sz w:val="22"/>
                <w:szCs w:val="22"/>
                <w:lang w:val="ga"/>
              </w:rPr>
              <w:t>223</w:t>
            </w:r>
          </w:p>
          <w:p w14:paraId="6E35BBCE" w14:textId="77777777" w:rsidR="00D2484D" w:rsidRPr="00D51778" w:rsidRDefault="00D2484D" w:rsidP="00D2484D">
            <w:pPr>
              <w:spacing w:after="0"/>
              <w:jc w:val="right"/>
              <w:rPr>
                <w:rFont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E72B623" w14:textId="77777777" w:rsidR="00D2484D" w:rsidRPr="00D51778" w:rsidRDefault="00D2484D" w:rsidP="00D2484D">
            <w:pPr>
              <w:spacing w:after="0"/>
              <w:jc w:val="right"/>
              <w:rPr>
                <w:rFonts w:cs="Calibri"/>
                <w:b/>
                <w:color w:val="000000"/>
                <w:sz w:val="22"/>
                <w:szCs w:val="22"/>
              </w:rPr>
            </w:pPr>
            <w:r w:rsidRPr="00D51778">
              <w:rPr>
                <w:rFonts w:cs="Calibri"/>
                <w:b/>
                <w:bCs/>
                <w:color w:val="000000"/>
                <w:sz w:val="22"/>
                <w:szCs w:val="22"/>
                <w:lang w:val="ga"/>
              </w:rPr>
              <w:t>4.0%</w:t>
            </w:r>
          </w:p>
          <w:p w14:paraId="31C23090" w14:textId="77777777" w:rsidR="00D2484D" w:rsidRPr="00D51778" w:rsidRDefault="00D2484D" w:rsidP="00D2484D">
            <w:pPr>
              <w:jc w:val="right"/>
              <w:rPr>
                <w:rFonts w:cs="Arial"/>
                <w:b/>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1CDC19C" w14:textId="77777777" w:rsidR="00D2484D" w:rsidRPr="00D51778" w:rsidRDefault="00D2484D" w:rsidP="00D2484D">
            <w:pPr>
              <w:spacing w:after="0"/>
              <w:jc w:val="right"/>
              <w:rPr>
                <w:rFonts w:cs="Calibri"/>
                <w:b/>
                <w:bCs/>
                <w:color w:val="000000"/>
                <w:sz w:val="22"/>
                <w:szCs w:val="22"/>
              </w:rPr>
            </w:pPr>
            <w:r w:rsidRPr="00D51778">
              <w:rPr>
                <w:rFonts w:cs="Calibri"/>
                <w:b/>
                <w:bCs/>
                <w:color w:val="000000"/>
                <w:sz w:val="22"/>
                <w:szCs w:val="22"/>
                <w:lang w:val="ga"/>
              </w:rPr>
              <w:t>5,636</w:t>
            </w:r>
          </w:p>
          <w:p w14:paraId="4D89211D" w14:textId="77777777" w:rsidR="00D2484D" w:rsidRPr="00D51778" w:rsidRDefault="00D2484D" w:rsidP="00D2484D">
            <w:pPr>
              <w:jc w:val="right"/>
              <w:rPr>
                <w:rFonts w:cs="Arial"/>
                <w:b/>
                <w:bCs/>
                <w:color w:val="000000"/>
                <w:sz w:val="22"/>
                <w:szCs w:val="22"/>
              </w:rPr>
            </w:pPr>
          </w:p>
        </w:tc>
        <w:tc>
          <w:tcPr>
            <w:tcW w:w="1417" w:type="dxa"/>
            <w:tcBorders>
              <w:top w:val="single" w:sz="4" w:space="0" w:color="auto"/>
              <w:left w:val="nil"/>
              <w:bottom w:val="single" w:sz="4" w:space="0" w:color="auto"/>
              <w:right w:val="single" w:sz="4" w:space="0" w:color="auto"/>
            </w:tcBorders>
          </w:tcPr>
          <w:p w14:paraId="20C82C28" w14:textId="77777777" w:rsidR="00D2484D" w:rsidRPr="00D51778" w:rsidRDefault="00D2484D" w:rsidP="00D2484D">
            <w:pPr>
              <w:spacing w:after="0"/>
              <w:jc w:val="right"/>
              <w:rPr>
                <w:rFonts w:cs="Calibri"/>
                <w:b/>
                <w:bCs/>
                <w:color w:val="000000"/>
                <w:sz w:val="22"/>
                <w:szCs w:val="22"/>
              </w:rPr>
            </w:pPr>
            <w:r w:rsidRPr="00D51778">
              <w:rPr>
                <w:rFonts w:cs="Calibri"/>
                <w:b/>
                <w:bCs/>
                <w:color w:val="000000"/>
                <w:sz w:val="22"/>
                <w:szCs w:val="22"/>
                <w:lang w:val="ga"/>
              </w:rPr>
              <w:t>251</w:t>
            </w:r>
          </w:p>
          <w:p w14:paraId="3A52C41D" w14:textId="77777777" w:rsidR="00D2484D" w:rsidRPr="00D51778" w:rsidRDefault="00D2484D" w:rsidP="00D2484D">
            <w:pPr>
              <w:jc w:val="right"/>
              <w:rPr>
                <w:rFonts w:cs="Arial"/>
                <w:b/>
                <w:bCs/>
                <w:color w:val="000000"/>
                <w:sz w:val="22"/>
                <w:szCs w:val="22"/>
              </w:rPr>
            </w:pPr>
          </w:p>
        </w:tc>
        <w:tc>
          <w:tcPr>
            <w:tcW w:w="1560" w:type="dxa"/>
            <w:tcBorders>
              <w:top w:val="single" w:sz="4" w:space="0" w:color="auto"/>
              <w:left w:val="nil"/>
              <w:bottom w:val="single" w:sz="4" w:space="0" w:color="auto"/>
              <w:right w:val="single" w:sz="4" w:space="0" w:color="auto"/>
            </w:tcBorders>
          </w:tcPr>
          <w:p w14:paraId="143A4E40" w14:textId="77777777" w:rsidR="00D2484D" w:rsidRPr="00D51778" w:rsidRDefault="00D2484D" w:rsidP="00D2484D">
            <w:pPr>
              <w:spacing w:after="0"/>
              <w:jc w:val="right"/>
              <w:rPr>
                <w:rFonts w:cs="Arial"/>
                <w:b/>
                <w:bCs/>
                <w:sz w:val="22"/>
                <w:szCs w:val="22"/>
              </w:rPr>
            </w:pPr>
            <w:r w:rsidRPr="00D51778">
              <w:rPr>
                <w:rFonts w:cs="Arial"/>
                <w:b/>
                <w:bCs/>
                <w:sz w:val="22"/>
                <w:szCs w:val="22"/>
                <w:lang w:val="ga"/>
              </w:rPr>
              <w:t>4.5%</w:t>
            </w:r>
          </w:p>
        </w:tc>
      </w:tr>
    </w:tbl>
    <w:p w14:paraId="6CCBA535" w14:textId="77777777" w:rsidR="000D5C5D" w:rsidRPr="00D51778" w:rsidRDefault="000D5C5D" w:rsidP="000D5C5D"/>
    <w:p w14:paraId="32DB0BB3" w14:textId="77777777" w:rsidR="00F1261F" w:rsidRPr="00D51778" w:rsidRDefault="00F1261F" w:rsidP="00F1261F">
      <w:pPr>
        <w:pStyle w:val="TableSummary"/>
      </w:pPr>
    </w:p>
    <w:p w14:paraId="29309F37" w14:textId="77777777" w:rsidR="00624403" w:rsidRPr="00D51778" w:rsidRDefault="00624403" w:rsidP="00813069">
      <w:pPr>
        <w:spacing w:after="0"/>
        <w:rPr>
          <w:b/>
        </w:rPr>
      </w:pPr>
    </w:p>
    <w:p w14:paraId="7B1C2EC2" w14:textId="03CF3A9D" w:rsidR="00422693" w:rsidRPr="00D51778" w:rsidRDefault="00422693">
      <w:pPr>
        <w:spacing w:after="0"/>
        <w:rPr>
          <w:b/>
        </w:rPr>
      </w:pPr>
      <w:r w:rsidRPr="00D51778">
        <w:rPr>
          <w:b/>
          <w:bCs/>
          <w:lang w:val="ga"/>
        </w:rPr>
        <w:br w:type="page"/>
      </w:r>
    </w:p>
    <w:p w14:paraId="135A3B23" w14:textId="5B9366AF" w:rsidR="00624403" w:rsidRPr="00D51778" w:rsidRDefault="00624403" w:rsidP="001624B2">
      <w:pPr>
        <w:pStyle w:val="Heading2"/>
        <w:jc w:val="center"/>
        <w:rPr>
          <w:color w:val="000000" w:themeColor="text1"/>
        </w:rPr>
      </w:pPr>
      <w:bookmarkStart w:id="71" w:name="_Toc124367419"/>
      <w:r w:rsidRPr="00D51778">
        <w:rPr>
          <w:bCs/>
          <w:color w:val="000000" w:themeColor="text1"/>
          <w:lang w:val="ga"/>
        </w:rPr>
        <w:lastRenderedPageBreak/>
        <w:t>An Roinn Fiontar, Trádála agus Fostaíochta</w:t>
      </w:r>
      <w:bookmarkEnd w:id="71"/>
    </w:p>
    <w:tbl>
      <w:tblPr>
        <w:tblStyle w:val="TableGrid"/>
        <w:tblpPr w:leftFromText="180" w:rightFromText="180" w:vertAnchor="text" w:horzAnchor="margin" w:tblpXSpec="center" w:tblpY="241"/>
        <w:tblW w:w="11335" w:type="dxa"/>
        <w:tblLayout w:type="fixed"/>
        <w:tblLook w:val="04A0" w:firstRow="1" w:lastRow="0" w:firstColumn="1" w:lastColumn="0" w:noHBand="0" w:noVBand="1"/>
        <w:tblCaption w:val="Department of Enterprise Trade &amp; Employment "/>
        <w:tblDescription w:val="Department of Enterprise Trade &amp; Employment (comparison to the former Department of Business, Enterprise &amp; Innovation in 2019)"/>
      </w:tblPr>
      <w:tblGrid>
        <w:gridCol w:w="2122"/>
        <w:gridCol w:w="1842"/>
        <w:gridCol w:w="1418"/>
        <w:gridCol w:w="1559"/>
        <w:gridCol w:w="1418"/>
        <w:gridCol w:w="1417"/>
        <w:gridCol w:w="1559"/>
      </w:tblGrid>
      <w:tr w:rsidR="00EF2C8B" w:rsidRPr="00D51778" w14:paraId="01BB8DA0" w14:textId="77777777" w:rsidTr="00627DF6">
        <w:trPr>
          <w:tblHeader/>
        </w:trPr>
        <w:tc>
          <w:tcPr>
            <w:tcW w:w="2122" w:type="dxa"/>
          </w:tcPr>
          <w:p w14:paraId="5DF68764" w14:textId="77777777" w:rsidR="00EF2C8B" w:rsidRPr="0046554A" w:rsidRDefault="00EF2C8B" w:rsidP="00EF2C8B">
            <w:pPr>
              <w:pStyle w:val="TableHead"/>
              <w:rPr>
                <w:sz w:val="22"/>
                <w:szCs w:val="22"/>
              </w:rPr>
            </w:pPr>
            <w:r w:rsidRPr="0046554A">
              <w:rPr>
                <w:bCs/>
                <w:sz w:val="22"/>
                <w:szCs w:val="22"/>
                <w:lang w:val="ga"/>
              </w:rPr>
              <w:t>Comhlacht Poiblí</w:t>
            </w:r>
          </w:p>
        </w:tc>
        <w:tc>
          <w:tcPr>
            <w:tcW w:w="1842" w:type="dxa"/>
          </w:tcPr>
          <w:p w14:paraId="739FE85D" w14:textId="77777777" w:rsidR="0023464B" w:rsidRPr="0046554A" w:rsidRDefault="00EF2C8B" w:rsidP="00EF2C8B">
            <w:pPr>
              <w:pStyle w:val="TableHead"/>
              <w:rPr>
                <w:bCs/>
                <w:sz w:val="22"/>
                <w:szCs w:val="22"/>
                <w:lang w:val="ga"/>
              </w:rPr>
            </w:pPr>
            <w:r w:rsidRPr="0046554A">
              <w:rPr>
                <w:bCs/>
                <w:sz w:val="22"/>
                <w:szCs w:val="22"/>
                <w:lang w:val="ga"/>
              </w:rPr>
              <w:t xml:space="preserve">An líon iomlán fostaithe </w:t>
            </w:r>
          </w:p>
          <w:p w14:paraId="55B4ED3B" w14:textId="14BB61B4" w:rsidR="00EF2C8B" w:rsidRPr="0046554A" w:rsidRDefault="00EF2C8B" w:rsidP="00EF2C8B">
            <w:pPr>
              <w:pStyle w:val="TableHead"/>
              <w:rPr>
                <w:sz w:val="22"/>
                <w:szCs w:val="22"/>
              </w:rPr>
            </w:pPr>
            <w:r w:rsidRPr="0046554A">
              <w:rPr>
                <w:bCs/>
                <w:sz w:val="22"/>
                <w:szCs w:val="22"/>
                <w:lang w:val="ga"/>
              </w:rPr>
              <w:t>2020</w:t>
            </w:r>
          </w:p>
        </w:tc>
        <w:tc>
          <w:tcPr>
            <w:tcW w:w="1418" w:type="dxa"/>
          </w:tcPr>
          <w:p w14:paraId="18FDCB79" w14:textId="77777777" w:rsidR="00EF2C8B" w:rsidRPr="0046554A" w:rsidRDefault="00EF2C8B" w:rsidP="00EF2C8B">
            <w:pPr>
              <w:pStyle w:val="TableHead"/>
              <w:rPr>
                <w:sz w:val="22"/>
                <w:szCs w:val="22"/>
              </w:rPr>
            </w:pPr>
            <w:r w:rsidRPr="0046554A">
              <w:rPr>
                <w:bCs/>
                <w:sz w:val="22"/>
                <w:szCs w:val="22"/>
                <w:lang w:val="ga"/>
              </w:rPr>
              <w:t xml:space="preserve">An líon fostaithe a thuairiscigh míchumas </w:t>
            </w:r>
          </w:p>
          <w:p w14:paraId="5B73AF08" w14:textId="77777777" w:rsidR="00EF2C8B" w:rsidRPr="0046554A" w:rsidRDefault="00EF2C8B" w:rsidP="00EF2C8B">
            <w:pPr>
              <w:pStyle w:val="TableHead"/>
              <w:rPr>
                <w:sz w:val="22"/>
                <w:szCs w:val="22"/>
              </w:rPr>
            </w:pPr>
            <w:r w:rsidRPr="0046554A">
              <w:rPr>
                <w:bCs/>
                <w:sz w:val="22"/>
                <w:szCs w:val="22"/>
                <w:lang w:val="ga"/>
              </w:rPr>
              <w:t>2020</w:t>
            </w:r>
          </w:p>
        </w:tc>
        <w:tc>
          <w:tcPr>
            <w:tcW w:w="1559" w:type="dxa"/>
          </w:tcPr>
          <w:p w14:paraId="000EAA17" w14:textId="77777777" w:rsidR="00EF2C8B" w:rsidRPr="0046554A" w:rsidRDefault="00EF2C8B" w:rsidP="00EF2C8B">
            <w:pPr>
              <w:pStyle w:val="TableHead"/>
              <w:rPr>
                <w:sz w:val="22"/>
                <w:szCs w:val="22"/>
              </w:rPr>
            </w:pPr>
            <w:r w:rsidRPr="0046554A">
              <w:rPr>
                <w:bCs/>
                <w:sz w:val="22"/>
                <w:szCs w:val="22"/>
                <w:lang w:val="ga"/>
              </w:rPr>
              <w:t>An % d’fhostaithe a thuairiscigh</w:t>
            </w:r>
          </w:p>
          <w:p w14:paraId="4D9FE236" w14:textId="77777777" w:rsidR="00EF2C8B" w:rsidRPr="0046554A" w:rsidRDefault="00EF2C8B" w:rsidP="00EF2C8B">
            <w:pPr>
              <w:pStyle w:val="TableHead"/>
              <w:rPr>
                <w:sz w:val="22"/>
                <w:szCs w:val="22"/>
              </w:rPr>
            </w:pPr>
            <w:r w:rsidRPr="0046554A">
              <w:rPr>
                <w:bCs/>
                <w:sz w:val="22"/>
                <w:szCs w:val="22"/>
                <w:lang w:val="ga"/>
              </w:rPr>
              <w:t>míchumas 2020</w:t>
            </w:r>
          </w:p>
        </w:tc>
        <w:tc>
          <w:tcPr>
            <w:tcW w:w="1418" w:type="dxa"/>
          </w:tcPr>
          <w:p w14:paraId="5247DBF7" w14:textId="77777777" w:rsidR="007C0618" w:rsidRPr="0046554A" w:rsidRDefault="00EF2C8B" w:rsidP="00EF2C8B">
            <w:pPr>
              <w:pStyle w:val="TableHead"/>
              <w:rPr>
                <w:bCs/>
                <w:sz w:val="22"/>
                <w:szCs w:val="22"/>
                <w:lang w:val="ga"/>
              </w:rPr>
            </w:pPr>
            <w:r w:rsidRPr="0046554A">
              <w:rPr>
                <w:bCs/>
                <w:sz w:val="22"/>
                <w:szCs w:val="22"/>
                <w:lang w:val="ga"/>
              </w:rPr>
              <w:t xml:space="preserve">An líon iomlán fostaithe </w:t>
            </w:r>
          </w:p>
          <w:p w14:paraId="09B611C1" w14:textId="50C28A7E" w:rsidR="00EF2C8B" w:rsidRPr="0046554A" w:rsidRDefault="00EF2C8B" w:rsidP="00EF2C8B">
            <w:pPr>
              <w:pStyle w:val="TableHead"/>
              <w:rPr>
                <w:sz w:val="22"/>
                <w:szCs w:val="22"/>
              </w:rPr>
            </w:pPr>
            <w:r w:rsidRPr="0046554A">
              <w:rPr>
                <w:bCs/>
                <w:sz w:val="22"/>
                <w:szCs w:val="22"/>
                <w:lang w:val="ga"/>
              </w:rPr>
              <w:t>2021</w:t>
            </w:r>
          </w:p>
        </w:tc>
        <w:tc>
          <w:tcPr>
            <w:tcW w:w="1417" w:type="dxa"/>
          </w:tcPr>
          <w:p w14:paraId="7FD9FE69" w14:textId="77777777" w:rsidR="007C0618" w:rsidRPr="0046554A" w:rsidRDefault="00EF2C8B" w:rsidP="00EF2C8B">
            <w:pPr>
              <w:pStyle w:val="TableHead"/>
              <w:rPr>
                <w:bCs/>
                <w:sz w:val="22"/>
                <w:szCs w:val="22"/>
                <w:lang w:val="ga"/>
              </w:rPr>
            </w:pPr>
            <w:r w:rsidRPr="0046554A">
              <w:rPr>
                <w:bCs/>
                <w:sz w:val="22"/>
                <w:szCs w:val="22"/>
                <w:lang w:val="ga"/>
              </w:rPr>
              <w:t xml:space="preserve">An líon fostaithe </w:t>
            </w:r>
          </w:p>
          <w:p w14:paraId="28D3DBF3" w14:textId="390B416E" w:rsidR="00EF2C8B" w:rsidRPr="0046554A" w:rsidRDefault="00EF2C8B" w:rsidP="00EF2C8B">
            <w:pPr>
              <w:pStyle w:val="TableHead"/>
              <w:rPr>
                <w:sz w:val="22"/>
                <w:szCs w:val="22"/>
              </w:rPr>
            </w:pPr>
            <w:r w:rsidRPr="0046554A">
              <w:rPr>
                <w:bCs/>
                <w:sz w:val="22"/>
                <w:szCs w:val="22"/>
                <w:lang w:val="ga"/>
              </w:rPr>
              <w:t>a thuairiscigh míchumas</w:t>
            </w:r>
          </w:p>
          <w:p w14:paraId="62A9D404" w14:textId="77777777" w:rsidR="00EF2C8B" w:rsidRPr="0046554A" w:rsidRDefault="00EF2C8B" w:rsidP="00EF2C8B">
            <w:pPr>
              <w:pStyle w:val="TableHead"/>
              <w:rPr>
                <w:sz w:val="22"/>
                <w:szCs w:val="22"/>
              </w:rPr>
            </w:pPr>
            <w:r w:rsidRPr="0046554A">
              <w:rPr>
                <w:bCs/>
                <w:sz w:val="22"/>
                <w:szCs w:val="22"/>
                <w:lang w:val="ga"/>
              </w:rPr>
              <w:t>2021</w:t>
            </w:r>
          </w:p>
        </w:tc>
        <w:tc>
          <w:tcPr>
            <w:tcW w:w="1559" w:type="dxa"/>
          </w:tcPr>
          <w:p w14:paraId="28377605" w14:textId="77777777" w:rsidR="00EF2C8B" w:rsidRPr="0046554A" w:rsidRDefault="00EF2C8B" w:rsidP="00EF2C8B">
            <w:pPr>
              <w:pStyle w:val="TableHead"/>
              <w:rPr>
                <w:sz w:val="22"/>
                <w:szCs w:val="22"/>
              </w:rPr>
            </w:pPr>
            <w:r w:rsidRPr="0046554A">
              <w:rPr>
                <w:bCs/>
                <w:sz w:val="22"/>
                <w:szCs w:val="22"/>
                <w:lang w:val="ga"/>
              </w:rPr>
              <w:t>An % d’fhostaithe a thuairiscigh</w:t>
            </w:r>
          </w:p>
          <w:p w14:paraId="72B76C1D" w14:textId="77777777" w:rsidR="00EF2C8B" w:rsidRPr="0046554A" w:rsidRDefault="00EF2C8B" w:rsidP="00EF2C8B">
            <w:pPr>
              <w:pStyle w:val="TableHead"/>
              <w:rPr>
                <w:sz w:val="22"/>
                <w:szCs w:val="22"/>
              </w:rPr>
            </w:pPr>
            <w:r w:rsidRPr="0046554A">
              <w:rPr>
                <w:bCs/>
                <w:sz w:val="22"/>
                <w:szCs w:val="22"/>
                <w:lang w:val="ga"/>
              </w:rPr>
              <w:t>míchumas 2021</w:t>
            </w:r>
          </w:p>
        </w:tc>
      </w:tr>
      <w:tr w:rsidR="00EF2C8B" w:rsidRPr="00D51778" w14:paraId="2B60BCC6" w14:textId="77777777" w:rsidTr="00627DF6">
        <w:tc>
          <w:tcPr>
            <w:tcW w:w="2122" w:type="dxa"/>
          </w:tcPr>
          <w:p w14:paraId="1334D49F" w14:textId="77777777" w:rsidR="00EF2C8B" w:rsidRPr="00D51778" w:rsidRDefault="00EF2C8B" w:rsidP="00EF2C8B">
            <w:pPr>
              <w:rPr>
                <w:sz w:val="22"/>
                <w:szCs w:val="22"/>
              </w:rPr>
            </w:pPr>
            <w:r w:rsidRPr="00D51778">
              <w:rPr>
                <w:rFonts w:cs="Calibri"/>
                <w:color w:val="000000"/>
                <w:sz w:val="22"/>
                <w:szCs w:val="22"/>
                <w:lang w:val="ga"/>
              </w:rPr>
              <w:t>An Coimisiún um Iomaíocht agus Cosaint Tomhaltóirí</w:t>
            </w:r>
          </w:p>
        </w:tc>
        <w:tc>
          <w:tcPr>
            <w:tcW w:w="1842" w:type="dxa"/>
          </w:tcPr>
          <w:p w14:paraId="6CCD92A8" w14:textId="77777777" w:rsidR="00EF2C8B" w:rsidRPr="00D51778" w:rsidRDefault="00EF2C8B" w:rsidP="00EF2C8B">
            <w:pPr>
              <w:spacing w:after="0"/>
              <w:jc w:val="right"/>
              <w:rPr>
                <w:sz w:val="22"/>
                <w:szCs w:val="22"/>
              </w:rPr>
            </w:pPr>
            <w:r w:rsidRPr="00D51778">
              <w:rPr>
                <w:rFonts w:cs="Calibri"/>
                <w:color w:val="000000"/>
                <w:sz w:val="22"/>
                <w:szCs w:val="22"/>
                <w:lang w:val="ga"/>
              </w:rPr>
              <w:t>120</w:t>
            </w:r>
          </w:p>
        </w:tc>
        <w:tc>
          <w:tcPr>
            <w:tcW w:w="1418" w:type="dxa"/>
          </w:tcPr>
          <w:p w14:paraId="25801F09" w14:textId="77777777" w:rsidR="00EF2C8B" w:rsidRPr="00D51778" w:rsidRDefault="00EF2C8B" w:rsidP="00EF2C8B">
            <w:pPr>
              <w:spacing w:after="0"/>
              <w:jc w:val="right"/>
              <w:rPr>
                <w:sz w:val="22"/>
                <w:szCs w:val="22"/>
              </w:rPr>
            </w:pPr>
            <w:r w:rsidRPr="00D51778">
              <w:rPr>
                <w:rFonts w:cs="Calibri"/>
                <w:color w:val="000000"/>
                <w:sz w:val="22"/>
                <w:szCs w:val="22"/>
                <w:lang w:val="ga"/>
              </w:rPr>
              <w:t>8</w:t>
            </w:r>
          </w:p>
        </w:tc>
        <w:tc>
          <w:tcPr>
            <w:tcW w:w="1559" w:type="dxa"/>
          </w:tcPr>
          <w:p w14:paraId="3F33543E" w14:textId="77777777" w:rsidR="00EF2C8B" w:rsidRPr="00D51778" w:rsidRDefault="00EF2C8B" w:rsidP="00EF2C8B">
            <w:pPr>
              <w:spacing w:after="0"/>
              <w:jc w:val="right"/>
              <w:rPr>
                <w:sz w:val="22"/>
                <w:szCs w:val="22"/>
              </w:rPr>
            </w:pPr>
            <w:r w:rsidRPr="00D51778">
              <w:rPr>
                <w:rFonts w:cs="Calibri"/>
                <w:color w:val="000000"/>
                <w:sz w:val="22"/>
                <w:szCs w:val="22"/>
                <w:lang w:val="ga"/>
              </w:rPr>
              <w:t>6.7%</w:t>
            </w:r>
          </w:p>
        </w:tc>
        <w:tc>
          <w:tcPr>
            <w:tcW w:w="1418" w:type="dxa"/>
          </w:tcPr>
          <w:p w14:paraId="2F339C4D" w14:textId="77777777" w:rsidR="00EF2C8B" w:rsidRPr="00D51778" w:rsidRDefault="00EF2C8B" w:rsidP="00EF2C8B">
            <w:pPr>
              <w:jc w:val="right"/>
              <w:rPr>
                <w:sz w:val="22"/>
                <w:szCs w:val="22"/>
              </w:rPr>
            </w:pPr>
            <w:r w:rsidRPr="00D51778">
              <w:rPr>
                <w:rFonts w:cs="Calibri"/>
                <w:color w:val="000000"/>
                <w:sz w:val="22"/>
                <w:szCs w:val="22"/>
                <w:lang w:val="ga"/>
              </w:rPr>
              <w:t>137</w:t>
            </w:r>
          </w:p>
        </w:tc>
        <w:tc>
          <w:tcPr>
            <w:tcW w:w="1417" w:type="dxa"/>
          </w:tcPr>
          <w:p w14:paraId="69FFFE47" w14:textId="77777777" w:rsidR="00EF2C8B" w:rsidRPr="00D51778" w:rsidRDefault="00EF2C8B" w:rsidP="00EF2C8B">
            <w:pPr>
              <w:jc w:val="right"/>
              <w:rPr>
                <w:sz w:val="22"/>
                <w:szCs w:val="22"/>
              </w:rPr>
            </w:pPr>
            <w:r w:rsidRPr="00D51778">
              <w:rPr>
                <w:rFonts w:cs="Calibri"/>
                <w:color w:val="000000"/>
                <w:sz w:val="22"/>
                <w:szCs w:val="22"/>
                <w:lang w:val="ga"/>
              </w:rPr>
              <w:t>10</w:t>
            </w:r>
          </w:p>
        </w:tc>
        <w:tc>
          <w:tcPr>
            <w:tcW w:w="1559" w:type="dxa"/>
          </w:tcPr>
          <w:p w14:paraId="1CCACE80" w14:textId="77777777" w:rsidR="00EF2C8B" w:rsidRPr="00D51778" w:rsidRDefault="00EF2C8B" w:rsidP="00EF2C8B">
            <w:pPr>
              <w:jc w:val="right"/>
              <w:rPr>
                <w:sz w:val="22"/>
                <w:szCs w:val="22"/>
              </w:rPr>
            </w:pPr>
            <w:r w:rsidRPr="00D51778">
              <w:rPr>
                <w:rFonts w:cs="Calibri"/>
                <w:color w:val="000000"/>
                <w:sz w:val="22"/>
                <w:szCs w:val="22"/>
                <w:lang w:val="ga"/>
              </w:rPr>
              <w:t>7.3%</w:t>
            </w:r>
          </w:p>
        </w:tc>
      </w:tr>
      <w:tr w:rsidR="00EF2C8B" w:rsidRPr="00D51778" w14:paraId="27892BEB" w14:textId="77777777" w:rsidTr="00627DF6">
        <w:tc>
          <w:tcPr>
            <w:tcW w:w="2122" w:type="dxa"/>
          </w:tcPr>
          <w:p w14:paraId="3936BB37" w14:textId="77777777" w:rsidR="00EF2C8B" w:rsidRPr="00D51778" w:rsidRDefault="00EF2C8B" w:rsidP="00EF2C8B">
            <w:pPr>
              <w:rPr>
                <w:sz w:val="22"/>
                <w:szCs w:val="22"/>
              </w:rPr>
            </w:pPr>
            <w:r w:rsidRPr="00D51778">
              <w:rPr>
                <w:rFonts w:cs="Calibri"/>
                <w:color w:val="000000"/>
                <w:sz w:val="22"/>
                <w:szCs w:val="22"/>
                <w:lang w:val="ga"/>
              </w:rPr>
              <w:t>Fiontraíocht Éireann</w:t>
            </w:r>
          </w:p>
        </w:tc>
        <w:tc>
          <w:tcPr>
            <w:tcW w:w="1842" w:type="dxa"/>
          </w:tcPr>
          <w:p w14:paraId="03B90B2B" w14:textId="77777777" w:rsidR="00EF2C8B" w:rsidRPr="00D51778" w:rsidRDefault="00EF2C8B" w:rsidP="00EF2C8B">
            <w:pPr>
              <w:spacing w:after="0"/>
              <w:jc w:val="right"/>
              <w:rPr>
                <w:sz w:val="22"/>
                <w:szCs w:val="22"/>
              </w:rPr>
            </w:pPr>
            <w:r w:rsidRPr="00D51778">
              <w:rPr>
                <w:rFonts w:cs="Calibri"/>
                <w:color w:val="000000"/>
                <w:sz w:val="22"/>
                <w:szCs w:val="22"/>
                <w:lang w:val="ga"/>
              </w:rPr>
              <w:t>672</w:t>
            </w:r>
          </w:p>
        </w:tc>
        <w:tc>
          <w:tcPr>
            <w:tcW w:w="1418" w:type="dxa"/>
          </w:tcPr>
          <w:p w14:paraId="6CEE3075" w14:textId="77777777" w:rsidR="00EF2C8B" w:rsidRPr="00D51778" w:rsidRDefault="00EF2C8B" w:rsidP="00EF2C8B">
            <w:pPr>
              <w:spacing w:after="0"/>
              <w:jc w:val="right"/>
              <w:rPr>
                <w:sz w:val="22"/>
                <w:szCs w:val="22"/>
              </w:rPr>
            </w:pPr>
            <w:r w:rsidRPr="00D51778">
              <w:rPr>
                <w:rFonts w:cs="Calibri"/>
                <w:color w:val="000000"/>
                <w:sz w:val="22"/>
                <w:szCs w:val="22"/>
                <w:lang w:val="ga"/>
              </w:rPr>
              <w:t>21</w:t>
            </w:r>
          </w:p>
        </w:tc>
        <w:tc>
          <w:tcPr>
            <w:tcW w:w="1559" w:type="dxa"/>
          </w:tcPr>
          <w:p w14:paraId="08C5EF6B" w14:textId="77777777" w:rsidR="00EF2C8B" w:rsidRPr="00D51778" w:rsidRDefault="00EF2C8B" w:rsidP="00EF2C8B">
            <w:pPr>
              <w:spacing w:after="0"/>
              <w:jc w:val="right"/>
              <w:rPr>
                <w:sz w:val="22"/>
                <w:szCs w:val="22"/>
              </w:rPr>
            </w:pPr>
            <w:r w:rsidRPr="00D51778">
              <w:rPr>
                <w:rFonts w:cs="Calibri"/>
                <w:color w:val="000000"/>
                <w:sz w:val="22"/>
                <w:szCs w:val="22"/>
                <w:lang w:val="ga"/>
              </w:rPr>
              <w:t>3.1%</w:t>
            </w:r>
          </w:p>
        </w:tc>
        <w:tc>
          <w:tcPr>
            <w:tcW w:w="1418" w:type="dxa"/>
          </w:tcPr>
          <w:p w14:paraId="2C7E998A" w14:textId="77777777" w:rsidR="00EF2C8B" w:rsidRPr="00D51778" w:rsidRDefault="00EF2C8B" w:rsidP="00EF2C8B">
            <w:pPr>
              <w:jc w:val="right"/>
              <w:rPr>
                <w:sz w:val="22"/>
                <w:szCs w:val="22"/>
              </w:rPr>
            </w:pPr>
            <w:r w:rsidRPr="00D51778">
              <w:rPr>
                <w:rFonts w:cs="Calibri"/>
                <w:color w:val="000000"/>
                <w:sz w:val="22"/>
                <w:szCs w:val="22"/>
                <w:lang w:val="ga"/>
              </w:rPr>
              <w:t>662</w:t>
            </w:r>
          </w:p>
        </w:tc>
        <w:tc>
          <w:tcPr>
            <w:tcW w:w="1417" w:type="dxa"/>
          </w:tcPr>
          <w:p w14:paraId="0FD5096B" w14:textId="77777777" w:rsidR="00EF2C8B" w:rsidRPr="00D51778" w:rsidRDefault="00EF2C8B" w:rsidP="00EF2C8B">
            <w:pPr>
              <w:jc w:val="right"/>
              <w:rPr>
                <w:sz w:val="22"/>
                <w:szCs w:val="22"/>
              </w:rPr>
            </w:pPr>
            <w:r w:rsidRPr="00D51778">
              <w:rPr>
                <w:rFonts w:cs="Calibri"/>
                <w:color w:val="000000"/>
                <w:sz w:val="22"/>
                <w:szCs w:val="22"/>
                <w:lang w:val="ga"/>
              </w:rPr>
              <w:t>31</w:t>
            </w:r>
          </w:p>
        </w:tc>
        <w:tc>
          <w:tcPr>
            <w:tcW w:w="1559" w:type="dxa"/>
          </w:tcPr>
          <w:p w14:paraId="7AD70FE1" w14:textId="77777777" w:rsidR="00EF2C8B" w:rsidRPr="00D51778" w:rsidRDefault="00EF2C8B" w:rsidP="00EF2C8B">
            <w:pPr>
              <w:jc w:val="right"/>
              <w:rPr>
                <w:sz w:val="22"/>
                <w:szCs w:val="22"/>
              </w:rPr>
            </w:pPr>
            <w:r w:rsidRPr="00D51778">
              <w:rPr>
                <w:rFonts w:cs="Calibri"/>
                <w:color w:val="000000"/>
                <w:sz w:val="22"/>
                <w:szCs w:val="22"/>
                <w:lang w:val="ga"/>
              </w:rPr>
              <w:t>4.7%</w:t>
            </w:r>
          </w:p>
        </w:tc>
      </w:tr>
      <w:tr w:rsidR="00EF2C8B" w:rsidRPr="00D51778" w14:paraId="67ABA0BB" w14:textId="77777777" w:rsidTr="00627DF6">
        <w:tc>
          <w:tcPr>
            <w:tcW w:w="2122" w:type="dxa"/>
          </w:tcPr>
          <w:p w14:paraId="54668F8A" w14:textId="77777777" w:rsidR="00EF2C8B" w:rsidRPr="00D51778" w:rsidRDefault="00EF2C8B" w:rsidP="00EF2C8B">
            <w:pPr>
              <w:rPr>
                <w:sz w:val="22"/>
                <w:szCs w:val="22"/>
              </w:rPr>
            </w:pPr>
            <w:r w:rsidRPr="00D51778">
              <w:rPr>
                <w:rFonts w:cs="Calibri"/>
                <w:color w:val="000000"/>
                <w:sz w:val="22"/>
                <w:szCs w:val="22"/>
                <w:lang w:val="ga"/>
              </w:rPr>
              <w:t>An tÚdarás Sláinte agus Sábháilteachta</w:t>
            </w:r>
          </w:p>
        </w:tc>
        <w:tc>
          <w:tcPr>
            <w:tcW w:w="1842" w:type="dxa"/>
          </w:tcPr>
          <w:p w14:paraId="7D9D91AC" w14:textId="77777777" w:rsidR="00EF2C8B" w:rsidRPr="00D51778" w:rsidRDefault="00EF2C8B" w:rsidP="00EF2C8B">
            <w:pPr>
              <w:spacing w:after="0"/>
              <w:jc w:val="right"/>
              <w:rPr>
                <w:sz w:val="22"/>
                <w:szCs w:val="22"/>
              </w:rPr>
            </w:pPr>
            <w:r w:rsidRPr="00D51778">
              <w:rPr>
                <w:rFonts w:cs="Calibri"/>
                <w:color w:val="000000"/>
                <w:sz w:val="22"/>
                <w:szCs w:val="22"/>
                <w:lang w:val="ga"/>
              </w:rPr>
              <w:t>190</w:t>
            </w:r>
          </w:p>
        </w:tc>
        <w:tc>
          <w:tcPr>
            <w:tcW w:w="1418" w:type="dxa"/>
          </w:tcPr>
          <w:p w14:paraId="20EA6CF2" w14:textId="77777777" w:rsidR="00EF2C8B" w:rsidRPr="00D51778" w:rsidRDefault="00EF2C8B" w:rsidP="00EF2C8B">
            <w:pPr>
              <w:spacing w:after="0"/>
              <w:jc w:val="right"/>
              <w:rPr>
                <w:sz w:val="22"/>
                <w:szCs w:val="22"/>
              </w:rPr>
            </w:pPr>
            <w:r w:rsidRPr="00D51778">
              <w:rPr>
                <w:rFonts w:cs="Calibri"/>
                <w:color w:val="000000"/>
                <w:sz w:val="22"/>
                <w:szCs w:val="22"/>
                <w:lang w:val="ga"/>
              </w:rPr>
              <w:t>13</w:t>
            </w:r>
          </w:p>
        </w:tc>
        <w:tc>
          <w:tcPr>
            <w:tcW w:w="1559" w:type="dxa"/>
          </w:tcPr>
          <w:p w14:paraId="5C624452" w14:textId="77777777" w:rsidR="00EF2C8B" w:rsidRPr="00D51778" w:rsidRDefault="00EF2C8B" w:rsidP="00EF2C8B">
            <w:pPr>
              <w:spacing w:after="0"/>
              <w:jc w:val="right"/>
              <w:rPr>
                <w:sz w:val="22"/>
                <w:szCs w:val="22"/>
              </w:rPr>
            </w:pPr>
            <w:r w:rsidRPr="00D51778">
              <w:rPr>
                <w:rFonts w:cs="Calibri"/>
                <w:color w:val="000000"/>
                <w:sz w:val="22"/>
                <w:szCs w:val="22"/>
                <w:lang w:val="ga"/>
              </w:rPr>
              <w:t>6.8%</w:t>
            </w:r>
          </w:p>
        </w:tc>
        <w:tc>
          <w:tcPr>
            <w:tcW w:w="1418" w:type="dxa"/>
          </w:tcPr>
          <w:p w14:paraId="40E3F7C6" w14:textId="77777777" w:rsidR="00EF2C8B" w:rsidRPr="00D51778" w:rsidRDefault="00EF2C8B" w:rsidP="00EF2C8B">
            <w:pPr>
              <w:jc w:val="right"/>
              <w:rPr>
                <w:sz w:val="22"/>
                <w:szCs w:val="22"/>
              </w:rPr>
            </w:pPr>
            <w:r w:rsidRPr="00D51778">
              <w:rPr>
                <w:rFonts w:cs="Calibri"/>
                <w:color w:val="000000"/>
                <w:sz w:val="22"/>
                <w:szCs w:val="22"/>
                <w:lang w:val="ga"/>
              </w:rPr>
              <w:t>210</w:t>
            </w:r>
          </w:p>
        </w:tc>
        <w:tc>
          <w:tcPr>
            <w:tcW w:w="1417" w:type="dxa"/>
          </w:tcPr>
          <w:p w14:paraId="04A535AF" w14:textId="77777777" w:rsidR="00EF2C8B" w:rsidRPr="00D51778" w:rsidRDefault="00EF2C8B" w:rsidP="00EF2C8B">
            <w:pPr>
              <w:jc w:val="right"/>
              <w:rPr>
                <w:sz w:val="22"/>
                <w:szCs w:val="22"/>
              </w:rPr>
            </w:pPr>
            <w:r w:rsidRPr="00D51778">
              <w:rPr>
                <w:rFonts w:cs="Calibri"/>
                <w:color w:val="000000"/>
                <w:sz w:val="22"/>
                <w:szCs w:val="22"/>
                <w:lang w:val="ga"/>
              </w:rPr>
              <w:t>16</w:t>
            </w:r>
          </w:p>
        </w:tc>
        <w:tc>
          <w:tcPr>
            <w:tcW w:w="1559" w:type="dxa"/>
          </w:tcPr>
          <w:p w14:paraId="51092A61" w14:textId="77777777" w:rsidR="00EF2C8B" w:rsidRPr="00D51778" w:rsidRDefault="00EF2C8B" w:rsidP="00EF2C8B">
            <w:pPr>
              <w:jc w:val="right"/>
              <w:rPr>
                <w:sz w:val="22"/>
                <w:szCs w:val="22"/>
              </w:rPr>
            </w:pPr>
            <w:r w:rsidRPr="00D51778">
              <w:rPr>
                <w:rFonts w:cs="Calibri"/>
                <w:color w:val="000000"/>
                <w:sz w:val="22"/>
                <w:szCs w:val="22"/>
                <w:lang w:val="ga"/>
              </w:rPr>
              <w:t>7.6%</w:t>
            </w:r>
          </w:p>
        </w:tc>
      </w:tr>
      <w:tr w:rsidR="00EF2C8B" w:rsidRPr="00D51778" w14:paraId="3F2E65BB" w14:textId="77777777" w:rsidTr="00627DF6">
        <w:tc>
          <w:tcPr>
            <w:tcW w:w="2122" w:type="dxa"/>
          </w:tcPr>
          <w:p w14:paraId="3E420970" w14:textId="77777777" w:rsidR="00EF2C8B" w:rsidRPr="00D51778" w:rsidRDefault="00EF2C8B" w:rsidP="00EF2C8B">
            <w:pPr>
              <w:spacing w:after="0"/>
              <w:rPr>
                <w:sz w:val="22"/>
                <w:szCs w:val="22"/>
              </w:rPr>
            </w:pPr>
            <w:r w:rsidRPr="00D51778">
              <w:rPr>
                <w:rFonts w:cs="Calibri"/>
                <w:color w:val="000000"/>
                <w:sz w:val="22"/>
                <w:szCs w:val="22"/>
                <w:lang w:val="ga"/>
              </w:rPr>
              <w:t>GFT Éireann</w:t>
            </w:r>
          </w:p>
        </w:tc>
        <w:tc>
          <w:tcPr>
            <w:tcW w:w="1842" w:type="dxa"/>
          </w:tcPr>
          <w:p w14:paraId="0670EFEC" w14:textId="77777777" w:rsidR="00EF2C8B" w:rsidRPr="00D51778" w:rsidRDefault="00EF2C8B" w:rsidP="00EF2C8B">
            <w:pPr>
              <w:spacing w:after="0"/>
              <w:jc w:val="right"/>
              <w:rPr>
                <w:sz w:val="22"/>
                <w:szCs w:val="22"/>
              </w:rPr>
            </w:pPr>
            <w:r w:rsidRPr="00D51778">
              <w:rPr>
                <w:rFonts w:cs="Calibri"/>
                <w:color w:val="000000"/>
                <w:sz w:val="22"/>
                <w:szCs w:val="22"/>
                <w:lang w:val="ga"/>
              </w:rPr>
              <w:t>359</w:t>
            </w:r>
          </w:p>
        </w:tc>
        <w:tc>
          <w:tcPr>
            <w:tcW w:w="1418" w:type="dxa"/>
          </w:tcPr>
          <w:p w14:paraId="35B0E93B" w14:textId="77777777" w:rsidR="00EF2C8B" w:rsidRPr="00D51778" w:rsidRDefault="00EF2C8B" w:rsidP="00EF2C8B">
            <w:pPr>
              <w:spacing w:after="0"/>
              <w:jc w:val="right"/>
              <w:rPr>
                <w:sz w:val="22"/>
                <w:szCs w:val="22"/>
              </w:rPr>
            </w:pPr>
            <w:r w:rsidRPr="00D51778">
              <w:rPr>
                <w:rFonts w:cs="Calibri"/>
                <w:color w:val="000000"/>
                <w:sz w:val="22"/>
                <w:szCs w:val="22"/>
                <w:lang w:val="ga"/>
              </w:rPr>
              <w:t>21</w:t>
            </w:r>
          </w:p>
        </w:tc>
        <w:tc>
          <w:tcPr>
            <w:tcW w:w="1559" w:type="dxa"/>
          </w:tcPr>
          <w:p w14:paraId="5EF0549F" w14:textId="77777777" w:rsidR="00EF2C8B" w:rsidRPr="00D51778" w:rsidRDefault="00EF2C8B" w:rsidP="00EF2C8B">
            <w:pPr>
              <w:spacing w:after="0"/>
              <w:jc w:val="right"/>
              <w:rPr>
                <w:sz w:val="22"/>
                <w:szCs w:val="22"/>
              </w:rPr>
            </w:pPr>
            <w:r w:rsidRPr="00D51778">
              <w:rPr>
                <w:rFonts w:cs="Calibri"/>
                <w:color w:val="000000"/>
                <w:sz w:val="22"/>
                <w:szCs w:val="22"/>
                <w:lang w:val="ga"/>
              </w:rPr>
              <w:t>5.8%</w:t>
            </w:r>
          </w:p>
        </w:tc>
        <w:tc>
          <w:tcPr>
            <w:tcW w:w="1418" w:type="dxa"/>
          </w:tcPr>
          <w:p w14:paraId="44EB4FF2" w14:textId="77777777" w:rsidR="00EF2C8B" w:rsidRPr="00D51778" w:rsidRDefault="00EF2C8B" w:rsidP="00EF2C8B">
            <w:pPr>
              <w:jc w:val="right"/>
              <w:rPr>
                <w:sz w:val="22"/>
                <w:szCs w:val="22"/>
              </w:rPr>
            </w:pPr>
            <w:r w:rsidRPr="00D51778">
              <w:rPr>
                <w:rFonts w:cs="Calibri"/>
                <w:color w:val="000000"/>
                <w:sz w:val="22"/>
                <w:szCs w:val="22"/>
                <w:lang w:val="ga"/>
              </w:rPr>
              <w:t>354</w:t>
            </w:r>
          </w:p>
        </w:tc>
        <w:tc>
          <w:tcPr>
            <w:tcW w:w="1417" w:type="dxa"/>
          </w:tcPr>
          <w:p w14:paraId="1266DE3E" w14:textId="77777777" w:rsidR="00EF2C8B" w:rsidRPr="00D51778" w:rsidRDefault="00EF2C8B" w:rsidP="00EF2C8B">
            <w:pPr>
              <w:jc w:val="right"/>
              <w:rPr>
                <w:sz w:val="22"/>
                <w:szCs w:val="22"/>
              </w:rPr>
            </w:pPr>
            <w:r w:rsidRPr="00D51778">
              <w:rPr>
                <w:rFonts w:cs="Calibri"/>
                <w:color w:val="000000"/>
                <w:sz w:val="22"/>
                <w:szCs w:val="22"/>
                <w:lang w:val="ga"/>
              </w:rPr>
              <w:t>26</w:t>
            </w:r>
          </w:p>
        </w:tc>
        <w:tc>
          <w:tcPr>
            <w:tcW w:w="1559" w:type="dxa"/>
          </w:tcPr>
          <w:p w14:paraId="0F68B682" w14:textId="77777777" w:rsidR="00EF2C8B" w:rsidRPr="00D51778" w:rsidRDefault="00EF2C8B" w:rsidP="00EF2C8B">
            <w:pPr>
              <w:jc w:val="right"/>
              <w:rPr>
                <w:sz w:val="22"/>
                <w:szCs w:val="22"/>
              </w:rPr>
            </w:pPr>
            <w:r w:rsidRPr="00D51778">
              <w:rPr>
                <w:rFonts w:cs="Calibri"/>
                <w:color w:val="000000"/>
                <w:sz w:val="22"/>
                <w:szCs w:val="22"/>
                <w:lang w:val="ga"/>
              </w:rPr>
              <w:t>7.3%</w:t>
            </w:r>
          </w:p>
        </w:tc>
      </w:tr>
      <w:tr w:rsidR="00EF2C8B" w:rsidRPr="00D51778" w14:paraId="430EF502" w14:textId="77777777" w:rsidTr="00627DF6">
        <w:tc>
          <w:tcPr>
            <w:tcW w:w="2122" w:type="dxa"/>
          </w:tcPr>
          <w:p w14:paraId="72017BDD" w14:textId="77777777" w:rsidR="00EF2C8B" w:rsidRPr="00D51778" w:rsidRDefault="00EF2C8B" w:rsidP="00EF2C8B">
            <w:pPr>
              <w:rPr>
                <w:sz w:val="22"/>
                <w:szCs w:val="22"/>
              </w:rPr>
            </w:pPr>
            <w:r w:rsidRPr="00D51778">
              <w:rPr>
                <w:rFonts w:cs="Calibri"/>
                <w:color w:val="000000"/>
                <w:sz w:val="22"/>
                <w:szCs w:val="22"/>
                <w:lang w:val="ga"/>
              </w:rPr>
              <w:t>Idir-Thrádáil Éireann</w:t>
            </w:r>
          </w:p>
        </w:tc>
        <w:tc>
          <w:tcPr>
            <w:tcW w:w="1842" w:type="dxa"/>
          </w:tcPr>
          <w:p w14:paraId="3DF9D1AF" w14:textId="77777777" w:rsidR="00EF2C8B" w:rsidRPr="00D51778" w:rsidRDefault="00EF2C8B" w:rsidP="00EF2C8B">
            <w:pPr>
              <w:spacing w:after="0"/>
              <w:jc w:val="right"/>
              <w:rPr>
                <w:sz w:val="22"/>
                <w:szCs w:val="22"/>
              </w:rPr>
            </w:pPr>
            <w:r w:rsidRPr="00D51778">
              <w:rPr>
                <w:rFonts w:cs="Calibri"/>
                <w:color w:val="000000"/>
                <w:sz w:val="22"/>
                <w:szCs w:val="22"/>
                <w:lang w:val="ga"/>
              </w:rPr>
              <w:t>57</w:t>
            </w:r>
          </w:p>
        </w:tc>
        <w:tc>
          <w:tcPr>
            <w:tcW w:w="1418" w:type="dxa"/>
          </w:tcPr>
          <w:p w14:paraId="33EDFEEA" w14:textId="77777777" w:rsidR="00EF2C8B" w:rsidRPr="00D51778" w:rsidRDefault="00EF2C8B" w:rsidP="00EF2C8B">
            <w:pPr>
              <w:spacing w:after="0"/>
              <w:jc w:val="right"/>
              <w:rPr>
                <w:sz w:val="22"/>
                <w:szCs w:val="22"/>
              </w:rPr>
            </w:pPr>
            <w:r w:rsidRPr="00D51778">
              <w:rPr>
                <w:rFonts w:cs="Calibri"/>
                <w:color w:val="000000"/>
                <w:sz w:val="22"/>
                <w:szCs w:val="22"/>
                <w:lang w:val="ga"/>
              </w:rPr>
              <w:t>3</w:t>
            </w:r>
          </w:p>
        </w:tc>
        <w:tc>
          <w:tcPr>
            <w:tcW w:w="1559" w:type="dxa"/>
          </w:tcPr>
          <w:p w14:paraId="4C5936C4" w14:textId="77777777" w:rsidR="00EF2C8B" w:rsidRPr="00D51778" w:rsidRDefault="00EF2C8B" w:rsidP="00EF2C8B">
            <w:pPr>
              <w:spacing w:after="0"/>
              <w:jc w:val="right"/>
              <w:rPr>
                <w:sz w:val="22"/>
                <w:szCs w:val="22"/>
              </w:rPr>
            </w:pPr>
            <w:r w:rsidRPr="00D51778">
              <w:rPr>
                <w:rFonts w:cs="Calibri"/>
                <w:color w:val="000000"/>
                <w:sz w:val="22"/>
                <w:szCs w:val="22"/>
                <w:lang w:val="ga"/>
              </w:rPr>
              <w:t>5.3%</w:t>
            </w:r>
          </w:p>
        </w:tc>
        <w:tc>
          <w:tcPr>
            <w:tcW w:w="1418" w:type="dxa"/>
          </w:tcPr>
          <w:p w14:paraId="1596DC4A" w14:textId="77777777" w:rsidR="00EF2C8B" w:rsidRPr="00D51778" w:rsidRDefault="00EF2C8B" w:rsidP="00EF2C8B">
            <w:pPr>
              <w:jc w:val="right"/>
              <w:rPr>
                <w:sz w:val="22"/>
                <w:szCs w:val="22"/>
              </w:rPr>
            </w:pPr>
            <w:r w:rsidRPr="00D51778">
              <w:rPr>
                <w:rFonts w:cs="Calibri"/>
                <w:color w:val="000000"/>
                <w:sz w:val="22"/>
                <w:szCs w:val="22"/>
                <w:lang w:val="ga"/>
              </w:rPr>
              <w:t>56</w:t>
            </w:r>
          </w:p>
        </w:tc>
        <w:tc>
          <w:tcPr>
            <w:tcW w:w="1417" w:type="dxa"/>
          </w:tcPr>
          <w:p w14:paraId="578DC99D" w14:textId="77777777" w:rsidR="00EF2C8B" w:rsidRPr="00D51778" w:rsidRDefault="00EF2C8B" w:rsidP="00EF2C8B">
            <w:pPr>
              <w:jc w:val="right"/>
              <w:rPr>
                <w:sz w:val="22"/>
                <w:szCs w:val="22"/>
              </w:rPr>
            </w:pPr>
            <w:r w:rsidRPr="00D51778">
              <w:rPr>
                <w:rFonts w:cs="Calibri"/>
                <w:color w:val="000000"/>
                <w:sz w:val="22"/>
                <w:szCs w:val="22"/>
                <w:lang w:val="ga"/>
              </w:rPr>
              <w:t>3</w:t>
            </w:r>
          </w:p>
        </w:tc>
        <w:tc>
          <w:tcPr>
            <w:tcW w:w="1559" w:type="dxa"/>
          </w:tcPr>
          <w:p w14:paraId="757C77DB" w14:textId="77777777" w:rsidR="00EF2C8B" w:rsidRPr="00D51778" w:rsidRDefault="00EF2C8B" w:rsidP="00EF2C8B">
            <w:pPr>
              <w:jc w:val="right"/>
              <w:rPr>
                <w:sz w:val="22"/>
                <w:szCs w:val="22"/>
              </w:rPr>
            </w:pPr>
            <w:r w:rsidRPr="00D51778">
              <w:rPr>
                <w:rFonts w:cs="Calibri"/>
                <w:color w:val="000000"/>
                <w:sz w:val="22"/>
                <w:szCs w:val="22"/>
                <w:lang w:val="ga"/>
              </w:rPr>
              <w:t>5.4%</w:t>
            </w:r>
          </w:p>
        </w:tc>
      </w:tr>
      <w:tr w:rsidR="00EF2C8B" w:rsidRPr="00D51778" w14:paraId="46E15B25" w14:textId="77777777" w:rsidTr="00627DF6">
        <w:tc>
          <w:tcPr>
            <w:tcW w:w="2122" w:type="dxa"/>
          </w:tcPr>
          <w:p w14:paraId="2FDA2FA9" w14:textId="77777777" w:rsidR="00EF2C8B" w:rsidRPr="00D51778" w:rsidRDefault="00EF2C8B" w:rsidP="00EF2C8B">
            <w:pPr>
              <w:rPr>
                <w:sz w:val="22"/>
                <w:szCs w:val="22"/>
              </w:rPr>
            </w:pPr>
            <w:r w:rsidRPr="00D51778">
              <w:rPr>
                <w:rFonts w:cs="Calibri"/>
                <w:color w:val="000000"/>
                <w:sz w:val="22"/>
                <w:szCs w:val="22"/>
                <w:lang w:val="ga"/>
              </w:rPr>
              <w:t>An tÚdarás um Chaighdeáin Náisiúnta na hÉireann</w:t>
            </w:r>
          </w:p>
        </w:tc>
        <w:tc>
          <w:tcPr>
            <w:tcW w:w="1842" w:type="dxa"/>
          </w:tcPr>
          <w:p w14:paraId="60632961" w14:textId="77777777" w:rsidR="00EF2C8B" w:rsidRPr="00D51778" w:rsidRDefault="00EF2C8B" w:rsidP="00EF2C8B">
            <w:pPr>
              <w:spacing w:after="0"/>
              <w:jc w:val="right"/>
              <w:rPr>
                <w:sz w:val="22"/>
                <w:szCs w:val="22"/>
              </w:rPr>
            </w:pPr>
            <w:r w:rsidRPr="00D51778">
              <w:rPr>
                <w:rFonts w:cs="Calibri"/>
                <w:color w:val="000000"/>
                <w:sz w:val="22"/>
                <w:szCs w:val="22"/>
                <w:lang w:val="ga"/>
              </w:rPr>
              <w:t>164</w:t>
            </w:r>
          </w:p>
        </w:tc>
        <w:tc>
          <w:tcPr>
            <w:tcW w:w="1418" w:type="dxa"/>
          </w:tcPr>
          <w:p w14:paraId="573756E9" w14:textId="77777777" w:rsidR="00EF2C8B" w:rsidRPr="00D51778" w:rsidRDefault="00EF2C8B" w:rsidP="00EF2C8B">
            <w:pPr>
              <w:spacing w:after="0"/>
              <w:jc w:val="right"/>
              <w:rPr>
                <w:sz w:val="22"/>
                <w:szCs w:val="22"/>
              </w:rPr>
            </w:pPr>
            <w:r w:rsidRPr="00D51778">
              <w:rPr>
                <w:rFonts w:cs="Calibri"/>
                <w:color w:val="000000"/>
                <w:sz w:val="22"/>
                <w:szCs w:val="22"/>
                <w:lang w:val="ga"/>
              </w:rPr>
              <w:t>7</w:t>
            </w:r>
          </w:p>
        </w:tc>
        <w:tc>
          <w:tcPr>
            <w:tcW w:w="1559" w:type="dxa"/>
          </w:tcPr>
          <w:p w14:paraId="010E1F56" w14:textId="77777777" w:rsidR="00EF2C8B" w:rsidRPr="00D51778" w:rsidRDefault="00EF2C8B" w:rsidP="00EF2C8B">
            <w:pPr>
              <w:spacing w:after="0"/>
              <w:jc w:val="right"/>
              <w:rPr>
                <w:sz w:val="22"/>
                <w:szCs w:val="22"/>
              </w:rPr>
            </w:pPr>
            <w:r w:rsidRPr="00D51778">
              <w:rPr>
                <w:rFonts w:cs="Calibri"/>
                <w:color w:val="000000"/>
                <w:sz w:val="22"/>
                <w:szCs w:val="22"/>
                <w:lang w:val="ga"/>
              </w:rPr>
              <w:t>4.3%</w:t>
            </w:r>
          </w:p>
        </w:tc>
        <w:tc>
          <w:tcPr>
            <w:tcW w:w="1418" w:type="dxa"/>
          </w:tcPr>
          <w:p w14:paraId="15D4CEEE" w14:textId="77777777" w:rsidR="00EF2C8B" w:rsidRPr="00D51778" w:rsidRDefault="00EF2C8B" w:rsidP="00EF2C8B">
            <w:pPr>
              <w:jc w:val="right"/>
              <w:rPr>
                <w:sz w:val="22"/>
                <w:szCs w:val="22"/>
              </w:rPr>
            </w:pPr>
            <w:r w:rsidRPr="00D51778">
              <w:rPr>
                <w:rFonts w:cs="Calibri"/>
                <w:color w:val="000000"/>
                <w:sz w:val="22"/>
                <w:szCs w:val="22"/>
                <w:lang w:val="ga"/>
              </w:rPr>
              <w:t>177</w:t>
            </w:r>
          </w:p>
        </w:tc>
        <w:tc>
          <w:tcPr>
            <w:tcW w:w="1417" w:type="dxa"/>
          </w:tcPr>
          <w:p w14:paraId="20134C24" w14:textId="77777777" w:rsidR="00EF2C8B" w:rsidRPr="00D51778" w:rsidRDefault="00EF2C8B" w:rsidP="00EF2C8B">
            <w:pPr>
              <w:jc w:val="right"/>
              <w:rPr>
                <w:sz w:val="22"/>
                <w:szCs w:val="22"/>
              </w:rPr>
            </w:pPr>
            <w:r w:rsidRPr="00D51778">
              <w:rPr>
                <w:rFonts w:cs="Calibri"/>
                <w:color w:val="000000"/>
                <w:sz w:val="22"/>
                <w:szCs w:val="22"/>
                <w:lang w:val="ga"/>
              </w:rPr>
              <w:t>6</w:t>
            </w:r>
          </w:p>
        </w:tc>
        <w:tc>
          <w:tcPr>
            <w:tcW w:w="1559" w:type="dxa"/>
          </w:tcPr>
          <w:p w14:paraId="1F5CD197" w14:textId="77777777" w:rsidR="00EF2C8B" w:rsidRPr="00D51778" w:rsidRDefault="00EF2C8B" w:rsidP="00EF2C8B">
            <w:pPr>
              <w:jc w:val="right"/>
              <w:rPr>
                <w:sz w:val="22"/>
                <w:szCs w:val="22"/>
              </w:rPr>
            </w:pPr>
            <w:r w:rsidRPr="00D51778">
              <w:rPr>
                <w:rFonts w:cs="Calibri"/>
                <w:color w:val="000000"/>
                <w:sz w:val="22"/>
                <w:szCs w:val="22"/>
                <w:lang w:val="ga"/>
              </w:rPr>
              <w:t>3.4%</w:t>
            </w:r>
          </w:p>
        </w:tc>
      </w:tr>
      <w:tr w:rsidR="00EF2C8B" w:rsidRPr="00D51778" w14:paraId="18EF3063" w14:textId="77777777" w:rsidTr="00627DF6">
        <w:tc>
          <w:tcPr>
            <w:tcW w:w="2122" w:type="dxa"/>
          </w:tcPr>
          <w:p w14:paraId="4E726EFF" w14:textId="77777777" w:rsidR="00EF2C8B" w:rsidRPr="00D51778" w:rsidRDefault="00EF2C8B" w:rsidP="00EF2C8B">
            <w:pPr>
              <w:rPr>
                <w:sz w:val="22"/>
                <w:szCs w:val="22"/>
              </w:rPr>
            </w:pPr>
            <w:r w:rsidRPr="00D51778">
              <w:rPr>
                <w:rFonts w:cs="Calibri"/>
                <w:color w:val="000000"/>
                <w:sz w:val="22"/>
                <w:szCs w:val="22"/>
                <w:lang w:val="ga"/>
              </w:rPr>
              <w:t>An Bord Measúnaithe Díobhálacha Pearsanta</w:t>
            </w:r>
          </w:p>
        </w:tc>
        <w:tc>
          <w:tcPr>
            <w:tcW w:w="1842" w:type="dxa"/>
          </w:tcPr>
          <w:p w14:paraId="171918FC" w14:textId="77777777" w:rsidR="00EF2C8B" w:rsidRPr="00D51778" w:rsidRDefault="00EF2C8B" w:rsidP="00EF2C8B">
            <w:pPr>
              <w:spacing w:after="0"/>
              <w:jc w:val="right"/>
              <w:rPr>
                <w:sz w:val="22"/>
                <w:szCs w:val="22"/>
              </w:rPr>
            </w:pPr>
            <w:r w:rsidRPr="00D51778">
              <w:rPr>
                <w:rFonts w:cs="Calibri"/>
                <w:color w:val="000000"/>
                <w:sz w:val="22"/>
                <w:szCs w:val="22"/>
                <w:lang w:val="ga"/>
              </w:rPr>
              <w:t>80</w:t>
            </w:r>
          </w:p>
        </w:tc>
        <w:tc>
          <w:tcPr>
            <w:tcW w:w="1418" w:type="dxa"/>
          </w:tcPr>
          <w:p w14:paraId="38E0480D" w14:textId="77777777" w:rsidR="00EF2C8B" w:rsidRPr="00D51778" w:rsidRDefault="00EF2C8B" w:rsidP="00EF2C8B">
            <w:pPr>
              <w:spacing w:after="0"/>
              <w:jc w:val="right"/>
              <w:rPr>
                <w:sz w:val="22"/>
                <w:szCs w:val="22"/>
              </w:rPr>
            </w:pPr>
            <w:r w:rsidRPr="00D51778">
              <w:rPr>
                <w:rFonts w:cs="Calibri"/>
                <w:color w:val="000000"/>
                <w:sz w:val="22"/>
                <w:szCs w:val="22"/>
                <w:lang w:val="ga"/>
              </w:rPr>
              <w:t>6</w:t>
            </w:r>
          </w:p>
        </w:tc>
        <w:tc>
          <w:tcPr>
            <w:tcW w:w="1559" w:type="dxa"/>
          </w:tcPr>
          <w:p w14:paraId="0F38DFA9" w14:textId="77777777" w:rsidR="00EF2C8B" w:rsidRPr="00D51778" w:rsidRDefault="00EF2C8B" w:rsidP="00EF2C8B">
            <w:pPr>
              <w:spacing w:after="0"/>
              <w:jc w:val="right"/>
              <w:rPr>
                <w:sz w:val="22"/>
                <w:szCs w:val="22"/>
              </w:rPr>
            </w:pPr>
            <w:r w:rsidRPr="00D51778">
              <w:rPr>
                <w:rFonts w:cs="Calibri"/>
                <w:color w:val="000000"/>
                <w:sz w:val="22"/>
                <w:szCs w:val="22"/>
                <w:lang w:val="ga"/>
              </w:rPr>
              <w:t>7.5%</w:t>
            </w:r>
          </w:p>
        </w:tc>
        <w:tc>
          <w:tcPr>
            <w:tcW w:w="1418" w:type="dxa"/>
          </w:tcPr>
          <w:p w14:paraId="13E90E12" w14:textId="77777777" w:rsidR="00EF2C8B" w:rsidRPr="00D51778" w:rsidRDefault="00EF2C8B" w:rsidP="00EF2C8B">
            <w:pPr>
              <w:jc w:val="right"/>
              <w:rPr>
                <w:sz w:val="22"/>
                <w:szCs w:val="22"/>
              </w:rPr>
            </w:pPr>
            <w:r w:rsidRPr="00D51778">
              <w:rPr>
                <w:rFonts w:cs="Calibri"/>
                <w:color w:val="000000"/>
                <w:sz w:val="22"/>
                <w:szCs w:val="22"/>
                <w:lang w:val="ga"/>
              </w:rPr>
              <w:t>77</w:t>
            </w:r>
          </w:p>
        </w:tc>
        <w:tc>
          <w:tcPr>
            <w:tcW w:w="1417" w:type="dxa"/>
          </w:tcPr>
          <w:p w14:paraId="6ECD7A70" w14:textId="77777777" w:rsidR="00EF2C8B" w:rsidRPr="00D51778" w:rsidRDefault="00EF2C8B" w:rsidP="00EF2C8B">
            <w:pPr>
              <w:jc w:val="right"/>
              <w:rPr>
                <w:sz w:val="22"/>
                <w:szCs w:val="22"/>
              </w:rPr>
            </w:pPr>
            <w:r w:rsidRPr="00D51778">
              <w:rPr>
                <w:rFonts w:cs="Calibri"/>
                <w:color w:val="000000"/>
                <w:sz w:val="22"/>
                <w:szCs w:val="22"/>
                <w:lang w:val="ga"/>
              </w:rPr>
              <w:t>9</w:t>
            </w:r>
          </w:p>
        </w:tc>
        <w:tc>
          <w:tcPr>
            <w:tcW w:w="1559" w:type="dxa"/>
          </w:tcPr>
          <w:p w14:paraId="5BDF19D7" w14:textId="77777777" w:rsidR="00EF2C8B" w:rsidRPr="00D51778" w:rsidRDefault="00EF2C8B" w:rsidP="00EF2C8B">
            <w:pPr>
              <w:jc w:val="right"/>
              <w:rPr>
                <w:sz w:val="22"/>
                <w:szCs w:val="22"/>
              </w:rPr>
            </w:pPr>
            <w:r w:rsidRPr="00D51778">
              <w:rPr>
                <w:rFonts w:cs="Calibri"/>
                <w:color w:val="000000"/>
                <w:sz w:val="22"/>
                <w:szCs w:val="22"/>
                <w:lang w:val="ga"/>
              </w:rPr>
              <w:t>11.7%</w:t>
            </w:r>
          </w:p>
        </w:tc>
      </w:tr>
      <w:tr w:rsidR="005907B8" w:rsidRPr="00D51778" w14:paraId="3B298D26" w14:textId="77777777" w:rsidTr="00627DF6">
        <w:trPr>
          <w:trHeight w:val="678"/>
        </w:trPr>
        <w:tc>
          <w:tcPr>
            <w:tcW w:w="2122" w:type="dxa"/>
          </w:tcPr>
          <w:p w14:paraId="2B20134B" w14:textId="3D5D78FF" w:rsidR="005907B8" w:rsidRPr="00D51778" w:rsidRDefault="00DA73C5" w:rsidP="005907B8">
            <w:pPr>
              <w:spacing w:after="120"/>
              <w:rPr>
                <w:sz w:val="22"/>
                <w:szCs w:val="22"/>
              </w:rPr>
            </w:pPr>
            <w:r>
              <w:rPr>
                <w:sz w:val="22"/>
                <w:szCs w:val="22"/>
                <w:lang w:val="ga"/>
              </w:rPr>
              <w:t xml:space="preserve">Fondúireacht Eolaíochta Éireann </w:t>
            </w:r>
            <w:r w:rsidR="005907B8" w:rsidRPr="00D51778">
              <w:rPr>
                <w:sz w:val="22"/>
                <w:szCs w:val="22"/>
                <w:lang w:val="ga"/>
              </w:rPr>
              <w:t xml:space="preserve"> </w:t>
            </w:r>
            <w:r w:rsidR="005907B8" w:rsidRPr="00D51778">
              <w:rPr>
                <w:b/>
                <w:bCs/>
                <w:sz w:val="22"/>
                <w:szCs w:val="22"/>
                <w:lang w:val="ga"/>
              </w:rPr>
              <w:t xml:space="preserve">(Sa bhliain 2021, aistríodh an comhlacht poiblí seo ón Roinn Fiontar, Trádála agus Fostaíochta chuig an Roinn Breisoideachais agus Ardoideachais, Taighde, Nuálaíochta </w:t>
            </w:r>
            <w:r w:rsidR="001A2883">
              <w:rPr>
                <w:b/>
                <w:bCs/>
                <w:sz w:val="22"/>
                <w:szCs w:val="22"/>
                <w:lang w:val="ga"/>
              </w:rPr>
              <w:t>agus Eolaíochta. Féach Tábla 4</w:t>
            </w:r>
            <w:r w:rsidR="005907B8" w:rsidRPr="00D51778">
              <w:rPr>
                <w:b/>
                <w:bCs/>
                <w:sz w:val="22"/>
                <w:szCs w:val="22"/>
                <w:lang w:val="ga"/>
              </w:rPr>
              <w:t xml:space="preserve"> sa tuarascáil le haghaidh shonraí an chomhlachta </w:t>
            </w:r>
            <w:r w:rsidR="005907B8" w:rsidRPr="00D51778">
              <w:rPr>
                <w:b/>
                <w:bCs/>
                <w:sz w:val="22"/>
                <w:szCs w:val="22"/>
                <w:lang w:val="ga"/>
              </w:rPr>
              <w:lastRenderedPageBreak/>
              <w:t>phoiblí seo don bhliain 2021).</w:t>
            </w:r>
          </w:p>
        </w:tc>
        <w:tc>
          <w:tcPr>
            <w:tcW w:w="1842" w:type="dxa"/>
          </w:tcPr>
          <w:p w14:paraId="0890E91C" w14:textId="77777777" w:rsidR="005907B8" w:rsidRPr="00D51778" w:rsidRDefault="005907B8" w:rsidP="005907B8">
            <w:pPr>
              <w:spacing w:after="0"/>
              <w:jc w:val="right"/>
              <w:rPr>
                <w:sz w:val="22"/>
                <w:szCs w:val="22"/>
              </w:rPr>
            </w:pPr>
            <w:r w:rsidRPr="00D51778">
              <w:rPr>
                <w:rFonts w:cs="Calibri"/>
                <w:color w:val="000000"/>
                <w:sz w:val="22"/>
                <w:szCs w:val="22"/>
                <w:lang w:val="ga"/>
              </w:rPr>
              <w:lastRenderedPageBreak/>
              <w:t>89</w:t>
            </w:r>
          </w:p>
        </w:tc>
        <w:tc>
          <w:tcPr>
            <w:tcW w:w="1418" w:type="dxa"/>
          </w:tcPr>
          <w:p w14:paraId="3A4B87E0" w14:textId="77777777" w:rsidR="005907B8" w:rsidRPr="00D51778" w:rsidRDefault="005907B8" w:rsidP="005907B8">
            <w:pPr>
              <w:spacing w:after="0"/>
              <w:jc w:val="right"/>
              <w:rPr>
                <w:sz w:val="22"/>
                <w:szCs w:val="22"/>
              </w:rPr>
            </w:pPr>
            <w:r w:rsidRPr="00D51778">
              <w:rPr>
                <w:rFonts w:cs="Calibri"/>
                <w:color w:val="000000"/>
                <w:sz w:val="22"/>
                <w:szCs w:val="22"/>
                <w:lang w:val="ga"/>
              </w:rPr>
              <w:t>3</w:t>
            </w:r>
          </w:p>
        </w:tc>
        <w:tc>
          <w:tcPr>
            <w:tcW w:w="1559" w:type="dxa"/>
          </w:tcPr>
          <w:p w14:paraId="7EA878C2" w14:textId="77777777" w:rsidR="005907B8" w:rsidRPr="00D51778" w:rsidRDefault="005907B8" w:rsidP="005907B8">
            <w:pPr>
              <w:spacing w:after="0"/>
              <w:jc w:val="right"/>
              <w:rPr>
                <w:sz w:val="22"/>
                <w:szCs w:val="22"/>
              </w:rPr>
            </w:pPr>
            <w:r w:rsidRPr="00D51778">
              <w:rPr>
                <w:rFonts w:cs="Calibri"/>
                <w:color w:val="000000"/>
                <w:sz w:val="22"/>
                <w:szCs w:val="22"/>
                <w:lang w:val="ga"/>
              </w:rPr>
              <w:t>3.4%</w:t>
            </w:r>
          </w:p>
        </w:tc>
        <w:tc>
          <w:tcPr>
            <w:tcW w:w="1418" w:type="dxa"/>
          </w:tcPr>
          <w:p w14:paraId="202DA942" w14:textId="77777777" w:rsidR="005907B8" w:rsidRPr="00D51778" w:rsidRDefault="005907B8" w:rsidP="005907B8">
            <w:pPr>
              <w:jc w:val="right"/>
              <w:rPr>
                <w:sz w:val="22"/>
                <w:szCs w:val="22"/>
              </w:rPr>
            </w:pPr>
            <w:r w:rsidRPr="00D51778">
              <w:rPr>
                <w:rFonts w:cs="Calibri"/>
                <w:color w:val="000000"/>
                <w:sz w:val="22"/>
                <w:szCs w:val="22"/>
                <w:lang w:val="ga"/>
              </w:rPr>
              <w:t>- </w:t>
            </w:r>
          </w:p>
        </w:tc>
        <w:tc>
          <w:tcPr>
            <w:tcW w:w="1417" w:type="dxa"/>
          </w:tcPr>
          <w:p w14:paraId="12C30958" w14:textId="77777777" w:rsidR="005907B8" w:rsidRPr="00D51778" w:rsidRDefault="005907B8" w:rsidP="005907B8">
            <w:pPr>
              <w:jc w:val="right"/>
              <w:rPr>
                <w:sz w:val="22"/>
                <w:szCs w:val="22"/>
              </w:rPr>
            </w:pPr>
            <w:r w:rsidRPr="00D51778">
              <w:rPr>
                <w:rFonts w:cs="Calibri"/>
                <w:color w:val="000000"/>
                <w:sz w:val="22"/>
                <w:szCs w:val="22"/>
                <w:lang w:val="ga"/>
              </w:rPr>
              <w:t>- </w:t>
            </w:r>
          </w:p>
        </w:tc>
        <w:tc>
          <w:tcPr>
            <w:tcW w:w="1559" w:type="dxa"/>
          </w:tcPr>
          <w:p w14:paraId="5F4A2991" w14:textId="77777777" w:rsidR="005907B8" w:rsidRPr="00D51778" w:rsidRDefault="005907B8" w:rsidP="005907B8">
            <w:pPr>
              <w:jc w:val="right"/>
              <w:rPr>
                <w:sz w:val="22"/>
                <w:szCs w:val="22"/>
              </w:rPr>
            </w:pPr>
            <w:r w:rsidRPr="00D51778">
              <w:rPr>
                <w:rFonts w:cs="Calibri"/>
                <w:color w:val="000000"/>
                <w:sz w:val="22"/>
                <w:szCs w:val="22"/>
                <w:lang w:val="ga"/>
              </w:rPr>
              <w:t>- </w:t>
            </w:r>
          </w:p>
        </w:tc>
      </w:tr>
      <w:tr w:rsidR="005907B8" w:rsidRPr="00D51778" w14:paraId="6CFBC120" w14:textId="77777777" w:rsidTr="00627DF6">
        <w:tc>
          <w:tcPr>
            <w:tcW w:w="2122" w:type="dxa"/>
          </w:tcPr>
          <w:p w14:paraId="4418ACBE" w14:textId="77777777" w:rsidR="005907B8" w:rsidRPr="00D51778" w:rsidRDefault="005907B8" w:rsidP="005907B8">
            <w:pPr>
              <w:pStyle w:val="TableHead"/>
              <w:spacing w:after="240"/>
              <w:rPr>
                <w:sz w:val="22"/>
                <w:szCs w:val="22"/>
              </w:rPr>
            </w:pPr>
            <w:r w:rsidRPr="00D51778">
              <w:rPr>
                <w:bCs/>
                <w:sz w:val="22"/>
                <w:szCs w:val="22"/>
                <w:lang w:val="ga"/>
              </w:rPr>
              <w:t>Mór-Iomlán</w:t>
            </w:r>
          </w:p>
        </w:tc>
        <w:tc>
          <w:tcPr>
            <w:tcW w:w="1842" w:type="dxa"/>
          </w:tcPr>
          <w:p w14:paraId="01A7C8DF" w14:textId="77777777" w:rsidR="005907B8" w:rsidRPr="00D51778" w:rsidRDefault="005907B8" w:rsidP="005907B8">
            <w:pPr>
              <w:spacing w:after="0"/>
              <w:jc w:val="right"/>
              <w:rPr>
                <w:rFonts w:cs="Calibri"/>
                <w:b/>
                <w:bCs/>
                <w:color w:val="000000"/>
                <w:sz w:val="22"/>
                <w:szCs w:val="22"/>
              </w:rPr>
            </w:pPr>
            <w:r w:rsidRPr="00D51778">
              <w:rPr>
                <w:rFonts w:cs="Calibri"/>
                <w:b/>
                <w:bCs/>
                <w:color w:val="000000"/>
                <w:sz w:val="22"/>
                <w:szCs w:val="22"/>
                <w:lang w:val="ga"/>
              </w:rPr>
              <w:t>1,731</w:t>
            </w:r>
          </w:p>
          <w:p w14:paraId="1CD1D04E" w14:textId="77777777" w:rsidR="005907B8" w:rsidRPr="00D51778" w:rsidRDefault="005907B8" w:rsidP="005907B8">
            <w:pPr>
              <w:pStyle w:val="TableHead"/>
              <w:spacing w:after="240"/>
              <w:jc w:val="right"/>
              <w:rPr>
                <w:sz w:val="22"/>
                <w:szCs w:val="22"/>
              </w:rPr>
            </w:pPr>
          </w:p>
        </w:tc>
        <w:tc>
          <w:tcPr>
            <w:tcW w:w="1418" w:type="dxa"/>
          </w:tcPr>
          <w:p w14:paraId="38310A24" w14:textId="77777777" w:rsidR="005907B8" w:rsidRPr="00D51778" w:rsidRDefault="005907B8" w:rsidP="005907B8">
            <w:pPr>
              <w:spacing w:after="0"/>
              <w:jc w:val="right"/>
              <w:rPr>
                <w:rFonts w:cs="Calibri"/>
                <w:b/>
                <w:bCs/>
                <w:color w:val="000000"/>
                <w:sz w:val="22"/>
                <w:szCs w:val="22"/>
              </w:rPr>
            </w:pPr>
            <w:r w:rsidRPr="00D51778">
              <w:rPr>
                <w:rFonts w:cs="Calibri"/>
                <w:b/>
                <w:bCs/>
                <w:color w:val="000000"/>
                <w:sz w:val="22"/>
                <w:szCs w:val="22"/>
                <w:lang w:val="ga"/>
              </w:rPr>
              <w:t>82</w:t>
            </w:r>
          </w:p>
          <w:p w14:paraId="4C5EE932" w14:textId="77777777" w:rsidR="005907B8" w:rsidRPr="00D51778" w:rsidRDefault="005907B8" w:rsidP="005907B8">
            <w:pPr>
              <w:pStyle w:val="TableHead"/>
              <w:spacing w:after="240"/>
              <w:jc w:val="right"/>
              <w:rPr>
                <w:sz w:val="22"/>
                <w:szCs w:val="22"/>
              </w:rPr>
            </w:pPr>
          </w:p>
        </w:tc>
        <w:tc>
          <w:tcPr>
            <w:tcW w:w="1559" w:type="dxa"/>
          </w:tcPr>
          <w:p w14:paraId="70250AB6" w14:textId="77777777" w:rsidR="005907B8" w:rsidRPr="00D51778" w:rsidRDefault="005907B8" w:rsidP="005907B8">
            <w:pPr>
              <w:pStyle w:val="TableHead"/>
              <w:spacing w:after="240"/>
              <w:jc w:val="right"/>
              <w:rPr>
                <w:sz w:val="22"/>
                <w:szCs w:val="22"/>
              </w:rPr>
            </w:pPr>
            <w:r w:rsidRPr="00D51778">
              <w:rPr>
                <w:bCs/>
                <w:sz w:val="22"/>
                <w:szCs w:val="22"/>
                <w:lang w:val="ga"/>
              </w:rPr>
              <w:t>4.7%</w:t>
            </w:r>
          </w:p>
        </w:tc>
        <w:tc>
          <w:tcPr>
            <w:tcW w:w="1418" w:type="dxa"/>
          </w:tcPr>
          <w:p w14:paraId="5818E95E" w14:textId="77777777" w:rsidR="005907B8" w:rsidRPr="00D51778" w:rsidRDefault="005907B8" w:rsidP="005907B8">
            <w:pPr>
              <w:spacing w:after="0"/>
              <w:jc w:val="right"/>
              <w:rPr>
                <w:rFonts w:cs="Calibri"/>
                <w:b/>
                <w:bCs/>
                <w:color w:val="000000"/>
                <w:sz w:val="22"/>
                <w:szCs w:val="22"/>
              </w:rPr>
            </w:pPr>
            <w:r w:rsidRPr="00D51778">
              <w:rPr>
                <w:rFonts w:cs="Calibri"/>
                <w:b/>
                <w:bCs/>
                <w:color w:val="000000"/>
                <w:sz w:val="22"/>
                <w:szCs w:val="22"/>
                <w:lang w:val="ga"/>
              </w:rPr>
              <w:t>1,673</w:t>
            </w:r>
          </w:p>
          <w:p w14:paraId="4EBDA1BA" w14:textId="77777777" w:rsidR="005907B8" w:rsidRPr="00D51778" w:rsidRDefault="005907B8" w:rsidP="005907B8">
            <w:pPr>
              <w:pStyle w:val="TableHead"/>
              <w:spacing w:after="240"/>
              <w:jc w:val="right"/>
              <w:rPr>
                <w:sz w:val="22"/>
                <w:szCs w:val="22"/>
              </w:rPr>
            </w:pPr>
          </w:p>
        </w:tc>
        <w:tc>
          <w:tcPr>
            <w:tcW w:w="1417" w:type="dxa"/>
          </w:tcPr>
          <w:p w14:paraId="5BF22998" w14:textId="77777777" w:rsidR="005907B8" w:rsidRPr="00D51778" w:rsidRDefault="005907B8" w:rsidP="005907B8">
            <w:pPr>
              <w:spacing w:after="0"/>
              <w:jc w:val="right"/>
              <w:rPr>
                <w:rFonts w:cs="Calibri"/>
                <w:b/>
                <w:bCs/>
                <w:color w:val="000000"/>
                <w:sz w:val="22"/>
                <w:szCs w:val="22"/>
              </w:rPr>
            </w:pPr>
            <w:r w:rsidRPr="00D51778">
              <w:rPr>
                <w:rFonts w:cs="Calibri"/>
                <w:b/>
                <w:bCs/>
                <w:color w:val="000000"/>
                <w:sz w:val="22"/>
                <w:szCs w:val="22"/>
                <w:lang w:val="ga"/>
              </w:rPr>
              <w:t>101</w:t>
            </w:r>
          </w:p>
          <w:p w14:paraId="7432A1EE" w14:textId="77777777" w:rsidR="005907B8" w:rsidRPr="00D51778" w:rsidRDefault="005907B8" w:rsidP="005907B8">
            <w:pPr>
              <w:pStyle w:val="TableHead"/>
              <w:spacing w:after="240"/>
              <w:jc w:val="right"/>
              <w:rPr>
                <w:sz w:val="22"/>
                <w:szCs w:val="22"/>
              </w:rPr>
            </w:pPr>
          </w:p>
        </w:tc>
        <w:tc>
          <w:tcPr>
            <w:tcW w:w="1559" w:type="dxa"/>
          </w:tcPr>
          <w:p w14:paraId="557B0F03" w14:textId="77777777" w:rsidR="005907B8" w:rsidRPr="00D51778" w:rsidRDefault="005907B8" w:rsidP="005907B8">
            <w:pPr>
              <w:pStyle w:val="TableHead"/>
              <w:spacing w:after="240"/>
              <w:jc w:val="right"/>
              <w:rPr>
                <w:sz w:val="22"/>
                <w:szCs w:val="22"/>
              </w:rPr>
            </w:pPr>
            <w:r w:rsidRPr="00D51778">
              <w:rPr>
                <w:bCs/>
                <w:sz w:val="22"/>
                <w:szCs w:val="22"/>
                <w:lang w:val="ga"/>
              </w:rPr>
              <w:t>6%</w:t>
            </w:r>
          </w:p>
        </w:tc>
      </w:tr>
    </w:tbl>
    <w:p w14:paraId="37A06456" w14:textId="740C741E" w:rsidR="003E2859" w:rsidRDefault="003E2859" w:rsidP="001206B4">
      <w:pPr>
        <w:pStyle w:val="Heading2"/>
        <w:rPr>
          <w:color w:val="000000" w:themeColor="text1"/>
        </w:rPr>
      </w:pPr>
    </w:p>
    <w:p w14:paraId="3C7EC124" w14:textId="77777777" w:rsidR="001206B4" w:rsidRPr="001206B4" w:rsidRDefault="001206B4" w:rsidP="001206B4"/>
    <w:p w14:paraId="0D6A4AD0" w14:textId="4726D403" w:rsidR="001B6E03" w:rsidRPr="00D51778" w:rsidRDefault="001B6E03" w:rsidP="001624B2">
      <w:pPr>
        <w:pStyle w:val="Heading2"/>
        <w:jc w:val="center"/>
        <w:rPr>
          <w:color w:val="000000" w:themeColor="text1"/>
        </w:rPr>
      </w:pPr>
      <w:bookmarkStart w:id="72" w:name="_Toc124367420"/>
      <w:r w:rsidRPr="00D51778">
        <w:rPr>
          <w:bCs/>
          <w:color w:val="000000" w:themeColor="text1"/>
          <w:lang w:val="ga"/>
        </w:rPr>
        <w:t>An Roinn Airgeadais</w:t>
      </w:r>
      <w:bookmarkEnd w:id="72"/>
    </w:p>
    <w:tbl>
      <w:tblPr>
        <w:tblStyle w:val="TableGrid"/>
        <w:tblpPr w:leftFromText="180" w:rightFromText="180" w:vertAnchor="text" w:horzAnchor="margin" w:tblpXSpec="center" w:tblpY="209"/>
        <w:tblW w:w="11340" w:type="dxa"/>
        <w:tblLayout w:type="fixed"/>
        <w:tblLook w:val="04A0" w:firstRow="1" w:lastRow="0" w:firstColumn="1" w:lastColumn="0" w:noHBand="0" w:noVBand="1"/>
        <w:tblCaption w:val="Department of Finance "/>
      </w:tblPr>
      <w:tblGrid>
        <w:gridCol w:w="2126"/>
        <w:gridCol w:w="1843"/>
        <w:gridCol w:w="1413"/>
        <w:gridCol w:w="1564"/>
        <w:gridCol w:w="1417"/>
        <w:gridCol w:w="1418"/>
        <w:gridCol w:w="1559"/>
      </w:tblGrid>
      <w:tr w:rsidR="00EF2C8B" w:rsidRPr="00D51778" w14:paraId="45A6D92E" w14:textId="77777777" w:rsidTr="00627DF6">
        <w:trPr>
          <w:tblHeader/>
        </w:trPr>
        <w:tc>
          <w:tcPr>
            <w:tcW w:w="2126" w:type="dxa"/>
          </w:tcPr>
          <w:p w14:paraId="698F80E9" w14:textId="77777777" w:rsidR="00EF2C8B" w:rsidRPr="0046554A" w:rsidRDefault="00EF2C8B" w:rsidP="00EF2C8B">
            <w:pPr>
              <w:pStyle w:val="TableHead"/>
              <w:rPr>
                <w:sz w:val="22"/>
                <w:szCs w:val="22"/>
              </w:rPr>
            </w:pPr>
            <w:r w:rsidRPr="0046554A">
              <w:rPr>
                <w:bCs/>
                <w:sz w:val="22"/>
                <w:szCs w:val="22"/>
                <w:lang w:val="ga"/>
              </w:rPr>
              <w:t>Comhlacht Poiblí</w:t>
            </w:r>
          </w:p>
        </w:tc>
        <w:tc>
          <w:tcPr>
            <w:tcW w:w="1843" w:type="dxa"/>
          </w:tcPr>
          <w:p w14:paraId="2F187E22" w14:textId="77777777" w:rsidR="006009BB" w:rsidRPr="0046554A" w:rsidRDefault="00EF2C8B" w:rsidP="00EF2C8B">
            <w:pPr>
              <w:pStyle w:val="TableHead"/>
              <w:rPr>
                <w:bCs/>
                <w:sz w:val="22"/>
                <w:szCs w:val="22"/>
                <w:lang w:val="ga"/>
              </w:rPr>
            </w:pPr>
            <w:r w:rsidRPr="0046554A">
              <w:rPr>
                <w:bCs/>
                <w:sz w:val="22"/>
                <w:szCs w:val="22"/>
                <w:lang w:val="ga"/>
              </w:rPr>
              <w:t xml:space="preserve">An líon iomlán fostaithe </w:t>
            </w:r>
          </w:p>
          <w:p w14:paraId="41516514" w14:textId="258309B7" w:rsidR="00EF2C8B" w:rsidRPr="0046554A" w:rsidRDefault="00EF2C8B" w:rsidP="00EF2C8B">
            <w:pPr>
              <w:pStyle w:val="TableHead"/>
              <w:rPr>
                <w:sz w:val="22"/>
                <w:szCs w:val="22"/>
              </w:rPr>
            </w:pPr>
            <w:r w:rsidRPr="0046554A">
              <w:rPr>
                <w:bCs/>
                <w:sz w:val="22"/>
                <w:szCs w:val="22"/>
                <w:lang w:val="ga"/>
              </w:rPr>
              <w:t>2020</w:t>
            </w:r>
          </w:p>
        </w:tc>
        <w:tc>
          <w:tcPr>
            <w:tcW w:w="1413" w:type="dxa"/>
          </w:tcPr>
          <w:p w14:paraId="6A9F8276" w14:textId="77777777" w:rsidR="00EF2C8B" w:rsidRPr="0046554A" w:rsidRDefault="00EF2C8B" w:rsidP="00EF2C8B">
            <w:pPr>
              <w:pStyle w:val="TableHead"/>
              <w:rPr>
                <w:sz w:val="22"/>
                <w:szCs w:val="22"/>
              </w:rPr>
            </w:pPr>
            <w:r w:rsidRPr="0046554A">
              <w:rPr>
                <w:bCs/>
                <w:sz w:val="22"/>
                <w:szCs w:val="22"/>
                <w:lang w:val="ga"/>
              </w:rPr>
              <w:t xml:space="preserve">An líon fostaithe a thuairiscigh míchumas </w:t>
            </w:r>
          </w:p>
          <w:p w14:paraId="045CCCAD" w14:textId="77777777" w:rsidR="00EF2C8B" w:rsidRPr="0046554A" w:rsidRDefault="00EF2C8B" w:rsidP="00EF2C8B">
            <w:pPr>
              <w:pStyle w:val="TableHead"/>
              <w:rPr>
                <w:sz w:val="22"/>
                <w:szCs w:val="22"/>
              </w:rPr>
            </w:pPr>
            <w:r w:rsidRPr="0046554A">
              <w:rPr>
                <w:bCs/>
                <w:sz w:val="22"/>
                <w:szCs w:val="22"/>
                <w:lang w:val="ga"/>
              </w:rPr>
              <w:t>2020</w:t>
            </w:r>
          </w:p>
        </w:tc>
        <w:tc>
          <w:tcPr>
            <w:tcW w:w="1564" w:type="dxa"/>
          </w:tcPr>
          <w:p w14:paraId="7724BA39" w14:textId="77777777" w:rsidR="00EF2C8B" w:rsidRPr="0046554A" w:rsidRDefault="00EF2C8B" w:rsidP="00EF2C8B">
            <w:pPr>
              <w:pStyle w:val="TableHead"/>
              <w:rPr>
                <w:sz w:val="22"/>
                <w:szCs w:val="22"/>
              </w:rPr>
            </w:pPr>
            <w:r w:rsidRPr="0046554A">
              <w:rPr>
                <w:bCs/>
                <w:sz w:val="22"/>
                <w:szCs w:val="22"/>
                <w:lang w:val="ga"/>
              </w:rPr>
              <w:t>An % d’fhostaithe a thuairiscigh</w:t>
            </w:r>
          </w:p>
          <w:p w14:paraId="57091172" w14:textId="77777777" w:rsidR="00EF2C8B" w:rsidRPr="0046554A" w:rsidRDefault="00EF2C8B" w:rsidP="00EF2C8B">
            <w:pPr>
              <w:pStyle w:val="TableHead"/>
              <w:rPr>
                <w:sz w:val="22"/>
                <w:szCs w:val="22"/>
              </w:rPr>
            </w:pPr>
            <w:r w:rsidRPr="0046554A">
              <w:rPr>
                <w:bCs/>
                <w:sz w:val="22"/>
                <w:szCs w:val="22"/>
                <w:lang w:val="ga"/>
              </w:rPr>
              <w:t>míchumas 2020</w:t>
            </w:r>
          </w:p>
        </w:tc>
        <w:tc>
          <w:tcPr>
            <w:tcW w:w="1417" w:type="dxa"/>
          </w:tcPr>
          <w:p w14:paraId="11EF1C42" w14:textId="77777777" w:rsidR="00EF2C8B" w:rsidRPr="0046554A" w:rsidRDefault="00EF2C8B" w:rsidP="00EF2C8B">
            <w:pPr>
              <w:pStyle w:val="TableHead"/>
              <w:rPr>
                <w:sz w:val="22"/>
                <w:szCs w:val="22"/>
              </w:rPr>
            </w:pPr>
            <w:r w:rsidRPr="0046554A">
              <w:rPr>
                <w:bCs/>
                <w:sz w:val="22"/>
                <w:szCs w:val="22"/>
                <w:lang w:val="ga"/>
              </w:rPr>
              <w:t>An líon iomlán fostaithe 2021</w:t>
            </w:r>
          </w:p>
        </w:tc>
        <w:tc>
          <w:tcPr>
            <w:tcW w:w="1418" w:type="dxa"/>
          </w:tcPr>
          <w:p w14:paraId="1D1BBB4A" w14:textId="77777777" w:rsidR="00EF2C8B" w:rsidRPr="0046554A" w:rsidRDefault="00EF2C8B" w:rsidP="00EF2C8B">
            <w:pPr>
              <w:pStyle w:val="TableHead"/>
              <w:rPr>
                <w:sz w:val="22"/>
                <w:szCs w:val="22"/>
              </w:rPr>
            </w:pPr>
            <w:r w:rsidRPr="0046554A">
              <w:rPr>
                <w:bCs/>
                <w:sz w:val="22"/>
                <w:szCs w:val="22"/>
                <w:lang w:val="ga"/>
              </w:rPr>
              <w:t>An líon fostaithe a thuairiscigh míchumas</w:t>
            </w:r>
          </w:p>
          <w:p w14:paraId="4BECB8E9" w14:textId="77777777" w:rsidR="00EF2C8B" w:rsidRPr="0046554A" w:rsidRDefault="00EF2C8B" w:rsidP="00EF2C8B">
            <w:pPr>
              <w:pStyle w:val="TableHead"/>
              <w:rPr>
                <w:sz w:val="22"/>
                <w:szCs w:val="22"/>
              </w:rPr>
            </w:pPr>
            <w:r w:rsidRPr="0046554A">
              <w:rPr>
                <w:bCs/>
                <w:sz w:val="22"/>
                <w:szCs w:val="22"/>
                <w:lang w:val="ga"/>
              </w:rPr>
              <w:t>2021</w:t>
            </w:r>
          </w:p>
        </w:tc>
        <w:tc>
          <w:tcPr>
            <w:tcW w:w="1559" w:type="dxa"/>
          </w:tcPr>
          <w:p w14:paraId="537E90DE" w14:textId="77777777" w:rsidR="00EF2C8B" w:rsidRPr="0046554A" w:rsidRDefault="00EF2C8B" w:rsidP="00EF2C8B">
            <w:pPr>
              <w:pStyle w:val="TableHead"/>
              <w:rPr>
                <w:sz w:val="22"/>
                <w:szCs w:val="22"/>
              </w:rPr>
            </w:pPr>
            <w:r w:rsidRPr="0046554A">
              <w:rPr>
                <w:bCs/>
                <w:sz w:val="22"/>
                <w:szCs w:val="22"/>
                <w:lang w:val="ga"/>
              </w:rPr>
              <w:t>An % d’fhostaithe a thuairiscigh</w:t>
            </w:r>
          </w:p>
          <w:p w14:paraId="398886C4" w14:textId="77777777" w:rsidR="00EF2C8B" w:rsidRPr="0046554A" w:rsidRDefault="00EF2C8B" w:rsidP="00EF2C8B">
            <w:pPr>
              <w:pStyle w:val="TableHead"/>
              <w:rPr>
                <w:sz w:val="22"/>
                <w:szCs w:val="22"/>
              </w:rPr>
            </w:pPr>
            <w:r w:rsidRPr="0046554A">
              <w:rPr>
                <w:bCs/>
                <w:sz w:val="22"/>
                <w:szCs w:val="22"/>
                <w:lang w:val="ga"/>
              </w:rPr>
              <w:t>míchumas 2021</w:t>
            </w:r>
          </w:p>
        </w:tc>
      </w:tr>
      <w:tr w:rsidR="00EF2C8B" w:rsidRPr="00D51778" w14:paraId="2A581A55" w14:textId="77777777" w:rsidTr="00627DF6">
        <w:tc>
          <w:tcPr>
            <w:tcW w:w="2126" w:type="dxa"/>
          </w:tcPr>
          <w:p w14:paraId="2CE69A98" w14:textId="77777777" w:rsidR="00EF2C8B" w:rsidRPr="00D51778" w:rsidRDefault="00EF2C8B" w:rsidP="00EF2C8B">
            <w:pPr>
              <w:spacing w:after="0"/>
              <w:rPr>
                <w:rFonts w:cs="Calibri"/>
                <w:color w:val="000000"/>
                <w:sz w:val="22"/>
                <w:szCs w:val="22"/>
              </w:rPr>
            </w:pPr>
            <w:r w:rsidRPr="00D51778">
              <w:rPr>
                <w:rFonts w:cs="Calibri"/>
                <w:color w:val="000000"/>
                <w:sz w:val="22"/>
                <w:szCs w:val="22"/>
                <w:lang w:val="ga"/>
              </w:rPr>
              <w:t>Gníomhaireacht Bainistíochta an Chisteáin Náisiúnta</w:t>
            </w:r>
          </w:p>
          <w:p w14:paraId="25C58DBD" w14:textId="77777777" w:rsidR="00EF2C8B" w:rsidRPr="00D51778" w:rsidRDefault="00EF2C8B" w:rsidP="00EF2C8B">
            <w:pPr>
              <w:rPr>
                <w:sz w:val="22"/>
                <w:szCs w:val="22"/>
              </w:rPr>
            </w:pPr>
          </w:p>
        </w:tc>
        <w:tc>
          <w:tcPr>
            <w:tcW w:w="1843" w:type="dxa"/>
          </w:tcPr>
          <w:p w14:paraId="26DB614E"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794</w:t>
            </w:r>
          </w:p>
          <w:p w14:paraId="4930B86A" w14:textId="77777777" w:rsidR="00EF2C8B" w:rsidRPr="00D51778" w:rsidRDefault="00EF2C8B" w:rsidP="00EF2C8B">
            <w:pPr>
              <w:jc w:val="right"/>
              <w:rPr>
                <w:sz w:val="22"/>
                <w:szCs w:val="22"/>
              </w:rPr>
            </w:pPr>
          </w:p>
        </w:tc>
        <w:tc>
          <w:tcPr>
            <w:tcW w:w="1413" w:type="dxa"/>
          </w:tcPr>
          <w:p w14:paraId="6D1F947F"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34</w:t>
            </w:r>
          </w:p>
          <w:p w14:paraId="6F90ABBE" w14:textId="77777777" w:rsidR="00EF2C8B" w:rsidRPr="00D51778" w:rsidRDefault="00EF2C8B" w:rsidP="00EF2C8B">
            <w:pPr>
              <w:jc w:val="right"/>
              <w:rPr>
                <w:sz w:val="22"/>
                <w:szCs w:val="22"/>
              </w:rPr>
            </w:pPr>
          </w:p>
        </w:tc>
        <w:tc>
          <w:tcPr>
            <w:tcW w:w="1564" w:type="dxa"/>
          </w:tcPr>
          <w:p w14:paraId="1C198F89"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4.3%</w:t>
            </w:r>
          </w:p>
          <w:p w14:paraId="1BA449D2" w14:textId="77777777" w:rsidR="00EF2C8B" w:rsidRPr="00D51778" w:rsidRDefault="00EF2C8B" w:rsidP="00EF2C8B">
            <w:pPr>
              <w:jc w:val="right"/>
              <w:rPr>
                <w:sz w:val="22"/>
                <w:szCs w:val="22"/>
              </w:rPr>
            </w:pPr>
          </w:p>
        </w:tc>
        <w:tc>
          <w:tcPr>
            <w:tcW w:w="1417" w:type="dxa"/>
          </w:tcPr>
          <w:p w14:paraId="08B0C8F8"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788</w:t>
            </w:r>
          </w:p>
          <w:p w14:paraId="011A971B" w14:textId="77777777" w:rsidR="00EF2C8B" w:rsidRPr="00D51778" w:rsidRDefault="00EF2C8B" w:rsidP="00EF2C8B">
            <w:pPr>
              <w:jc w:val="right"/>
              <w:rPr>
                <w:sz w:val="22"/>
                <w:szCs w:val="22"/>
              </w:rPr>
            </w:pPr>
          </w:p>
        </w:tc>
        <w:tc>
          <w:tcPr>
            <w:tcW w:w="1418" w:type="dxa"/>
          </w:tcPr>
          <w:p w14:paraId="7423A572"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33</w:t>
            </w:r>
          </w:p>
          <w:p w14:paraId="168F00ED" w14:textId="77777777" w:rsidR="00EF2C8B" w:rsidRPr="00D51778" w:rsidRDefault="00EF2C8B" w:rsidP="00EF2C8B">
            <w:pPr>
              <w:jc w:val="right"/>
              <w:rPr>
                <w:sz w:val="22"/>
                <w:szCs w:val="22"/>
              </w:rPr>
            </w:pPr>
          </w:p>
        </w:tc>
        <w:tc>
          <w:tcPr>
            <w:tcW w:w="1559" w:type="dxa"/>
          </w:tcPr>
          <w:p w14:paraId="07234284" w14:textId="77777777" w:rsidR="00EF2C8B" w:rsidRPr="00D51778" w:rsidRDefault="00EF2C8B" w:rsidP="00EF2C8B">
            <w:pPr>
              <w:spacing w:after="0"/>
              <w:jc w:val="right"/>
              <w:rPr>
                <w:rFonts w:cs="Calibri"/>
                <w:color w:val="000000"/>
                <w:sz w:val="22"/>
                <w:szCs w:val="22"/>
              </w:rPr>
            </w:pPr>
            <w:r w:rsidRPr="00D51778">
              <w:rPr>
                <w:rFonts w:cs="Calibri"/>
                <w:color w:val="000000"/>
                <w:sz w:val="22"/>
                <w:szCs w:val="22"/>
                <w:lang w:val="ga"/>
              </w:rPr>
              <w:t>4.2%</w:t>
            </w:r>
          </w:p>
          <w:p w14:paraId="6EBB8131" w14:textId="77777777" w:rsidR="00EF2C8B" w:rsidRPr="00D51778" w:rsidRDefault="00EF2C8B" w:rsidP="00EF2C8B">
            <w:pPr>
              <w:jc w:val="right"/>
              <w:rPr>
                <w:sz w:val="22"/>
                <w:szCs w:val="22"/>
              </w:rPr>
            </w:pPr>
          </w:p>
        </w:tc>
      </w:tr>
      <w:tr w:rsidR="00EF2C8B" w:rsidRPr="00D51778" w14:paraId="7919C630" w14:textId="77777777" w:rsidTr="00627DF6">
        <w:tc>
          <w:tcPr>
            <w:tcW w:w="2126" w:type="dxa"/>
          </w:tcPr>
          <w:p w14:paraId="10F6E727" w14:textId="77777777" w:rsidR="00EF2C8B" w:rsidRPr="00D51778" w:rsidRDefault="00EF2C8B" w:rsidP="00EF2C8B">
            <w:pPr>
              <w:pStyle w:val="TableHead"/>
              <w:spacing w:after="240"/>
              <w:rPr>
                <w:sz w:val="22"/>
                <w:szCs w:val="22"/>
              </w:rPr>
            </w:pPr>
            <w:r w:rsidRPr="00D51778">
              <w:rPr>
                <w:bCs/>
                <w:sz w:val="22"/>
                <w:szCs w:val="22"/>
                <w:lang w:val="ga"/>
              </w:rPr>
              <w:t>Mór-Iomlán</w:t>
            </w:r>
          </w:p>
        </w:tc>
        <w:tc>
          <w:tcPr>
            <w:tcW w:w="1843" w:type="dxa"/>
          </w:tcPr>
          <w:p w14:paraId="6B0E8674" w14:textId="77777777" w:rsidR="00EF2C8B" w:rsidRPr="00D51778" w:rsidRDefault="00EF2C8B" w:rsidP="00EF2C8B">
            <w:pPr>
              <w:pStyle w:val="TableHead"/>
              <w:spacing w:after="240"/>
              <w:jc w:val="right"/>
              <w:rPr>
                <w:sz w:val="22"/>
                <w:szCs w:val="22"/>
              </w:rPr>
            </w:pPr>
            <w:r w:rsidRPr="00D51778">
              <w:rPr>
                <w:bCs/>
                <w:sz w:val="22"/>
                <w:szCs w:val="22"/>
                <w:lang w:val="ga"/>
              </w:rPr>
              <w:t>794</w:t>
            </w:r>
          </w:p>
        </w:tc>
        <w:tc>
          <w:tcPr>
            <w:tcW w:w="1413" w:type="dxa"/>
          </w:tcPr>
          <w:p w14:paraId="2748EE54" w14:textId="77777777" w:rsidR="00EF2C8B" w:rsidRPr="00D51778" w:rsidRDefault="00EF2C8B" w:rsidP="00EF2C8B">
            <w:pPr>
              <w:pStyle w:val="TableHead"/>
              <w:spacing w:after="240"/>
              <w:jc w:val="right"/>
              <w:rPr>
                <w:sz w:val="22"/>
                <w:szCs w:val="22"/>
              </w:rPr>
            </w:pPr>
            <w:r w:rsidRPr="00D51778">
              <w:rPr>
                <w:bCs/>
                <w:sz w:val="22"/>
                <w:szCs w:val="22"/>
                <w:lang w:val="ga"/>
              </w:rPr>
              <w:t>34</w:t>
            </w:r>
          </w:p>
        </w:tc>
        <w:tc>
          <w:tcPr>
            <w:tcW w:w="1564" w:type="dxa"/>
          </w:tcPr>
          <w:p w14:paraId="33EBCC6E" w14:textId="77777777" w:rsidR="00EF2C8B" w:rsidRPr="00D51778" w:rsidRDefault="00EF2C8B" w:rsidP="00EF2C8B">
            <w:pPr>
              <w:pStyle w:val="TableHead"/>
              <w:spacing w:after="240"/>
              <w:jc w:val="right"/>
              <w:rPr>
                <w:sz w:val="22"/>
                <w:szCs w:val="22"/>
              </w:rPr>
            </w:pPr>
            <w:r w:rsidRPr="00D51778">
              <w:rPr>
                <w:bCs/>
                <w:sz w:val="22"/>
                <w:szCs w:val="22"/>
                <w:lang w:val="ga"/>
              </w:rPr>
              <w:t>4.3%</w:t>
            </w:r>
          </w:p>
        </w:tc>
        <w:tc>
          <w:tcPr>
            <w:tcW w:w="1417" w:type="dxa"/>
          </w:tcPr>
          <w:p w14:paraId="780E6F79" w14:textId="77777777" w:rsidR="00EF2C8B" w:rsidRPr="00D51778" w:rsidRDefault="00EF2C8B" w:rsidP="00EF2C8B">
            <w:pPr>
              <w:pStyle w:val="TableHead"/>
              <w:spacing w:after="240"/>
              <w:jc w:val="right"/>
              <w:rPr>
                <w:sz w:val="22"/>
                <w:szCs w:val="22"/>
              </w:rPr>
            </w:pPr>
            <w:r w:rsidRPr="00D51778">
              <w:rPr>
                <w:bCs/>
                <w:sz w:val="22"/>
                <w:szCs w:val="22"/>
                <w:lang w:val="ga"/>
              </w:rPr>
              <w:t>788</w:t>
            </w:r>
          </w:p>
        </w:tc>
        <w:tc>
          <w:tcPr>
            <w:tcW w:w="1418" w:type="dxa"/>
          </w:tcPr>
          <w:p w14:paraId="5CD77B27" w14:textId="77777777" w:rsidR="00EF2C8B" w:rsidRPr="00D51778" w:rsidRDefault="00EF2C8B" w:rsidP="00EF2C8B">
            <w:pPr>
              <w:pStyle w:val="TableHead"/>
              <w:spacing w:after="240"/>
              <w:jc w:val="right"/>
              <w:rPr>
                <w:sz w:val="22"/>
                <w:szCs w:val="22"/>
              </w:rPr>
            </w:pPr>
            <w:r w:rsidRPr="00D51778">
              <w:rPr>
                <w:bCs/>
                <w:sz w:val="22"/>
                <w:szCs w:val="22"/>
                <w:lang w:val="ga"/>
              </w:rPr>
              <w:t>33</w:t>
            </w:r>
          </w:p>
        </w:tc>
        <w:tc>
          <w:tcPr>
            <w:tcW w:w="1559" w:type="dxa"/>
          </w:tcPr>
          <w:p w14:paraId="519C6D4B" w14:textId="77777777" w:rsidR="00EF2C8B" w:rsidRPr="00D51778" w:rsidRDefault="00EF2C8B" w:rsidP="00EF2C8B">
            <w:pPr>
              <w:pStyle w:val="TableHead"/>
              <w:spacing w:after="240"/>
              <w:jc w:val="right"/>
              <w:rPr>
                <w:sz w:val="22"/>
                <w:szCs w:val="22"/>
              </w:rPr>
            </w:pPr>
            <w:r w:rsidRPr="00D51778">
              <w:rPr>
                <w:bCs/>
                <w:sz w:val="22"/>
                <w:szCs w:val="22"/>
                <w:lang w:val="ga"/>
              </w:rPr>
              <w:t>4.2%</w:t>
            </w:r>
          </w:p>
        </w:tc>
      </w:tr>
    </w:tbl>
    <w:p w14:paraId="4D43B42B" w14:textId="77777777" w:rsidR="000D5C5D" w:rsidRPr="00D51778" w:rsidRDefault="000D5C5D" w:rsidP="000D5C5D"/>
    <w:p w14:paraId="2DE512F2" w14:textId="6A653164" w:rsidR="003A3EF1" w:rsidRDefault="003A3EF1">
      <w:pPr>
        <w:spacing w:after="0"/>
        <w:rPr>
          <w:i/>
        </w:rPr>
      </w:pPr>
      <w:r>
        <w:br w:type="page"/>
      </w:r>
    </w:p>
    <w:p w14:paraId="57297E20" w14:textId="083EFBF5" w:rsidR="00624403" w:rsidRPr="00D51778" w:rsidRDefault="007E64ED" w:rsidP="00EF2C8B">
      <w:pPr>
        <w:pStyle w:val="Heading2"/>
        <w:spacing w:after="120"/>
        <w:jc w:val="center"/>
        <w:rPr>
          <w:color w:val="000000" w:themeColor="text1"/>
        </w:rPr>
      </w:pPr>
      <w:bookmarkStart w:id="73" w:name="_Toc124367421"/>
      <w:r w:rsidRPr="00D51778">
        <w:rPr>
          <w:bCs/>
          <w:color w:val="000000" w:themeColor="text1"/>
          <w:lang w:val="ga"/>
        </w:rPr>
        <w:lastRenderedPageBreak/>
        <w:t>An Roinn Breisoideachais agus Ardoideachais, Taighde, Nuálaíochta agus Eolaíochta</w:t>
      </w:r>
      <w:bookmarkEnd w:id="73"/>
    </w:p>
    <w:tbl>
      <w:tblPr>
        <w:tblStyle w:val="TableGrid"/>
        <w:tblW w:w="11350" w:type="dxa"/>
        <w:jc w:val="center"/>
        <w:tblLayout w:type="fixed"/>
        <w:tblLook w:val="04A0" w:firstRow="1" w:lastRow="0" w:firstColumn="1" w:lastColumn="0" w:noHBand="0" w:noVBand="1"/>
        <w:tblCaption w:val="Department of Further &amp; Higher Education, Research Innovation &amp; Science"/>
        <w:tblDescription w:val="Department of Further &amp; Higher Education, Research Innovation &amp; Science (comparison to the former Department of Education &amp; Skills in 2019)"/>
      </w:tblPr>
      <w:tblGrid>
        <w:gridCol w:w="2137"/>
        <w:gridCol w:w="1701"/>
        <w:gridCol w:w="1549"/>
        <w:gridCol w:w="1569"/>
        <w:gridCol w:w="1261"/>
        <w:gridCol w:w="1564"/>
        <w:gridCol w:w="1569"/>
      </w:tblGrid>
      <w:tr w:rsidR="001120E7" w:rsidRPr="00D51778" w14:paraId="5F5A7963" w14:textId="77777777" w:rsidTr="00DA4BB4">
        <w:trPr>
          <w:tblHeader/>
          <w:jc w:val="center"/>
        </w:trPr>
        <w:tc>
          <w:tcPr>
            <w:tcW w:w="2137" w:type="dxa"/>
          </w:tcPr>
          <w:p w14:paraId="59E28147" w14:textId="77777777" w:rsidR="001120E7" w:rsidRPr="0046554A" w:rsidRDefault="001120E7" w:rsidP="00812E67">
            <w:pPr>
              <w:pStyle w:val="TableHead"/>
              <w:rPr>
                <w:sz w:val="22"/>
                <w:szCs w:val="22"/>
              </w:rPr>
            </w:pPr>
            <w:r w:rsidRPr="0046554A">
              <w:rPr>
                <w:bCs/>
                <w:sz w:val="22"/>
                <w:szCs w:val="22"/>
                <w:lang w:val="ga"/>
              </w:rPr>
              <w:t>Comhlacht Poiblí</w:t>
            </w:r>
          </w:p>
        </w:tc>
        <w:tc>
          <w:tcPr>
            <w:tcW w:w="1701" w:type="dxa"/>
          </w:tcPr>
          <w:p w14:paraId="4A71E8DC" w14:textId="77777777" w:rsidR="00DA248F" w:rsidRPr="0046554A" w:rsidRDefault="00F1261F" w:rsidP="00812E67">
            <w:pPr>
              <w:pStyle w:val="TableHead"/>
              <w:rPr>
                <w:bCs/>
                <w:sz w:val="22"/>
                <w:szCs w:val="22"/>
                <w:lang w:val="ga"/>
              </w:rPr>
            </w:pPr>
            <w:r w:rsidRPr="0046554A">
              <w:rPr>
                <w:bCs/>
                <w:sz w:val="22"/>
                <w:szCs w:val="22"/>
                <w:lang w:val="ga"/>
              </w:rPr>
              <w:t xml:space="preserve">An líon iomlán fostaithe </w:t>
            </w:r>
          </w:p>
          <w:p w14:paraId="61866FD6" w14:textId="56BDCD18" w:rsidR="001120E7" w:rsidRPr="0046554A" w:rsidRDefault="00F1261F" w:rsidP="00812E67">
            <w:pPr>
              <w:pStyle w:val="TableHead"/>
              <w:rPr>
                <w:sz w:val="22"/>
                <w:szCs w:val="22"/>
              </w:rPr>
            </w:pPr>
            <w:r w:rsidRPr="0046554A">
              <w:rPr>
                <w:bCs/>
                <w:sz w:val="22"/>
                <w:szCs w:val="22"/>
                <w:lang w:val="ga"/>
              </w:rPr>
              <w:t>2020</w:t>
            </w:r>
          </w:p>
        </w:tc>
        <w:tc>
          <w:tcPr>
            <w:tcW w:w="1549" w:type="dxa"/>
          </w:tcPr>
          <w:p w14:paraId="7D7D45EC" w14:textId="4069EF24" w:rsidR="001120E7" w:rsidRPr="0046554A" w:rsidRDefault="001120E7" w:rsidP="00812E67">
            <w:pPr>
              <w:pStyle w:val="TableHead"/>
              <w:rPr>
                <w:sz w:val="22"/>
                <w:szCs w:val="22"/>
              </w:rPr>
            </w:pPr>
            <w:r w:rsidRPr="0046554A">
              <w:rPr>
                <w:bCs/>
                <w:sz w:val="22"/>
                <w:szCs w:val="22"/>
                <w:lang w:val="ga"/>
              </w:rPr>
              <w:t xml:space="preserve">An líon fostaithe a thuairiscigh míchumas </w:t>
            </w:r>
          </w:p>
          <w:p w14:paraId="49F05F20" w14:textId="3694E58F" w:rsidR="001120E7" w:rsidRPr="0046554A" w:rsidRDefault="00F1261F" w:rsidP="00812E67">
            <w:pPr>
              <w:pStyle w:val="TableHead"/>
              <w:rPr>
                <w:sz w:val="22"/>
                <w:szCs w:val="22"/>
              </w:rPr>
            </w:pPr>
            <w:r w:rsidRPr="0046554A">
              <w:rPr>
                <w:bCs/>
                <w:sz w:val="22"/>
                <w:szCs w:val="22"/>
                <w:lang w:val="ga"/>
              </w:rPr>
              <w:t>2020</w:t>
            </w:r>
          </w:p>
        </w:tc>
        <w:tc>
          <w:tcPr>
            <w:tcW w:w="1569" w:type="dxa"/>
          </w:tcPr>
          <w:p w14:paraId="257E3A26" w14:textId="4D6DDC31" w:rsidR="001120E7" w:rsidRPr="0046554A" w:rsidRDefault="001120E7" w:rsidP="00812E67">
            <w:pPr>
              <w:pStyle w:val="TableHead"/>
              <w:rPr>
                <w:sz w:val="22"/>
                <w:szCs w:val="22"/>
              </w:rPr>
            </w:pPr>
            <w:r w:rsidRPr="0046554A">
              <w:rPr>
                <w:bCs/>
                <w:sz w:val="22"/>
                <w:szCs w:val="22"/>
                <w:lang w:val="ga"/>
              </w:rPr>
              <w:t>An % d’fhostaithe a thuairiscigh</w:t>
            </w:r>
          </w:p>
          <w:p w14:paraId="76899061" w14:textId="4042F2D8" w:rsidR="001120E7" w:rsidRPr="0046554A" w:rsidRDefault="00254A95" w:rsidP="00812E67">
            <w:pPr>
              <w:pStyle w:val="TableHead"/>
              <w:rPr>
                <w:sz w:val="22"/>
                <w:szCs w:val="22"/>
              </w:rPr>
            </w:pPr>
            <w:r w:rsidRPr="0046554A">
              <w:rPr>
                <w:bCs/>
                <w:sz w:val="22"/>
                <w:szCs w:val="22"/>
                <w:lang w:val="ga"/>
              </w:rPr>
              <w:t>míchumas 2020</w:t>
            </w:r>
          </w:p>
        </w:tc>
        <w:tc>
          <w:tcPr>
            <w:tcW w:w="1261" w:type="dxa"/>
          </w:tcPr>
          <w:p w14:paraId="1674CB82" w14:textId="2701600A" w:rsidR="001120E7" w:rsidRPr="0046554A" w:rsidRDefault="00F1261F" w:rsidP="00812E67">
            <w:pPr>
              <w:pStyle w:val="TableHead"/>
              <w:rPr>
                <w:sz w:val="22"/>
                <w:szCs w:val="22"/>
              </w:rPr>
            </w:pPr>
            <w:r w:rsidRPr="0046554A">
              <w:rPr>
                <w:bCs/>
                <w:sz w:val="22"/>
                <w:szCs w:val="22"/>
                <w:lang w:val="ga"/>
              </w:rPr>
              <w:t>An líon iomlán fostaithe 2021</w:t>
            </w:r>
          </w:p>
        </w:tc>
        <w:tc>
          <w:tcPr>
            <w:tcW w:w="1564" w:type="dxa"/>
          </w:tcPr>
          <w:p w14:paraId="19AFEDDB" w14:textId="419E9C78" w:rsidR="001120E7" w:rsidRPr="0046554A" w:rsidRDefault="00254A95" w:rsidP="00812E67">
            <w:pPr>
              <w:pStyle w:val="TableHead"/>
              <w:rPr>
                <w:sz w:val="22"/>
                <w:szCs w:val="22"/>
              </w:rPr>
            </w:pPr>
            <w:r w:rsidRPr="0046554A">
              <w:rPr>
                <w:bCs/>
                <w:sz w:val="22"/>
                <w:szCs w:val="22"/>
                <w:lang w:val="ga"/>
              </w:rPr>
              <w:t xml:space="preserve">An líon fostaithe a thuairiscigh míchumas </w:t>
            </w:r>
          </w:p>
          <w:p w14:paraId="0D44A3CF" w14:textId="64256D87" w:rsidR="001120E7" w:rsidRPr="0046554A" w:rsidRDefault="00F1261F" w:rsidP="00812E67">
            <w:pPr>
              <w:pStyle w:val="TableHead"/>
              <w:rPr>
                <w:sz w:val="22"/>
                <w:szCs w:val="22"/>
              </w:rPr>
            </w:pPr>
            <w:r w:rsidRPr="0046554A">
              <w:rPr>
                <w:bCs/>
                <w:sz w:val="22"/>
                <w:szCs w:val="22"/>
                <w:lang w:val="ga"/>
              </w:rPr>
              <w:t>2021</w:t>
            </w:r>
          </w:p>
        </w:tc>
        <w:tc>
          <w:tcPr>
            <w:tcW w:w="1569" w:type="dxa"/>
          </w:tcPr>
          <w:p w14:paraId="1D4CE6FC" w14:textId="712F3079" w:rsidR="001120E7" w:rsidRPr="0046554A" w:rsidRDefault="001120E7" w:rsidP="00812E67">
            <w:pPr>
              <w:pStyle w:val="TableHead"/>
              <w:rPr>
                <w:sz w:val="22"/>
                <w:szCs w:val="22"/>
              </w:rPr>
            </w:pPr>
            <w:r w:rsidRPr="0046554A">
              <w:rPr>
                <w:bCs/>
                <w:sz w:val="22"/>
                <w:szCs w:val="22"/>
                <w:lang w:val="ga"/>
              </w:rPr>
              <w:t>An % d’fhostaithe a thuairiscigh</w:t>
            </w:r>
          </w:p>
          <w:p w14:paraId="2A462086" w14:textId="260C1283" w:rsidR="001120E7" w:rsidRPr="0046554A" w:rsidRDefault="00254A95" w:rsidP="00812E67">
            <w:pPr>
              <w:pStyle w:val="TableHead"/>
              <w:rPr>
                <w:sz w:val="22"/>
                <w:szCs w:val="22"/>
              </w:rPr>
            </w:pPr>
            <w:r w:rsidRPr="0046554A">
              <w:rPr>
                <w:bCs/>
                <w:sz w:val="22"/>
                <w:szCs w:val="22"/>
                <w:lang w:val="ga"/>
              </w:rPr>
              <w:t>míchumas 2021</w:t>
            </w:r>
          </w:p>
        </w:tc>
      </w:tr>
      <w:tr w:rsidR="00B525C7" w:rsidRPr="00D51778" w14:paraId="6C7496EC" w14:textId="77777777" w:rsidTr="00DA4BB4">
        <w:trPr>
          <w:jc w:val="center"/>
        </w:trPr>
        <w:tc>
          <w:tcPr>
            <w:tcW w:w="2137" w:type="dxa"/>
          </w:tcPr>
          <w:p w14:paraId="25D8FDC0" w14:textId="484148D6" w:rsidR="00B525C7" w:rsidRPr="00D51778" w:rsidRDefault="00B525C7" w:rsidP="00634303">
            <w:pPr>
              <w:rPr>
                <w:sz w:val="22"/>
                <w:szCs w:val="22"/>
              </w:rPr>
            </w:pPr>
            <w:r w:rsidRPr="00D51778">
              <w:rPr>
                <w:rFonts w:cs="Calibri"/>
                <w:color w:val="000000"/>
                <w:sz w:val="22"/>
                <w:szCs w:val="22"/>
                <w:lang w:val="ga"/>
              </w:rPr>
              <w:t>Institiúid Ealaíne, Deartha agus Teicneolaíochta Dhún Laoghaire</w:t>
            </w:r>
          </w:p>
        </w:tc>
        <w:tc>
          <w:tcPr>
            <w:tcW w:w="1701" w:type="dxa"/>
          </w:tcPr>
          <w:p w14:paraId="108B6D65" w14:textId="7F01B696" w:rsidR="00B525C7" w:rsidRPr="00D51778" w:rsidRDefault="00B525C7" w:rsidP="00634303">
            <w:pPr>
              <w:jc w:val="right"/>
              <w:rPr>
                <w:sz w:val="22"/>
                <w:szCs w:val="22"/>
              </w:rPr>
            </w:pPr>
            <w:r w:rsidRPr="00D51778">
              <w:rPr>
                <w:rFonts w:cs="Calibri"/>
                <w:color w:val="000000"/>
                <w:sz w:val="22"/>
                <w:szCs w:val="22"/>
                <w:lang w:val="ga"/>
              </w:rPr>
              <w:t>383</w:t>
            </w:r>
          </w:p>
        </w:tc>
        <w:tc>
          <w:tcPr>
            <w:tcW w:w="1549" w:type="dxa"/>
          </w:tcPr>
          <w:p w14:paraId="4FF06979" w14:textId="775890DE" w:rsidR="00B525C7" w:rsidRPr="00D51778" w:rsidRDefault="00B525C7" w:rsidP="00634303">
            <w:pPr>
              <w:jc w:val="right"/>
              <w:rPr>
                <w:sz w:val="22"/>
                <w:szCs w:val="22"/>
              </w:rPr>
            </w:pPr>
            <w:r w:rsidRPr="00D51778">
              <w:rPr>
                <w:rFonts w:cs="Calibri"/>
                <w:color w:val="000000"/>
                <w:sz w:val="22"/>
                <w:szCs w:val="22"/>
                <w:lang w:val="ga"/>
              </w:rPr>
              <w:t>17</w:t>
            </w:r>
          </w:p>
        </w:tc>
        <w:tc>
          <w:tcPr>
            <w:tcW w:w="1569" w:type="dxa"/>
          </w:tcPr>
          <w:p w14:paraId="550B201F" w14:textId="6C34B84F" w:rsidR="00B525C7" w:rsidRPr="00D51778" w:rsidRDefault="00B525C7" w:rsidP="00634303">
            <w:pPr>
              <w:jc w:val="right"/>
              <w:rPr>
                <w:sz w:val="22"/>
                <w:szCs w:val="22"/>
              </w:rPr>
            </w:pPr>
            <w:r w:rsidRPr="00D51778">
              <w:rPr>
                <w:rFonts w:cs="Calibri"/>
                <w:color w:val="000000"/>
                <w:sz w:val="22"/>
                <w:szCs w:val="22"/>
                <w:lang w:val="ga"/>
              </w:rPr>
              <w:t>4.4%</w:t>
            </w:r>
          </w:p>
        </w:tc>
        <w:tc>
          <w:tcPr>
            <w:tcW w:w="1261" w:type="dxa"/>
          </w:tcPr>
          <w:p w14:paraId="26DC24F2" w14:textId="65988DC5" w:rsidR="00B525C7" w:rsidRPr="00D51778" w:rsidRDefault="00B525C7" w:rsidP="00634303">
            <w:pPr>
              <w:pStyle w:val="TableHead"/>
              <w:jc w:val="right"/>
              <w:rPr>
                <w:b w:val="0"/>
                <w:sz w:val="22"/>
                <w:szCs w:val="22"/>
              </w:rPr>
            </w:pPr>
            <w:r w:rsidRPr="00D51778">
              <w:rPr>
                <w:rFonts w:cs="Calibri"/>
                <w:b w:val="0"/>
                <w:color w:val="000000"/>
                <w:sz w:val="22"/>
                <w:szCs w:val="22"/>
                <w:lang w:val="ga"/>
              </w:rPr>
              <w:t>377</w:t>
            </w:r>
          </w:p>
        </w:tc>
        <w:tc>
          <w:tcPr>
            <w:tcW w:w="1564" w:type="dxa"/>
          </w:tcPr>
          <w:p w14:paraId="66823007" w14:textId="69F36DF3" w:rsidR="00B525C7" w:rsidRPr="00D51778" w:rsidRDefault="00B525C7" w:rsidP="00634303">
            <w:pPr>
              <w:pStyle w:val="TableHead"/>
              <w:jc w:val="right"/>
              <w:rPr>
                <w:b w:val="0"/>
                <w:sz w:val="22"/>
                <w:szCs w:val="22"/>
              </w:rPr>
            </w:pPr>
            <w:r w:rsidRPr="00D51778">
              <w:rPr>
                <w:rFonts w:cs="Calibri"/>
                <w:b w:val="0"/>
                <w:color w:val="000000"/>
                <w:sz w:val="22"/>
                <w:szCs w:val="22"/>
                <w:lang w:val="ga"/>
              </w:rPr>
              <w:t>17</w:t>
            </w:r>
          </w:p>
        </w:tc>
        <w:tc>
          <w:tcPr>
            <w:tcW w:w="1569" w:type="dxa"/>
          </w:tcPr>
          <w:p w14:paraId="2B796DC3" w14:textId="506C0E2D" w:rsidR="00B525C7" w:rsidRPr="00D51778" w:rsidRDefault="00B525C7" w:rsidP="00634303">
            <w:pPr>
              <w:pStyle w:val="TableHead"/>
              <w:jc w:val="right"/>
              <w:rPr>
                <w:b w:val="0"/>
                <w:sz w:val="22"/>
                <w:szCs w:val="22"/>
              </w:rPr>
            </w:pPr>
            <w:r w:rsidRPr="00D51778">
              <w:rPr>
                <w:rFonts w:cs="Calibri"/>
                <w:b w:val="0"/>
                <w:color w:val="000000"/>
                <w:sz w:val="22"/>
                <w:szCs w:val="22"/>
                <w:lang w:val="ga"/>
              </w:rPr>
              <w:t>4.5%</w:t>
            </w:r>
          </w:p>
        </w:tc>
      </w:tr>
      <w:tr w:rsidR="00B525C7" w:rsidRPr="00D51778" w14:paraId="7F24621A" w14:textId="77777777" w:rsidTr="00DA4BB4">
        <w:trPr>
          <w:jc w:val="center"/>
        </w:trPr>
        <w:tc>
          <w:tcPr>
            <w:tcW w:w="2137" w:type="dxa"/>
          </w:tcPr>
          <w:p w14:paraId="0E496992" w14:textId="25F3B3F3" w:rsidR="00F779A3" w:rsidRPr="00F779A3" w:rsidRDefault="00B525C7" w:rsidP="00DA248F">
            <w:pPr>
              <w:spacing w:after="0"/>
              <w:rPr>
                <w:b/>
                <w:sz w:val="22"/>
                <w:szCs w:val="22"/>
                <w:lang w:eastAsia="en-IE"/>
              </w:rPr>
            </w:pPr>
            <w:r w:rsidRPr="00D51778">
              <w:rPr>
                <w:rFonts w:cs="Calibri"/>
                <w:color w:val="000000"/>
                <w:sz w:val="22"/>
                <w:szCs w:val="22"/>
                <w:lang w:val="ga"/>
              </w:rPr>
              <w:t xml:space="preserve">Institiúid Teicneolaíochta Bhaile Átha Luain </w:t>
            </w:r>
            <w:r w:rsidRPr="00D51778">
              <w:rPr>
                <w:rFonts w:cs="Calibri"/>
                <w:b/>
                <w:bCs/>
                <w:color w:val="000000"/>
                <w:sz w:val="22"/>
                <w:szCs w:val="22"/>
                <w:lang w:val="ga"/>
              </w:rPr>
              <w:t xml:space="preserve">(Sa bhliain 2021, chumaisc Institiúid Teicneolaíochta Bhaile Átha Luain agus Institiúid Teicneolaíochta Luimnigh chun </w:t>
            </w:r>
            <w:r w:rsidR="00F779A3" w:rsidRPr="00F779A3">
              <w:rPr>
                <w:b/>
                <w:sz w:val="22"/>
                <w:szCs w:val="22"/>
                <w:lang w:val="ga-IE" w:eastAsia="en-IE"/>
              </w:rPr>
              <w:t>Ollscoil Teicneolaíochta na Sionainne (TUS): Lár-Iarthar Láir (Campas Bhaile Átha Luain)</w:t>
            </w:r>
            <w:r w:rsidR="00F779A3">
              <w:rPr>
                <w:b/>
                <w:sz w:val="22"/>
                <w:szCs w:val="22"/>
                <w:lang w:eastAsia="en-IE"/>
              </w:rPr>
              <w:t>.</w:t>
            </w:r>
          </w:p>
          <w:p w14:paraId="51A87EEE" w14:textId="02E1CFB2" w:rsidR="00B525C7" w:rsidRPr="00D51778" w:rsidRDefault="00B525C7" w:rsidP="00F779A3">
            <w:pPr>
              <w:rPr>
                <w:sz w:val="22"/>
                <w:szCs w:val="22"/>
              </w:rPr>
            </w:pPr>
            <w:r w:rsidRPr="00D51778">
              <w:rPr>
                <w:rFonts w:cs="Calibri"/>
                <w:b/>
                <w:bCs/>
                <w:color w:val="000000"/>
                <w:sz w:val="22"/>
                <w:szCs w:val="22"/>
                <w:lang w:val="ga"/>
              </w:rPr>
              <w:t>Ní dhearna Institiúid Teicneolaíochta Bhaile Átha Luain tuairisceán leithleach Chuid 5 sa bhliain 2021)</w:t>
            </w:r>
          </w:p>
        </w:tc>
        <w:tc>
          <w:tcPr>
            <w:tcW w:w="1701" w:type="dxa"/>
          </w:tcPr>
          <w:p w14:paraId="481A4E59" w14:textId="7FC68835" w:rsidR="00B525C7" w:rsidRPr="00D51778" w:rsidRDefault="00B525C7" w:rsidP="00634303">
            <w:pPr>
              <w:jc w:val="right"/>
              <w:rPr>
                <w:sz w:val="22"/>
                <w:szCs w:val="22"/>
              </w:rPr>
            </w:pPr>
            <w:r w:rsidRPr="00D51778">
              <w:rPr>
                <w:rFonts w:cs="Calibri"/>
                <w:color w:val="000000"/>
                <w:sz w:val="22"/>
                <w:szCs w:val="22"/>
                <w:lang w:val="ga"/>
              </w:rPr>
              <w:t>631</w:t>
            </w:r>
          </w:p>
        </w:tc>
        <w:tc>
          <w:tcPr>
            <w:tcW w:w="1549" w:type="dxa"/>
          </w:tcPr>
          <w:p w14:paraId="343C76A9" w14:textId="1BBA7C94" w:rsidR="00B525C7" w:rsidRPr="00D51778" w:rsidRDefault="00B525C7" w:rsidP="00634303">
            <w:pPr>
              <w:jc w:val="right"/>
              <w:rPr>
                <w:sz w:val="22"/>
                <w:szCs w:val="22"/>
              </w:rPr>
            </w:pPr>
            <w:r w:rsidRPr="00D51778">
              <w:rPr>
                <w:rFonts w:cs="Calibri"/>
                <w:color w:val="000000"/>
                <w:sz w:val="22"/>
                <w:szCs w:val="22"/>
                <w:lang w:val="ga"/>
              </w:rPr>
              <w:t>29</w:t>
            </w:r>
          </w:p>
        </w:tc>
        <w:tc>
          <w:tcPr>
            <w:tcW w:w="1569" w:type="dxa"/>
          </w:tcPr>
          <w:p w14:paraId="0EA1126E" w14:textId="3D8F9EB8" w:rsidR="00B525C7" w:rsidRPr="00D51778" w:rsidRDefault="00B525C7" w:rsidP="00634303">
            <w:pPr>
              <w:jc w:val="right"/>
              <w:rPr>
                <w:sz w:val="22"/>
                <w:szCs w:val="22"/>
              </w:rPr>
            </w:pPr>
            <w:r w:rsidRPr="00D51778">
              <w:rPr>
                <w:rFonts w:cs="Calibri"/>
                <w:color w:val="000000"/>
                <w:sz w:val="22"/>
                <w:szCs w:val="22"/>
                <w:lang w:val="ga"/>
              </w:rPr>
              <w:t>4.6%</w:t>
            </w:r>
          </w:p>
        </w:tc>
        <w:tc>
          <w:tcPr>
            <w:tcW w:w="1261" w:type="dxa"/>
          </w:tcPr>
          <w:p w14:paraId="544CC20D" w14:textId="6E132894" w:rsidR="00B525C7" w:rsidRPr="00D51778" w:rsidRDefault="00634303" w:rsidP="00634303">
            <w:pPr>
              <w:jc w:val="right"/>
              <w:rPr>
                <w:sz w:val="22"/>
                <w:szCs w:val="22"/>
              </w:rPr>
            </w:pPr>
            <w:r w:rsidRPr="00D51778">
              <w:rPr>
                <w:rFonts w:cs="Calibri"/>
                <w:color w:val="000000"/>
                <w:sz w:val="22"/>
                <w:szCs w:val="22"/>
                <w:lang w:val="ga"/>
              </w:rPr>
              <w:t>- </w:t>
            </w:r>
          </w:p>
        </w:tc>
        <w:tc>
          <w:tcPr>
            <w:tcW w:w="1564" w:type="dxa"/>
          </w:tcPr>
          <w:p w14:paraId="1FBD607D" w14:textId="4C0E5C75" w:rsidR="00B525C7" w:rsidRPr="00D51778" w:rsidRDefault="00634303" w:rsidP="00634303">
            <w:pPr>
              <w:jc w:val="right"/>
              <w:rPr>
                <w:sz w:val="22"/>
                <w:szCs w:val="22"/>
              </w:rPr>
            </w:pPr>
            <w:r w:rsidRPr="00D51778">
              <w:rPr>
                <w:rFonts w:cs="Calibri"/>
                <w:color w:val="000000"/>
                <w:sz w:val="22"/>
                <w:szCs w:val="22"/>
                <w:lang w:val="ga"/>
              </w:rPr>
              <w:t>- </w:t>
            </w:r>
          </w:p>
        </w:tc>
        <w:tc>
          <w:tcPr>
            <w:tcW w:w="1569" w:type="dxa"/>
          </w:tcPr>
          <w:p w14:paraId="3F2B673D" w14:textId="39A8EA9E" w:rsidR="00B525C7" w:rsidRPr="00D51778" w:rsidRDefault="00634303" w:rsidP="00634303">
            <w:pPr>
              <w:jc w:val="right"/>
              <w:rPr>
                <w:sz w:val="22"/>
                <w:szCs w:val="22"/>
              </w:rPr>
            </w:pPr>
            <w:r w:rsidRPr="00D51778">
              <w:rPr>
                <w:rFonts w:cs="Calibri"/>
                <w:color w:val="000000"/>
                <w:sz w:val="22"/>
                <w:szCs w:val="22"/>
                <w:lang w:val="ga"/>
              </w:rPr>
              <w:t>- </w:t>
            </w:r>
          </w:p>
        </w:tc>
      </w:tr>
      <w:tr w:rsidR="00B525C7" w:rsidRPr="00D51778" w14:paraId="7DF605F2" w14:textId="77777777" w:rsidTr="00DA4BB4">
        <w:trPr>
          <w:jc w:val="center"/>
        </w:trPr>
        <w:tc>
          <w:tcPr>
            <w:tcW w:w="2137" w:type="dxa"/>
          </w:tcPr>
          <w:p w14:paraId="37A1EE3E" w14:textId="4CDC747D" w:rsidR="00B525C7" w:rsidRPr="00D51778" w:rsidRDefault="00B525C7" w:rsidP="00634303">
            <w:pPr>
              <w:rPr>
                <w:sz w:val="22"/>
                <w:szCs w:val="22"/>
              </w:rPr>
            </w:pPr>
            <w:r w:rsidRPr="00D51778">
              <w:rPr>
                <w:rFonts w:cs="Calibri"/>
                <w:color w:val="000000"/>
                <w:sz w:val="22"/>
                <w:szCs w:val="22"/>
                <w:lang w:val="ga"/>
              </w:rPr>
              <w:t>Institiúid Teicneolaíochta Cheatharlach</w:t>
            </w:r>
          </w:p>
        </w:tc>
        <w:tc>
          <w:tcPr>
            <w:tcW w:w="1701" w:type="dxa"/>
          </w:tcPr>
          <w:p w14:paraId="5A3D883B" w14:textId="7E6452DC" w:rsidR="00B525C7" w:rsidRPr="00D51778" w:rsidRDefault="00B525C7" w:rsidP="00634303">
            <w:pPr>
              <w:jc w:val="right"/>
              <w:rPr>
                <w:sz w:val="22"/>
                <w:szCs w:val="22"/>
              </w:rPr>
            </w:pPr>
            <w:r w:rsidRPr="00D51778">
              <w:rPr>
                <w:rFonts w:cs="Calibri"/>
                <w:color w:val="000000"/>
                <w:sz w:val="22"/>
                <w:szCs w:val="22"/>
                <w:lang w:val="ga"/>
              </w:rPr>
              <w:t>782</w:t>
            </w:r>
          </w:p>
        </w:tc>
        <w:tc>
          <w:tcPr>
            <w:tcW w:w="1549" w:type="dxa"/>
          </w:tcPr>
          <w:p w14:paraId="05A012C2" w14:textId="5C49EAD8" w:rsidR="00B525C7" w:rsidRPr="00D51778" w:rsidRDefault="00B525C7" w:rsidP="00634303">
            <w:pPr>
              <w:jc w:val="right"/>
              <w:rPr>
                <w:sz w:val="22"/>
                <w:szCs w:val="22"/>
              </w:rPr>
            </w:pPr>
            <w:r w:rsidRPr="00D51778">
              <w:rPr>
                <w:rFonts w:cs="Calibri"/>
                <w:color w:val="000000"/>
                <w:sz w:val="22"/>
                <w:szCs w:val="22"/>
                <w:lang w:val="ga"/>
              </w:rPr>
              <w:t>27</w:t>
            </w:r>
          </w:p>
        </w:tc>
        <w:tc>
          <w:tcPr>
            <w:tcW w:w="1569" w:type="dxa"/>
          </w:tcPr>
          <w:p w14:paraId="68FC4F5A" w14:textId="49C8C199" w:rsidR="00B525C7" w:rsidRPr="00D51778" w:rsidRDefault="00B525C7" w:rsidP="00634303">
            <w:pPr>
              <w:jc w:val="right"/>
              <w:rPr>
                <w:sz w:val="22"/>
                <w:szCs w:val="22"/>
              </w:rPr>
            </w:pPr>
            <w:r w:rsidRPr="00D51778">
              <w:rPr>
                <w:rFonts w:cs="Calibri"/>
                <w:color w:val="000000"/>
                <w:sz w:val="22"/>
                <w:szCs w:val="22"/>
                <w:lang w:val="ga"/>
              </w:rPr>
              <w:t>3.5%</w:t>
            </w:r>
          </w:p>
        </w:tc>
        <w:tc>
          <w:tcPr>
            <w:tcW w:w="1261" w:type="dxa"/>
          </w:tcPr>
          <w:p w14:paraId="327D1659" w14:textId="5F06F696" w:rsidR="00B525C7" w:rsidRPr="00D51778" w:rsidRDefault="00B525C7" w:rsidP="00634303">
            <w:pPr>
              <w:jc w:val="right"/>
              <w:rPr>
                <w:sz w:val="22"/>
                <w:szCs w:val="22"/>
              </w:rPr>
            </w:pPr>
            <w:r w:rsidRPr="00D51778">
              <w:rPr>
                <w:rFonts w:cs="Calibri"/>
                <w:color w:val="000000"/>
                <w:sz w:val="22"/>
                <w:szCs w:val="22"/>
                <w:lang w:val="ga"/>
              </w:rPr>
              <w:t>781</w:t>
            </w:r>
          </w:p>
        </w:tc>
        <w:tc>
          <w:tcPr>
            <w:tcW w:w="1564" w:type="dxa"/>
          </w:tcPr>
          <w:p w14:paraId="03CF2855" w14:textId="0A2C5118" w:rsidR="00B525C7" w:rsidRPr="00D51778" w:rsidRDefault="00B525C7" w:rsidP="00634303">
            <w:pPr>
              <w:jc w:val="right"/>
              <w:rPr>
                <w:sz w:val="22"/>
                <w:szCs w:val="22"/>
              </w:rPr>
            </w:pPr>
            <w:r w:rsidRPr="00D51778">
              <w:rPr>
                <w:rFonts w:cs="Calibri"/>
                <w:color w:val="000000"/>
                <w:sz w:val="22"/>
                <w:szCs w:val="22"/>
                <w:lang w:val="ga"/>
              </w:rPr>
              <w:t>29</w:t>
            </w:r>
          </w:p>
        </w:tc>
        <w:tc>
          <w:tcPr>
            <w:tcW w:w="1569" w:type="dxa"/>
          </w:tcPr>
          <w:p w14:paraId="3D4AE9BE" w14:textId="3781D284" w:rsidR="00B525C7" w:rsidRPr="00D51778" w:rsidRDefault="00B525C7" w:rsidP="00634303">
            <w:pPr>
              <w:jc w:val="right"/>
              <w:rPr>
                <w:sz w:val="22"/>
                <w:szCs w:val="22"/>
              </w:rPr>
            </w:pPr>
            <w:r w:rsidRPr="00D51778">
              <w:rPr>
                <w:rFonts w:cs="Calibri"/>
                <w:color w:val="000000"/>
                <w:sz w:val="22"/>
                <w:szCs w:val="22"/>
                <w:lang w:val="ga"/>
              </w:rPr>
              <w:t>3.7%</w:t>
            </w:r>
          </w:p>
        </w:tc>
      </w:tr>
      <w:tr w:rsidR="00B525C7" w:rsidRPr="00D51778" w14:paraId="016DE963" w14:textId="77777777" w:rsidTr="00DA4BB4">
        <w:trPr>
          <w:jc w:val="center"/>
        </w:trPr>
        <w:tc>
          <w:tcPr>
            <w:tcW w:w="2137" w:type="dxa"/>
          </w:tcPr>
          <w:p w14:paraId="586ABA58" w14:textId="0C3E45F4" w:rsidR="00B525C7" w:rsidRPr="00D51778" w:rsidRDefault="00B525C7" w:rsidP="00AB749D">
            <w:pPr>
              <w:rPr>
                <w:sz w:val="22"/>
                <w:szCs w:val="22"/>
              </w:rPr>
            </w:pPr>
            <w:r w:rsidRPr="00D51778">
              <w:rPr>
                <w:rFonts w:cs="Calibri"/>
                <w:color w:val="000000"/>
                <w:sz w:val="22"/>
                <w:szCs w:val="22"/>
                <w:lang w:val="ga"/>
              </w:rPr>
              <w:t xml:space="preserve">Institiúid Teicneolaíochta Chorcaí </w:t>
            </w:r>
            <w:r w:rsidRPr="00D51778">
              <w:rPr>
                <w:rFonts w:cs="Calibri"/>
                <w:b/>
                <w:bCs/>
                <w:color w:val="000000"/>
                <w:sz w:val="22"/>
                <w:szCs w:val="22"/>
                <w:lang w:val="ga"/>
              </w:rPr>
              <w:t xml:space="preserve">(Sa bhliain 2021, chumaisc Institiúid Teicneolaíochta </w:t>
            </w:r>
            <w:r w:rsidRPr="00D51778">
              <w:rPr>
                <w:rFonts w:cs="Calibri"/>
                <w:b/>
                <w:bCs/>
                <w:color w:val="000000"/>
                <w:sz w:val="22"/>
                <w:szCs w:val="22"/>
                <w:lang w:val="ga"/>
              </w:rPr>
              <w:lastRenderedPageBreak/>
              <w:t>Chorcaí agus Institiúid Teicneolaíochta, Trá Lí, chun Ollscoil Teicneolaíochta na Mumhan (MTU) a chruthú. Ní dhearna Institiúid Teicneolaíochta Chorcaí tuairisceán leithleach Chuid 5 sa bhliain 2021)</w:t>
            </w:r>
          </w:p>
        </w:tc>
        <w:tc>
          <w:tcPr>
            <w:tcW w:w="1701" w:type="dxa"/>
          </w:tcPr>
          <w:p w14:paraId="117BB7E9" w14:textId="57793680" w:rsidR="00B525C7" w:rsidRPr="00D51778" w:rsidRDefault="00B525C7" w:rsidP="00634303">
            <w:pPr>
              <w:jc w:val="right"/>
              <w:rPr>
                <w:sz w:val="22"/>
                <w:szCs w:val="22"/>
              </w:rPr>
            </w:pPr>
            <w:r w:rsidRPr="00D51778">
              <w:rPr>
                <w:rFonts w:cs="Calibri"/>
                <w:color w:val="000000"/>
                <w:sz w:val="22"/>
                <w:szCs w:val="22"/>
                <w:lang w:val="ga"/>
              </w:rPr>
              <w:lastRenderedPageBreak/>
              <w:t>1,596</w:t>
            </w:r>
          </w:p>
        </w:tc>
        <w:tc>
          <w:tcPr>
            <w:tcW w:w="1549" w:type="dxa"/>
          </w:tcPr>
          <w:p w14:paraId="524B1560" w14:textId="1AC33956" w:rsidR="00B525C7" w:rsidRPr="00D51778" w:rsidRDefault="00B525C7" w:rsidP="00634303">
            <w:pPr>
              <w:jc w:val="right"/>
              <w:rPr>
                <w:sz w:val="22"/>
                <w:szCs w:val="22"/>
              </w:rPr>
            </w:pPr>
            <w:r w:rsidRPr="00D51778">
              <w:rPr>
                <w:rFonts w:cs="Calibri"/>
                <w:color w:val="000000"/>
                <w:sz w:val="22"/>
                <w:szCs w:val="22"/>
                <w:lang w:val="ga"/>
              </w:rPr>
              <w:t>49</w:t>
            </w:r>
          </w:p>
        </w:tc>
        <w:tc>
          <w:tcPr>
            <w:tcW w:w="1569" w:type="dxa"/>
          </w:tcPr>
          <w:p w14:paraId="257FD267" w14:textId="35B7F2BC" w:rsidR="00B525C7" w:rsidRPr="00D51778" w:rsidRDefault="00B525C7" w:rsidP="00634303">
            <w:pPr>
              <w:jc w:val="right"/>
              <w:rPr>
                <w:sz w:val="22"/>
                <w:szCs w:val="22"/>
              </w:rPr>
            </w:pPr>
            <w:r w:rsidRPr="00D51778">
              <w:rPr>
                <w:rFonts w:cs="Calibri"/>
                <w:color w:val="000000"/>
                <w:sz w:val="22"/>
                <w:szCs w:val="22"/>
                <w:lang w:val="ga"/>
              </w:rPr>
              <w:t>3.1%</w:t>
            </w:r>
          </w:p>
        </w:tc>
        <w:tc>
          <w:tcPr>
            <w:tcW w:w="1261" w:type="dxa"/>
          </w:tcPr>
          <w:p w14:paraId="33B77AAE" w14:textId="2FF59EBA" w:rsidR="00B525C7" w:rsidRPr="00D51778" w:rsidRDefault="00DD6DB8" w:rsidP="00634303">
            <w:pPr>
              <w:jc w:val="right"/>
              <w:rPr>
                <w:sz w:val="22"/>
                <w:szCs w:val="22"/>
              </w:rPr>
            </w:pPr>
            <w:r w:rsidRPr="00D51778">
              <w:rPr>
                <w:rFonts w:cs="Calibri"/>
                <w:color w:val="000000"/>
                <w:sz w:val="22"/>
                <w:szCs w:val="22"/>
                <w:lang w:val="ga"/>
              </w:rPr>
              <w:t>- </w:t>
            </w:r>
          </w:p>
        </w:tc>
        <w:tc>
          <w:tcPr>
            <w:tcW w:w="1564" w:type="dxa"/>
          </w:tcPr>
          <w:p w14:paraId="20EA4712" w14:textId="287726B5" w:rsidR="00B525C7" w:rsidRPr="00D51778" w:rsidRDefault="00DD6DB8" w:rsidP="00634303">
            <w:pPr>
              <w:jc w:val="right"/>
              <w:rPr>
                <w:sz w:val="22"/>
                <w:szCs w:val="22"/>
              </w:rPr>
            </w:pPr>
            <w:r w:rsidRPr="00D51778">
              <w:rPr>
                <w:rFonts w:cs="Calibri"/>
                <w:color w:val="000000"/>
                <w:sz w:val="22"/>
                <w:szCs w:val="22"/>
                <w:lang w:val="ga"/>
              </w:rPr>
              <w:t>- </w:t>
            </w:r>
          </w:p>
        </w:tc>
        <w:tc>
          <w:tcPr>
            <w:tcW w:w="1569" w:type="dxa"/>
          </w:tcPr>
          <w:p w14:paraId="56B5398E" w14:textId="11F1EF67" w:rsidR="00B525C7" w:rsidRPr="00D51778" w:rsidRDefault="00DD6DB8" w:rsidP="00634303">
            <w:pPr>
              <w:jc w:val="right"/>
              <w:rPr>
                <w:sz w:val="22"/>
                <w:szCs w:val="22"/>
              </w:rPr>
            </w:pPr>
            <w:r w:rsidRPr="00D51778">
              <w:rPr>
                <w:rFonts w:cs="Calibri"/>
                <w:color w:val="000000"/>
                <w:sz w:val="22"/>
                <w:szCs w:val="22"/>
                <w:lang w:val="ga"/>
              </w:rPr>
              <w:t>- </w:t>
            </w:r>
          </w:p>
        </w:tc>
      </w:tr>
      <w:tr w:rsidR="00B525C7" w:rsidRPr="00D51778" w14:paraId="27BA322E" w14:textId="77777777" w:rsidTr="00DA4BB4">
        <w:trPr>
          <w:jc w:val="center"/>
        </w:trPr>
        <w:tc>
          <w:tcPr>
            <w:tcW w:w="2137" w:type="dxa"/>
          </w:tcPr>
          <w:p w14:paraId="7CC8FE58" w14:textId="4B37EBA1" w:rsidR="00B525C7" w:rsidRPr="00D51778" w:rsidRDefault="00B525C7" w:rsidP="00634303">
            <w:pPr>
              <w:rPr>
                <w:sz w:val="22"/>
                <w:szCs w:val="22"/>
              </w:rPr>
            </w:pPr>
            <w:r w:rsidRPr="00D51778">
              <w:rPr>
                <w:rFonts w:cs="Calibri"/>
                <w:color w:val="000000"/>
                <w:sz w:val="22"/>
                <w:szCs w:val="22"/>
                <w:lang w:val="ga"/>
              </w:rPr>
              <w:t>Institiúid Teicneolaíochta Dhún Dealgan</w:t>
            </w:r>
          </w:p>
        </w:tc>
        <w:tc>
          <w:tcPr>
            <w:tcW w:w="1701" w:type="dxa"/>
          </w:tcPr>
          <w:p w14:paraId="45D2841C" w14:textId="47C3A44E" w:rsidR="00B525C7" w:rsidRPr="00D51778" w:rsidRDefault="00B525C7" w:rsidP="00634303">
            <w:pPr>
              <w:jc w:val="right"/>
              <w:rPr>
                <w:sz w:val="22"/>
                <w:szCs w:val="22"/>
              </w:rPr>
            </w:pPr>
            <w:r w:rsidRPr="00D51778">
              <w:rPr>
                <w:rFonts w:cs="Calibri"/>
                <w:color w:val="000000"/>
                <w:sz w:val="22"/>
                <w:szCs w:val="22"/>
                <w:lang w:val="ga"/>
              </w:rPr>
              <w:t>720</w:t>
            </w:r>
          </w:p>
        </w:tc>
        <w:tc>
          <w:tcPr>
            <w:tcW w:w="1549" w:type="dxa"/>
          </w:tcPr>
          <w:p w14:paraId="3822EFAD" w14:textId="4E7B5C0D" w:rsidR="00B525C7" w:rsidRPr="00D51778" w:rsidRDefault="00B525C7" w:rsidP="00634303">
            <w:pPr>
              <w:jc w:val="right"/>
              <w:rPr>
                <w:sz w:val="22"/>
                <w:szCs w:val="22"/>
              </w:rPr>
            </w:pPr>
            <w:r w:rsidRPr="00D51778">
              <w:rPr>
                <w:rFonts w:cs="Calibri"/>
                <w:color w:val="000000"/>
                <w:sz w:val="22"/>
                <w:szCs w:val="22"/>
                <w:lang w:val="ga"/>
              </w:rPr>
              <w:t>36</w:t>
            </w:r>
          </w:p>
        </w:tc>
        <w:tc>
          <w:tcPr>
            <w:tcW w:w="1569" w:type="dxa"/>
          </w:tcPr>
          <w:p w14:paraId="2F51A0F5" w14:textId="6CE7DC34" w:rsidR="00B525C7" w:rsidRPr="00D51778" w:rsidRDefault="00B525C7" w:rsidP="00634303">
            <w:pPr>
              <w:jc w:val="right"/>
              <w:rPr>
                <w:sz w:val="22"/>
                <w:szCs w:val="22"/>
              </w:rPr>
            </w:pPr>
            <w:r w:rsidRPr="00D51778">
              <w:rPr>
                <w:rFonts w:cs="Calibri"/>
                <w:color w:val="000000"/>
                <w:sz w:val="22"/>
                <w:szCs w:val="22"/>
                <w:lang w:val="ga"/>
              </w:rPr>
              <w:t>5.0%</w:t>
            </w:r>
          </w:p>
        </w:tc>
        <w:tc>
          <w:tcPr>
            <w:tcW w:w="1261" w:type="dxa"/>
          </w:tcPr>
          <w:p w14:paraId="69989A10" w14:textId="7FBB75B4" w:rsidR="00B525C7" w:rsidRPr="00D51778" w:rsidRDefault="00B525C7" w:rsidP="00634303">
            <w:pPr>
              <w:jc w:val="right"/>
              <w:rPr>
                <w:sz w:val="22"/>
                <w:szCs w:val="22"/>
              </w:rPr>
            </w:pPr>
            <w:r w:rsidRPr="00D51778">
              <w:rPr>
                <w:rFonts w:cs="Calibri"/>
                <w:color w:val="000000"/>
                <w:sz w:val="22"/>
                <w:szCs w:val="22"/>
                <w:lang w:val="ga"/>
              </w:rPr>
              <w:t>714</w:t>
            </w:r>
          </w:p>
        </w:tc>
        <w:tc>
          <w:tcPr>
            <w:tcW w:w="1564" w:type="dxa"/>
          </w:tcPr>
          <w:p w14:paraId="1E5B4775" w14:textId="00FA0CA8" w:rsidR="00B525C7" w:rsidRPr="00D51778" w:rsidRDefault="00B525C7" w:rsidP="00634303">
            <w:pPr>
              <w:jc w:val="right"/>
              <w:rPr>
                <w:sz w:val="22"/>
                <w:szCs w:val="22"/>
              </w:rPr>
            </w:pPr>
            <w:r w:rsidRPr="00D51778">
              <w:rPr>
                <w:rFonts w:cs="Calibri"/>
                <w:color w:val="000000"/>
                <w:sz w:val="22"/>
                <w:szCs w:val="22"/>
                <w:lang w:val="ga"/>
              </w:rPr>
              <w:t>36</w:t>
            </w:r>
          </w:p>
        </w:tc>
        <w:tc>
          <w:tcPr>
            <w:tcW w:w="1569" w:type="dxa"/>
          </w:tcPr>
          <w:p w14:paraId="2ED11FB5" w14:textId="66121CE0" w:rsidR="00B525C7" w:rsidRPr="00D51778" w:rsidRDefault="00B525C7" w:rsidP="00634303">
            <w:pPr>
              <w:jc w:val="right"/>
              <w:rPr>
                <w:sz w:val="22"/>
                <w:szCs w:val="22"/>
              </w:rPr>
            </w:pPr>
            <w:r w:rsidRPr="00D51778">
              <w:rPr>
                <w:rFonts w:cs="Calibri"/>
                <w:color w:val="000000"/>
                <w:sz w:val="22"/>
                <w:szCs w:val="22"/>
                <w:lang w:val="ga"/>
              </w:rPr>
              <w:t>5.0%</w:t>
            </w:r>
          </w:p>
        </w:tc>
      </w:tr>
      <w:tr w:rsidR="00B525C7" w:rsidRPr="00D51778" w14:paraId="123865EA" w14:textId="77777777" w:rsidTr="00DA4BB4">
        <w:trPr>
          <w:jc w:val="center"/>
        </w:trPr>
        <w:tc>
          <w:tcPr>
            <w:tcW w:w="2137" w:type="dxa"/>
          </w:tcPr>
          <w:p w14:paraId="1CF0F973" w14:textId="3B5767B7" w:rsidR="00B525C7" w:rsidRPr="00D51778" w:rsidRDefault="00B525C7" w:rsidP="00634303">
            <w:pPr>
              <w:rPr>
                <w:sz w:val="22"/>
                <w:szCs w:val="22"/>
              </w:rPr>
            </w:pPr>
            <w:r w:rsidRPr="00D51778">
              <w:rPr>
                <w:rFonts w:cs="Calibri"/>
                <w:color w:val="000000"/>
                <w:sz w:val="22"/>
                <w:szCs w:val="22"/>
                <w:lang w:val="ga"/>
              </w:rPr>
              <w:t>Institiúid Teicneolaíochta na Gaillimhe-Maigh Eo</w:t>
            </w:r>
          </w:p>
        </w:tc>
        <w:tc>
          <w:tcPr>
            <w:tcW w:w="1701" w:type="dxa"/>
          </w:tcPr>
          <w:p w14:paraId="639E65D3" w14:textId="37831ACE" w:rsidR="00B525C7" w:rsidRPr="00D51778" w:rsidRDefault="00B525C7" w:rsidP="00634303">
            <w:pPr>
              <w:jc w:val="right"/>
              <w:rPr>
                <w:sz w:val="22"/>
                <w:szCs w:val="22"/>
              </w:rPr>
            </w:pPr>
            <w:r w:rsidRPr="00D51778">
              <w:rPr>
                <w:rFonts w:cs="Calibri"/>
                <w:color w:val="000000"/>
                <w:sz w:val="22"/>
                <w:szCs w:val="22"/>
                <w:lang w:val="ga"/>
              </w:rPr>
              <w:t>989</w:t>
            </w:r>
          </w:p>
        </w:tc>
        <w:tc>
          <w:tcPr>
            <w:tcW w:w="1549" w:type="dxa"/>
          </w:tcPr>
          <w:p w14:paraId="4EB54092" w14:textId="6D874752" w:rsidR="00B525C7" w:rsidRPr="00D51778" w:rsidRDefault="00B525C7" w:rsidP="00634303">
            <w:pPr>
              <w:jc w:val="right"/>
              <w:rPr>
                <w:sz w:val="22"/>
                <w:szCs w:val="22"/>
              </w:rPr>
            </w:pPr>
            <w:r w:rsidRPr="00D51778">
              <w:rPr>
                <w:rFonts w:cs="Calibri"/>
                <w:color w:val="000000"/>
                <w:sz w:val="22"/>
                <w:szCs w:val="22"/>
                <w:lang w:val="ga"/>
              </w:rPr>
              <w:t>23</w:t>
            </w:r>
          </w:p>
        </w:tc>
        <w:tc>
          <w:tcPr>
            <w:tcW w:w="1569" w:type="dxa"/>
          </w:tcPr>
          <w:p w14:paraId="1A7AF09E" w14:textId="15F7A2CA" w:rsidR="00B525C7" w:rsidRPr="00D51778" w:rsidRDefault="00B525C7" w:rsidP="00634303">
            <w:pPr>
              <w:jc w:val="right"/>
              <w:rPr>
                <w:sz w:val="22"/>
                <w:szCs w:val="22"/>
              </w:rPr>
            </w:pPr>
            <w:r w:rsidRPr="00D51778">
              <w:rPr>
                <w:rFonts w:cs="Calibri"/>
                <w:color w:val="000000"/>
                <w:sz w:val="22"/>
                <w:szCs w:val="22"/>
                <w:lang w:val="ga"/>
              </w:rPr>
              <w:t>2.3%</w:t>
            </w:r>
          </w:p>
        </w:tc>
        <w:tc>
          <w:tcPr>
            <w:tcW w:w="1261" w:type="dxa"/>
          </w:tcPr>
          <w:p w14:paraId="796D8D20" w14:textId="58FB2780" w:rsidR="00B525C7" w:rsidRPr="00D51778" w:rsidRDefault="00B525C7" w:rsidP="00634303">
            <w:pPr>
              <w:jc w:val="right"/>
              <w:rPr>
                <w:sz w:val="22"/>
                <w:szCs w:val="22"/>
              </w:rPr>
            </w:pPr>
            <w:r w:rsidRPr="00D51778">
              <w:rPr>
                <w:rFonts w:cs="Calibri"/>
                <w:color w:val="000000"/>
                <w:sz w:val="22"/>
                <w:szCs w:val="22"/>
                <w:lang w:val="ga"/>
              </w:rPr>
              <w:t>1</w:t>
            </w:r>
            <w:r w:rsidR="00DB3AEC">
              <w:rPr>
                <w:rFonts w:cs="Calibri"/>
                <w:color w:val="000000"/>
                <w:sz w:val="22"/>
                <w:szCs w:val="22"/>
                <w:lang w:val="ga"/>
              </w:rPr>
              <w:t>,</w:t>
            </w:r>
            <w:r w:rsidRPr="00D51778">
              <w:rPr>
                <w:rFonts w:cs="Calibri"/>
                <w:color w:val="000000"/>
                <w:sz w:val="22"/>
                <w:szCs w:val="22"/>
                <w:lang w:val="ga"/>
              </w:rPr>
              <w:t>057</w:t>
            </w:r>
          </w:p>
        </w:tc>
        <w:tc>
          <w:tcPr>
            <w:tcW w:w="1564" w:type="dxa"/>
          </w:tcPr>
          <w:p w14:paraId="7ACBF983" w14:textId="13C438B0" w:rsidR="00B525C7" w:rsidRPr="00D51778" w:rsidRDefault="00B525C7" w:rsidP="00634303">
            <w:pPr>
              <w:jc w:val="right"/>
              <w:rPr>
                <w:sz w:val="22"/>
                <w:szCs w:val="22"/>
              </w:rPr>
            </w:pPr>
            <w:r w:rsidRPr="00D51778">
              <w:rPr>
                <w:rFonts w:cs="Calibri"/>
                <w:color w:val="000000"/>
                <w:sz w:val="22"/>
                <w:szCs w:val="22"/>
                <w:lang w:val="ga"/>
              </w:rPr>
              <w:t>30</w:t>
            </w:r>
          </w:p>
        </w:tc>
        <w:tc>
          <w:tcPr>
            <w:tcW w:w="1569" w:type="dxa"/>
          </w:tcPr>
          <w:p w14:paraId="7E2FFE36" w14:textId="5FEABBB4" w:rsidR="00B525C7" w:rsidRPr="00D51778" w:rsidRDefault="00B525C7" w:rsidP="00634303">
            <w:pPr>
              <w:jc w:val="right"/>
              <w:rPr>
                <w:sz w:val="22"/>
                <w:szCs w:val="22"/>
              </w:rPr>
            </w:pPr>
            <w:r w:rsidRPr="00D51778">
              <w:rPr>
                <w:rFonts w:cs="Calibri"/>
                <w:color w:val="000000"/>
                <w:sz w:val="22"/>
                <w:szCs w:val="22"/>
                <w:lang w:val="ga"/>
              </w:rPr>
              <w:t>2.8%</w:t>
            </w:r>
          </w:p>
        </w:tc>
      </w:tr>
      <w:tr w:rsidR="00B525C7" w:rsidRPr="00D51778" w14:paraId="0BFBBAD6" w14:textId="77777777" w:rsidTr="00DA4BB4">
        <w:trPr>
          <w:jc w:val="center"/>
        </w:trPr>
        <w:tc>
          <w:tcPr>
            <w:tcW w:w="2137" w:type="dxa"/>
          </w:tcPr>
          <w:p w14:paraId="5D1D16B3" w14:textId="2332A45C" w:rsidR="00B525C7" w:rsidRPr="00D51778" w:rsidRDefault="00B525C7" w:rsidP="00634303">
            <w:pPr>
              <w:rPr>
                <w:sz w:val="22"/>
                <w:szCs w:val="22"/>
              </w:rPr>
            </w:pPr>
            <w:r w:rsidRPr="00D51778">
              <w:rPr>
                <w:rFonts w:cs="Calibri"/>
                <w:color w:val="000000"/>
                <w:sz w:val="22"/>
                <w:szCs w:val="22"/>
                <w:lang w:val="ga"/>
              </w:rPr>
              <w:t>Institiúid Teicneolaíochta Leitir Ceanainn</w:t>
            </w:r>
          </w:p>
        </w:tc>
        <w:tc>
          <w:tcPr>
            <w:tcW w:w="1701" w:type="dxa"/>
          </w:tcPr>
          <w:p w14:paraId="3FFCBBCD" w14:textId="3BA81BD7" w:rsidR="00B525C7" w:rsidRPr="00D51778" w:rsidRDefault="00B525C7" w:rsidP="00634303">
            <w:pPr>
              <w:jc w:val="right"/>
              <w:rPr>
                <w:sz w:val="22"/>
                <w:szCs w:val="22"/>
              </w:rPr>
            </w:pPr>
            <w:r w:rsidRPr="00D51778">
              <w:rPr>
                <w:rFonts w:cs="Calibri"/>
                <w:color w:val="000000"/>
                <w:sz w:val="22"/>
                <w:szCs w:val="22"/>
                <w:lang w:val="ga"/>
              </w:rPr>
              <w:t>381</w:t>
            </w:r>
          </w:p>
        </w:tc>
        <w:tc>
          <w:tcPr>
            <w:tcW w:w="1549" w:type="dxa"/>
          </w:tcPr>
          <w:p w14:paraId="5DBD7B17" w14:textId="79C80481" w:rsidR="00B525C7" w:rsidRPr="00D51778" w:rsidRDefault="00B525C7" w:rsidP="00634303">
            <w:pPr>
              <w:jc w:val="right"/>
              <w:rPr>
                <w:sz w:val="22"/>
                <w:szCs w:val="22"/>
              </w:rPr>
            </w:pPr>
            <w:r w:rsidRPr="00D51778">
              <w:rPr>
                <w:rFonts w:cs="Calibri"/>
                <w:color w:val="000000"/>
                <w:sz w:val="22"/>
                <w:szCs w:val="22"/>
                <w:lang w:val="ga"/>
              </w:rPr>
              <w:t>23</w:t>
            </w:r>
          </w:p>
        </w:tc>
        <w:tc>
          <w:tcPr>
            <w:tcW w:w="1569" w:type="dxa"/>
          </w:tcPr>
          <w:p w14:paraId="49281678" w14:textId="582CE870" w:rsidR="00B525C7" w:rsidRPr="00D51778" w:rsidRDefault="00B525C7" w:rsidP="00634303">
            <w:pPr>
              <w:jc w:val="right"/>
              <w:rPr>
                <w:sz w:val="22"/>
                <w:szCs w:val="22"/>
              </w:rPr>
            </w:pPr>
            <w:r w:rsidRPr="00D51778">
              <w:rPr>
                <w:rFonts w:cs="Calibri"/>
                <w:color w:val="000000"/>
                <w:sz w:val="22"/>
                <w:szCs w:val="22"/>
                <w:lang w:val="ga"/>
              </w:rPr>
              <w:t>6.0%</w:t>
            </w:r>
          </w:p>
        </w:tc>
        <w:tc>
          <w:tcPr>
            <w:tcW w:w="1261" w:type="dxa"/>
          </w:tcPr>
          <w:p w14:paraId="21F2CFC3" w14:textId="600703CB" w:rsidR="00B525C7" w:rsidRPr="00D51778" w:rsidRDefault="00B525C7" w:rsidP="00634303">
            <w:pPr>
              <w:jc w:val="right"/>
              <w:rPr>
                <w:sz w:val="22"/>
                <w:szCs w:val="22"/>
              </w:rPr>
            </w:pPr>
            <w:r w:rsidRPr="00D51778">
              <w:rPr>
                <w:rFonts w:cs="Calibri"/>
                <w:color w:val="000000"/>
                <w:sz w:val="22"/>
                <w:szCs w:val="22"/>
                <w:lang w:val="ga"/>
              </w:rPr>
              <w:t>421</w:t>
            </w:r>
          </w:p>
        </w:tc>
        <w:tc>
          <w:tcPr>
            <w:tcW w:w="1564" w:type="dxa"/>
          </w:tcPr>
          <w:p w14:paraId="7B194154" w14:textId="69BF7F7E" w:rsidR="00B525C7" w:rsidRPr="00D51778" w:rsidRDefault="00B525C7" w:rsidP="00634303">
            <w:pPr>
              <w:jc w:val="right"/>
              <w:rPr>
                <w:sz w:val="22"/>
                <w:szCs w:val="22"/>
              </w:rPr>
            </w:pPr>
            <w:r w:rsidRPr="00D51778">
              <w:rPr>
                <w:rFonts w:cs="Calibri"/>
                <w:color w:val="000000"/>
                <w:sz w:val="22"/>
                <w:szCs w:val="22"/>
                <w:lang w:val="ga"/>
              </w:rPr>
              <w:t>25</w:t>
            </w:r>
          </w:p>
        </w:tc>
        <w:tc>
          <w:tcPr>
            <w:tcW w:w="1569" w:type="dxa"/>
          </w:tcPr>
          <w:p w14:paraId="12EC3D63" w14:textId="4B2FCBAC" w:rsidR="00B525C7" w:rsidRPr="00D51778" w:rsidRDefault="00B525C7" w:rsidP="00634303">
            <w:pPr>
              <w:jc w:val="right"/>
              <w:rPr>
                <w:sz w:val="22"/>
                <w:szCs w:val="22"/>
              </w:rPr>
            </w:pPr>
            <w:r w:rsidRPr="00D51778">
              <w:rPr>
                <w:rFonts w:cs="Calibri"/>
                <w:color w:val="000000"/>
                <w:sz w:val="22"/>
                <w:szCs w:val="22"/>
                <w:lang w:val="ga"/>
              </w:rPr>
              <w:t>5.9%</w:t>
            </w:r>
          </w:p>
        </w:tc>
      </w:tr>
      <w:tr w:rsidR="00B525C7" w:rsidRPr="00D51778" w14:paraId="46BA48BF" w14:textId="77777777" w:rsidTr="00DA4BB4">
        <w:trPr>
          <w:jc w:val="center"/>
        </w:trPr>
        <w:tc>
          <w:tcPr>
            <w:tcW w:w="2137" w:type="dxa"/>
          </w:tcPr>
          <w:p w14:paraId="3D33D559" w14:textId="35E140BB" w:rsidR="00B525C7" w:rsidRPr="00F779A3" w:rsidRDefault="00B525C7" w:rsidP="00F779A3">
            <w:pPr>
              <w:rPr>
                <w:b/>
                <w:sz w:val="22"/>
                <w:szCs w:val="22"/>
                <w:lang w:eastAsia="en-IE"/>
              </w:rPr>
            </w:pPr>
            <w:r w:rsidRPr="00D51778">
              <w:rPr>
                <w:rFonts w:cs="Calibri"/>
                <w:color w:val="000000"/>
                <w:sz w:val="22"/>
                <w:szCs w:val="22"/>
                <w:lang w:val="ga"/>
              </w:rPr>
              <w:t xml:space="preserve">Institiúid Teicneolaíochta Luimnigh </w:t>
            </w:r>
            <w:r w:rsidRPr="00D51778">
              <w:rPr>
                <w:rFonts w:cs="Calibri"/>
                <w:b/>
                <w:bCs/>
                <w:color w:val="000000"/>
                <w:sz w:val="22"/>
                <w:szCs w:val="22"/>
                <w:lang w:val="ga"/>
              </w:rPr>
              <w:t>(Sa bhliain 2021, chumaisc Institiúid Teicneolaíochta Bhaile Átha Luain agus Institiúid Teicneolaíochta Luimnigh chun</w:t>
            </w:r>
            <w:r w:rsidR="00F779A3" w:rsidRPr="001B12F1">
              <w:rPr>
                <w:sz w:val="22"/>
                <w:szCs w:val="22"/>
                <w:lang w:val="ga-IE" w:eastAsia="en-IE"/>
              </w:rPr>
              <w:t xml:space="preserve"> </w:t>
            </w:r>
            <w:r w:rsidR="00F779A3" w:rsidRPr="00F779A3">
              <w:rPr>
                <w:b/>
                <w:sz w:val="22"/>
                <w:szCs w:val="22"/>
                <w:lang w:val="ga-IE" w:eastAsia="en-IE"/>
              </w:rPr>
              <w:t xml:space="preserve">Ollscoil Teicneolaíochta na Sionainne (TUS): Lár-Iarthar Láir (Campas </w:t>
            </w:r>
            <w:r w:rsidR="00F779A3" w:rsidRPr="00F779A3">
              <w:rPr>
                <w:b/>
                <w:sz w:val="22"/>
                <w:szCs w:val="22"/>
                <w:lang w:val="ga-IE" w:eastAsia="en-IE"/>
              </w:rPr>
              <w:lastRenderedPageBreak/>
              <w:t>Bhaile Átha Luain)</w:t>
            </w:r>
            <w:r w:rsidR="00F779A3">
              <w:rPr>
                <w:b/>
                <w:sz w:val="22"/>
                <w:szCs w:val="22"/>
                <w:lang w:eastAsia="en-IE"/>
              </w:rPr>
              <w:t xml:space="preserve">. </w:t>
            </w:r>
            <w:r w:rsidRPr="00D51778">
              <w:rPr>
                <w:rFonts w:cs="Calibri"/>
                <w:b/>
                <w:bCs/>
                <w:color w:val="000000"/>
                <w:sz w:val="22"/>
                <w:szCs w:val="22"/>
                <w:lang w:val="ga"/>
              </w:rPr>
              <w:t>Ní dhearna Institiúid Teicneolaíochta Luimnigh tuairisceán leithleach Chuid 5 sa bhliain 2021)</w:t>
            </w:r>
          </w:p>
        </w:tc>
        <w:tc>
          <w:tcPr>
            <w:tcW w:w="1701" w:type="dxa"/>
          </w:tcPr>
          <w:p w14:paraId="088C8B08" w14:textId="3B40DA20" w:rsidR="00B525C7" w:rsidRPr="00D51778" w:rsidRDefault="00B525C7" w:rsidP="00634303">
            <w:pPr>
              <w:jc w:val="right"/>
              <w:rPr>
                <w:sz w:val="22"/>
                <w:szCs w:val="22"/>
              </w:rPr>
            </w:pPr>
            <w:r w:rsidRPr="00D51778">
              <w:rPr>
                <w:rFonts w:cs="Calibri"/>
                <w:color w:val="000000"/>
                <w:sz w:val="22"/>
                <w:szCs w:val="22"/>
                <w:lang w:val="ga"/>
              </w:rPr>
              <w:lastRenderedPageBreak/>
              <w:t>699</w:t>
            </w:r>
          </w:p>
        </w:tc>
        <w:tc>
          <w:tcPr>
            <w:tcW w:w="1549" w:type="dxa"/>
          </w:tcPr>
          <w:p w14:paraId="12BE6144" w14:textId="0961C27A" w:rsidR="00B525C7" w:rsidRPr="00D51778" w:rsidRDefault="00B525C7" w:rsidP="00634303">
            <w:pPr>
              <w:jc w:val="right"/>
              <w:rPr>
                <w:sz w:val="22"/>
                <w:szCs w:val="22"/>
              </w:rPr>
            </w:pPr>
            <w:r w:rsidRPr="00D51778">
              <w:rPr>
                <w:rFonts w:cs="Calibri"/>
                <w:color w:val="000000"/>
                <w:sz w:val="22"/>
                <w:szCs w:val="22"/>
                <w:lang w:val="ga"/>
              </w:rPr>
              <w:t>30</w:t>
            </w:r>
          </w:p>
        </w:tc>
        <w:tc>
          <w:tcPr>
            <w:tcW w:w="1569" w:type="dxa"/>
          </w:tcPr>
          <w:p w14:paraId="2CA61963" w14:textId="4DDDEE59" w:rsidR="00B525C7" w:rsidRPr="00D51778" w:rsidRDefault="00B525C7" w:rsidP="00634303">
            <w:pPr>
              <w:jc w:val="right"/>
              <w:rPr>
                <w:sz w:val="22"/>
                <w:szCs w:val="22"/>
              </w:rPr>
            </w:pPr>
            <w:r w:rsidRPr="00D51778">
              <w:rPr>
                <w:rFonts w:cs="Calibri"/>
                <w:color w:val="000000"/>
                <w:sz w:val="22"/>
                <w:szCs w:val="22"/>
                <w:lang w:val="ga"/>
              </w:rPr>
              <w:t>4.3%</w:t>
            </w:r>
          </w:p>
        </w:tc>
        <w:tc>
          <w:tcPr>
            <w:tcW w:w="1261" w:type="dxa"/>
          </w:tcPr>
          <w:p w14:paraId="7B28C0D4" w14:textId="4D24E0DE" w:rsidR="00B525C7" w:rsidRPr="00D51778" w:rsidRDefault="00DD6DB8" w:rsidP="00634303">
            <w:pPr>
              <w:jc w:val="right"/>
              <w:rPr>
                <w:sz w:val="22"/>
                <w:szCs w:val="22"/>
              </w:rPr>
            </w:pPr>
            <w:r w:rsidRPr="00D51778">
              <w:rPr>
                <w:rFonts w:cs="Calibri"/>
                <w:color w:val="000000"/>
                <w:sz w:val="22"/>
                <w:szCs w:val="22"/>
                <w:lang w:val="ga"/>
              </w:rPr>
              <w:t>- </w:t>
            </w:r>
          </w:p>
        </w:tc>
        <w:tc>
          <w:tcPr>
            <w:tcW w:w="1564" w:type="dxa"/>
          </w:tcPr>
          <w:p w14:paraId="657A8B5C" w14:textId="13A4B847" w:rsidR="00B525C7" w:rsidRPr="00D51778" w:rsidRDefault="00DD6DB8" w:rsidP="00634303">
            <w:pPr>
              <w:jc w:val="right"/>
              <w:rPr>
                <w:sz w:val="22"/>
                <w:szCs w:val="22"/>
              </w:rPr>
            </w:pPr>
            <w:r w:rsidRPr="00D51778">
              <w:rPr>
                <w:rFonts w:cs="Calibri"/>
                <w:color w:val="000000"/>
                <w:sz w:val="22"/>
                <w:szCs w:val="22"/>
                <w:lang w:val="ga"/>
              </w:rPr>
              <w:t>- </w:t>
            </w:r>
          </w:p>
        </w:tc>
        <w:tc>
          <w:tcPr>
            <w:tcW w:w="1569" w:type="dxa"/>
          </w:tcPr>
          <w:p w14:paraId="29413C7D" w14:textId="6774BB34" w:rsidR="00B525C7" w:rsidRPr="00D51778" w:rsidRDefault="00DD6DB8" w:rsidP="00634303">
            <w:pPr>
              <w:jc w:val="right"/>
              <w:rPr>
                <w:sz w:val="22"/>
                <w:szCs w:val="22"/>
              </w:rPr>
            </w:pPr>
            <w:r w:rsidRPr="00D51778">
              <w:rPr>
                <w:rFonts w:cs="Calibri"/>
                <w:color w:val="000000"/>
                <w:sz w:val="22"/>
                <w:szCs w:val="22"/>
                <w:lang w:val="ga"/>
              </w:rPr>
              <w:t>- </w:t>
            </w:r>
          </w:p>
        </w:tc>
      </w:tr>
      <w:tr w:rsidR="00B525C7" w:rsidRPr="00D51778" w14:paraId="016ACEA0" w14:textId="77777777" w:rsidTr="00DA4BB4">
        <w:trPr>
          <w:jc w:val="center"/>
        </w:trPr>
        <w:tc>
          <w:tcPr>
            <w:tcW w:w="2137" w:type="dxa"/>
          </w:tcPr>
          <w:p w14:paraId="0D74C7A5" w14:textId="4623C12C" w:rsidR="00B525C7" w:rsidRPr="00D51778" w:rsidRDefault="00B525C7" w:rsidP="00634303">
            <w:pPr>
              <w:rPr>
                <w:sz w:val="22"/>
                <w:szCs w:val="22"/>
              </w:rPr>
            </w:pPr>
            <w:r w:rsidRPr="00D51778">
              <w:rPr>
                <w:rFonts w:cs="Calibri"/>
                <w:color w:val="000000"/>
                <w:sz w:val="22"/>
                <w:szCs w:val="22"/>
                <w:lang w:val="ga"/>
              </w:rPr>
              <w:t>Institiúid Teicneolaíochta, Sligeach</w:t>
            </w:r>
          </w:p>
        </w:tc>
        <w:tc>
          <w:tcPr>
            <w:tcW w:w="1701" w:type="dxa"/>
          </w:tcPr>
          <w:p w14:paraId="541BC215" w14:textId="41FCE15B" w:rsidR="00B525C7" w:rsidRPr="00D51778" w:rsidRDefault="00B525C7" w:rsidP="00634303">
            <w:pPr>
              <w:jc w:val="right"/>
              <w:rPr>
                <w:sz w:val="22"/>
                <w:szCs w:val="22"/>
              </w:rPr>
            </w:pPr>
            <w:r w:rsidRPr="00D51778">
              <w:rPr>
                <w:rFonts w:cs="Calibri"/>
                <w:color w:val="000000"/>
                <w:sz w:val="22"/>
                <w:szCs w:val="22"/>
                <w:lang w:val="ga"/>
              </w:rPr>
              <w:t>629</w:t>
            </w:r>
          </w:p>
        </w:tc>
        <w:tc>
          <w:tcPr>
            <w:tcW w:w="1549" w:type="dxa"/>
          </w:tcPr>
          <w:p w14:paraId="47F181DC" w14:textId="066E6E4F" w:rsidR="00B525C7" w:rsidRPr="00D51778" w:rsidRDefault="00B525C7" w:rsidP="00634303">
            <w:pPr>
              <w:jc w:val="right"/>
              <w:rPr>
                <w:sz w:val="22"/>
                <w:szCs w:val="22"/>
              </w:rPr>
            </w:pPr>
            <w:r w:rsidRPr="00D51778">
              <w:rPr>
                <w:rFonts w:cs="Calibri"/>
                <w:color w:val="000000"/>
                <w:sz w:val="22"/>
                <w:szCs w:val="22"/>
                <w:lang w:val="ga"/>
              </w:rPr>
              <w:t>24</w:t>
            </w:r>
          </w:p>
        </w:tc>
        <w:tc>
          <w:tcPr>
            <w:tcW w:w="1569" w:type="dxa"/>
          </w:tcPr>
          <w:p w14:paraId="170FB3C9" w14:textId="560DA81E" w:rsidR="00B525C7" w:rsidRPr="00D51778" w:rsidRDefault="00B525C7" w:rsidP="00634303">
            <w:pPr>
              <w:jc w:val="right"/>
              <w:rPr>
                <w:sz w:val="22"/>
                <w:szCs w:val="22"/>
              </w:rPr>
            </w:pPr>
            <w:r w:rsidRPr="00D51778">
              <w:rPr>
                <w:rFonts w:cs="Calibri"/>
                <w:color w:val="000000"/>
                <w:sz w:val="22"/>
                <w:szCs w:val="22"/>
                <w:lang w:val="ga"/>
              </w:rPr>
              <w:t>3.8%</w:t>
            </w:r>
          </w:p>
        </w:tc>
        <w:tc>
          <w:tcPr>
            <w:tcW w:w="1261" w:type="dxa"/>
          </w:tcPr>
          <w:p w14:paraId="5070D7D9" w14:textId="3A63A387" w:rsidR="00B525C7" w:rsidRPr="00D51778" w:rsidRDefault="00B525C7" w:rsidP="00634303">
            <w:pPr>
              <w:jc w:val="right"/>
              <w:rPr>
                <w:sz w:val="22"/>
                <w:szCs w:val="22"/>
              </w:rPr>
            </w:pPr>
            <w:r w:rsidRPr="00D51778">
              <w:rPr>
                <w:rFonts w:cs="Calibri"/>
                <w:color w:val="000000"/>
                <w:sz w:val="22"/>
                <w:szCs w:val="22"/>
                <w:lang w:val="ga"/>
              </w:rPr>
              <w:t>691</w:t>
            </w:r>
          </w:p>
        </w:tc>
        <w:tc>
          <w:tcPr>
            <w:tcW w:w="1564" w:type="dxa"/>
          </w:tcPr>
          <w:p w14:paraId="141571A8" w14:textId="58F33BE8" w:rsidR="00B525C7" w:rsidRPr="00D51778" w:rsidRDefault="00B525C7" w:rsidP="00634303">
            <w:pPr>
              <w:jc w:val="right"/>
              <w:rPr>
                <w:sz w:val="22"/>
                <w:szCs w:val="22"/>
              </w:rPr>
            </w:pPr>
            <w:r w:rsidRPr="00D51778">
              <w:rPr>
                <w:rFonts w:cs="Calibri"/>
                <w:color w:val="000000"/>
                <w:sz w:val="22"/>
                <w:szCs w:val="22"/>
                <w:lang w:val="ga"/>
              </w:rPr>
              <w:t>28</w:t>
            </w:r>
          </w:p>
        </w:tc>
        <w:tc>
          <w:tcPr>
            <w:tcW w:w="1569" w:type="dxa"/>
          </w:tcPr>
          <w:p w14:paraId="15B5FAFF" w14:textId="7866BA6B" w:rsidR="00B525C7" w:rsidRPr="00D51778" w:rsidRDefault="00B525C7" w:rsidP="00634303">
            <w:pPr>
              <w:jc w:val="right"/>
              <w:rPr>
                <w:sz w:val="22"/>
                <w:szCs w:val="22"/>
              </w:rPr>
            </w:pPr>
            <w:r w:rsidRPr="00D51778">
              <w:rPr>
                <w:rFonts w:cs="Calibri"/>
                <w:color w:val="000000"/>
                <w:sz w:val="22"/>
                <w:szCs w:val="22"/>
                <w:lang w:val="ga"/>
              </w:rPr>
              <w:t>4.1%</w:t>
            </w:r>
          </w:p>
        </w:tc>
      </w:tr>
      <w:tr w:rsidR="00B525C7" w:rsidRPr="00D51778" w14:paraId="1E3D276E" w14:textId="77777777" w:rsidTr="00DA4BB4">
        <w:trPr>
          <w:jc w:val="center"/>
        </w:trPr>
        <w:tc>
          <w:tcPr>
            <w:tcW w:w="2137" w:type="dxa"/>
          </w:tcPr>
          <w:p w14:paraId="40392DD4" w14:textId="4AEC7BCD" w:rsidR="00B525C7" w:rsidRPr="00D51778" w:rsidRDefault="00B525C7" w:rsidP="00634303">
            <w:pPr>
              <w:rPr>
                <w:sz w:val="22"/>
                <w:szCs w:val="22"/>
              </w:rPr>
            </w:pPr>
            <w:r w:rsidRPr="00D51778">
              <w:rPr>
                <w:rFonts w:cs="Calibri"/>
                <w:color w:val="000000"/>
                <w:sz w:val="22"/>
                <w:szCs w:val="22"/>
                <w:lang w:val="ga"/>
              </w:rPr>
              <w:t xml:space="preserve">Institiúid Teicneolaíochta, Trá Lí </w:t>
            </w:r>
            <w:r w:rsidRPr="00D51778">
              <w:rPr>
                <w:rFonts w:cs="Calibri"/>
                <w:b/>
                <w:bCs/>
                <w:color w:val="000000"/>
                <w:sz w:val="22"/>
                <w:szCs w:val="22"/>
                <w:lang w:val="ga"/>
              </w:rPr>
              <w:t>(Sa bhliain 2021, cónascadh Institiúid Teicneolaíochta Chorcaí agus Institiúid Teicneolaíochta, Trá Lí, chun Ollscoil Teicneolaíochta na Mumhan (MTU) a chruthú. Ní dhearna Institiúid Teicneolaíochta Thrá Lí tuairisceán leithleach Chuid 5 sa bhliain 2021)</w:t>
            </w:r>
          </w:p>
        </w:tc>
        <w:tc>
          <w:tcPr>
            <w:tcW w:w="1701" w:type="dxa"/>
          </w:tcPr>
          <w:p w14:paraId="6C9FE9FE" w14:textId="1D5E30D5" w:rsidR="00B525C7" w:rsidRPr="00D51778" w:rsidRDefault="00B525C7" w:rsidP="00634303">
            <w:pPr>
              <w:jc w:val="right"/>
              <w:rPr>
                <w:sz w:val="22"/>
                <w:szCs w:val="22"/>
              </w:rPr>
            </w:pPr>
            <w:r w:rsidRPr="00D51778">
              <w:rPr>
                <w:rFonts w:cs="Calibri"/>
                <w:color w:val="000000"/>
                <w:sz w:val="22"/>
                <w:szCs w:val="22"/>
                <w:lang w:val="ga"/>
              </w:rPr>
              <w:t>430</w:t>
            </w:r>
          </w:p>
        </w:tc>
        <w:tc>
          <w:tcPr>
            <w:tcW w:w="1549" w:type="dxa"/>
          </w:tcPr>
          <w:p w14:paraId="4DE09628" w14:textId="558A71B6" w:rsidR="00B525C7" w:rsidRPr="00D51778" w:rsidRDefault="00B525C7" w:rsidP="00634303">
            <w:pPr>
              <w:jc w:val="right"/>
              <w:rPr>
                <w:sz w:val="22"/>
                <w:szCs w:val="22"/>
              </w:rPr>
            </w:pPr>
            <w:r w:rsidRPr="00D51778">
              <w:rPr>
                <w:rFonts w:cs="Calibri"/>
                <w:color w:val="000000"/>
                <w:sz w:val="22"/>
                <w:szCs w:val="22"/>
                <w:lang w:val="ga"/>
              </w:rPr>
              <w:t>15</w:t>
            </w:r>
          </w:p>
        </w:tc>
        <w:tc>
          <w:tcPr>
            <w:tcW w:w="1569" w:type="dxa"/>
          </w:tcPr>
          <w:p w14:paraId="3BED5120" w14:textId="64F7744B" w:rsidR="00B525C7" w:rsidRPr="00D51778" w:rsidRDefault="00B525C7" w:rsidP="00634303">
            <w:pPr>
              <w:jc w:val="right"/>
              <w:rPr>
                <w:sz w:val="22"/>
                <w:szCs w:val="22"/>
              </w:rPr>
            </w:pPr>
            <w:r w:rsidRPr="00D51778">
              <w:rPr>
                <w:rFonts w:cs="Calibri"/>
                <w:color w:val="000000"/>
                <w:sz w:val="22"/>
                <w:szCs w:val="22"/>
                <w:lang w:val="ga"/>
              </w:rPr>
              <w:t>3.5%</w:t>
            </w:r>
          </w:p>
        </w:tc>
        <w:tc>
          <w:tcPr>
            <w:tcW w:w="1261" w:type="dxa"/>
          </w:tcPr>
          <w:p w14:paraId="1A4E153D" w14:textId="5E261A71" w:rsidR="00B525C7" w:rsidRPr="00D51778" w:rsidRDefault="00634303" w:rsidP="00634303">
            <w:pPr>
              <w:jc w:val="right"/>
              <w:rPr>
                <w:sz w:val="22"/>
                <w:szCs w:val="22"/>
              </w:rPr>
            </w:pPr>
            <w:r w:rsidRPr="00D51778">
              <w:rPr>
                <w:rFonts w:cs="Calibri"/>
                <w:color w:val="000000"/>
                <w:sz w:val="22"/>
                <w:szCs w:val="22"/>
                <w:lang w:val="ga"/>
              </w:rPr>
              <w:t>- </w:t>
            </w:r>
          </w:p>
        </w:tc>
        <w:tc>
          <w:tcPr>
            <w:tcW w:w="1564" w:type="dxa"/>
          </w:tcPr>
          <w:p w14:paraId="40918C1E" w14:textId="014EF0E1" w:rsidR="00B525C7" w:rsidRPr="00D51778" w:rsidRDefault="00634303" w:rsidP="00634303">
            <w:pPr>
              <w:jc w:val="right"/>
              <w:rPr>
                <w:sz w:val="22"/>
                <w:szCs w:val="22"/>
              </w:rPr>
            </w:pPr>
            <w:r w:rsidRPr="00D51778">
              <w:rPr>
                <w:rFonts w:cs="Calibri"/>
                <w:color w:val="000000"/>
                <w:sz w:val="22"/>
                <w:szCs w:val="22"/>
                <w:lang w:val="ga"/>
              </w:rPr>
              <w:t>- </w:t>
            </w:r>
          </w:p>
        </w:tc>
        <w:tc>
          <w:tcPr>
            <w:tcW w:w="1569" w:type="dxa"/>
          </w:tcPr>
          <w:p w14:paraId="2AB93543" w14:textId="4802B262" w:rsidR="00B525C7" w:rsidRPr="00D51778" w:rsidRDefault="00634303" w:rsidP="00634303">
            <w:pPr>
              <w:jc w:val="right"/>
              <w:rPr>
                <w:sz w:val="22"/>
                <w:szCs w:val="22"/>
              </w:rPr>
            </w:pPr>
            <w:r w:rsidRPr="00D51778">
              <w:rPr>
                <w:rFonts w:cs="Calibri"/>
                <w:color w:val="000000"/>
                <w:sz w:val="22"/>
                <w:szCs w:val="22"/>
                <w:lang w:val="ga"/>
              </w:rPr>
              <w:t>- </w:t>
            </w:r>
          </w:p>
        </w:tc>
      </w:tr>
      <w:tr w:rsidR="00B525C7" w:rsidRPr="00D51778" w14:paraId="157ADA46" w14:textId="77777777" w:rsidTr="00DA4BB4">
        <w:trPr>
          <w:jc w:val="center"/>
        </w:trPr>
        <w:tc>
          <w:tcPr>
            <w:tcW w:w="2137" w:type="dxa"/>
          </w:tcPr>
          <w:p w14:paraId="29EA3725" w14:textId="4A9D85CE" w:rsidR="00B525C7" w:rsidRPr="00D51778" w:rsidRDefault="00B525C7" w:rsidP="00634303">
            <w:pPr>
              <w:rPr>
                <w:sz w:val="22"/>
                <w:szCs w:val="22"/>
              </w:rPr>
            </w:pPr>
            <w:r w:rsidRPr="00D51778">
              <w:rPr>
                <w:rFonts w:cs="Calibri"/>
                <w:color w:val="000000"/>
                <w:sz w:val="22"/>
                <w:szCs w:val="22"/>
                <w:lang w:val="ga"/>
              </w:rPr>
              <w:t>Institiúid Teicneolaíochta Phort Láirge</w:t>
            </w:r>
          </w:p>
        </w:tc>
        <w:tc>
          <w:tcPr>
            <w:tcW w:w="1701" w:type="dxa"/>
          </w:tcPr>
          <w:p w14:paraId="19525618" w14:textId="41842DE0" w:rsidR="00B525C7" w:rsidRPr="00D51778" w:rsidRDefault="00B525C7" w:rsidP="00634303">
            <w:pPr>
              <w:jc w:val="right"/>
              <w:rPr>
                <w:sz w:val="22"/>
                <w:szCs w:val="22"/>
              </w:rPr>
            </w:pPr>
            <w:r w:rsidRPr="00D51778">
              <w:rPr>
                <w:rFonts w:cs="Calibri"/>
                <w:color w:val="000000"/>
                <w:sz w:val="22"/>
                <w:szCs w:val="22"/>
                <w:lang w:val="ga"/>
              </w:rPr>
              <w:t>936</w:t>
            </w:r>
          </w:p>
        </w:tc>
        <w:tc>
          <w:tcPr>
            <w:tcW w:w="1549" w:type="dxa"/>
          </w:tcPr>
          <w:p w14:paraId="06BD8D6C" w14:textId="3B3948FB" w:rsidR="00B525C7" w:rsidRPr="00D51778" w:rsidRDefault="00B525C7" w:rsidP="00634303">
            <w:pPr>
              <w:jc w:val="right"/>
              <w:rPr>
                <w:sz w:val="22"/>
                <w:szCs w:val="22"/>
              </w:rPr>
            </w:pPr>
            <w:r w:rsidRPr="00D51778">
              <w:rPr>
                <w:rFonts w:cs="Calibri"/>
                <w:color w:val="000000"/>
                <w:sz w:val="22"/>
                <w:szCs w:val="22"/>
                <w:lang w:val="ga"/>
              </w:rPr>
              <w:t>29</w:t>
            </w:r>
          </w:p>
        </w:tc>
        <w:tc>
          <w:tcPr>
            <w:tcW w:w="1569" w:type="dxa"/>
          </w:tcPr>
          <w:p w14:paraId="30E70C47" w14:textId="04354295" w:rsidR="00B525C7" w:rsidRPr="00D51778" w:rsidRDefault="00B525C7" w:rsidP="00634303">
            <w:pPr>
              <w:jc w:val="right"/>
              <w:rPr>
                <w:sz w:val="22"/>
                <w:szCs w:val="22"/>
              </w:rPr>
            </w:pPr>
            <w:r w:rsidRPr="00D51778">
              <w:rPr>
                <w:rFonts w:cs="Calibri"/>
                <w:color w:val="000000"/>
                <w:sz w:val="22"/>
                <w:szCs w:val="22"/>
                <w:lang w:val="ga"/>
              </w:rPr>
              <w:t>3.1%</w:t>
            </w:r>
          </w:p>
        </w:tc>
        <w:tc>
          <w:tcPr>
            <w:tcW w:w="1261" w:type="dxa"/>
          </w:tcPr>
          <w:p w14:paraId="2ACEC16F" w14:textId="6546BD0E" w:rsidR="00B525C7" w:rsidRPr="00D51778" w:rsidRDefault="00B525C7" w:rsidP="00634303">
            <w:pPr>
              <w:jc w:val="right"/>
              <w:rPr>
                <w:sz w:val="22"/>
                <w:szCs w:val="22"/>
              </w:rPr>
            </w:pPr>
            <w:r w:rsidRPr="00D51778">
              <w:rPr>
                <w:rFonts w:cs="Calibri"/>
                <w:color w:val="000000"/>
                <w:sz w:val="22"/>
                <w:szCs w:val="22"/>
                <w:lang w:val="ga"/>
              </w:rPr>
              <w:t>972</w:t>
            </w:r>
          </w:p>
        </w:tc>
        <w:tc>
          <w:tcPr>
            <w:tcW w:w="1564" w:type="dxa"/>
          </w:tcPr>
          <w:p w14:paraId="58DF774B" w14:textId="7F92FF4E" w:rsidR="00B525C7" w:rsidRPr="00D51778" w:rsidRDefault="00B525C7" w:rsidP="00634303">
            <w:pPr>
              <w:jc w:val="right"/>
              <w:rPr>
                <w:sz w:val="22"/>
                <w:szCs w:val="22"/>
              </w:rPr>
            </w:pPr>
            <w:r w:rsidRPr="00D51778">
              <w:rPr>
                <w:rFonts w:cs="Calibri"/>
                <w:color w:val="000000"/>
                <w:sz w:val="22"/>
                <w:szCs w:val="22"/>
                <w:lang w:val="ga"/>
              </w:rPr>
              <w:t>36</w:t>
            </w:r>
          </w:p>
        </w:tc>
        <w:tc>
          <w:tcPr>
            <w:tcW w:w="1569" w:type="dxa"/>
          </w:tcPr>
          <w:p w14:paraId="0FF06C63" w14:textId="69819E82" w:rsidR="00B525C7" w:rsidRPr="00D51778" w:rsidRDefault="00B525C7" w:rsidP="00634303">
            <w:pPr>
              <w:jc w:val="right"/>
              <w:rPr>
                <w:sz w:val="22"/>
                <w:szCs w:val="22"/>
              </w:rPr>
            </w:pPr>
            <w:r w:rsidRPr="00D51778">
              <w:rPr>
                <w:rFonts w:cs="Calibri"/>
                <w:color w:val="000000"/>
                <w:sz w:val="22"/>
                <w:szCs w:val="22"/>
                <w:lang w:val="ga"/>
              </w:rPr>
              <w:t>3.7%</w:t>
            </w:r>
          </w:p>
        </w:tc>
      </w:tr>
      <w:tr w:rsidR="00B525C7" w:rsidRPr="00D51778" w14:paraId="6B21B9E0" w14:textId="77777777" w:rsidTr="00DA4BB4">
        <w:trPr>
          <w:jc w:val="center"/>
        </w:trPr>
        <w:tc>
          <w:tcPr>
            <w:tcW w:w="2137" w:type="dxa"/>
          </w:tcPr>
          <w:p w14:paraId="331FC9A2" w14:textId="18231F1B" w:rsidR="00B525C7" w:rsidRPr="00D51778" w:rsidRDefault="00B525C7" w:rsidP="00634303">
            <w:pPr>
              <w:rPr>
                <w:sz w:val="22"/>
                <w:szCs w:val="22"/>
              </w:rPr>
            </w:pPr>
            <w:r w:rsidRPr="00D51778">
              <w:rPr>
                <w:rFonts w:cs="Calibri"/>
                <w:color w:val="000000"/>
                <w:sz w:val="22"/>
                <w:szCs w:val="22"/>
                <w:lang w:val="ga"/>
              </w:rPr>
              <w:t>Léargas</w:t>
            </w:r>
          </w:p>
        </w:tc>
        <w:tc>
          <w:tcPr>
            <w:tcW w:w="1701" w:type="dxa"/>
          </w:tcPr>
          <w:p w14:paraId="658715F4" w14:textId="06E0C3B1" w:rsidR="00B525C7" w:rsidRPr="00D51778" w:rsidRDefault="00B525C7" w:rsidP="00634303">
            <w:pPr>
              <w:jc w:val="right"/>
              <w:rPr>
                <w:sz w:val="22"/>
                <w:szCs w:val="22"/>
              </w:rPr>
            </w:pPr>
            <w:r w:rsidRPr="00D51778">
              <w:rPr>
                <w:rFonts w:cs="Calibri"/>
                <w:color w:val="000000"/>
                <w:sz w:val="22"/>
                <w:szCs w:val="22"/>
                <w:lang w:val="ga"/>
              </w:rPr>
              <w:t>54</w:t>
            </w:r>
          </w:p>
        </w:tc>
        <w:tc>
          <w:tcPr>
            <w:tcW w:w="1549" w:type="dxa"/>
          </w:tcPr>
          <w:p w14:paraId="0A622422" w14:textId="1FB1944F" w:rsidR="00B525C7" w:rsidRPr="00D51778" w:rsidRDefault="00B525C7" w:rsidP="00634303">
            <w:pPr>
              <w:jc w:val="right"/>
              <w:rPr>
                <w:sz w:val="22"/>
                <w:szCs w:val="22"/>
              </w:rPr>
            </w:pPr>
            <w:r w:rsidRPr="00D51778">
              <w:rPr>
                <w:rFonts w:cs="Calibri"/>
                <w:color w:val="000000"/>
                <w:sz w:val="22"/>
                <w:szCs w:val="22"/>
                <w:lang w:val="ga"/>
              </w:rPr>
              <w:t>2</w:t>
            </w:r>
          </w:p>
        </w:tc>
        <w:tc>
          <w:tcPr>
            <w:tcW w:w="1569" w:type="dxa"/>
          </w:tcPr>
          <w:p w14:paraId="7210F4CE" w14:textId="0A47FFBC" w:rsidR="00B525C7" w:rsidRPr="00D51778" w:rsidRDefault="00B525C7" w:rsidP="00634303">
            <w:pPr>
              <w:jc w:val="right"/>
              <w:rPr>
                <w:sz w:val="22"/>
                <w:szCs w:val="22"/>
              </w:rPr>
            </w:pPr>
            <w:r w:rsidRPr="00D51778">
              <w:rPr>
                <w:rFonts w:cs="Calibri"/>
                <w:color w:val="000000"/>
                <w:sz w:val="22"/>
                <w:szCs w:val="22"/>
                <w:lang w:val="ga"/>
              </w:rPr>
              <w:t>3.7%</w:t>
            </w:r>
          </w:p>
        </w:tc>
        <w:tc>
          <w:tcPr>
            <w:tcW w:w="1261" w:type="dxa"/>
          </w:tcPr>
          <w:p w14:paraId="0F8C757B" w14:textId="65CFA657" w:rsidR="00B525C7" w:rsidRPr="00D51778" w:rsidRDefault="00B525C7" w:rsidP="00634303">
            <w:pPr>
              <w:jc w:val="right"/>
              <w:rPr>
                <w:sz w:val="22"/>
                <w:szCs w:val="22"/>
              </w:rPr>
            </w:pPr>
            <w:r w:rsidRPr="00D51778">
              <w:rPr>
                <w:rFonts w:cs="Calibri"/>
                <w:color w:val="000000"/>
                <w:sz w:val="22"/>
                <w:szCs w:val="22"/>
                <w:lang w:val="ga"/>
              </w:rPr>
              <w:t>50</w:t>
            </w:r>
          </w:p>
        </w:tc>
        <w:tc>
          <w:tcPr>
            <w:tcW w:w="1564" w:type="dxa"/>
          </w:tcPr>
          <w:p w14:paraId="1A839FDD" w14:textId="4559441A" w:rsidR="00B525C7" w:rsidRPr="00D51778" w:rsidRDefault="00B525C7" w:rsidP="00634303">
            <w:pPr>
              <w:jc w:val="right"/>
              <w:rPr>
                <w:sz w:val="22"/>
                <w:szCs w:val="22"/>
              </w:rPr>
            </w:pPr>
            <w:r w:rsidRPr="00D51778">
              <w:rPr>
                <w:rFonts w:cs="Calibri"/>
                <w:color w:val="000000"/>
                <w:sz w:val="22"/>
                <w:szCs w:val="22"/>
                <w:lang w:val="ga"/>
              </w:rPr>
              <w:t>5</w:t>
            </w:r>
          </w:p>
        </w:tc>
        <w:tc>
          <w:tcPr>
            <w:tcW w:w="1569" w:type="dxa"/>
          </w:tcPr>
          <w:p w14:paraId="4698B342" w14:textId="2CAAC795" w:rsidR="00B525C7" w:rsidRPr="00D51778" w:rsidRDefault="00B525C7" w:rsidP="00634303">
            <w:pPr>
              <w:jc w:val="right"/>
              <w:rPr>
                <w:sz w:val="22"/>
                <w:szCs w:val="22"/>
              </w:rPr>
            </w:pPr>
            <w:r w:rsidRPr="00D51778">
              <w:rPr>
                <w:rFonts w:cs="Calibri"/>
                <w:color w:val="000000"/>
                <w:sz w:val="22"/>
                <w:szCs w:val="22"/>
                <w:lang w:val="ga"/>
              </w:rPr>
              <w:t>10.0%</w:t>
            </w:r>
          </w:p>
        </w:tc>
      </w:tr>
      <w:tr w:rsidR="00B525C7" w:rsidRPr="00D51778" w14:paraId="7888FFCF" w14:textId="77777777" w:rsidTr="00DA4BB4">
        <w:trPr>
          <w:jc w:val="center"/>
        </w:trPr>
        <w:tc>
          <w:tcPr>
            <w:tcW w:w="2137" w:type="dxa"/>
          </w:tcPr>
          <w:p w14:paraId="72ACAC67" w14:textId="3392EAD2" w:rsidR="00B525C7" w:rsidRPr="00D51778" w:rsidRDefault="00B525C7" w:rsidP="00634303">
            <w:pPr>
              <w:rPr>
                <w:sz w:val="22"/>
                <w:szCs w:val="22"/>
              </w:rPr>
            </w:pPr>
            <w:r w:rsidRPr="00D51778">
              <w:rPr>
                <w:rFonts w:cs="Calibri"/>
                <w:color w:val="000000"/>
                <w:sz w:val="22"/>
                <w:szCs w:val="22"/>
                <w:lang w:val="ga"/>
              </w:rPr>
              <w:t xml:space="preserve">Ollscoil Teicneolaíochta na Mumhan (MTU) </w:t>
            </w:r>
            <w:r w:rsidRPr="00D51778">
              <w:rPr>
                <w:rFonts w:cs="Calibri"/>
                <w:b/>
                <w:bCs/>
                <w:color w:val="000000"/>
                <w:sz w:val="22"/>
                <w:szCs w:val="22"/>
                <w:lang w:val="ga"/>
              </w:rPr>
              <w:t xml:space="preserve">(Sa </w:t>
            </w:r>
            <w:r w:rsidRPr="00D51778">
              <w:rPr>
                <w:rFonts w:cs="Calibri"/>
                <w:b/>
                <w:bCs/>
                <w:color w:val="000000"/>
                <w:sz w:val="22"/>
                <w:szCs w:val="22"/>
                <w:lang w:val="ga"/>
              </w:rPr>
              <w:lastRenderedPageBreak/>
              <w:t>bhliain 2021, chumaisc Institiúid Teicneolaíochta Chorcaí agus Institiúid Teicneolaíochta, Trá Lí, chun Ollscoil Teicneolaíochta na Mumhan (MTU) a chruthú. Cruthaíodh an comhlacht poiblí nua seo sa bhliain 2021 agus ní dhearna sé tuairisceán Chuid 5 don bhliain 2020)</w:t>
            </w:r>
          </w:p>
        </w:tc>
        <w:tc>
          <w:tcPr>
            <w:tcW w:w="1701" w:type="dxa"/>
          </w:tcPr>
          <w:p w14:paraId="655EEB3E" w14:textId="4C21ACA9" w:rsidR="00B525C7" w:rsidRPr="00D51778" w:rsidRDefault="00634303" w:rsidP="00634303">
            <w:pPr>
              <w:jc w:val="right"/>
              <w:rPr>
                <w:sz w:val="22"/>
                <w:szCs w:val="22"/>
              </w:rPr>
            </w:pPr>
            <w:r w:rsidRPr="00D51778">
              <w:rPr>
                <w:rFonts w:cs="Calibri"/>
                <w:color w:val="000000"/>
                <w:sz w:val="22"/>
                <w:szCs w:val="22"/>
                <w:lang w:val="ga"/>
              </w:rPr>
              <w:lastRenderedPageBreak/>
              <w:t>- </w:t>
            </w:r>
          </w:p>
        </w:tc>
        <w:tc>
          <w:tcPr>
            <w:tcW w:w="1549" w:type="dxa"/>
          </w:tcPr>
          <w:p w14:paraId="0573A53C" w14:textId="6E9F9D8E" w:rsidR="00B525C7" w:rsidRPr="00D51778" w:rsidRDefault="00634303" w:rsidP="00634303">
            <w:pPr>
              <w:jc w:val="right"/>
              <w:rPr>
                <w:sz w:val="22"/>
                <w:szCs w:val="22"/>
              </w:rPr>
            </w:pPr>
            <w:r w:rsidRPr="00D51778">
              <w:rPr>
                <w:rFonts w:cs="Calibri"/>
                <w:color w:val="000000"/>
                <w:sz w:val="22"/>
                <w:szCs w:val="22"/>
                <w:lang w:val="ga"/>
              </w:rPr>
              <w:t>- </w:t>
            </w:r>
          </w:p>
        </w:tc>
        <w:tc>
          <w:tcPr>
            <w:tcW w:w="1569" w:type="dxa"/>
          </w:tcPr>
          <w:p w14:paraId="40969E01" w14:textId="48773E5E" w:rsidR="00B525C7" w:rsidRPr="00D51778" w:rsidRDefault="00634303" w:rsidP="00634303">
            <w:pPr>
              <w:jc w:val="right"/>
              <w:rPr>
                <w:sz w:val="22"/>
                <w:szCs w:val="22"/>
              </w:rPr>
            </w:pPr>
            <w:r w:rsidRPr="00D51778">
              <w:rPr>
                <w:rFonts w:cs="Calibri"/>
                <w:color w:val="000000"/>
                <w:sz w:val="22"/>
                <w:szCs w:val="22"/>
                <w:lang w:val="ga"/>
              </w:rPr>
              <w:t>- </w:t>
            </w:r>
          </w:p>
        </w:tc>
        <w:tc>
          <w:tcPr>
            <w:tcW w:w="1261" w:type="dxa"/>
          </w:tcPr>
          <w:p w14:paraId="6D385078" w14:textId="40AE424F" w:rsidR="00B525C7" w:rsidRPr="00D51778" w:rsidRDefault="00B525C7" w:rsidP="00634303">
            <w:pPr>
              <w:jc w:val="right"/>
              <w:rPr>
                <w:sz w:val="22"/>
                <w:szCs w:val="22"/>
              </w:rPr>
            </w:pPr>
            <w:r w:rsidRPr="00D51778">
              <w:rPr>
                <w:rFonts w:cs="Calibri"/>
                <w:color w:val="000000"/>
                <w:sz w:val="22"/>
                <w:szCs w:val="22"/>
                <w:lang w:val="ga"/>
              </w:rPr>
              <w:t>1,867</w:t>
            </w:r>
          </w:p>
        </w:tc>
        <w:tc>
          <w:tcPr>
            <w:tcW w:w="1564" w:type="dxa"/>
          </w:tcPr>
          <w:p w14:paraId="24741012" w14:textId="0C968186" w:rsidR="00B525C7" w:rsidRPr="00D51778" w:rsidRDefault="00B525C7" w:rsidP="00634303">
            <w:pPr>
              <w:jc w:val="right"/>
              <w:rPr>
                <w:sz w:val="22"/>
                <w:szCs w:val="22"/>
              </w:rPr>
            </w:pPr>
            <w:r w:rsidRPr="00D51778">
              <w:rPr>
                <w:rFonts w:cs="Calibri"/>
                <w:color w:val="000000"/>
                <w:sz w:val="22"/>
                <w:szCs w:val="22"/>
                <w:lang w:val="ga"/>
              </w:rPr>
              <w:t>59</w:t>
            </w:r>
          </w:p>
        </w:tc>
        <w:tc>
          <w:tcPr>
            <w:tcW w:w="1569" w:type="dxa"/>
          </w:tcPr>
          <w:p w14:paraId="13993B6A" w14:textId="2EB75740" w:rsidR="00B525C7" w:rsidRPr="00D51778" w:rsidRDefault="00B525C7" w:rsidP="00634303">
            <w:pPr>
              <w:jc w:val="right"/>
              <w:rPr>
                <w:sz w:val="22"/>
                <w:szCs w:val="22"/>
              </w:rPr>
            </w:pPr>
            <w:r w:rsidRPr="00D51778">
              <w:rPr>
                <w:rFonts w:cs="Calibri"/>
                <w:color w:val="000000"/>
                <w:sz w:val="22"/>
                <w:szCs w:val="22"/>
                <w:lang w:val="ga"/>
              </w:rPr>
              <w:t>3.2%</w:t>
            </w:r>
          </w:p>
        </w:tc>
      </w:tr>
      <w:tr w:rsidR="00B525C7" w:rsidRPr="00D51778" w14:paraId="5B0BE19C" w14:textId="77777777" w:rsidTr="00DA4BB4">
        <w:trPr>
          <w:jc w:val="center"/>
        </w:trPr>
        <w:tc>
          <w:tcPr>
            <w:tcW w:w="2137" w:type="dxa"/>
          </w:tcPr>
          <w:p w14:paraId="1628B0F7" w14:textId="73392B6F" w:rsidR="00B525C7" w:rsidRPr="00D51778" w:rsidRDefault="00B525C7" w:rsidP="00634303">
            <w:pPr>
              <w:rPr>
                <w:sz w:val="22"/>
                <w:szCs w:val="22"/>
              </w:rPr>
            </w:pPr>
            <w:r w:rsidRPr="00D51778">
              <w:rPr>
                <w:rFonts w:cs="Calibri"/>
                <w:color w:val="000000"/>
                <w:sz w:val="22"/>
                <w:szCs w:val="22"/>
                <w:lang w:val="ga"/>
              </w:rPr>
              <w:t>An Coláiste Náisiúnta Ealaíne is Deartha (NCAD)</w:t>
            </w:r>
          </w:p>
        </w:tc>
        <w:tc>
          <w:tcPr>
            <w:tcW w:w="1701" w:type="dxa"/>
          </w:tcPr>
          <w:p w14:paraId="3219A1F6" w14:textId="214751D3" w:rsidR="00B525C7" w:rsidRPr="00D51778" w:rsidRDefault="00B525C7" w:rsidP="00634303">
            <w:pPr>
              <w:jc w:val="right"/>
              <w:rPr>
                <w:sz w:val="22"/>
                <w:szCs w:val="22"/>
              </w:rPr>
            </w:pPr>
            <w:r w:rsidRPr="00D51778">
              <w:rPr>
                <w:rFonts w:cs="Calibri"/>
                <w:color w:val="000000"/>
                <w:sz w:val="22"/>
                <w:szCs w:val="22"/>
                <w:lang w:val="ga"/>
              </w:rPr>
              <w:t>155</w:t>
            </w:r>
          </w:p>
        </w:tc>
        <w:tc>
          <w:tcPr>
            <w:tcW w:w="1549" w:type="dxa"/>
          </w:tcPr>
          <w:p w14:paraId="1C6736FB" w14:textId="04D6B039" w:rsidR="00B525C7" w:rsidRPr="00D51778" w:rsidRDefault="00B525C7" w:rsidP="00634303">
            <w:pPr>
              <w:jc w:val="right"/>
              <w:rPr>
                <w:sz w:val="22"/>
                <w:szCs w:val="22"/>
              </w:rPr>
            </w:pPr>
            <w:r w:rsidRPr="00D51778">
              <w:rPr>
                <w:rFonts w:cs="Calibri"/>
                <w:color w:val="000000"/>
                <w:sz w:val="22"/>
                <w:szCs w:val="22"/>
                <w:lang w:val="ga"/>
              </w:rPr>
              <w:t>10</w:t>
            </w:r>
          </w:p>
        </w:tc>
        <w:tc>
          <w:tcPr>
            <w:tcW w:w="1569" w:type="dxa"/>
          </w:tcPr>
          <w:p w14:paraId="3EB50224" w14:textId="0651E74F" w:rsidR="00B525C7" w:rsidRPr="00D51778" w:rsidRDefault="00B525C7" w:rsidP="00634303">
            <w:pPr>
              <w:jc w:val="right"/>
              <w:rPr>
                <w:sz w:val="22"/>
                <w:szCs w:val="22"/>
              </w:rPr>
            </w:pPr>
            <w:r w:rsidRPr="00D51778">
              <w:rPr>
                <w:rFonts w:cs="Calibri"/>
                <w:color w:val="000000"/>
                <w:sz w:val="22"/>
                <w:szCs w:val="22"/>
                <w:lang w:val="ga"/>
              </w:rPr>
              <w:t>6.5%</w:t>
            </w:r>
          </w:p>
        </w:tc>
        <w:tc>
          <w:tcPr>
            <w:tcW w:w="1261" w:type="dxa"/>
          </w:tcPr>
          <w:p w14:paraId="411FF971" w14:textId="630271C2" w:rsidR="00B525C7" w:rsidRPr="00D51778" w:rsidRDefault="00B525C7" w:rsidP="00634303">
            <w:pPr>
              <w:jc w:val="right"/>
              <w:rPr>
                <w:sz w:val="22"/>
                <w:szCs w:val="22"/>
              </w:rPr>
            </w:pPr>
            <w:r w:rsidRPr="00D51778">
              <w:rPr>
                <w:rFonts w:cs="Calibri"/>
                <w:color w:val="000000"/>
                <w:sz w:val="22"/>
                <w:szCs w:val="22"/>
                <w:lang w:val="ga"/>
              </w:rPr>
              <w:t>166</w:t>
            </w:r>
          </w:p>
        </w:tc>
        <w:tc>
          <w:tcPr>
            <w:tcW w:w="1564" w:type="dxa"/>
          </w:tcPr>
          <w:p w14:paraId="02B14024" w14:textId="04F3B0A0" w:rsidR="00B525C7" w:rsidRPr="00D51778" w:rsidRDefault="00B525C7" w:rsidP="00634303">
            <w:pPr>
              <w:jc w:val="right"/>
              <w:rPr>
                <w:sz w:val="22"/>
                <w:szCs w:val="22"/>
              </w:rPr>
            </w:pPr>
            <w:r w:rsidRPr="00D51778">
              <w:rPr>
                <w:rFonts w:cs="Calibri"/>
                <w:color w:val="000000"/>
                <w:sz w:val="22"/>
                <w:szCs w:val="22"/>
                <w:lang w:val="ga"/>
              </w:rPr>
              <w:t>11</w:t>
            </w:r>
          </w:p>
        </w:tc>
        <w:tc>
          <w:tcPr>
            <w:tcW w:w="1569" w:type="dxa"/>
          </w:tcPr>
          <w:p w14:paraId="64F6619E" w14:textId="4A9B0DF6" w:rsidR="00B525C7" w:rsidRPr="00D51778" w:rsidRDefault="00B525C7" w:rsidP="00634303">
            <w:pPr>
              <w:jc w:val="right"/>
              <w:rPr>
                <w:sz w:val="22"/>
                <w:szCs w:val="22"/>
              </w:rPr>
            </w:pPr>
            <w:r w:rsidRPr="00D51778">
              <w:rPr>
                <w:rFonts w:cs="Calibri"/>
                <w:color w:val="000000"/>
                <w:sz w:val="22"/>
                <w:szCs w:val="22"/>
                <w:lang w:val="ga"/>
              </w:rPr>
              <w:t>6.6%</w:t>
            </w:r>
          </w:p>
        </w:tc>
      </w:tr>
      <w:tr w:rsidR="00B525C7" w:rsidRPr="00D51778" w14:paraId="79BDF456" w14:textId="77777777" w:rsidTr="00DA4BB4">
        <w:trPr>
          <w:jc w:val="center"/>
        </w:trPr>
        <w:tc>
          <w:tcPr>
            <w:tcW w:w="2137" w:type="dxa"/>
          </w:tcPr>
          <w:p w14:paraId="596975FD" w14:textId="73442DF8" w:rsidR="00B525C7" w:rsidRPr="00D51778" w:rsidRDefault="00B525C7" w:rsidP="00634303">
            <w:pPr>
              <w:rPr>
                <w:sz w:val="22"/>
                <w:szCs w:val="22"/>
              </w:rPr>
            </w:pPr>
            <w:r w:rsidRPr="00D51778">
              <w:rPr>
                <w:rFonts w:cs="Calibri"/>
                <w:color w:val="000000"/>
                <w:sz w:val="22"/>
                <w:szCs w:val="22"/>
                <w:lang w:val="ga"/>
              </w:rPr>
              <w:t>Dearbhú Cáilíochta agus Cáilíochtaí Éireann</w:t>
            </w:r>
          </w:p>
        </w:tc>
        <w:tc>
          <w:tcPr>
            <w:tcW w:w="1701" w:type="dxa"/>
          </w:tcPr>
          <w:p w14:paraId="3DE03F94" w14:textId="481AD768" w:rsidR="00B525C7" w:rsidRPr="00D51778" w:rsidRDefault="00B525C7" w:rsidP="00634303">
            <w:pPr>
              <w:jc w:val="right"/>
              <w:rPr>
                <w:sz w:val="22"/>
                <w:szCs w:val="22"/>
              </w:rPr>
            </w:pPr>
            <w:r w:rsidRPr="00D51778">
              <w:rPr>
                <w:rFonts w:cs="Calibri"/>
                <w:color w:val="000000"/>
                <w:sz w:val="22"/>
                <w:szCs w:val="22"/>
                <w:lang w:val="ga"/>
              </w:rPr>
              <w:t>72</w:t>
            </w:r>
          </w:p>
        </w:tc>
        <w:tc>
          <w:tcPr>
            <w:tcW w:w="1549" w:type="dxa"/>
          </w:tcPr>
          <w:p w14:paraId="5EF3F458" w14:textId="3B3339DF" w:rsidR="00B525C7" w:rsidRPr="00D51778" w:rsidRDefault="00B525C7" w:rsidP="00634303">
            <w:pPr>
              <w:jc w:val="right"/>
              <w:rPr>
                <w:sz w:val="22"/>
                <w:szCs w:val="22"/>
              </w:rPr>
            </w:pPr>
            <w:r w:rsidRPr="00D51778">
              <w:rPr>
                <w:rFonts w:cs="Calibri"/>
                <w:color w:val="000000"/>
                <w:sz w:val="22"/>
                <w:szCs w:val="22"/>
                <w:lang w:val="ga"/>
              </w:rPr>
              <w:t>2</w:t>
            </w:r>
          </w:p>
        </w:tc>
        <w:tc>
          <w:tcPr>
            <w:tcW w:w="1569" w:type="dxa"/>
          </w:tcPr>
          <w:p w14:paraId="4FF1BD2B" w14:textId="0F238690" w:rsidR="00B525C7" w:rsidRPr="00D51778" w:rsidRDefault="00B525C7" w:rsidP="00634303">
            <w:pPr>
              <w:jc w:val="right"/>
              <w:rPr>
                <w:sz w:val="22"/>
                <w:szCs w:val="22"/>
              </w:rPr>
            </w:pPr>
            <w:r w:rsidRPr="00D51778">
              <w:rPr>
                <w:rFonts w:cs="Calibri"/>
                <w:color w:val="000000"/>
                <w:sz w:val="22"/>
                <w:szCs w:val="22"/>
                <w:lang w:val="ga"/>
              </w:rPr>
              <w:t>2.8%</w:t>
            </w:r>
          </w:p>
        </w:tc>
        <w:tc>
          <w:tcPr>
            <w:tcW w:w="1261" w:type="dxa"/>
          </w:tcPr>
          <w:p w14:paraId="07F2F55D" w14:textId="6FD2FB69" w:rsidR="00B525C7" w:rsidRPr="00D51778" w:rsidRDefault="00B525C7" w:rsidP="00634303">
            <w:pPr>
              <w:jc w:val="right"/>
              <w:rPr>
                <w:sz w:val="22"/>
                <w:szCs w:val="22"/>
              </w:rPr>
            </w:pPr>
            <w:r w:rsidRPr="00D51778">
              <w:rPr>
                <w:rFonts w:cs="Calibri"/>
                <w:color w:val="000000"/>
                <w:sz w:val="22"/>
                <w:szCs w:val="22"/>
                <w:lang w:val="ga"/>
              </w:rPr>
              <w:t>80</w:t>
            </w:r>
          </w:p>
        </w:tc>
        <w:tc>
          <w:tcPr>
            <w:tcW w:w="1564" w:type="dxa"/>
          </w:tcPr>
          <w:p w14:paraId="0EBBA2FE" w14:textId="13CB8D6B" w:rsidR="00B525C7" w:rsidRPr="00D51778" w:rsidRDefault="00B525C7" w:rsidP="00634303">
            <w:pPr>
              <w:jc w:val="right"/>
              <w:rPr>
                <w:sz w:val="22"/>
                <w:szCs w:val="22"/>
              </w:rPr>
            </w:pPr>
            <w:r w:rsidRPr="00D51778">
              <w:rPr>
                <w:rFonts w:cs="Calibri"/>
                <w:color w:val="000000"/>
                <w:sz w:val="22"/>
                <w:szCs w:val="22"/>
                <w:lang w:val="ga"/>
              </w:rPr>
              <w:t>3</w:t>
            </w:r>
          </w:p>
        </w:tc>
        <w:tc>
          <w:tcPr>
            <w:tcW w:w="1569" w:type="dxa"/>
          </w:tcPr>
          <w:p w14:paraId="4F689236" w14:textId="39737CCB" w:rsidR="00B525C7" w:rsidRPr="00D51778" w:rsidRDefault="00B525C7" w:rsidP="00634303">
            <w:pPr>
              <w:jc w:val="right"/>
              <w:rPr>
                <w:sz w:val="22"/>
                <w:szCs w:val="22"/>
              </w:rPr>
            </w:pPr>
            <w:r w:rsidRPr="00D51778">
              <w:rPr>
                <w:rFonts w:cs="Calibri"/>
                <w:color w:val="000000"/>
                <w:sz w:val="22"/>
                <w:szCs w:val="22"/>
                <w:lang w:val="ga"/>
              </w:rPr>
              <w:t>3.8%</w:t>
            </w:r>
          </w:p>
        </w:tc>
      </w:tr>
      <w:tr w:rsidR="00B525C7" w:rsidRPr="00D51778" w14:paraId="6BE7AA2A" w14:textId="77777777" w:rsidTr="00DA4BB4">
        <w:trPr>
          <w:trHeight w:val="511"/>
          <w:jc w:val="center"/>
        </w:trPr>
        <w:tc>
          <w:tcPr>
            <w:tcW w:w="2137" w:type="dxa"/>
          </w:tcPr>
          <w:p w14:paraId="131FD7D1" w14:textId="777667A7" w:rsidR="00B525C7" w:rsidRPr="00D51778" w:rsidRDefault="00DA73C5" w:rsidP="00634303">
            <w:pPr>
              <w:spacing w:after="120"/>
              <w:rPr>
                <w:sz w:val="22"/>
                <w:szCs w:val="22"/>
              </w:rPr>
            </w:pPr>
            <w:r>
              <w:rPr>
                <w:color w:val="000000"/>
                <w:sz w:val="22"/>
                <w:szCs w:val="22"/>
                <w:lang w:val="ga"/>
              </w:rPr>
              <w:t>Fondúireacht Eolaíochta Éireann</w:t>
            </w:r>
            <w:r w:rsidR="00B525C7" w:rsidRPr="00D51778">
              <w:rPr>
                <w:color w:val="000000"/>
                <w:sz w:val="22"/>
                <w:szCs w:val="22"/>
                <w:lang w:val="ga"/>
              </w:rPr>
              <w:t xml:space="preserve"> </w:t>
            </w:r>
            <w:r w:rsidR="00B525C7" w:rsidRPr="00D51778">
              <w:rPr>
                <w:b/>
                <w:bCs/>
                <w:sz w:val="22"/>
                <w:szCs w:val="22"/>
                <w:lang w:val="ga"/>
              </w:rPr>
              <w:t xml:space="preserve">(Sa bhliain 2021, aistríodh an comhlacht poiblí seo ón Roinn Fiontar, Trádála agus Fostaíochta chuig an Roinn Breisoideachais agus Ardoideachais, Taighde, Nuálaíochta </w:t>
            </w:r>
            <w:r w:rsidR="001A2883">
              <w:rPr>
                <w:b/>
                <w:bCs/>
                <w:sz w:val="22"/>
                <w:szCs w:val="22"/>
                <w:lang w:val="ga"/>
              </w:rPr>
              <w:t xml:space="preserve">agus Eolaíochta. Féach </w:t>
            </w:r>
            <w:r w:rsidR="001A2883">
              <w:rPr>
                <w:b/>
                <w:bCs/>
                <w:sz w:val="22"/>
                <w:szCs w:val="22"/>
                <w:lang w:val="ga"/>
              </w:rPr>
              <w:lastRenderedPageBreak/>
              <w:t>Tábla 4</w:t>
            </w:r>
            <w:r w:rsidR="00B525C7" w:rsidRPr="00D51778">
              <w:rPr>
                <w:b/>
                <w:bCs/>
                <w:sz w:val="22"/>
                <w:szCs w:val="22"/>
                <w:lang w:val="ga"/>
              </w:rPr>
              <w:t xml:space="preserve"> sa tuarascáil le haghaidh shonraí an chomhlachta phoiblí seo don bhliain 2020).</w:t>
            </w:r>
          </w:p>
        </w:tc>
        <w:tc>
          <w:tcPr>
            <w:tcW w:w="1701" w:type="dxa"/>
          </w:tcPr>
          <w:p w14:paraId="47A71C5B" w14:textId="39B5E48B" w:rsidR="00B525C7" w:rsidRPr="00D51778" w:rsidRDefault="00AB151D" w:rsidP="00634303">
            <w:pPr>
              <w:jc w:val="right"/>
              <w:rPr>
                <w:sz w:val="22"/>
                <w:szCs w:val="22"/>
              </w:rPr>
            </w:pPr>
            <w:r w:rsidRPr="00D51778">
              <w:rPr>
                <w:rFonts w:cs="Calibri"/>
                <w:color w:val="000000"/>
                <w:sz w:val="22"/>
                <w:szCs w:val="22"/>
                <w:lang w:val="ga"/>
              </w:rPr>
              <w:lastRenderedPageBreak/>
              <w:t>- </w:t>
            </w:r>
          </w:p>
        </w:tc>
        <w:tc>
          <w:tcPr>
            <w:tcW w:w="1549" w:type="dxa"/>
          </w:tcPr>
          <w:p w14:paraId="70F7A812" w14:textId="529C20C1" w:rsidR="00B525C7" w:rsidRPr="00D51778" w:rsidRDefault="00AB151D" w:rsidP="00634303">
            <w:pPr>
              <w:jc w:val="right"/>
              <w:rPr>
                <w:sz w:val="22"/>
                <w:szCs w:val="22"/>
              </w:rPr>
            </w:pPr>
            <w:r w:rsidRPr="00D51778">
              <w:rPr>
                <w:rFonts w:cs="Calibri"/>
                <w:color w:val="000000"/>
                <w:sz w:val="22"/>
                <w:szCs w:val="22"/>
                <w:lang w:val="ga"/>
              </w:rPr>
              <w:t>- </w:t>
            </w:r>
          </w:p>
        </w:tc>
        <w:tc>
          <w:tcPr>
            <w:tcW w:w="1569" w:type="dxa"/>
          </w:tcPr>
          <w:p w14:paraId="67F7B2A6" w14:textId="2460A073" w:rsidR="00B525C7" w:rsidRPr="00D51778" w:rsidRDefault="00AB151D" w:rsidP="00634303">
            <w:pPr>
              <w:jc w:val="right"/>
              <w:rPr>
                <w:sz w:val="22"/>
                <w:szCs w:val="22"/>
              </w:rPr>
            </w:pPr>
            <w:r w:rsidRPr="00D51778">
              <w:rPr>
                <w:rFonts w:cs="Calibri"/>
                <w:color w:val="000000"/>
                <w:sz w:val="22"/>
                <w:szCs w:val="22"/>
                <w:lang w:val="ga"/>
              </w:rPr>
              <w:t>- </w:t>
            </w:r>
          </w:p>
        </w:tc>
        <w:tc>
          <w:tcPr>
            <w:tcW w:w="1261" w:type="dxa"/>
          </w:tcPr>
          <w:p w14:paraId="248D6ABD" w14:textId="0C03E67B" w:rsidR="00B525C7" w:rsidRPr="00D51778" w:rsidRDefault="00B525C7" w:rsidP="00634303">
            <w:pPr>
              <w:jc w:val="right"/>
              <w:rPr>
                <w:sz w:val="22"/>
                <w:szCs w:val="22"/>
              </w:rPr>
            </w:pPr>
            <w:r w:rsidRPr="00D51778">
              <w:rPr>
                <w:rFonts w:cs="Calibri"/>
                <w:color w:val="000000"/>
                <w:sz w:val="22"/>
                <w:szCs w:val="22"/>
                <w:lang w:val="ga"/>
              </w:rPr>
              <w:t>84</w:t>
            </w:r>
          </w:p>
        </w:tc>
        <w:tc>
          <w:tcPr>
            <w:tcW w:w="1564" w:type="dxa"/>
          </w:tcPr>
          <w:p w14:paraId="6044A5BB" w14:textId="02FD0A8E" w:rsidR="00B525C7" w:rsidRPr="00D51778" w:rsidRDefault="00B525C7" w:rsidP="00634303">
            <w:pPr>
              <w:jc w:val="right"/>
              <w:rPr>
                <w:sz w:val="22"/>
                <w:szCs w:val="22"/>
              </w:rPr>
            </w:pPr>
            <w:r w:rsidRPr="00D51778">
              <w:rPr>
                <w:rFonts w:cs="Calibri"/>
                <w:color w:val="000000"/>
                <w:sz w:val="22"/>
                <w:szCs w:val="22"/>
                <w:lang w:val="ga"/>
              </w:rPr>
              <w:t>3</w:t>
            </w:r>
          </w:p>
        </w:tc>
        <w:tc>
          <w:tcPr>
            <w:tcW w:w="1569" w:type="dxa"/>
          </w:tcPr>
          <w:p w14:paraId="4496E54E" w14:textId="1E875D34" w:rsidR="00B525C7" w:rsidRPr="00D51778" w:rsidRDefault="00B525C7" w:rsidP="00634303">
            <w:pPr>
              <w:jc w:val="right"/>
              <w:rPr>
                <w:sz w:val="22"/>
                <w:szCs w:val="22"/>
              </w:rPr>
            </w:pPr>
            <w:r w:rsidRPr="00D51778">
              <w:rPr>
                <w:rFonts w:cs="Calibri"/>
                <w:color w:val="000000"/>
                <w:sz w:val="22"/>
                <w:szCs w:val="22"/>
                <w:lang w:val="ga"/>
              </w:rPr>
              <w:t>3.6%</w:t>
            </w:r>
          </w:p>
        </w:tc>
      </w:tr>
      <w:tr w:rsidR="00B525C7" w:rsidRPr="00D51778" w14:paraId="5C9B65A9" w14:textId="77777777" w:rsidTr="00DA4BB4">
        <w:trPr>
          <w:jc w:val="center"/>
        </w:trPr>
        <w:tc>
          <w:tcPr>
            <w:tcW w:w="2137" w:type="dxa"/>
          </w:tcPr>
          <w:p w14:paraId="4A33EE19" w14:textId="4C7FB2BC" w:rsidR="00B525C7" w:rsidRPr="00D51778" w:rsidRDefault="00B525C7" w:rsidP="00634303">
            <w:pPr>
              <w:pStyle w:val="TableHead"/>
              <w:rPr>
                <w:b w:val="0"/>
                <w:sz w:val="22"/>
                <w:szCs w:val="22"/>
              </w:rPr>
            </w:pPr>
            <w:r w:rsidRPr="00D51778">
              <w:rPr>
                <w:rFonts w:cs="Calibri"/>
                <w:b w:val="0"/>
                <w:color w:val="000000"/>
                <w:sz w:val="22"/>
                <w:szCs w:val="22"/>
                <w:lang w:val="ga"/>
              </w:rPr>
              <w:t>SOLAS - An tÚdarás Breisoideachais agus Oiliúna</w:t>
            </w:r>
          </w:p>
        </w:tc>
        <w:tc>
          <w:tcPr>
            <w:tcW w:w="1701" w:type="dxa"/>
          </w:tcPr>
          <w:p w14:paraId="45420375" w14:textId="01ACFF5D" w:rsidR="00B525C7" w:rsidRPr="00D51778" w:rsidRDefault="00B525C7" w:rsidP="00634303">
            <w:pPr>
              <w:spacing w:after="0"/>
              <w:jc w:val="right"/>
              <w:rPr>
                <w:sz w:val="22"/>
                <w:szCs w:val="22"/>
              </w:rPr>
            </w:pPr>
            <w:r w:rsidRPr="00D51778">
              <w:rPr>
                <w:rFonts w:cs="Calibri"/>
                <w:color w:val="000000"/>
                <w:sz w:val="22"/>
                <w:szCs w:val="22"/>
                <w:lang w:val="ga"/>
              </w:rPr>
              <w:t>217</w:t>
            </w:r>
          </w:p>
        </w:tc>
        <w:tc>
          <w:tcPr>
            <w:tcW w:w="1549" w:type="dxa"/>
          </w:tcPr>
          <w:p w14:paraId="108B7932" w14:textId="2D1609B9" w:rsidR="00B525C7" w:rsidRPr="00D51778" w:rsidRDefault="00B525C7" w:rsidP="00634303">
            <w:pPr>
              <w:pStyle w:val="TableHead"/>
              <w:jc w:val="right"/>
              <w:rPr>
                <w:b w:val="0"/>
                <w:sz w:val="22"/>
                <w:szCs w:val="22"/>
              </w:rPr>
            </w:pPr>
            <w:r w:rsidRPr="00D51778">
              <w:rPr>
                <w:rFonts w:cs="Calibri"/>
                <w:b w:val="0"/>
                <w:color w:val="000000"/>
                <w:sz w:val="22"/>
                <w:szCs w:val="22"/>
                <w:lang w:val="ga"/>
              </w:rPr>
              <w:t>17</w:t>
            </w:r>
          </w:p>
        </w:tc>
        <w:tc>
          <w:tcPr>
            <w:tcW w:w="1569" w:type="dxa"/>
          </w:tcPr>
          <w:p w14:paraId="51B536E6" w14:textId="2390BCD7" w:rsidR="00B525C7" w:rsidRPr="00D51778" w:rsidRDefault="00B525C7" w:rsidP="00634303">
            <w:pPr>
              <w:pStyle w:val="TableHead"/>
              <w:jc w:val="right"/>
              <w:rPr>
                <w:b w:val="0"/>
                <w:sz w:val="22"/>
                <w:szCs w:val="22"/>
              </w:rPr>
            </w:pPr>
            <w:r w:rsidRPr="00D51778">
              <w:rPr>
                <w:rFonts w:cs="Calibri"/>
                <w:b w:val="0"/>
                <w:color w:val="000000"/>
                <w:sz w:val="22"/>
                <w:szCs w:val="22"/>
                <w:lang w:val="ga"/>
              </w:rPr>
              <w:t>7.8%</w:t>
            </w:r>
          </w:p>
        </w:tc>
        <w:tc>
          <w:tcPr>
            <w:tcW w:w="1261" w:type="dxa"/>
          </w:tcPr>
          <w:p w14:paraId="3007F730" w14:textId="0CADAF90" w:rsidR="00B525C7" w:rsidRPr="00D51778" w:rsidRDefault="00B525C7" w:rsidP="00634303">
            <w:pPr>
              <w:pStyle w:val="TableHead"/>
              <w:jc w:val="right"/>
              <w:rPr>
                <w:b w:val="0"/>
                <w:sz w:val="22"/>
                <w:szCs w:val="22"/>
              </w:rPr>
            </w:pPr>
            <w:r w:rsidRPr="00D51778">
              <w:rPr>
                <w:rFonts w:cs="Calibri"/>
                <w:b w:val="0"/>
                <w:color w:val="000000"/>
                <w:sz w:val="22"/>
                <w:szCs w:val="22"/>
                <w:lang w:val="ga"/>
              </w:rPr>
              <w:t>221</w:t>
            </w:r>
          </w:p>
        </w:tc>
        <w:tc>
          <w:tcPr>
            <w:tcW w:w="1564" w:type="dxa"/>
          </w:tcPr>
          <w:p w14:paraId="3CA2B9EA" w14:textId="408AA468" w:rsidR="00B525C7" w:rsidRPr="00D51778" w:rsidRDefault="00B525C7" w:rsidP="00634303">
            <w:pPr>
              <w:pStyle w:val="TableHead"/>
              <w:jc w:val="right"/>
              <w:rPr>
                <w:b w:val="0"/>
                <w:sz w:val="22"/>
                <w:szCs w:val="22"/>
              </w:rPr>
            </w:pPr>
            <w:r w:rsidRPr="00D51778">
              <w:rPr>
                <w:rFonts w:cs="Calibri"/>
                <w:b w:val="0"/>
                <w:color w:val="000000"/>
                <w:sz w:val="22"/>
                <w:szCs w:val="22"/>
                <w:lang w:val="ga"/>
              </w:rPr>
              <w:t>18</w:t>
            </w:r>
          </w:p>
        </w:tc>
        <w:tc>
          <w:tcPr>
            <w:tcW w:w="1569" w:type="dxa"/>
          </w:tcPr>
          <w:p w14:paraId="49C318CE" w14:textId="4A0F451E" w:rsidR="00B525C7" w:rsidRPr="00D51778" w:rsidRDefault="00B525C7" w:rsidP="00634303">
            <w:pPr>
              <w:spacing w:after="0"/>
              <w:jc w:val="right"/>
              <w:rPr>
                <w:sz w:val="22"/>
                <w:szCs w:val="22"/>
              </w:rPr>
            </w:pPr>
            <w:r w:rsidRPr="00D51778">
              <w:rPr>
                <w:rFonts w:cs="Calibri"/>
                <w:color w:val="000000"/>
                <w:sz w:val="22"/>
                <w:szCs w:val="22"/>
                <w:lang w:val="ga"/>
              </w:rPr>
              <w:t>8.1%</w:t>
            </w:r>
          </w:p>
        </w:tc>
      </w:tr>
      <w:tr w:rsidR="00B525C7" w:rsidRPr="00D51778" w14:paraId="4F654018" w14:textId="77777777" w:rsidTr="00DA4BB4">
        <w:trPr>
          <w:jc w:val="center"/>
        </w:trPr>
        <w:tc>
          <w:tcPr>
            <w:tcW w:w="2137" w:type="dxa"/>
          </w:tcPr>
          <w:p w14:paraId="34977C44" w14:textId="59F8C590" w:rsidR="00B525C7" w:rsidRPr="00D51778" w:rsidRDefault="00B525C7" w:rsidP="00634303">
            <w:pPr>
              <w:pStyle w:val="TableHead"/>
              <w:rPr>
                <w:b w:val="0"/>
                <w:sz w:val="22"/>
                <w:szCs w:val="22"/>
              </w:rPr>
            </w:pPr>
            <w:r w:rsidRPr="00D51778">
              <w:rPr>
                <w:rFonts w:cs="Calibri"/>
                <w:b w:val="0"/>
                <w:color w:val="000000"/>
                <w:sz w:val="22"/>
                <w:szCs w:val="22"/>
                <w:lang w:val="ga"/>
              </w:rPr>
              <w:t>Ollscoil Teicneolaíochta Bhaile Átha Cliath</w:t>
            </w:r>
          </w:p>
        </w:tc>
        <w:tc>
          <w:tcPr>
            <w:tcW w:w="1701" w:type="dxa"/>
          </w:tcPr>
          <w:p w14:paraId="3286F979" w14:textId="5509ECCB" w:rsidR="00B525C7" w:rsidRPr="00D51778" w:rsidRDefault="00B525C7" w:rsidP="00634303">
            <w:pPr>
              <w:spacing w:after="0"/>
              <w:jc w:val="right"/>
              <w:rPr>
                <w:sz w:val="22"/>
                <w:szCs w:val="22"/>
              </w:rPr>
            </w:pPr>
            <w:r w:rsidRPr="00D51778">
              <w:rPr>
                <w:rFonts w:cs="Calibri"/>
                <w:color w:val="000000"/>
                <w:sz w:val="22"/>
                <w:szCs w:val="22"/>
                <w:lang w:val="ga"/>
              </w:rPr>
              <w:t>3,079</w:t>
            </w:r>
          </w:p>
        </w:tc>
        <w:tc>
          <w:tcPr>
            <w:tcW w:w="1549" w:type="dxa"/>
          </w:tcPr>
          <w:p w14:paraId="7F1D5658" w14:textId="417FBA26" w:rsidR="00B525C7" w:rsidRPr="00D51778" w:rsidRDefault="00B525C7" w:rsidP="00634303">
            <w:pPr>
              <w:pStyle w:val="TableHead"/>
              <w:jc w:val="right"/>
              <w:rPr>
                <w:b w:val="0"/>
                <w:sz w:val="22"/>
                <w:szCs w:val="22"/>
              </w:rPr>
            </w:pPr>
            <w:r w:rsidRPr="00D51778">
              <w:rPr>
                <w:rFonts w:cs="Calibri"/>
                <w:b w:val="0"/>
                <w:color w:val="000000"/>
                <w:sz w:val="22"/>
                <w:szCs w:val="22"/>
                <w:lang w:val="ga"/>
              </w:rPr>
              <w:t>251</w:t>
            </w:r>
          </w:p>
        </w:tc>
        <w:tc>
          <w:tcPr>
            <w:tcW w:w="1569" w:type="dxa"/>
          </w:tcPr>
          <w:p w14:paraId="2386616F" w14:textId="02A95C86" w:rsidR="00B525C7" w:rsidRPr="00D51778" w:rsidRDefault="00B525C7" w:rsidP="00634303">
            <w:pPr>
              <w:pStyle w:val="TableHead"/>
              <w:jc w:val="right"/>
              <w:rPr>
                <w:b w:val="0"/>
                <w:sz w:val="22"/>
                <w:szCs w:val="22"/>
              </w:rPr>
            </w:pPr>
            <w:r w:rsidRPr="00D51778">
              <w:rPr>
                <w:rFonts w:cs="Calibri"/>
                <w:b w:val="0"/>
                <w:color w:val="000000"/>
                <w:sz w:val="22"/>
                <w:szCs w:val="22"/>
                <w:lang w:val="ga"/>
              </w:rPr>
              <w:t>8.2%</w:t>
            </w:r>
          </w:p>
        </w:tc>
        <w:tc>
          <w:tcPr>
            <w:tcW w:w="1261" w:type="dxa"/>
          </w:tcPr>
          <w:p w14:paraId="7554B5B7" w14:textId="089728E4" w:rsidR="00B525C7" w:rsidRPr="00D51778" w:rsidRDefault="00B525C7" w:rsidP="00634303">
            <w:pPr>
              <w:pStyle w:val="TableHead"/>
              <w:jc w:val="right"/>
              <w:rPr>
                <w:b w:val="0"/>
                <w:sz w:val="22"/>
                <w:szCs w:val="22"/>
              </w:rPr>
            </w:pPr>
            <w:r w:rsidRPr="00D51778">
              <w:rPr>
                <w:rFonts w:cs="Calibri"/>
                <w:b w:val="0"/>
                <w:color w:val="000000"/>
                <w:sz w:val="22"/>
                <w:szCs w:val="22"/>
                <w:lang w:val="ga"/>
              </w:rPr>
              <w:t>3,275</w:t>
            </w:r>
          </w:p>
        </w:tc>
        <w:tc>
          <w:tcPr>
            <w:tcW w:w="1564" w:type="dxa"/>
          </w:tcPr>
          <w:p w14:paraId="4DCC17E1" w14:textId="21D1F3D1" w:rsidR="00B525C7" w:rsidRPr="00D51778" w:rsidRDefault="00B525C7" w:rsidP="00634303">
            <w:pPr>
              <w:pStyle w:val="TableHead"/>
              <w:jc w:val="right"/>
              <w:rPr>
                <w:b w:val="0"/>
                <w:sz w:val="22"/>
                <w:szCs w:val="22"/>
              </w:rPr>
            </w:pPr>
            <w:r w:rsidRPr="00D51778">
              <w:rPr>
                <w:rFonts w:cs="Calibri"/>
                <w:b w:val="0"/>
                <w:color w:val="000000"/>
                <w:sz w:val="22"/>
                <w:szCs w:val="22"/>
                <w:lang w:val="ga"/>
              </w:rPr>
              <w:t>97</w:t>
            </w:r>
          </w:p>
        </w:tc>
        <w:tc>
          <w:tcPr>
            <w:tcW w:w="1569" w:type="dxa"/>
          </w:tcPr>
          <w:p w14:paraId="29BCE9E2" w14:textId="46DB76B3" w:rsidR="00B525C7" w:rsidRPr="00D51778" w:rsidRDefault="00B525C7" w:rsidP="00634303">
            <w:pPr>
              <w:spacing w:after="0"/>
              <w:jc w:val="right"/>
              <w:rPr>
                <w:sz w:val="22"/>
                <w:szCs w:val="22"/>
              </w:rPr>
            </w:pPr>
            <w:r w:rsidRPr="00D51778">
              <w:rPr>
                <w:rFonts w:cs="Calibri"/>
                <w:color w:val="000000"/>
                <w:sz w:val="22"/>
                <w:szCs w:val="22"/>
                <w:lang w:val="ga"/>
              </w:rPr>
              <w:t>3.0%</w:t>
            </w:r>
          </w:p>
        </w:tc>
      </w:tr>
      <w:tr w:rsidR="00B525C7" w:rsidRPr="00D51778" w14:paraId="3D8F8C4D" w14:textId="77777777" w:rsidTr="00DA4BB4">
        <w:trPr>
          <w:jc w:val="center"/>
        </w:trPr>
        <w:tc>
          <w:tcPr>
            <w:tcW w:w="2137" w:type="dxa"/>
          </w:tcPr>
          <w:p w14:paraId="2319D1A9" w14:textId="77777777" w:rsidR="00F779A3" w:rsidRDefault="00F779A3" w:rsidP="00F779A3">
            <w:pPr>
              <w:spacing w:after="0"/>
              <w:rPr>
                <w:sz w:val="22"/>
                <w:szCs w:val="22"/>
                <w:lang w:val="ga-IE" w:eastAsia="en-IE"/>
              </w:rPr>
            </w:pPr>
            <w:r w:rsidRPr="001B12F1">
              <w:rPr>
                <w:sz w:val="22"/>
                <w:szCs w:val="22"/>
                <w:lang w:val="ga-IE" w:eastAsia="en-IE"/>
              </w:rPr>
              <w:t>Ollscoil Teicneolaíochta na Sionainne (TUS): Lár-Iarthar Láir (Campas Bhaile Átha Luain)</w:t>
            </w:r>
          </w:p>
          <w:p w14:paraId="2A626528" w14:textId="77777777" w:rsidR="002E7537" w:rsidRPr="002E7537" w:rsidRDefault="00B525C7" w:rsidP="002E7537">
            <w:pPr>
              <w:spacing w:after="0"/>
              <w:rPr>
                <w:b/>
                <w:sz w:val="22"/>
                <w:szCs w:val="22"/>
                <w:lang w:val="ga-IE" w:eastAsia="en-IE"/>
              </w:rPr>
            </w:pPr>
            <w:r w:rsidRPr="00F779A3">
              <w:rPr>
                <w:rFonts w:cs="Calibri"/>
                <w:b/>
                <w:bCs/>
                <w:color w:val="000000"/>
                <w:sz w:val="22"/>
                <w:szCs w:val="22"/>
                <w:lang w:val="ga"/>
              </w:rPr>
              <w:t xml:space="preserve">(Sa bhliain 2021, chumaisc Institiúid Teicneolaíochta Bhaile Átha Luain agus Institiúid Teicneolaíochta Luimnigh chun </w:t>
            </w:r>
            <w:r w:rsidR="002E7537" w:rsidRPr="002E7537">
              <w:rPr>
                <w:b/>
                <w:sz w:val="22"/>
                <w:szCs w:val="22"/>
                <w:lang w:val="ga-IE" w:eastAsia="en-IE"/>
              </w:rPr>
              <w:t>Ollscoil Teicneolaíochta na Sionainne (TUS): Lár-Iarthar Láir (Campas Bhaile Átha Luain)</w:t>
            </w:r>
          </w:p>
          <w:p w14:paraId="0AB77F28" w14:textId="094F5C18" w:rsidR="00B525C7" w:rsidRPr="00F779A3" w:rsidRDefault="00B525C7" w:rsidP="002E7537">
            <w:pPr>
              <w:rPr>
                <w:b/>
                <w:sz w:val="22"/>
                <w:szCs w:val="22"/>
                <w:lang w:eastAsia="en-IE"/>
              </w:rPr>
            </w:pPr>
            <w:r w:rsidRPr="00F779A3">
              <w:rPr>
                <w:rFonts w:cs="Calibri"/>
                <w:b/>
                <w:bCs/>
                <w:color w:val="000000"/>
                <w:sz w:val="22"/>
                <w:szCs w:val="22"/>
                <w:lang w:val="ga"/>
              </w:rPr>
              <w:t>a chruthú. Is comhlacht poiblí nua é sin a cruthaíodh sa bhliain 2021 agus ní dhearna sé tuairisceán Chuid 5 sa bhliain 2020)</w:t>
            </w:r>
          </w:p>
        </w:tc>
        <w:tc>
          <w:tcPr>
            <w:tcW w:w="1701" w:type="dxa"/>
          </w:tcPr>
          <w:p w14:paraId="3C95E019" w14:textId="6E5E0B45" w:rsidR="00B525C7" w:rsidRPr="00D51778" w:rsidRDefault="00AB151D" w:rsidP="00634303">
            <w:pPr>
              <w:spacing w:after="0"/>
              <w:jc w:val="right"/>
              <w:rPr>
                <w:sz w:val="22"/>
                <w:szCs w:val="22"/>
              </w:rPr>
            </w:pPr>
            <w:r w:rsidRPr="00D51778">
              <w:rPr>
                <w:rFonts w:cs="Calibri"/>
                <w:color w:val="000000"/>
                <w:sz w:val="22"/>
                <w:szCs w:val="22"/>
                <w:lang w:val="ga"/>
              </w:rPr>
              <w:t>. </w:t>
            </w:r>
          </w:p>
        </w:tc>
        <w:tc>
          <w:tcPr>
            <w:tcW w:w="1549" w:type="dxa"/>
          </w:tcPr>
          <w:p w14:paraId="5CC2EC42" w14:textId="7CE6FEDC" w:rsidR="00B525C7" w:rsidRPr="00D51778" w:rsidRDefault="00AB151D" w:rsidP="00634303">
            <w:pPr>
              <w:pStyle w:val="TableHead"/>
              <w:jc w:val="right"/>
              <w:rPr>
                <w:b w:val="0"/>
                <w:sz w:val="22"/>
                <w:szCs w:val="22"/>
              </w:rPr>
            </w:pPr>
            <w:r w:rsidRPr="00D51778">
              <w:rPr>
                <w:rFonts w:cs="Calibri"/>
                <w:b w:val="0"/>
                <w:color w:val="000000"/>
                <w:sz w:val="22"/>
                <w:szCs w:val="22"/>
                <w:lang w:val="ga"/>
              </w:rPr>
              <w:t>. </w:t>
            </w:r>
          </w:p>
        </w:tc>
        <w:tc>
          <w:tcPr>
            <w:tcW w:w="1569" w:type="dxa"/>
          </w:tcPr>
          <w:p w14:paraId="3CEE7D43" w14:textId="364F410B" w:rsidR="00B525C7" w:rsidRPr="00D51778" w:rsidRDefault="00B525C7" w:rsidP="00634303">
            <w:pPr>
              <w:pStyle w:val="TableHead"/>
              <w:jc w:val="right"/>
              <w:rPr>
                <w:b w:val="0"/>
                <w:sz w:val="22"/>
                <w:szCs w:val="22"/>
              </w:rPr>
            </w:pPr>
            <w:r w:rsidRPr="00D51778">
              <w:rPr>
                <w:rFonts w:cs="Calibri"/>
                <w:b w:val="0"/>
                <w:color w:val="000000"/>
                <w:sz w:val="22"/>
                <w:szCs w:val="22"/>
                <w:lang w:val="ga"/>
              </w:rPr>
              <w:t> </w:t>
            </w:r>
          </w:p>
        </w:tc>
        <w:tc>
          <w:tcPr>
            <w:tcW w:w="1261" w:type="dxa"/>
          </w:tcPr>
          <w:p w14:paraId="244852A7" w14:textId="2E024635" w:rsidR="00B525C7" w:rsidRPr="00D51778" w:rsidRDefault="00B525C7" w:rsidP="00634303">
            <w:pPr>
              <w:pStyle w:val="TableHead"/>
              <w:jc w:val="right"/>
              <w:rPr>
                <w:b w:val="0"/>
                <w:sz w:val="22"/>
                <w:szCs w:val="22"/>
              </w:rPr>
            </w:pPr>
            <w:r w:rsidRPr="00D51778">
              <w:rPr>
                <w:rFonts w:cs="Calibri"/>
                <w:b w:val="0"/>
                <w:color w:val="000000"/>
                <w:sz w:val="22"/>
                <w:szCs w:val="22"/>
                <w:lang w:val="ga"/>
              </w:rPr>
              <w:t>1,423</w:t>
            </w:r>
          </w:p>
        </w:tc>
        <w:tc>
          <w:tcPr>
            <w:tcW w:w="1564" w:type="dxa"/>
          </w:tcPr>
          <w:p w14:paraId="059785F2" w14:textId="0E834EBA" w:rsidR="00B525C7" w:rsidRPr="00D51778" w:rsidRDefault="00B525C7" w:rsidP="00634303">
            <w:pPr>
              <w:pStyle w:val="TableHead"/>
              <w:jc w:val="right"/>
              <w:rPr>
                <w:b w:val="0"/>
                <w:sz w:val="22"/>
                <w:szCs w:val="22"/>
              </w:rPr>
            </w:pPr>
            <w:r w:rsidRPr="00D51778">
              <w:rPr>
                <w:rFonts w:cs="Calibri"/>
                <w:b w:val="0"/>
                <w:color w:val="000000"/>
                <w:sz w:val="22"/>
                <w:szCs w:val="22"/>
                <w:lang w:val="ga"/>
              </w:rPr>
              <w:t>69</w:t>
            </w:r>
          </w:p>
        </w:tc>
        <w:tc>
          <w:tcPr>
            <w:tcW w:w="1569" w:type="dxa"/>
          </w:tcPr>
          <w:p w14:paraId="20FA4E03" w14:textId="6C6592F5" w:rsidR="00B525C7" w:rsidRPr="00D51778" w:rsidRDefault="00B525C7" w:rsidP="00634303">
            <w:pPr>
              <w:spacing w:after="0"/>
              <w:jc w:val="right"/>
              <w:rPr>
                <w:sz w:val="22"/>
                <w:szCs w:val="22"/>
              </w:rPr>
            </w:pPr>
            <w:r w:rsidRPr="00D51778">
              <w:rPr>
                <w:rFonts w:cs="Calibri"/>
                <w:color w:val="000000"/>
                <w:sz w:val="22"/>
                <w:szCs w:val="22"/>
                <w:lang w:val="ga"/>
              </w:rPr>
              <w:t>4.9%</w:t>
            </w:r>
          </w:p>
        </w:tc>
      </w:tr>
      <w:tr w:rsidR="00084E46" w:rsidRPr="00D51778" w14:paraId="084E4F04" w14:textId="77777777" w:rsidTr="00DA4BB4">
        <w:trPr>
          <w:jc w:val="center"/>
        </w:trPr>
        <w:tc>
          <w:tcPr>
            <w:tcW w:w="2137" w:type="dxa"/>
          </w:tcPr>
          <w:p w14:paraId="46DE9F46" w14:textId="50C69227" w:rsidR="00084E46" w:rsidRPr="00D51778" w:rsidRDefault="00084E46" w:rsidP="00634303">
            <w:pPr>
              <w:pStyle w:val="TableHead"/>
              <w:rPr>
                <w:sz w:val="22"/>
                <w:szCs w:val="22"/>
              </w:rPr>
            </w:pPr>
            <w:r w:rsidRPr="00D51778">
              <w:rPr>
                <w:bCs/>
                <w:sz w:val="22"/>
                <w:szCs w:val="22"/>
                <w:lang w:val="ga"/>
              </w:rPr>
              <w:t>Mór-Iomlán</w:t>
            </w:r>
          </w:p>
        </w:tc>
        <w:tc>
          <w:tcPr>
            <w:tcW w:w="1701" w:type="dxa"/>
          </w:tcPr>
          <w:p w14:paraId="6ABDCC28" w14:textId="52D955B7" w:rsidR="003F2D20" w:rsidRPr="00D51778" w:rsidRDefault="003F2D20" w:rsidP="00634303">
            <w:pPr>
              <w:spacing w:after="0"/>
              <w:jc w:val="right"/>
              <w:rPr>
                <w:rFonts w:cs="Calibri"/>
                <w:b/>
                <w:bCs/>
                <w:color w:val="000000"/>
                <w:sz w:val="22"/>
                <w:szCs w:val="22"/>
              </w:rPr>
            </w:pPr>
            <w:r w:rsidRPr="00D51778">
              <w:rPr>
                <w:rFonts w:cs="Calibri"/>
                <w:b/>
                <w:bCs/>
                <w:color w:val="000000"/>
                <w:sz w:val="22"/>
                <w:szCs w:val="22"/>
                <w:lang w:val="ga"/>
              </w:rPr>
              <w:t>11,753</w:t>
            </w:r>
          </w:p>
          <w:p w14:paraId="659127FB" w14:textId="77777777" w:rsidR="00084E46" w:rsidRPr="00D51778" w:rsidRDefault="00084E46" w:rsidP="00634303">
            <w:pPr>
              <w:spacing w:after="0"/>
              <w:jc w:val="right"/>
              <w:rPr>
                <w:b/>
                <w:sz w:val="22"/>
                <w:szCs w:val="22"/>
              </w:rPr>
            </w:pPr>
          </w:p>
        </w:tc>
        <w:tc>
          <w:tcPr>
            <w:tcW w:w="1549" w:type="dxa"/>
          </w:tcPr>
          <w:p w14:paraId="4C756C54" w14:textId="77777777" w:rsidR="003F2D20" w:rsidRPr="00D51778" w:rsidRDefault="003F2D20" w:rsidP="00634303">
            <w:pPr>
              <w:spacing w:after="0"/>
              <w:jc w:val="right"/>
              <w:rPr>
                <w:rFonts w:cs="Calibri"/>
                <w:b/>
                <w:bCs/>
                <w:color w:val="000000"/>
                <w:sz w:val="22"/>
                <w:szCs w:val="22"/>
              </w:rPr>
            </w:pPr>
            <w:r w:rsidRPr="00D51778">
              <w:rPr>
                <w:rFonts w:cs="Calibri"/>
                <w:b/>
                <w:bCs/>
                <w:color w:val="000000"/>
                <w:sz w:val="22"/>
                <w:szCs w:val="22"/>
                <w:lang w:val="ga"/>
              </w:rPr>
              <w:t>584</w:t>
            </w:r>
          </w:p>
          <w:p w14:paraId="0CB7A313" w14:textId="77777777" w:rsidR="00084E46" w:rsidRPr="00D51778" w:rsidRDefault="00084E46" w:rsidP="00634303">
            <w:pPr>
              <w:pStyle w:val="TableHead"/>
              <w:jc w:val="right"/>
              <w:rPr>
                <w:sz w:val="22"/>
                <w:szCs w:val="22"/>
              </w:rPr>
            </w:pPr>
          </w:p>
        </w:tc>
        <w:tc>
          <w:tcPr>
            <w:tcW w:w="1569" w:type="dxa"/>
          </w:tcPr>
          <w:p w14:paraId="7BF7D00A" w14:textId="68B69658" w:rsidR="00084E46" w:rsidRPr="00D51778" w:rsidRDefault="00B137F2" w:rsidP="00634303">
            <w:pPr>
              <w:pStyle w:val="TableHead"/>
              <w:jc w:val="right"/>
              <w:rPr>
                <w:sz w:val="22"/>
                <w:szCs w:val="22"/>
              </w:rPr>
            </w:pPr>
            <w:r w:rsidRPr="00D51778">
              <w:rPr>
                <w:bCs/>
                <w:sz w:val="22"/>
                <w:szCs w:val="22"/>
                <w:lang w:val="ga"/>
              </w:rPr>
              <w:t>5.0%</w:t>
            </w:r>
          </w:p>
        </w:tc>
        <w:tc>
          <w:tcPr>
            <w:tcW w:w="1261" w:type="dxa"/>
          </w:tcPr>
          <w:p w14:paraId="1A0E62AC" w14:textId="4E5F3C44" w:rsidR="003F2D20" w:rsidRPr="00D51778" w:rsidRDefault="003F2D20" w:rsidP="00634303">
            <w:pPr>
              <w:spacing w:after="0"/>
              <w:jc w:val="right"/>
              <w:rPr>
                <w:rFonts w:cs="Calibri"/>
                <w:b/>
                <w:bCs/>
                <w:color w:val="000000"/>
                <w:sz w:val="22"/>
                <w:szCs w:val="22"/>
              </w:rPr>
            </w:pPr>
            <w:r w:rsidRPr="00D51778">
              <w:rPr>
                <w:rFonts w:cs="Calibri"/>
                <w:b/>
                <w:bCs/>
                <w:color w:val="000000"/>
                <w:sz w:val="22"/>
                <w:szCs w:val="22"/>
                <w:lang w:val="ga"/>
              </w:rPr>
              <w:t>12,179</w:t>
            </w:r>
          </w:p>
          <w:p w14:paraId="6CF4FC0D" w14:textId="77777777" w:rsidR="00084E46" w:rsidRPr="00D51778" w:rsidRDefault="00084E46" w:rsidP="00634303">
            <w:pPr>
              <w:pStyle w:val="TableHead"/>
              <w:jc w:val="right"/>
              <w:rPr>
                <w:sz w:val="22"/>
                <w:szCs w:val="22"/>
              </w:rPr>
            </w:pPr>
          </w:p>
        </w:tc>
        <w:tc>
          <w:tcPr>
            <w:tcW w:w="1564" w:type="dxa"/>
          </w:tcPr>
          <w:p w14:paraId="263CFD49" w14:textId="77777777" w:rsidR="003F2D20" w:rsidRPr="00D51778" w:rsidRDefault="003F2D20" w:rsidP="00634303">
            <w:pPr>
              <w:spacing w:after="0"/>
              <w:jc w:val="right"/>
              <w:rPr>
                <w:rFonts w:cs="Calibri"/>
                <w:b/>
                <w:bCs/>
                <w:color w:val="000000"/>
                <w:sz w:val="22"/>
                <w:szCs w:val="22"/>
              </w:rPr>
            </w:pPr>
            <w:r w:rsidRPr="00D51778">
              <w:rPr>
                <w:rFonts w:cs="Calibri"/>
                <w:b/>
                <w:bCs/>
                <w:color w:val="000000"/>
                <w:sz w:val="22"/>
                <w:szCs w:val="22"/>
                <w:lang w:val="ga"/>
              </w:rPr>
              <w:t>466</w:t>
            </w:r>
          </w:p>
          <w:p w14:paraId="0D7678A2" w14:textId="77777777" w:rsidR="00084E46" w:rsidRPr="00D51778" w:rsidRDefault="00084E46" w:rsidP="00634303">
            <w:pPr>
              <w:pStyle w:val="TableHead"/>
              <w:jc w:val="right"/>
              <w:rPr>
                <w:sz w:val="22"/>
                <w:szCs w:val="22"/>
              </w:rPr>
            </w:pPr>
          </w:p>
        </w:tc>
        <w:tc>
          <w:tcPr>
            <w:tcW w:w="1569" w:type="dxa"/>
          </w:tcPr>
          <w:p w14:paraId="14FEA6B6" w14:textId="0021E833" w:rsidR="00084E46" w:rsidRPr="00D51778" w:rsidRDefault="00B137F2" w:rsidP="00634303">
            <w:pPr>
              <w:spacing w:after="0"/>
              <w:jc w:val="right"/>
              <w:rPr>
                <w:b/>
                <w:sz w:val="22"/>
                <w:szCs w:val="22"/>
              </w:rPr>
            </w:pPr>
            <w:r w:rsidRPr="00D51778">
              <w:rPr>
                <w:b/>
                <w:bCs/>
                <w:sz w:val="22"/>
                <w:szCs w:val="22"/>
                <w:lang w:val="ga"/>
              </w:rPr>
              <w:t>3.8%</w:t>
            </w:r>
          </w:p>
        </w:tc>
      </w:tr>
    </w:tbl>
    <w:p w14:paraId="02E95D00" w14:textId="77777777" w:rsidR="00DA248F" w:rsidRDefault="00DA248F" w:rsidP="00001536">
      <w:pPr>
        <w:pStyle w:val="Heading2"/>
        <w:spacing w:after="120"/>
        <w:jc w:val="center"/>
        <w:rPr>
          <w:bCs/>
          <w:color w:val="000000" w:themeColor="text1"/>
          <w:lang w:val="ga"/>
        </w:rPr>
      </w:pPr>
    </w:p>
    <w:p w14:paraId="35646811" w14:textId="77777777" w:rsidR="00DA248F" w:rsidRDefault="00DA248F" w:rsidP="00001536">
      <w:pPr>
        <w:pStyle w:val="Heading2"/>
        <w:spacing w:after="120"/>
        <w:jc w:val="center"/>
        <w:rPr>
          <w:bCs/>
          <w:color w:val="000000" w:themeColor="text1"/>
          <w:lang w:val="ga"/>
        </w:rPr>
      </w:pPr>
    </w:p>
    <w:p w14:paraId="189D1251" w14:textId="02DEB8CE" w:rsidR="000D5C5D" w:rsidRPr="00D51778" w:rsidRDefault="00624403" w:rsidP="00001536">
      <w:pPr>
        <w:pStyle w:val="Heading2"/>
        <w:spacing w:after="120"/>
        <w:jc w:val="center"/>
        <w:rPr>
          <w:color w:val="000000" w:themeColor="text1"/>
        </w:rPr>
      </w:pPr>
      <w:bookmarkStart w:id="74" w:name="_Toc124367422"/>
      <w:r w:rsidRPr="00D51778">
        <w:rPr>
          <w:bCs/>
          <w:color w:val="000000" w:themeColor="text1"/>
          <w:lang w:val="ga"/>
        </w:rPr>
        <w:t>An Roinn Sláinte</w:t>
      </w:r>
      <w:bookmarkEnd w:id="74"/>
    </w:p>
    <w:tbl>
      <w:tblPr>
        <w:tblStyle w:val="TableGrid"/>
        <w:tblW w:w="11350" w:type="dxa"/>
        <w:jc w:val="center"/>
        <w:tblLayout w:type="fixed"/>
        <w:tblLook w:val="04A0" w:firstRow="1" w:lastRow="0" w:firstColumn="1" w:lastColumn="0" w:noHBand="0" w:noVBand="1"/>
        <w:tblCaption w:val="Department of Health "/>
      </w:tblPr>
      <w:tblGrid>
        <w:gridCol w:w="2137"/>
        <w:gridCol w:w="1690"/>
        <w:gridCol w:w="1418"/>
        <w:gridCol w:w="1559"/>
        <w:gridCol w:w="1559"/>
        <w:gridCol w:w="1418"/>
        <w:gridCol w:w="1569"/>
      </w:tblGrid>
      <w:tr w:rsidR="003F62BE" w:rsidRPr="00D51778" w14:paraId="1D84C0F6" w14:textId="77777777" w:rsidTr="00DA248F">
        <w:trPr>
          <w:tblHeader/>
          <w:jc w:val="center"/>
        </w:trPr>
        <w:tc>
          <w:tcPr>
            <w:tcW w:w="2137" w:type="dxa"/>
          </w:tcPr>
          <w:p w14:paraId="6DF6DAB6" w14:textId="77777777" w:rsidR="003F62BE" w:rsidRPr="00C75B07" w:rsidRDefault="003F62BE" w:rsidP="00812E67">
            <w:pPr>
              <w:pStyle w:val="TableHead"/>
              <w:rPr>
                <w:sz w:val="22"/>
                <w:szCs w:val="22"/>
              </w:rPr>
            </w:pPr>
            <w:r w:rsidRPr="00C75B07">
              <w:rPr>
                <w:bCs/>
                <w:sz w:val="22"/>
                <w:szCs w:val="22"/>
                <w:lang w:val="ga"/>
              </w:rPr>
              <w:t>Comhlacht Poiblí</w:t>
            </w:r>
          </w:p>
        </w:tc>
        <w:tc>
          <w:tcPr>
            <w:tcW w:w="1690" w:type="dxa"/>
          </w:tcPr>
          <w:p w14:paraId="4D35BB03" w14:textId="77777777" w:rsidR="006009BB" w:rsidRPr="00C75B07" w:rsidRDefault="00F1261F" w:rsidP="00812E67">
            <w:pPr>
              <w:pStyle w:val="TableHead"/>
              <w:rPr>
                <w:bCs/>
                <w:sz w:val="22"/>
                <w:szCs w:val="22"/>
                <w:lang w:val="ga"/>
              </w:rPr>
            </w:pPr>
            <w:r w:rsidRPr="00C75B07">
              <w:rPr>
                <w:bCs/>
                <w:sz w:val="22"/>
                <w:szCs w:val="22"/>
                <w:lang w:val="ga"/>
              </w:rPr>
              <w:t xml:space="preserve">An líon iomlán fostaithe </w:t>
            </w:r>
          </w:p>
          <w:p w14:paraId="323165D0" w14:textId="3D6B01ED" w:rsidR="003F62BE" w:rsidRPr="00C75B07" w:rsidRDefault="00F1261F" w:rsidP="00812E67">
            <w:pPr>
              <w:pStyle w:val="TableHead"/>
              <w:rPr>
                <w:sz w:val="22"/>
                <w:szCs w:val="22"/>
              </w:rPr>
            </w:pPr>
            <w:r w:rsidRPr="00C75B07">
              <w:rPr>
                <w:bCs/>
                <w:sz w:val="22"/>
                <w:szCs w:val="22"/>
                <w:lang w:val="ga"/>
              </w:rPr>
              <w:t>2020</w:t>
            </w:r>
          </w:p>
        </w:tc>
        <w:tc>
          <w:tcPr>
            <w:tcW w:w="1418" w:type="dxa"/>
          </w:tcPr>
          <w:p w14:paraId="2C1BB368" w14:textId="6E2E9C89" w:rsidR="003F62BE" w:rsidRPr="00C75B07" w:rsidRDefault="003F62BE" w:rsidP="00812E67">
            <w:pPr>
              <w:pStyle w:val="TableHead"/>
              <w:rPr>
                <w:sz w:val="22"/>
                <w:szCs w:val="22"/>
              </w:rPr>
            </w:pPr>
            <w:r w:rsidRPr="00C75B07">
              <w:rPr>
                <w:bCs/>
                <w:sz w:val="22"/>
                <w:szCs w:val="22"/>
                <w:lang w:val="ga"/>
              </w:rPr>
              <w:t xml:space="preserve">An líon fostaithe a thuairiscigh míchumas </w:t>
            </w:r>
          </w:p>
          <w:p w14:paraId="3DBE6443" w14:textId="7F03A52D" w:rsidR="003F62BE" w:rsidRPr="00C75B07" w:rsidRDefault="00F1261F" w:rsidP="00812E67">
            <w:pPr>
              <w:pStyle w:val="TableHead"/>
              <w:rPr>
                <w:sz w:val="22"/>
                <w:szCs w:val="22"/>
              </w:rPr>
            </w:pPr>
            <w:r w:rsidRPr="00C75B07">
              <w:rPr>
                <w:bCs/>
                <w:sz w:val="22"/>
                <w:szCs w:val="22"/>
                <w:lang w:val="ga"/>
              </w:rPr>
              <w:t>2020</w:t>
            </w:r>
          </w:p>
        </w:tc>
        <w:tc>
          <w:tcPr>
            <w:tcW w:w="1559" w:type="dxa"/>
          </w:tcPr>
          <w:p w14:paraId="4C19431E" w14:textId="1615AEC9" w:rsidR="003F62BE" w:rsidRPr="00C75B07" w:rsidRDefault="003F62BE" w:rsidP="00812E67">
            <w:pPr>
              <w:pStyle w:val="TableHead"/>
              <w:rPr>
                <w:sz w:val="22"/>
                <w:szCs w:val="22"/>
              </w:rPr>
            </w:pPr>
            <w:r w:rsidRPr="00C75B07">
              <w:rPr>
                <w:bCs/>
                <w:sz w:val="22"/>
                <w:szCs w:val="22"/>
                <w:lang w:val="ga"/>
              </w:rPr>
              <w:t>An % d’fhostaithe a thuairiscigh</w:t>
            </w:r>
          </w:p>
          <w:p w14:paraId="0030BB81" w14:textId="52250F5A" w:rsidR="003F62BE" w:rsidRPr="00C75B07" w:rsidRDefault="00254A95" w:rsidP="00812E67">
            <w:pPr>
              <w:pStyle w:val="TableHead"/>
              <w:rPr>
                <w:sz w:val="22"/>
                <w:szCs w:val="22"/>
              </w:rPr>
            </w:pPr>
            <w:r w:rsidRPr="00C75B07">
              <w:rPr>
                <w:bCs/>
                <w:sz w:val="22"/>
                <w:szCs w:val="22"/>
                <w:lang w:val="ga"/>
              </w:rPr>
              <w:t>míchumas 2020</w:t>
            </w:r>
          </w:p>
        </w:tc>
        <w:tc>
          <w:tcPr>
            <w:tcW w:w="1559" w:type="dxa"/>
          </w:tcPr>
          <w:p w14:paraId="68960307" w14:textId="4228F037" w:rsidR="003F62BE" w:rsidRPr="00C75B07" w:rsidRDefault="00F1261F" w:rsidP="00812E67">
            <w:pPr>
              <w:pStyle w:val="TableHead"/>
              <w:rPr>
                <w:sz w:val="22"/>
                <w:szCs w:val="22"/>
              </w:rPr>
            </w:pPr>
            <w:r w:rsidRPr="00C75B07">
              <w:rPr>
                <w:bCs/>
                <w:sz w:val="22"/>
                <w:szCs w:val="22"/>
                <w:lang w:val="ga"/>
              </w:rPr>
              <w:t>An líon iomlán fostaithe 2021</w:t>
            </w:r>
          </w:p>
        </w:tc>
        <w:tc>
          <w:tcPr>
            <w:tcW w:w="1418" w:type="dxa"/>
          </w:tcPr>
          <w:p w14:paraId="5DFF021A" w14:textId="1C951FA4" w:rsidR="003F62BE" w:rsidRPr="00C75B07" w:rsidRDefault="004B379F" w:rsidP="00812E67">
            <w:pPr>
              <w:pStyle w:val="TableHead"/>
              <w:rPr>
                <w:sz w:val="22"/>
                <w:szCs w:val="22"/>
              </w:rPr>
            </w:pPr>
            <w:r w:rsidRPr="00C75B07">
              <w:rPr>
                <w:bCs/>
                <w:sz w:val="22"/>
                <w:szCs w:val="22"/>
                <w:lang w:val="ga"/>
              </w:rPr>
              <w:t>An líon fostaithe a thuairiscigh míchumas</w:t>
            </w:r>
          </w:p>
          <w:p w14:paraId="1B009084" w14:textId="71C87D21" w:rsidR="003F62BE" w:rsidRPr="00C75B07" w:rsidRDefault="00F1261F" w:rsidP="00812E67">
            <w:pPr>
              <w:pStyle w:val="TableHead"/>
              <w:rPr>
                <w:sz w:val="22"/>
                <w:szCs w:val="22"/>
              </w:rPr>
            </w:pPr>
            <w:r w:rsidRPr="00C75B07">
              <w:rPr>
                <w:bCs/>
                <w:sz w:val="22"/>
                <w:szCs w:val="22"/>
                <w:lang w:val="ga"/>
              </w:rPr>
              <w:t>2021</w:t>
            </w:r>
          </w:p>
        </w:tc>
        <w:tc>
          <w:tcPr>
            <w:tcW w:w="1569" w:type="dxa"/>
          </w:tcPr>
          <w:p w14:paraId="7FB4CF19" w14:textId="3215A039" w:rsidR="003F62BE" w:rsidRPr="00C75B07" w:rsidRDefault="003F62BE" w:rsidP="00812E67">
            <w:pPr>
              <w:pStyle w:val="TableHead"/>
              <w:rPr>
                <w:sz w:val="22"/>
                <w:szCs w:val="22"/>
              </w:rPr>
            </w:pPr>
            <w:r w:rsidRPr="00C75B07">
              <w:rPr>
                <w:bCs/>
                <w:sz w:val="22"/>
                <w:szCs w:val="22"/>
                <w:lang w:val="ga"/>
              </w:rPr>
              <w:t>An % d’fhostaithe a thuairiscigh</w:t>
            </w:r>
          </w:p>
          <w:p w14:paraId="5679E64B" w14:textId="0C2F6EE7" w:rsidR="003F62BE" w:rsidRPr="00C75B07" w:rsidRDefault="00254A95" w:rsidP="00812E67">
            <w:pPr>
              <w:pStyle w:val="TableHead"/>
              <w:rPr>
                <w:sz w:val="22"/>
                <w:szCs w:val="22"/>
              </w:rPr>
            </w:pPr>
            <w:r w:rsidRPr="00C75B07">
              <w:rPr>
                <w:bCs/>
                <w:sz w:val="22"/>
                <w:szCs w:val="22"/>
                <w:lang w:val="ga"/>
              </w:rPr>
              <w:t>míchumas 2021</w:t>
            </w:r>
          </w:p>
        </w:tc>
      </w:tr>
      <w:tr w:rsidR="00E65B66" w:rsidRPr="00D51778" w14:paraId="61843E4C" w14:textId="77777777" w:rsidTr="00DA248F">
        <w:trPr>
          <w:jc w:val="center"/>
        </w:trPr>
        <w:tc>
          <w:tcPr>
            <w:tcW w:w="2137" w:type="dxa"/>
          </w:tcPr>
          <w:p w14:paraId="559976D7" w14:textId="4D1A83A5" w:rsidR="00E65B66" w:rsidRPr="00D51778" w:rsidRDefault="00E65B66" w:rsidP="00F22C59">
            <w:pPr>
              <w:rPr>
                <w:sz w:val="22"/>
                <w:szCs w:val="22"/>
              </w:rPr>
            </w:pPr>
            <w:r w:rsidRPr="00D51778">
              <w:rPr>
                <w:rFonts w:cs="Calibri"/>
                <w:color w:val="000000"/>
                <w:sz w:val="22"/>
                <w:szCs w:val="22"/>
                <w:lang w:val="ga"/>
              </w:rPr>
              <w:t>Ospidéal Beaumont</w:t>
            </w:r>
          </w:p>
        </w:tc>
        <w:tc>
          <w:tcPr>
            <w:tcW w:w="1690" w:type="dxa"/>
          </w:tcPr>
          <w:p w14:paraId="7B70EC92" w14:textId="1AF8E440" w:rsidR="00E65B66" w:rsidRPr="00D51778" w:rsidRDefault="00E65B66" w:rsidP="00634303">
            <w:pPr>
              <w:jc w:val="right"/>
              <w:rPr>
                <w:sz w:val="22"/>
                <w:szCs w:val="22"/>
              </w:rPr>
            </w:pPr>
            <w:r w:rsidRPr="00D51778">
              <w:rPr>
                <w:rFonts w:cs="Calibri"/>
                <w:color w:val="000000"/>
                <w:sz w:val="22"/>
                <w:szCs w:val="22"/>
                <w:lang w:val="ga"/>
              </w:rPr>
              <w:t>4,388</w:t>
            </w:r>
          </w:p>
        </w:tc>
        <w:tc>
          <w:tcPr>
            <w:tcW w:w="1418" w:type="dxa"/>
          </w:tcPr>
          <w:p w14:paraId="36308E68" w14:textId="0CB7CC9B" w:rsidR="00E65B66" w:rsidRPr="00D51778" w:rsidRDefault="00E65B66" w:rsidP="00634303">
            <w:pPr>
              <w:jc w:val="right"/>
              <w:rPr>
                <w:sz w:val="22"/>
                <w:szCs w:val="22"/>
              </w:rPr>
            </w:pPr>
            <w:r w:rsidRPr="00D51778">
              <w:rPr>
                <w:rFonts w:cs="Calibri"/>
                <w:color w:val="000000"/>
                <w:sz w:val="22"/>
                <w:szCs w:val="22"/>
                <w:lang w:val="ga"/>
              </w:rPr>
              <w:t>196</w:t>
            </w:r>
          </w:p>
        </w:tc>
        <w:tc>
          <w:tcPr>
            <w:tcW w:w="1559" w:type="dxa"/>
          </w:tcPr>
          <w:p w14:paraId="7FD3FEE0" w14:textId="04622A0B" w:rsidR="00E65B66" w:rsidRPr="00D51778" w:rsidRDefault="00E65B66" w:rsidP="00634303">
            <w:pPr>
              <w:jc w:val="right"/>
              <w:rPr>
                <w:sz w:val="22"/>
                <w:szCs w:val="22"/>
              </w:rPr>
            </w:pPr>
            <w:r w:rsidRPr="00D51778">
              <w:rPr>
                <w:rFonts w:cs="Calibri"/>
                <w:color w:val="000000"/>
                <w:sz w:val="22"/>
                <w:szCs w:val="22"/>
                <w:lang w:val="ga"/>
              </w:rPr>
              <w:t>4.5%</w:t>
            </w:r>
          </w:p>
        </w:tc>
        <w:tc>
          <w:tcPr>
            <w:tcW w:w="1559" w:type="dxa"/>
          </w:tcPr>
          <w:p w14:paraId="02E5C214" w14:textId="1A9387DA" w:rsidR="00E65B66" w:rsidRPr="00D51778" w:rsidRDefault="00E65B66" w:rsidP="00634303">
            <w:pPr>
              <w:jc w:val="right"/>
              <w:rPr>
                <w:sz w:val="22"/>
                <w:szCs w:val="22"/>
              </w:rPr>
            </w:pPr>
            <w:r w:rsidRPr="00D51778">
              <w:rPr>
                <w:rFonts w:cs="Calibri"/>
                <w:color w:val="000000"/>
                <w:sz w:val="22"/>
                <w:szCs w:val="22"/>
                <w:lang w:val="ga"/>
              </w:rPr>
              <w:t>4,508</w:t>
            </w:r>
          </w:p>
        </w:tc>
        <w:tc>
          <w:tcPr>
            <w:tcW w:w="1418" w:type="dxa"/>
          </w:tcPr>
          <w:p w14:paraId="43531F8E" w14:textId="78C57775" w:rsidR="00E65B66" w:rsidRPr="00D51778" w:rsidRDefault="00E65B66" w:rsidP="00634303">
            <w:pPr>
              <w:jc w:val="right"/>
              <w:rPr>
                <w:sz w:val="22"/>
                <w:szCs w:val="22"/>
              </w:rPr>
            </w:pPr>
            <w:r w:rsidRPr="00D51778">
              <w:rPr>
                <w:rFonts w:cs="Calibri"/>
                <w:color w:val="000000"/>
                <w:sz w:val="22"/>
                <w:szCs w:val="22"/>
                <w:lang w:val="ga"/>
              </w:rPr>
              <w:t>201</w:t>
            </w:r>
          </w:p>
        </w:tc>
        <w:tc>
          <w:tcPr>
            <w:tcW w:w="1569" w:type="dxa"/>
          </w:tcPr>
          <w:p w14:paraId="66EE5D75" w14:textId="7F5B438D" w:rsidR="00E65B66" w:rsidRPr="00D51778" w:rsidRDefault="00E65B66" w:rsidP="00634303">
            <w:pPr>
              <w:jc w:val="right"/>
              <w:rPr>
                <w:sz w:val="22"/>
                <w:szCs w:val="22"/>
              </w:rPr>
            </w:pPr>
            <w:r w:rsidRPr="00D51778">
              <w:rPr>
                <w:rFonts w:cs="Calibri"/>
                <w:color w:val="000000"/>
                <w:sz w:val="22"/>
                <w:szCs w:val="22"/>
                <w:lang w:val="ga"/>
              </w:rPr>
              <w:t>4.5%</w:t>
            </w:r>
          </w:p>
        </w:tc>
      </w:tr>
      <w:tr w:rsidR="00E65B66" w:rsidRPr="00D51778" w14:paraId="0E4F61F6" w14:textId="77777777" w:rsidTr="00DA248F">
        <w:trPr>
          <w:jc w:val="center"/>
        </w:trPr>
        <w:tc>
          <w:tcPr>
            <w:tcW w:w="2137" w:type="dxa"/>
          </w:tcPr>
          <w:p w14:paraId="182630D4" w14:textId="0D391F9F" w:rsidR="00E65B66" w:rsidRPr="00D51778" w:rsidRDefault="00E65B66" w:rsidP="00F22C59">
            <w:pPr>
              <w:rPr>
                <w:sz w:val="22"/>
                <w:szCs w:val="22"/>
              </w:rPr>
            </w:pPr>
            <w:r w:rsidRPr="00D51778">
              <w:rPr>
                <w:rFonts w:cs="Calibri"/>
                <w:color w:val="000000"/>
                <w:sz w:val="22"/>
                <w:szCs w:val="22"/>
                <w:lang w:val="ga"/>
              </w:rPr>
              <w:t>An Chomhairle Fiaclóireachta</w:t>
            </w:r>
          </w:p>
        </w:tc>
        <w:tc>
          <w:tcPr>
            <w:tcW w:w="1690" w:type="dxa"/>
          </w:tcPr>
          <w:p w14:paraId="0C2BEB1E" w14:textId="6725FCF2" w:rsidR="00E65B66" w:rsidRPr="00D51778" w:rsidRDefault="00E65B66" w:rsidP="00634303">
            <w:pPr>
              <w:jc w:val="right"/>
              <w:rPr>
                <w:sz w:val="22"/>
                <w:szCs w:val="22"/>
              </w:rPr>
            </w:pPr>
            <w:r w:rsidRPr="00D51778">
              <w:rPr>
                <w:rFonts w:cs="Calibri"/>
                <w:color w:val="000000"/>
                <w:sz w:val="22"/>
                <w:szCs w:val="22"/>
                <w:lang w:val="ga"/>
              </w:rPr>
              <w:t>7</w:t>
            </w:r>
          </w:p>
        </w:tc>
        <w:tc>
          <w:tcPr>
            <w:tcW w:w="1418" w:type="dxa"/>
          </w:tcPr>
          <w:p w14:paraId="0BE796EC" w14:textId="02311075" w:rsidR="00E65B66" w:rsidRPr="00D51778" w:rsidRDefault="00E65B66" w:rsidP="00634303">
            <w:pPr>
              <w:jc w:val="right"/>
              <w:rPr>
                <w:sz w:val="22"/>
                <w:szCs w:val="22"/>
              </w:rPr>
            </w:pPr>
            <w:r w:rsidRPr="00D51778">
              <w:rPr>
                <w:rFonts w:cs="Calibri"/>
                <w:color w:val="000000"/>
                <w:sz w:val="22"/>
                <w:szCs w:val="22"/>
                <w:lang w:val="ga"/>
              </w:rPr>
              <w:t>0</w:t>
            </w:r>
          </w:p>
        </w:tc>
        <w:tc>
          <w:tcPr>
            <w:tcW w:w="1559" w:type="dxa"/>
          </w:tcPr>
          <w:p w14:paraId="4E9597FA" w14:textId="44F3AB6E" w:rsidR="00E65B66" w:rsidRPr="00D51778" w:rsidRDefault="00E65B66" w:rsidP="00634303">
            <w:pPr>
              <w:jc w:val="right"/>
              <w:rPr>
                <w:sz w:val="22"/>
                <w:szCs w:val="22"/>
              </w:rPr>
            </w:pPr>
            <w:r w:rsidRPr="00D51778">
              <w:rPr>
                <w:rFonts w:cs="Calibri"/>
                <w:color w:val="000000"/>
                <w:sz w:val="22"/>
                <w:szCs w:val="22"/>
                <w:lang w:val="ga"/>
              </w:rPr>
              <w:t>0.0%</w:t>
            </w:r>
          </w:p>
        </w:tc>
        <w:tc>
          <w:tcPr>
            <w:tcW w:w="1559" w:type="dxa"/>
          </w:tcPr>
          <w:p w14:paraId="5BF42D28" w14:textId="3CEFE81C" w:rsidR="00E65B66" w:rsidRPr="00D51778" w:rsidRDefault="00E65B66" w:rsidP="00634303">
            <w:pPr>
              <w:jc w:val="right"/>
              <w:rPr>
                <w:sz w:val="22"/>
                <w:szCs w:val="22"/>
              </w:rPr>
            </w:pPr>
            <w:r w:rsidRPr="00D51778">
              <w:rPr>
                <w:rFonts w:cs="Calibri"/>
                <w:color w:val="000000"/>
                <w:sz w:val="22"/>
                <w:szCs w:val="22"/>
                <w:lang w:val="ga"/>
              </w:rPr>
              <w:t>8</w:t>
            </w:r>
          </w:p>
        </w:tc>
        <w:tc>
          <w:tcPr>
            <w:tcW w:w="1418" w:type="dxa"/>
          </w:tcPr>
          <w:p w14:paraId="4175417B" w14:textId="4A84B911" w:rsidR="00E65B66" w:rsidRPr="00D51778" w:rsidRDefault="00E65B66" w:rsidP="00634303">
            <w:pPr>
              <w:jc w:val="right"/>
              <w:rPr>
                <w:sz w:val="22"/>
                <w:szCs w:val="22"/>
              </w:rPr>
            </w:pPr>
            <w:r w:rsidRPr="00D51778">
              <w:rPr>
                <w:rFonts w:cs="Calibri"/>
                <w:color w:val="000000"/>
                <w:sz w:val="22"/>
                <w:szCs w:val="22"/>
                <w:lang w:val="ga"/>
              </w:rPr>
              <w:t>0</w:t>
            </w:r>
          </w:p>
        </w:tc>
        <w:tc>
          <w:tcPr>
            <w:tcW w:w="1569" w:type="dxa"/>
          </w:tcPr>
          <w:p w14:paraId="4A5DDF61" w14:textId="6B3B6564" w:rsidR="00E65B66" w:rsidRPr="00D51778" w:rsidRDefault="00E65B66" w:rsidP="00634303">
            <w:pPr>
              <w:jc w:val="right"/>
              <w:rPr>
                <w:sz w:val="22"/>
                <w:szCs w:val="22"/>
              </w:rPr>
            </w:pPr>
            <w:r w:rsidRPr="00D51778">
              <w:rPr>
                <w:rFonts w:cs="Calibri"/>
                <w:color w:val="000000"/>
                <w:sz w:val="22"/>
                <w:szCs w:val="22"/>
                <w:lang w:val="ga"/>
              </w:rPr>
              <w:t>0.0%</w:t>
            </w:r>
          </w:p>
        </w:tc>
      </w:tr>
      <w:tr w:rsidR="00E65B66" w:rsidRPr="00D51778" w14:paraId="4BD24DCF" w14:textId="77777777" w:rsidTr="00DA248F">
        <w:trPr>
          <w:jc w:val="center"/>
        </w:trPr>
        <w:tc>
          <w:tcPr>
            <w:tcW w:w="2137" w:type="dxa"/>
          </w:tcPr>
          <w:p w14:paraId="4224D3A5" w14:textId="214C9EFE" w:rsidR="00E65B66" w:rsidRPr="00D51778" w:rsidRDefault="00E65B66" w:rsidP="004B3F62">
            <w:pPr>
              <w:rPr>
                <w:sz w:val="22"/>
                <w:szCs w:val="22"/>
              </w:rPr>
            </w:pPr>
            <w:r w:rsidRPr="00D51778">
              <w:rPr>
                <w:color w:val="000000"/>
                <w:sz w:val="22"/>
                <w:szCs w:val="22"/>
                <w:lang w:val="ga"/>
              </w:rPr>
              <w:t xml:space="preserve">Ospidéal Ollscoile Déidliachta Bhaile Átha Cliath </w:t>
            </w:r>
            <w:r w:rsidRPr="00D51778">
              <w:rPr>
                <w:b/>
                <w:bCs/>
                <w:sz w:val="22"/>
                <w:szCs w:val="22"/>
                <w:lang w:val="ga"/>
              </w:rPr>
              <w:t>(Sa bhliain 2021, d’athraigh an comhlacht poiblí seo a ainm ó ‘Ospidéal Déidliachta Bhaile Átha Cliath’ go ‘Ospidéal Ollscoile Déidliachta Bhaile Átha Cliath’)</w:t>
            </w:r>
          </w:p>
        </w:tc>
        <w:tc>
          <w:tcPr>
            <w:tcW w:w="1690" w:type="dxa"/>
          </w:tcPr>
          <w:p w14:paraId="19D83EAE" w14:textId="3765D01E" w:rsidR="00E65B66" w:rsidRPr="00D51778" w:rsidRDefault="00E65B66" w:rsidP="00634303">
            <w:pPr>
              <w:jc w:val="right"/>
              <w:rPr>
                <w:sz w:val="22"/>
                <w:szCs w:val="22"/>
              </w:rPr>
            </w:pPr>
            <w:r w:rsidRPr="00D51778">
              <w:rPr>
                <w:rFonts w:cs="Calibri"/>
                <w:color w:val="000000"/>
                <w:sz w:val="22"/>
                <w:szCs w:val="22"/>
                <w:lang w:val="ga"/>
              </w:rPr>
              <w:t>209</w:t>
            </w:r>
          </w:p>
        </w:tc>
        <w:tc>
          <w:tcPr>
            <w:tcW w:w="1418" w:type="dxa"/>
          </w:tcPr>
          <w:p w14:paraId="17E9559B" w14:textId="2F510A2F" w:rsidR="00E65B66" w:rsidRPr="00D51778" w:rsidRDefault="00E65B66" w:rsidP="00634303">
            <w:pPr>
              <w:jc w:val="right"/>
              <w:rPr>
                <w:sz w:val="22"/>
                <w:szCs w:val="22"/>
              </w:rPr>
            </w:pPr>
            <w:r w:rsidRPr="00D51778">
              <w:rPr>
                <w:rFonts w:cs="Calibri"/>
                <w:color w:val="000000"/>
                <w:sz w:val="22"/>
                <w:szCs w:val="22"/>
                <w:lang w:val="ga"/>
              </w:rPr>
              <w:t>6</w:t>
            </w:r>
          </w:p>
        </w:tc>
        <w:tc>
          <w:tcPr>
            <w:tcW w:w="1559" w:type="dxa"/>
          </w:tcPr>
          <w:p w14:paraId="6D85DE38" w14:textId="53048715" w:rsidR="00E65B66" w:rsidRPr="00D51778" w:rsidRDefault="00E65B66" w:rsidP="00634303">
            <w:pPr>
              <w:jc w:val="right"/>
              <w:rPr>
                <w:sz w:val="22"/>
                <w:szCs w:val="22"/>
              </w:rPr>
            </w:pPr>
            <w:r w:rsidRPr="00D51778">
              <w:rPr>
                <w:rFonts w:cs="Calibri"/>
                <w:color w:val="000000"/>
                <w:sz w:val="22"/>
                <w:szCs w:val="22"/>
                <w:lang w:val="ga"/>
              </w:rPr>
              <w:t>2.9%</w:t>
            </w:r>
          </w:p>
        </w:tc>
        <w:tc>
          <w:tcPr>
            <w:tcW w:w="1559" w:type="dxa"/>
          </w:tcPr>
          <w:p w14:paraId="43AAEC0D" w14:textId="5AA853EF" w:rsidR="00E65B66" w:rsidRPr="00D51778" w:rsidRDefault="00E65B66" w:rsidP="00634303">
            <w:pPr>
              <w:jc w:val="right"/>
              <w:rPr>
                <w:sz w:val="22"/>
                <w:szCs w:val="22"/>
              </w:rPr>
            </w:pPr>
            <w:r w:rsidRPr="00D51778">
              <w:rPr>
                <w:rFonts w:cs="Calibri"/>
                <w:color w:val="000000"/>
                <w:sz w:val="22"/>
                <w:szCs w:val="22"/>
                <w:lang w:val="ga"/>
              </w:rPr>
              <w:t>212</w:t>
            </w:r>
          </w:p>
        </w:tc>
        <w:tc>
          <w:tcPr>
            <w:tcW w:w="1418" w:type="dxa"/>
          </w:tcPr>
          <w:p w14:paraId="0F2E832C" w14:textId="60BC9ADD" w:rsidR="00E65B66" w:rsidRPr="00D51778" w:rsidRDefault="00E65B66" w:rsidP="00634303">
            <w:pPr>
              <w:jc w:val="right"/>
              <w:rPr>
                <w:sz w:val="22"/>
                <w:szCs w:val="22"/>
              </w:rPr>
            </w:pPr>
            <w:r w:rsidRPr="00D51778">
              <w:rPr>
                <w:rFonts w:cs="Calibri"/>
                <w:color w:val="000000"/>
                <w:sz w:val="22"/>
                <w:szCs w:val="22"/>
                <w:lang w:val="ga"/>
              </w:rPr>
              <w:t>10</w:t>
            </w:r>
          </w:p>
        </w:tc>
        <w:tc>
          <w:tcPr>
            <w:tcW w:w="1569" w:type="dxa"/>
          </w:tcPr>
          <w:p w14:paraId="066AD74D" w14:textId="60ADA031" w:rsidR="00E65B66" w:rsidRPr="00D51778" w:rsidRDefault="00E65B66" w:rsidP="00634303">
            <w:pPr>
              <w:jc w:val="right"/>
              <w:rPr>
                <w:sz w:val="22"/>
                <w:szCs w:val="22"/>
              </w:rPr>
            </w:pPr>
            <w:r w:rsidRPr="00D51778">
              <w:rPr>
                <w:rFonts w:cs="Calibri"/>
                <w:color w:val="000000"/>
                <w:sz w:val="22"/>
                <w:szCs w:val="22"/>
                <w:lang w:val="ga"/>
              </w:rPr>
              <w:t>4.7%</w:t>
            </w:r>
          </w:p>
        </w:tc>
      </w:tr>
      <w:tr w:rsidR="00E65B66" w:rsidRPr="00D51778" w14:paraId="177FC2EC" w14:textId="77777777" w:rsidTr="00DA248F">
        <w:trPr>
          <w:jc w:val="center"/>
        </w:trPr>
        <w:tc>
          <w:tcPr>
            <w:tcW w:w="2137" w:type="dxa"/>
          </w:tcPr>
          <w:p w14:paraId="18870FE6" w14:textId="10892A33" w:rsidR="00E65B66" w:rsidRPr="00D51778" w:rsidRDefault="00E65B66" w:rsidP="00F22C59">
            <w:pPr>
              <w:rPr>
                <w:sz w:val="22"/>
                <w:szCs w:val="22"/>
              </w:rPr>
            </w:pPr>
            <w:r w:rsidRPr="00D51778">
              <w:rPr>
                <w:rFonts w:cs="Calibri"/>
                <w:color w:val="000000"/>
                <w:sz w:val="22"/>
                <w:szCs w:val="22"/>
                <w:lang w:val="ga"/>
              </w:rPr>
              <w:t>Údarás Sábháilteachta Bia na hÉireann</w:t>
            </w:r>
          </w:p>
        </w:tc>
        <w:tc>
          <w:tcPr>
            <w:tcW w:w="1690" w:type="dxa"/>
          </w:tcPr>
          <w:p w14:paraId="1079A3CE" w14:textId="57EDE092" w:rsidR="00E65B66" w:rsidRPr="00D51778" w:rsidRDefault="00E65B66" w:rsidP="00634303">
            <w:pPr>
              <w:jc w:val="right"/>
              <w:rPr>
                <w:sz w:val="22"/>
                <w:szCs w:val="22"/>
              </w:rPr>
            </w:pPr>
            <w:r w:rsidRPr="00D51778">
              <w:rPr>
                <w:rFonts w:cs="Calibri"/>
                <w:color w:val="000000"/>
                <w:sz w:val="22"/>
                <w:szCs w:val="22"/>
                <w:lang w:val="ga"/>
              </w:rPr>
              <w:t>93</w:t>
            </w:r>
          </w:p>
        </w:tc>
        <w:tc>
          <w:tcPr>
            <w:tcW w:w="1418" w:type="dxa"/>
          </w:tcPr>
          <w:p w14:paraId="258DC09F" w14:textId="530070F6" w:rsidR="00E65B66" w:rsidRPr="00D51778" w:rsidRDefault="00E65B66" w:rsidP="00634303">
            <w:pPr>
              <w:jc w:val="right"/>
              <w:rPr>
                <w:sz w:val="22"/>
                <w:szCs w:val="22"/>
              </w:rPr>
            </w:pPr>
            <w:r w:rsidRPr="00D51778">
              <w:rPr>
                <w:rFonts w:cs="Calibri"/>
                <w:color w:val="000000"/>
                <w:sz w:val="22"/>
                <w:szCs w:val="22"/>
                <w:lang w:val="ga"/>
              </w:rPr>
              <w:t>4</w:t>
            </w:r>
          </w:p>
        </w:tc>
        <w:tc>
          <w:tcPr>
            <w:tcW w:w="1559" w:type="dxa"/>
          </w:tcPr>
          <w:p w14:paraId="4A2362BC" w14:textId="6FBF0E96" w:rsidR="00E65B66" w:rsidRPr="00D51778" w:rsidRDefault="00E65B66" w:rsidP="00634303">
            <w:pPr>
              <w:jc w:val="right"/>
              <w:rPr>
                <w:sz w:val="22"/>
                <w:szCs w:val="22"/>
              </w:rPr>
            </w:pPr>
            <w:r w:rsidRPr="00D51778">
              <w:rPr>
                <w:rFonts w:cs="Calibri"/>
                <w:color w:val="000000"/>
                <w:sz w:val="22"/>
                <w:szCs w:val="22"/>
                <w:lang w:val="ga"/>
              </w:rPr>
              <w:t>4.3%</w:t>
            </w:r>
          </w:p>
        </w:tc>
        <w:tc>
          <w:tcPr>
            <w:tcW w:w="1559" w:type="dxa"/>
          </w:tcPr>
          <w:p w14:paraId="4A8FB15E" w14:textId="06A8E8E5" w:rsidR="00E65B66" w:rsidRPr="00D51778" w:rsidRDefault="00E65B66" w:rsidP="00634303">
            <w:pPr>
              <w:jc w:val="right"/>
              <w:rPr>
                <w:sz w:val="22"/>
                <w:szCs w:val="22"/>
              </w:rPr>
            </w:pPr>
            <w:r w:rsidRPr="00D51778">
              <w:rPr>
                <w:rFonts w:cs="Calibri"/>
                <w:color w:val="000000"/>
                <w:sz w:val="22"/>
                <w:szCs w:val="22"/>
                <w:lang w:val="ga"/>
              </w:rPr>
              <w:t>91</w:t>
            </w:r>
          </w:p>
        </w:tc>
        <w:tc>
          <w:tcPr>
            <w:tcW w:w="1418" w:type="dxa"/>
          </w:tcPr>
          <w:p w14:paraId="059452A5" w14:textId="3E8DFA62" w:rsidR="00E65B66" w:rsidRPr="00D51778" w:rsidRDefault="00E65B66" w:rsidP="00634303">
            <w:pPr>
              <w:jc w:val="right"/>
              <w:rPr>
                <w:sz w:val="22"/>
                <w:szCs w:val="22"/>
              </w:rPr>
            </w:pPr>
            <w:r w:rsidRPr="00D51778">
              <w:rPr>
                <w:rFonts w:cs="Calibri"/>
                <w:color w:val="000000"/>
                <w:sz w:val="22"/>
                <w:szCs w:val="22"/>
                <w:lang w:val="ga"/>
              </w:rPr>
              <w:t>5</w:t>
            </w:r>
          </w:p>
        </w:tc>
        <w:tc>
          <w:tcPr>
            <w:tcW w:w="1569" w:type="dxa"/>
          </w:tcPr>
          <w:p w14:paraId="26334235" w14:textId="7FE7632B" w:rsidR="00E65B66" w:rsidRPr="00D51778" w:rsidRDefault="00E65B66" w:rsidP="00634303">
            <w:pPr>
              <w:jc w:val="right"/>
              <w:rPr>
                <w:sz w:val="22"/>
                <w:szCs w:val="22"/>
              </w:rPr>
            </w:pPr>
            <w:r w:rsidRPr="00D51778">
              <w:rPr>
                <w:rFonts w:cs="Calibri"/>
                <w:color w:val="000000"/>
                <w:sz w:val="22"/>
                <w:szCs w:val="22"/>
                <w:lang w:val="ga"/>
              </w:rPr>
              <w:t>5.5%</w:t>
            </w:r>
          </w:p>
        </w:tc>
      </w:tr>
      <w:tr w:rsidR="00E65B66" w:rsidRPr="00D51778" w14:paraId="0FA21089" w14:textId="77777777" w:rsidTr="00DA248F">
        <w:trPr>
          <w:jc w:val="center"/>
        </w:trPr>
        <w:tc>
          <w:tcPr>
            <w:tcW w:w="2137" w:type="dxa"/>
          </w:tcPr>
          <w:p w14:paraId="74FAD41E" w14:textId="7924A34B" w:rsidR="00E65B66" w:rsidRPr="00D51778" w:rsidRDefault="00E65B66" w:rsidP="00F22C59">
            <w:pPr>
              <w:rPr>
                <w:sz w:val="22"/>
                <w:szCs w:val="22"/>
              </w:rPr>
            </w:pPr>
            <w:r w:rsidRPr="00D51778">
              <w:rPr>
                <w:rFonts w:cs="Calibri"/>
                <w:color w:val="000000"/>
                <w:sz w:val="22"/>
                <w:szCs w:val="22"/>
                <w:lang w:val="ga"/>
              </w:rPr>
              <w:t>An tÚdarás um Fhaisnéis agus Cáilíocht Sláinte</w:t>
            </w:r>
          </w:p>
        </w:tc>
        <w:tc>
          <w:tcPr>
            <w:tcW w:w="1690" w:type="dxa"/>
          </w:tcPr>
          <w:p w14:paraId="55A86F9E" w14:textId="5BCD1A6D" w:rsidR="00E65B66" w:rsidRPr="00D51778" w:rsidRDefault="00E65B66" w:rsidP="00634303">
            <w:pPr>
              <w:jc w:val="right"/>
              <w:rPr>
                <w:sz w:val="22"/>
                <w:szCs w:val="22"/>
              </w:rPr>
            </w:pPr>
            <w:r w:rsidRPr="00D51778">
              <w:rPr>
                <w:rFonts w:cs="Calibri"/>
                <w:color w:val="000000"/>
                <w:sz w:val="22"/>
                <w:szCs w:val="22"/>
                <w:lang w:val="ga"/>
              </w:rPr>
              <w:t>271</w:t>
            </w:r>
          </w:p>
        </w:tc>
        <w:tc>
          <w:tcPr>
            <w:tcW w:w="1418" w:type="dxa"/>
          </w:tcPr>
          <w:p w14:paraId="39CEEFD1" w14:textId="52FA6D93" w:rsidR="00E65B66" w:rsidRPr="00D51778" w:rsidRDefault="00E65B66" w:rsidP="00634303">
            <w:pPr>
              <w:jc w:val="right"/>
              <w:rPr>
                <w:sz w:val="22"/>
                <w:szCs w:val="22"/>
              </w:rPr>
            </w:pPr>
            <w:r w:rsidRPr="00D51778">
              <w:rPr>
                <w:rFonts w:cs="Calibri"/>
                <w:color w:val="000000"/>
                <w:sz w:val="22"/>
                <w:szCs w:val="22"/>
                <w:lang w:val="ga"/>
              </w:rPr>
              <w:t>15</w:t>
            </w:r>
          </w:p>
        </w:tc>
        <w:tc>
          <w:tcPr>
            <w:tcW w:w="1559" w:type="dxa"/>
          </w:tcPr>
          <w:p w14:paraId="52D30296" w14:textId="0F9F8828" w:rsidR="00E65B66" w:rsidRPr="00D51778" w:rsidRDefault="00E65B66" w:rsidP="00634303">
            <w:pPr>
              <w:jc w:val="right"/>
              <w:rPr>
                <w:sz w:val="22"/>
                <w:szCs w:val="22"/>
              </w:rPr>
            </w:pPr>
            <w:r w:rsidRPr="00D51778">
              <w:rPr>
                <w:rFonts w:cs="Calibri"/>
                <w:color w:val="000000"/>
                <w:sz w:val="22"/>
                <w:szCs w:val="22"/>
                <w:lang w:val="ga"/>
              </w:rPr>
              <w:t>5.5%</w:t>
            </w:r>
          </w:p>
        </w:tc>
        <w:tc>
          <w:tcPr>
            <w:tcW w:w="1559" w:type="dxa"/>
          </w:tcPr>
          <w:p w14:paraId="04171049" w14:textId="18FB5057" w:rsidR="00E65B66" w:rsidRPr="00D51778" w:rsidRDefault="00E65B66" w:rsidP="00634303">
            <w:pPr>
              <w:jc w:val="right"/>
              <w:rPr>
                <w:sz w:val="22"/>
                <w:szCs w:val="22"/>
              </w:rPr>
            </w:pPr>
            <w:r w:rsidRPr="00D51778">
              <w:rPr>
                <w:rFonts w:cs="Calibri"/>
                <w:color w:val="000000"/>
                <w:sz w:val="22"/>
                <w:szCs w:val="22"/>
                <w:lang w:val="ga"/>
              </w:rPr>
              <w:t>329</w:t>
            </w:r>
          </w:p>
        </w:tc>
        <w:tc>
          <w:tcPr>
            <w:tcW w:w="1418" w:type="dxa"/>
          </w:tcPr>
          <w:p w14:paraId="03D86131" w14:textId="67CB633B" w:rsidR="00E65B66" w:rsidRPr="00D51778" w:rsidRDefault="00E65B66" w:rsidP="00634303">
            <w:pPr>
              <w:jc w:val="right"/>
              <w:rPr>
                <w:sz w:val="22"/>
                <w:szCs w:val="22"/>
              </w:rPr>
            </w:pPr>
            <w:r w:rsidRPr="00D51778">
              <w:rPr>
                <w:rFonts w:cs="Calibri"/>
                <w:color w:val="000000"/>
                <w:sz w:val="22"/>
                <w:szCs w:val="22"/>
                <w:lang w:val="ga"/>
              </w:rPr>
              <w:t>17</w:t>
            </w:r>
          </w:p>
        </w:tc>
        <w:tc>
          <w:tcPr>
            <w:tcW w:w="1569" w:type="dxa"/>
          </w:tcPr>
          <w:p w14:paraId="1F154FC6" w14:textId="6AD473FC" w:rsidR="00E65B66" w:rsidRPr="00D51778" w:rsidRDefault="00E65B66" w:rsidP="00634303">
            <w:pPr>
              <w:jc w:val="right"/>
              <w:rPr>
                <w:sz w:val="22"/>
                <w:szCs w:val="22"/>
              </w:rPr>
            </w:pPr>
            <w:r w:rsidRPr="00D51778">
              <w:rPr>
                <w:rFonts w:cs="Calibri"/>
                <w:color w:val="000000"/>
                <w:sz w:val="22"/>
                <w:szCs w:val="22"/>
                <w:lang w:val="ga"/>
              </w:rPr>
              <w:t>5.2%</w:t>
            </w:r>
          </w:p>
        </w:tc>
      </w:tr>
      <w:tr w:rsidR="00E65B66" w:rsidRPr="00D51778" w14:paraId="6C634916" w14:textId="77777777" w:rsidTr="00DA248F">
        <w:trPr>
          <w:jc w:val="center"/>
        </w:trPr>
        <w:tc>
          <w:tcPr>
            <w:tcW w:w="2137" w:type="dxa"/>
          </w:tcPr>
          <w:p w14:paraId="49888DC0" w14:textId="0D995A01" w:rsidR="00E65B66" w:rsidRPr="00D51778" w:rsidRDefault="00E65B66" w:rsidP="00F22C59">
            <w:pPr>
              <w:rPr>
                <w:sz w:val="22"/>
                <w:szCs w:val="22"/>
              </w:rPr>
            </w:pPr>
            <w:r w:rsidRPr="00D51778">
              <w:rPr>
                <w:rFonts w:cs="Calibri"/>
                <w:color w:val="000000"/>
                <w:sz w:val="22"/>
                <w:szCs w:val="22"/>
                <w:lang w:val="ga"/>
              </w:rPr>
              <w:t>An tÚdarás Árachas Sláinte</w:t>
            </w:r>
          </w:p>
        </w:tc>
        <w:tc>
          <w:tcPr>
            <w:tcW w:w="1690" w:type="dxa"/>
          </w:tcPr>
          <w:p w14:paraId="16B2C93B" w14:textId="667BBC2F" w:rsidR="00E65B66" w:rsidRPr="00D51778" w:rsidRDefault="00E65B66" w:rsidP="00634303">
            <w:pPr>
              <w:jc w:val="right"/>
              <w:rPr>
                <w:sz w:val="22"/>
                <w:szCs w:val="22"/>
              </w:rPr>
            </w:pPr>
            <w:r w:rsidRPr="00D51778">
              <w:rPr>
                <w:rFonts w:cs="Calibri"/>
                <w:color w:val="000000"/>
                <w:sz w:val="22"/>
                <w:szCs w:val="22"/>
                <w:lang w:val="ga"/>
              </w:rPr>
              <w:t>10</w:t>
            </w:r>
          </w:p>
        </w:tc>
        <w:tc>
          <w:tcPr>
            <w:tcW w:w="1418" w:type="dxa"/>
          </w:tcPr>
          <w:p w14:paraId="63DEA50A" w14:textId="6C4A82EE" w:rsidR="00E65B66" w:rsidRPr="00D51778" w:rsidRDefault="00E65B66" w:rsidP="00634303">
            <w:pPr>
              <w:jc w:val="right"/>
              <w:rPr>
                <w:sz w:val="22"/>
                <w:szCs w:val="22"/>
              </w:rPr>
            </w:pPr>
            <w:r w:rsidRPr="00D51778">
              <w:rPr>
                <w:rFonts w:cs="Calibri"/>
                <w:color w:val="000000"/>
                <w:sz w:val="22"/>
                <w:szCs w:val="22"/>
                <w:lang w:val="ga"/>
              </w:rPr>
              <w:t>0</w:t>
            </w:r>
          </w:p>
        </w:tc>
        <w:tc>
          <w:tcPr>
            <w:tcW w:w="1559" w:type="dxa"/>
          </w:tcPr>
          <w:p w14:paraId="6F6E4AD8" w14:textId="76371D27" w:rsidR="00E65B66" w:rsidRPr="00D51778" w:rsidRDefault="00E65B66" w:rsidP="00634303">
            <w:pPr>
              <w:jc w:val="right"/>
              <w:rPr>
                <w:sz w:val="22"/>
                <w:szCs w:val="22"/>
              </w:rPr>
            </w:pPr>
            <w:r w:rsidRPr="00D51778">
              <w:rPr>
                <w:rFonts w:cs="Calibri"/>
                <w:color w:val="000000"/>
                <w:sz w:val="22"/>
                <w:szCs w:val="22"/>
                <w:lang w:val="ga"/>
              </w:rPr>
              <w:t>0.0%</w:t>
            </w:r>
          </w:p>
        </w:tc>
        <w:tc>
          <w:tcPr>
            <w:tcW w:w="1559" w:type="dxa"/>
          </w:tcPr>
          <w:p w14:paraId="753A34FB" w14:textId="7C45E774" w:rsidR="00E65B66" w:rsidRPr="00D51778" w:rsidRDefault="00E65B66" w:rsidP="00634303">
            <w:pPr>
              <w:jc w:val="right"/>
              <w:rPr>
                <w:sz w:val="22"/>
                <w:szCs w:val="22"/>
              </w:rPr>
            </w:pPr>
            <w:r w:rsidRPr="00D51778">
              <w:rPr>
                <w:rFonts w:cs="Calibri"/>
                <w:color w:val="000000"/>
                <w:sz w:val="22"/>
                <w:szCs w:val="22"/>
                <w:lang w:val="ga"/>
              </w:rPr>
              <w:t>13</w:t>
            </w:r>
          </w:p>
        </w:tc>
        <w:tc>
          <w:tcPr>
            <w:tcW w:w="1418" w:type="dxa"/>
          </w:tcPr>
          <w:p w14:paraId="550F6C68" w14:textId="00AAC247" w:rsidR="00E65B66" w:rsidRPr="00D51778" w:rsidRDefault="00E65B66" w:rsidP="00634303">
            <w:pPr>
              <w:jc w:val="right"/>
              <w:rPr>
                <w:sz w:val="22"/>
                <w:szCs w:val="22"/>
              </w:rPr>
            </w:pPr>
            <w:r w:rsidRPr="00D51778">
              <w:rPr>
                <w:rFonts w:cs="Calibri"/>
                <w:color w:val="000000"/>
                <w:sz w:val="22"/>
                <w:szCs w:val="22"/>
                <w:lang w:val="ga"/>
              </w:rPr>
              <w:t>1</w:t>
            </w:r>
          </w:p>
        </w:tc>
        <w:tc>
          <w:tcPr>
            <w:tcW w:w="1569" w:type="dxa"/>
          </w:tcPr>
          <w:p w14:paraId="4BBEA8EC" w14:textId="7372850D" w:rsidR="00E65B66" w:rsidRPr="00D51778" w:rsidRDefault="00E65B66" w:rsidP="00634303">
            <w:pPr>
              <w:jc w:val="right"/>
              <w:rPr>
                <w:sz w:val="22"/>
                <w:szCs w:val="22"/>
              </w:rPr>
            </w:pPr>
            <w:r w:rsidRPr="00D51778">
              <w:rPr>
                <w:rFonts w:cs="Calibri"/>
                <w:color w:val="000000"/>
                <w:sz w:val="22"/>
                <w:szCs w:val="22"/>
                <w:lang w:val="ga"/>
              </w:rPr>
              <w:t>7.7%</w:t>
            </w:r>
          </w:p>
        </w:tc>
      </w:tr>
      <w:tr w:rsidR="00E65B66" w:rsidRPr="00D51778" w14:paraId="4943B124" w14:textId="77777777" w:rsidTr="00DA248F">
        <w:trPr>
          <w:jc w:val="center"/>
        </w:trPr>
        <w:tc>
          <w:tcPr>
            <w:tcW w:w="2137" w:type="dxa"/>
          </w:tcPr>
          <w:p w14:paraId="18EE21A0" w14:textId="4F1E7F40" w:rsidR="00E65B66" w:rsidRPr="00D51778" w:rsidRDefault="00E65B66" w:rsidP="00F22C59">
            <w:pPr>
              <w:rPr>
                <w:sz w:val="22"/>
                <w:szCs w:val="22"/>
              </w:rPr>
            </w:pPr>
            <w:r w:rsidRPr="00D51778">
              <w:rPr>
                <w:rFonts w:cs="Calibri"/>
                <w:color w:val="000000"/>
                <w:sz w:val="22"/>
                <w:szCs w:val="22"/>
                <w:lang w:val="ga"/>
              </w:rPr>
              <w:t>An tÚdarás Rialála Táirgí Sláinte</w:t>
            </w:r>
          </w:p>
        </w:tc>
        <w:tc>
          <w:tcPr>
            <w:tcW w:w="1690" w:type="dxa"/>
          </w:tcPr>
          <w:p w14:paraId="028CA3B6" w14:textId="33EF4931" w:rsidR="00E65B66" w:rsidRPr="00D51778" w:rsidRDefault="00E65B66" w:rsidP="00634303">
            <w:pPr>
              <w:jc w:val="right"/>
              <w:rPr>
                <w:sz w:val="22"/>
                <w:szCs w:val="22"/>
              </w:rPr>
            </w:pPr>
            <w:r w:rsidRPr="00D51778">
              <w:rPr>
                <w:rFonts w:cs="Calibri"/>
                <w:color w:val="000000"/>
                <w:sz w:val="22"/>
                <w:szCs w:val="22"/>
                <w:lang w:val="ga"/>
              </w:rPr>
              <w:t>345</w:t>
            </w:r>
          </w:p>
        </w:tc>
        <w:tc>
          <w:tcPr>
            <w:tcW w:w="1418" w:type="dxa"/>
          </w:tcPr>
          <w:p w14:paraId="68713383" w14:textId="018DDF33" w:rsidR="00E65B66" w:rsidRPr="00D51778" w:rsidRDefault="00E65B66" w:rsidP="00634303">
            <w:pPr>
              <w:jc w:val="right"/>
              <w:rPr>
                <w:sz w:val="22"/>
                <w:szCs w:val="22"/>
              </w:rPr>
            </w:pPr>
            <w:r w:rsidRPr="00D51778">
              <w:rPr>
                <w:rFonts w:cs="Calibri"/>
                <w:color w:val="000000"/>
                <w:sz w:val="22"/>
                <w:szCs w:val="22"/>
                <w:lang w:val="ga"/>
              </w:rPr>
              <w:t>15</w:t>
            </w:r>
          </w:p>
        </w:tc>
        <w:tc>
          <w:tcPr>
            <w:tcW w:w="1559" w:type="dxa"/>
          </w:tcPr>
          <w:p w14:paraId="59D223D9" w14:textId="3B664AF8" w:rsidR="00E65B66" w:rsidRPr="00D51778" w:rsidRDefault="00E65B66" w:rsidP="00634303">
            <w:pPr>
              <w:jc w:val="right"/>
              <w:rPr>
                <w:sz w:val="22"/>
                <w:szCs w:val="22"/>
              </w:rPr>
            </w:pPr>
            <w:r w:rsidRPr="00D51778">
              <w:rPr>
                <w:rFonts w:cs="Calibri"/>
                <w:color w:val="000000"/>
                <w:sz w:val="22"/>
                <w:szCs w:val="22"/>
                <w:lang w:val="ga"/>
              </w:rPr>
              <w:t>4.3%</w:t>
            </w:r>
          </w:p>
        </w:tc>
        <w:tc>
          <w:tcPr>
            <w:tcW w:w="1559" w:type="dxa"/>
          </w:tcPr>
          <w:p w14:paraId="6DB624F4" w14:textId="20CD42C8" w:rsidR="00E65B66" w:rsidRPr="00D51778" w:rsidRDefault="00E65B66" w:rsidP="00634303">
            <w:pPr>
              <w:jc w:val="right"/>
              <w:rPr>
                <w:sz w:val="22"/>
                <w:szCs w:val="22"/>
              </w:rPr>
            </w:pPr>
            <w:r w:rsidRPr="00D51778">
              <w:rPr>
                <w:rFonts w:cs="Calibri"/>
                <w:color w:val="000000"/>
                <w:sz w:val="22"/>
                <w:szCs w:val="22"/>
                <w:lang w:val="ga"/>
              </w:rPr>
              <w:t>369</w:t>
            </w:r>
          </w:p>
        </w:tc>
        <w:tc>
          <w:tcPr>
            <w:tcW w:w="1418" w:type="dxa"/>
          </w:tcPr>
          <w:p w14:paraId="7FB49EC5" w14:textId="31EBCA3A" w:rsidR="00E65B66" w:rsidRPr="00D51778" w:rsidRDefault="00E65B66" w:rsidP="00634303">
            <w:pPr>
              <w:jc w:val="right"/>
              <w:rPr>
                <w:sz w:val="22"/>
                <w:szCs w:val="22"/>
              </w:rPr>
            </w:pPr>
            <w:r w:rsidRPr="00D51778">
              <w:rPr>
                <w:rFonts w:cs="Calibri"/>
                <w:color w:val="000000"/>
                <w:sz w:val="22"/>
                <w:szCs w:val="22"/>
                <w:lang w:val="ga"/>
              </w:rPr>
              <w:t>16</w:t>
            </w:r>
          </w:p>
        </w:tc>
        <w:tc>
          <w:tcPr>
            <w:tcW w:w="1569" w:type="dxa"/>
          </w:tcPr>
          <w:p w14:paraId="4F3BEEC4" w14:textId="0B674354" w:rsidR="00E65B66" w:rsidRPr="00D51778" w:rsidRDefault="00E65B66" w:rsidP="00634303">
            <w:pPr>
              <w:jc w:val="right"/>
              <w:rPr>
                <w:sz w:val="22"/>
                <w:szCs w:val="22"/>
              </w:rPr>
            </w:pPr>
            <w:r w:rsidRPr="00D51778">
              <w:rPr>
                <w:rFonts w:cs="Calibri"/>
                <w:color w:val="000000"/>
                <w:sz w:val="22"/>
                <w:szCs w:val="22"/>
                <w:lang w:val="ga"/>
              </w:rPr>
              <w:t>4.3%</w:t>
            </w:r>
          </w:p>
        </w:tc>
      </w:tr>
      <w:tr w:rsidR="00E65B66" w:rsidRPr="00D51778" w14:paraId="012921D7" w14:textId="77777777" w:rsidTr="00DA248F">
        <w:trPr>
          <w:jc w:val="center"/>
        </w:trPr>
        <w:tc>
          <w:tcPr>
            <w:tcW w:w="2137" w:type="dxa"/>
          </w:tcPr>
          <w:p w14:paraId="0BEC63BD" w14:textId="60049E81" w:rsidR="00E65B66" w:rsidRPr="00D51778" w:rsidRDefault="00E65B66" w:rsidP="00F22C59">
            <w:pPr>
              <w:rPr>
                <w:sz w:val="22"/>
                <w:szCs w:val="22"/>
              </w:rPr>
            </w:pPr>
            <w:r w:rsidRPr="00D51778">
              <w:rPr>
                <w:rFonts w:cs="Calibri"/>
                <w:color w:val="000000"/>
                <w:sz w:val="22"/>
                <w:szCs w:val="22"/>
                <w:lang w:val="ga"/>
              </w:rPr>
              <w:t>An Bord Taighde Sláinte</w:t>
            </w:r>
          </w:p>
        </w:tc>
        <w:tc>
          <w:tcPr>
            <w:tcW w:w="1690" w:type="dxa"/>
          </w:tcPr>
          <w:p w14:paraId="06BAF5F2" w14:textId="7DD7A8C6" w:rsidR="00E65B66" w:rsidRPr="00D51778" w:rsidRDefault="00E65B66" w:rsidP="00F22C59">
            <w:pPr>
              <w:jc w:val="right"/>
              <w:rPr>
                <w:sz w:val="22"/>
                <w:szCs w:val="22"/>
              </w:rPr>
            </w:pPr>
            <w:r w:rsidRPr="00D51778">
              <w:rPr>
                <w:rFonts w:cs="Calibri"/>
                <w:color w:val="000000"/>
                <w:sz w:val="22"/>
                <w:szCs w:val="22"/>
                <w:lang w:val="ga"/>
              </w:rPr>
              <w:t>53</w:t>
            </w:r>
          </w:p>
        </w:tc>
        <w:tc>
          <w:tcPr>
            <w:tcW w:w="1418" w:type="dxa"/>
          </w:tcPr>
          <w:p w14:paraId="4D7A05CD" w14:textId="3AB84905" w:rsidR="00E65B66" w:rsidRPr="00D51778" w:rsidRDefault="00E65B66" w:rsidP="00F22C59">
            <w:pPr>
              <w:jc w:val="right"/>
              <w:rPr>
                <w:sz w:val="22"/>
                <w:szCs w:val="22"/>
              </w:rPr>
            </w:pPr>
            <w:r w:rsidRPr="00D51778">
              <w:rPr>
                <w:rFonts w:cs="Calibri"/>
                <w:color w:val="000000"/>
                <w:sz w:val="22"/>
                <w:szCs w:val="22"/>
                <w:lang w:val="ga"/>
              </w:rPr>
              <w:t>3</w:t>
            </w:r>
          </w:p>
        </w:tc>
        <w:tc>
          <w:tcPr>
            <w:tcW w:w="1559" w:type="dxa"/>
          </w:tcPr>
          <w:p w14:paraId="5D3D6ED9" w14:textId="5E56D1DA" w:rsidR="00E65B66" w:rsidRPr="00D51778" w:rsidRDefault="00E65B66" w:rsidP="00F22C59">
            <w:pPr>
              <w:jc w:val="right"/>
              <w:rPr>
                <w:sz w:val="22"/>
                <w:szCs w:val="22"/>
              </w:rPr>
            </w:pPr>
            <w:r w:rsidRPr="00D51778">
              <w:rPr>
                <w:rFonts w:cs="Calibri"/>
                <w:color w:val="000000"/>
                <w:sz w:val="22"/>
                <w:szCs w:val="22"/>
                <w:lang w:val="ga"/>
              </w:rPr>
              <w:t>5.7%</w:t>
            </w:r>
          </w:p>
        </w:tc>
        <w:tc>
          <w:tcPr>
            <w:tcW w:w="1559" w:type="dxa"/>
          </w:tcPr>
          <w:p w14:paraId="18D271D2" w14:textId="7D87AD06" w:rsidR="00E65B66" w:rsidRPr="00D51778" w:rsidRDefault="00E65B66" w:rsidP="00F22C59">
            <w:pPr>
              <w:jc w:val="right"/>
              <w:rPr>
                <w:sz w:val="22"/>
                <w:szCs w:val="22"/>
              </w:rPr>
            </w:pPr>
            <w:r w:rsidRPr="00D51778">
              <w:rPr>
                <w:rFonts w:cs="Calibri"/>
                <w:color w:val="000000"/>
                <w:sz w:val="22"/>
                <w:szCs w:val="22"/>
                <w:lang w:val="ga"/>
              </w:rPr>
              <w:t>87</w:t>
            </w:r>
          </w:p>
        </w:tc>
        <w:tc>
          <w:tcPr>
            <w:tcW w:w="1418" w:type="dxa"/>
          </w:tcPr>
          <w:p w14:paraId="5C6549D9" w14:textId="3DB9E1E6" w:rsidR="00E65B66" w:rsidRPr="00D51778" w:rsidRDefault="00E65B66" w:rsidP="00F22C59">
            <w:pPr>
              <w:jc w:val="right"/>
              <w:rPr>
                <w:sz w:val="22"/>
                <w:szCs w:val="22"/>
              </w:rPr>
            </w:pPr>
            <w:r w:rsidRPr="00D51778">
              <w:rPr>
                <w:rFonts w:cs="Calibri"/>
                <w:color w:val="000000"/>
                <w:sz w:val="22"/>
                <w:szCs w:val="22"/>
                <w:lang w:val="ga"/>
              </w:rPr>
              <w:t>5</w:t>
            </w:r>
          </w:p>
        </w:tc>
        <w:tc>
          <w:tcPr>
            <w:tcW w:w="1569" w:type="dxa"/>
          </w:tcPr>
          <w:p w14:paraId="34CEEB64" w14:textId="138EADE2" w:rsidR="00E65B66" w:rsidRPr="00D51778" w:rsidRDefault="00E65B66" w:rsidP="00F22C59">
            <w:pPr>
              <w:jc w:val="right"/>
              <w:rPr>
                <w:sz w:val="22"/>
                <w:szCs w:val="22"/>
              </w:rPr>
            </w:pPr>
            <w:r w:rsidRPr="00D51778">
              <w:rPr>
                <w:rFonts w:cs="Calibri"/>
                <w:color w:val="000000"/>
                <w:sz w:val="22"/>
                <w:szCs w:val="22"/>
                <w:lang w:val="ga"/>
              </w:rPr>
              <w:t>5.8%</w:t>
            </w:r>
          </w:p>
        </w:tc>
      </w:tr>
      <w:tr w:rsidR="00E65B66" w:rsidRPr="00D51778" w14:paraId="3B62D135" w14:textId="77777777" w:rsidTr="00DA248F">
        <w:trPr>
          <w:jc w:val="center"/>
        </w:trPr>
        <w:tc>
          <w:tcPr>
            <w:tcW w:w="2137" w:type="dxa"/>
          </w:tcPr>
          <w:p w14:paraId="665C86F4" w14:textId="2C41960D" w:rsidR="00E65B66" w:rsidRPr="00D51778" w:rsidRDefault="00E65B66" w:rsidP="00F22C59">
            <w:pPr>
              <w:rPr>
                <w:sz w:val="22"/>
                <w:szCs w:val="22"/>
              </w:rPr>
            </w:pPr>
            <w:r w:rsidRPr="00D51778">
              <w:rPr>
                <w:rFonts w:cs="Calibri"/>
                <w:color w:val="000000"/>
                <w:sz w:val="22"/>
                <w:szCs w:val="22"/>
                <w:lang w:val="ga"/>
              </w:rPr>
              <w:t>Feidhmeannacht na Seirbhíse Sláinte</w:t>
            </w:r>
          </w:p>
        </w:tc>
        <w:tc>
          <w:tcPr>
            <w:tcW w:w="1690" w:type="dxa"/>
          </w:tcPr>
          <w:p w14:paraId="06B22273" w14:textId="1E9885C5" w:rsidR="00E65B66" w:rsidRPr="00D51778" w:rsidRDefault="00E65B66" w:rsidP="00F22C59">
            <w:pPr>
              <w:jc w:val="right"/>
              <w:rPr>
                <w:sz w:val="22"/>
                <w:szCs w:val="22"/>
              </w:rPr>
            </w:pPr>
            <w:r w:rsidRPr="00D51778">
              <w:rPr>
                <w:rFonts w:cs="Calibri"/>
                <w:color w:val="000000"/>
                <w:sz w:val="22"/>
                <w:szCs w:val="22"/>
                <w:lang w:val="ga"/>
              </w:rPr>
              <w:t>92,612</w:t>
            </w:r>
          </w:p>
        </w:tc>
        <w:tc>
          <w:tcPr>
            <w:tcW w:w="1418" w:type="dxa"/>
          </w:tcPr>
          <w:p w14:paraId="7AE04727" w14:textId="4AD62613" w:rsidR="00E65B66" w:rsidRPr="00D51778" w:rsidRDefault="00E65B66" w:rsidP="00F22C59">
            <w:pPr>
              <w:jc w:val="right"/>
              <w:rPr>
                <w:sz w:val="22"/>
                <w:szCs w:val="22"/>
              </w:rPr>
            </w:pPr>
            <w:r w:rsidRPr="00D51778">
              <w:rPr>
                <w:rFonts w:cs="Calibri"/>
                <w:color w:val="000000"/>
                <w:sz w:val="22"/>
                <w:szCs w:val="22"/>
                <w:lang w:val="ga"/>
              </w:rPr>
              <w:t>514</w:t>
            </w:r>
          </w:p>
        </w:tc>
        <w:tc>
          <w:tcPr>
            <w:tcW w:w="1559" w:type="dxa"/>
          </w:tcPr>
          <w:p w14:paraId="091697E9" w14:textId="43BD7628" w:rsidR="00E65B66" w:rsidRPr="00D51778" w:rsidRDefault="00E65B66" w:rsidP="00F22C59">
            <w:pPr>
              <w:jc w:val="right"/>
              <w:rPr>
                <w:sz w:val="22"/>
                <w:szCs w:val="22"/>
              </w:rPr>
            </w:pPr>
            <w:r w:rsidRPr="00D51778">
              <w:rPr>
                <w:rFonts w:cs="Calibri"/>
                <w:color w:val="000000"/>
                <w:sz w:val="22"/>
                <w:szCs w:val="22"/>
                <w:lang w:val="ga"/>
              </w:rPr>
              <w:t>0.6%</w:t>
            </w:r>
          </w:p>
        </w:tc>
        <w:tc>
          <w:tcPr>
            <w:tcW w:w="1559" w:type="dxa"/>
          </w:tcPr>
          <w:p w14:paraId="42CE791F" w14:textId="7B2DD750" w:rsidR="00E65B66" w:rsidRPr="00D51778" w:rsidRDefault="00E65B66" w:rsidP="00F22C59">
            <w:pPr>
              <w:jc w:val="right"/>
              <w:rPr>
                <w:sz w:val="22"/>
                <w:szCs w:val="22"/>
              </w:rPr>
            </w:pPr>
            <w:r w:rsidRPr="00D51778">
              <w:rPr>
                <w:rFonts w:cs="Calibri"/>
                <w:color w:val="000000"/>
                <w:sz w:val="22"/>
                <w:szCs w:val="22"/>
                <w:lang w:val="ga"/>
              </w:rPr>
              <w:t>96,675</w:t>
            </w:r>
          </w:p>
        </w:tc>
        <w:tc>
          <w:tcPr>
            <w:tcW w:w="1418" w:type="dxa"/>
          </w:tcPr>
          <w:p w14:paraId="06096BF0" w14:textId="64011646" w:rsidR="00E65B66" w:rsidRPr="00D51778" w:rsidRDefault="00E65B66" w:rsidP="00F22C59">
            <w:pPr>
              <w:jc w:val="right"/>
              <w:rPr>
                <w:sz w:val="22"/>
                <w:szCs w:val="22"/>
              </w:rPr>
            </w:pPr>
            <w:r w:rsidRPr="00D51778">
              <w:rPr>
                <w:rFonts w:cs="Calibri"/>
                <w:color w:val="000000"/>
                <w:sz w:val="22"/>
                <w:szCs w:val="22"/>
                <w:lang w:val="ga"/>
              </w:rPr>
              <w:t>1,508</w:t>
            </w:r>
          </w:p>
        </w:tc>
        <w:tc>
          <w:tcPr>
            <w:tcW w:w="1569" w:type="dxa"/>
          </w:tcPr>
          <w:p w14:paraId="327E8937" w14:textId="63B16BB3" w:rsidR="00E65B66" w:rsidRPr="00D51778" w:rsidRDefault="00E65B66" w:rsidP="00F22C59">
            <w:pPr>
              <w:jc w:val="right"/>
              <w:rPr>
                <w:sz w:val="22"/>
                <w:szCs w:val="22"/>
              </w:rPr>
            </w:pPr>
            <w:r w:rsidRPr="00D51778">
              <w:rPr>
                <w:rFonts w:cs="Calibri"/>
                <w:color w:val="000000"/>
                <w:sz w:val="22"/>
                <w:szCs w:val="22"/>
                <w:lang w:val="ga"/>
              </w:rPr>
              <w:t>1.6%</w:t>
            </w:r>
          </w:p>
        </w:tc>
      </w:tr>
      <w:tr w:rsidR="00E65B66" w:rsidRPr="00D51778" w14:paraId="1AD3BA95" w14:textId="77777777" w:rsidTr="00DA248F">
        <w:trPr>
          <w:jc w:val="center"/>
        </w:trPr>
        <w:tc>
          <w:tcPr>
            <w:tcW w:w="2137" w:type="dxa"/>
          </w:tcPr>
          <w:p w14:paraId="15BCE3E8" w14:textId="6B264CBB" w:rsidR="00E65B66" w:rsidRPr="00D51778" w:rsidRDefault="00E65B66" w:rsidP="00F22C59">
            <w:pPr>
              <w:rPr>
                <w:sz w:val="22"/>
                <w:szCs w:val="22"/>
              </w:rPr>
            </w:pPr>
            <w:r w:rsidRPr="00D51778">
              <w:rPr>
                <w:rFonts w:cs="Calibri"/>
                <w:color w:val="000000"/>
                <w:sz w:val="22"/>
                <w:szCs w:val="22"/>
                <w:lang w:val="ga"/>
              </w:rPr>
              <w:lastRenderedPageBreak/>
              <w:t>An Institiúid um Shláinte Phoiblí</w:t>
            </w:r>
          </w:p>
        </w:tc>
        <w:tc>
          <w:tcPr>
            <w:tcW w:w="1690" w:type="dxa"/>
          </w:tcPr>
          <w:p w14:paraId="0A7FEF6F" w14:textId="2D8381F1" w:rsidR="00E65B66" w:rsidRPr="00D51778" w:rsidRDefault="00E65B66" w:rsidP="00F22C59">
            <w:pPr>
              <w:jc w:val="right"/>
              <w:rPr>
                <w:sz w:val="22"/>
                <w:szCs w:val="22"/>
              </w:rPr>
            </w:pPr>
            <w:r w:rsidRPr="00D51778">
              <w:rPr>
                <w:rFonts w:cs="Calibri"/>
                <w:color w:val="000000"/>
                <w:sz w:val="22"/>
                <w:szCs w:val="22"/>
                <w:lang w:val="ga"/>
              </w:rPr>
              <w:t>21</w:t>
            </w:r>
          </w:p>
        </w:tc>
        <w:tc>
          <w:tcPr>
            <w:tcW w:w="1418" w:type="dxa"/>
          </w:tcPr>
          <w:p w14:paraId="691138FB" w14:textId="147F835E" w:rsidR="00E65B66" w:rsidRPr="00D51778" w:rsidRDefault="00E65B66" w:rsidP="00F22C59">
            <w:pPr>
              <w:jc w:val="right"/>
              <w:rPr>
                <w:sz w:val="22"/>
                <w:szCs w:val="22"/>
              </w:rPr>
            </w:pPr>
            <w:r w:rsidRPr="00D51778">
              <w:rPr>
                <w:rFonts w:cs="Calibri"/>
                <w:color w:val="000000"/>
                <w:sz w:val="22"/>
                <w:szCs w:val="22"/>
                <w:lang w:val="ga"/>
              </w:rPr>
              <w:t>2</w:t>
            </w:r>
          </w:p>
        </w:tc>
        <w:tc>
          <w:tcPr>
            <w:tcW w:w="1559" w:type="dxa"/>
          </w:tcPr>
          <w:p w14:paraId="54C3F636" w14:textId="566AADD4" w:rsidR="00E65B66" w:rsidRPr="00D51778" w:rsidRDefault="00E65B66" w:rsidP="00F22C59">
            <w:pPr>
              <w:jc w:val="right"/>
              <w:rPr>
                <w:sz w:val="22"/>
                <w:szCs w:val="22"/>
              </w:rPr>
            </w:pPr>
            <w:r w:rsidRPr="00D51778">
              <w:rPr>
                <w:rFonts w:cs="Calibri"/>
                <w:color w:val="000000"/>
                <w:sz w:val="22"/>
                <w:szCs w:val="22"/>
                <w:lang w:val="ga"/>
              </w:rPr>
              <w:t>9.5%</w:t>
            </w:r>
          </w:p>
        </w:tc>
        <w:tc>
          <w:tcPr>
            <w:tcW w:w="1559" w:type="dxa"/>
          </w:tcPr>
          <w:p w14:paraId="7CC94736" w14:textId="49A925A9" w:rsidR="00E65B66" w:rsidRPr="00D51778" w:rsidRDefault="00E65B66" w:rsidP="00F22C59">
            <w:pPr>
              <w:jc w:val="right"/>
              <w:rPr>
                <w:sz w:val="22"/>
                <w:szCs w:val="22"/>
              </w:rPr>
            </w:pPr>
            <w:r w:rsidRPr="00D51778">
              <w:rPr>
                <w:rFonts w:cs="Calibri"/>
                <w:color w:val="000000"/>
                <w:sz w:val="22"/>
                <w:szCs w:val="22"/>
                <w:lang w:val="ga"/>
              </w:rPr>
              <w:t>21</w:t>
            </w:r>
          </w:p>
        </w:tc>
        <w:tc>
          <w:tcPr>
            <w:tcW w:w="1418" w:type="dxa"/>
          </w:tcPr>
          <w:p w14:paraId="50BDDB67" w14:textId="0ED90314" w:rsidR="00E65B66" w:rsidRPr="00D51778" w:rsidRDefault="00E65B66" w:rsidP="00F22C59">
            <w:pPr>
              <w:jc w:val="right"/>
              <w:rPr>
                <w:sz w:val="22"/>
                <w:szCs w:val="22"/>
              </w:rPr>
            </w:pPr>
            <w:r w:rsidRPr="00D51778">
              <w:rPr>
                <w:rFonts w:cs="Calibri"/>
                <w:color w:val="000000"/>
                <w:sz w:val="22"/>
                <w:szCs w:val="22"/>
                <w:lang w:val="ga"/>
              </w:rPr>
              <w:t>3</w:t>
            </w:r>
          </w:p>
        </w:tc>
        <w:tc>
          <w:tcPr>
            <w:tcW w:w="1569" w:type="dxa"/>
          </w:tcPr>
          <w:p w14:paraId="1E96D0C4" w14:textId="287D9F80" w:rsidR="00E65B66" w:rsidRPr="00D51778" w:rsidRDefault="00E65B66" w:rsidP="00F22C59">
            <w:pPr>
              <w:jc w:val="right"/>
              <w:rPr>
                <w:sz w:val="22"/>
                <w:szCs w:val="22"/>
              </w:rPr>
            </w:pPr>
            <w:r w:rsidRPr="00D51778">
              <w:rPr>
                <w:rFonts w:cs="Calibri"/>
                <w:color w:val="000000"/>
                <w:sz w:val="22"/>
                <w:szCs w:val="22"/>
                <w:lang w:val="ga"/>
              </w:rPr>
              <w:t>14.3%</w:t>
            </w:r>
          </w:p>
        </w:tc>
      </w:tr>
      <w:tr w:rsidR="00E65B66" w:rsidRPr="00D51778" w14:paraId="10C5B3BA" w14:textId="77777777" w:rsidTr="00DA248F">
        <w:trPr>
          <w:jc w:val="center"/>
        </w:trPr>
        <w:tc>
          <w:tcPr>
            <w:tcW w:w="2137" w:type="dxa"/>
          </w:tcPr>
          <w:p w14:paraId="40958E90" w14:textId="375AA43C" w:rsidR="00E65B66" w:rsidRPr="00D51778" w:rsidRDefault="00E65B66" w:rsidP="00F22C59">
            <w:pPr>
              <w:rPr>
                <w:sz w:val="22"/>
                <w:szCs w:val="22"/>
              </w:rPr>
            </w:pPr>
            <w:r w:rsidRPr="00D51778">
              <w:rPr>
                <w:rFonts w:cs="Calibri"/>
                <w:color w:val="000000"/>
                <w:sz w:val="22"/>
                <w:szCs w:val="22"/>
                <w:lang w:val="ga"/>
              </w:rPr>
              <w:t>Seirbhís Fuilaistriúcháin na hÉireann</w:t>
            </w:r>
          </w:p>
        </w:tc>
        <w:tc>
          <w:tcPr>
            <w:tcW w:w="1690" w:type="dxa"/>
          </w:tcPr>
          <w:p w14:paraId="448AEEA6" w14:textId="291CD72A" w:rsidR="00E65B66" w:rsidRPr="00D51778" w:rsidRDefault="00E65B66" w:rsidP="00F22C59">
            <w:pPr>
              <w:jc w:val="right"/>
              <w:rPr>
                <w:sz w:val="22"/>
                <w:szCs w:val="22"/>
              </w:rPr>
            </w:pPr>
            <w:r w:rsidRPr="00D51778">
              <w:rPr>
                <w:rFonts w:cs="Calibri"/>
                <w:color w:val="000000"/>
                <w:sz w:val="22"/>
                <w:szCs w:val="22"/>
                <w:lang w:val="ga"/>
              </w:rPr>
              <w:t>585</w:t>
            </w:r>
          </w:p>
        </w:tc>
        <w:tc>
          <w:tcPr>
            <w:tcW w:w="1418" w:type="dxa"/>
          </w:tcPr>
          <w:p w14:paraId="20F222F5" w14:textId="7ADF662A" w:rsidR="00E65B66" w:rsidRPr="00D51778" w:rsidRDefault="00E65B66" w:rsidP="00F22C59">
            <w:pPr>
              <w:jc w:val="right"/>
              <w:rPr>
                <w:sz w:val="22"/>
                <w:szCs w:val="22"/>
              </w:rPr>
            </w:pPr>
            <w:r w:rsidRPr="00D51778">
              <w:rPr>
                <w:rFonts w:cs="Calibri"/>
                <w:color w:val="000000"/>
                <w:sz w:val="22"/>
                <w:szCs w:val="22"/>
                <w:lang w:val="ga"/>
              </w:rPr>
              <w:t>18</w:t>
            </w:r>
          </w:p>
        </w:tc>
        <w:tc>
          <w:tcPr>
            <w:tcW w:w="1559" w:type="dxa"/>
          </w:tcPr>
          <w:p w14:paraId="0433E3E1" w14:textId="559B7AED" w:rsidR="00E65B66" w:rsidRPr="00D51778" w:rsidRDefault="00E65B66" w:rsidP="00F22C59">
            <w:pPr>
              <w:jc w:val="right"/>
              <w:rPr>
                <w:sz w:val="22"/>
                <w:szCs w:val="22"/>
              </w:rPr>
            </w:pPr>
            <w:r w:rsidRPr="00D51778">
              <w:rPr>
                <w:rFonts w:cs="Calibri"/>
                <w:color w:val="000000"/>
                <w:sz w:val="22"/>
                <w:szCs w:val="22"/>
                <w:lang w:val="ga"/>
              </w:rPr>
              <w:t>3.1%</w:t>
            </w:r>
          </w:p>
        </w:tc>
        <w:tc>
          <w:tcPr>
            <w:tcW w:w="1559" w:type="dxa"/>
          </w:tcPr>
          <w:p w14:paraId="55B9DE2B" w14:textId="79169CA8" w:rsidR="00E65B66" w:rsidRPr="00D51778" w:rsidRDefault="00E65B66" w:rsidP="00F22C59">
            <w:pPr>
              <w:jc w:val="right"/>
              <w:rPr>
                <w:sz w:val="22"/>
                <w:szCs w:val="22"/>
              </w:rPr>
            </w:pPr>
            <w:r w:rsidRPr="00D51778">
              <w:rPr>
                <w:rFonts w:cs="Calibri"/>
                <w:color w:val="000000"/>
                <w:sz w:val="22"/>
                <w:szCs w:val="22"/>
                <w:lang w:val="ga"/>
              </w:rPr>
              <w:t>573</w:t>
            </w:r>
          </w:p>
        </w:tc>
        <w:tc>
          <w:tcPr>
            <w:tcW w:w="1418" w:type="dxa"/>
          </w:tcPr>
          <w:p w14:paraId="568CF0A3" w14:textId="3657C47F" w:rsidR="00E65B66" w:rsidRPr="00D51778" w:rsidRDefault="00E65B66" w:rsidP="00F22C59">
            <w:pPr>
              <w:jc w:val="right"/>
              <w:rPr>
                <w:sz w:val="22"/>
                <w:szCs w:val="22"/>
              </w:rPr>
            </w:pPr>
            <w:r w:rsidRPr="00D51778">
              <w:rPr>
                <w:rFonts w:cs="Calibri"/>
                <w:color w:val="000000"/>
                <w:sz w:val="22"/>
                <w:szCs w:val="22"/>
                <w:lang w:val="ga"/>
              </w:rPr>
              <w:t>16</w:t>
            </w:r>
          </w:p>
        </w:tc>
        <w:tc>
          <w:tcPr>
            <w:tcW w:w="1569" w:type="dxa"/>
          </w:tcPr>
          <w:p w14:paraId="77F86EF5" w14:textId="765CB36F" w:rsidR="00E65B66" w:rsidRPr="00D51778" w:rsidRDefault="00E65B66" w:rsidP="00F22C59">
            <w:pPr>
              <w:jc w:val="right"/>
              <w:rPr>
                <w:sz w:val="22"/>
                <w:szCs w:val="22"/>
              </w:rPr>
            </w:pPr>
            <w:r w:rsidRPr="00D51778">
              <w:rPr>
                <w:rFonts w:cs="Calibri"/>
                <w:color w:val="000000"/>
                <w:sz w:val="22"/>
                <w:szCs w:val="22"/>
                <w:lang w:val="ga"/>
              </w:rPr>
              <w:t>2.8%</w:t>
            </w:r>
          </w:p>
        </w:tc>
      </w:tr>
      <w:tr w:rsidR="00E65B66" w:rsidRPr="00D51778" w14:paraId="244C8F33" w14:textId="77777777" w:rsidTr="00DA248F">
        <w:trPr>
          <w:jc w:val="center"/>
        </w:trPr>
        <w:tc>
          <w:tcPr>
            <w:tcW w:w="2137" w:type="dxa"/>
          </w:tcPr>
          <w:p w14:paraId="327BCE87" w14:textId="2B5B66D8" w:rsidR="00E65B66" w:rsidRPr="00D51778" w:rsidRDefault="00E65B66" w:rsidP="00F22C59">
            <w:pPr>
              <w:rPr>
                <w:sz w:val="22"/>
                <w:szCs w:val="22"/>
              </w:rPr>
            </w:pPr>
            <w:r w:rsidRPr="00D51778">
              <w:rPr>
                <w:rFonts w:cs="Calibri"/>
                <w:color w:val="000000"/>
                <w:sz w:val="22"/>
                <w:szCs w:val="22"/>
                <w:lang w:val="ga"/>
              </w:rPr>
              <w:t>Ospidéal Pháirc Bhaile na Lobhar</w:t>
            </w:r>
          </w:p>
        </w:tc>
        <w:tc>
          <w:tcPr>
            <w:tcW w:w="1690" w:type="dxa"/>
          </w:tcPr>
          <w:p w14:paraId="52AEE663" w14:textId="52772D37" w:rsidR="00E65B66" w:rsidRPr="00D51778" w:rsidRDefault="00E65B66" w:rsidP="00F22C59">
            <w:pPr>
              <w:jc w:val="right"/>
              <w:rPr>
                <w:sz w:val="22"/>
                <w:szCs w:val="22"/>
              </w:rPr>
            </w:pPr>
            <w:r w:rsidRPr="00D51778">
              <w:rPr>
                <w:rFonts w:cs="Calibri"/>
                <w:color w:val="000000"/>
                <w:sz w:val="22"/>
                <w:szCs w:val="22"/>
                <w:lang w:val="ga"/>
              </w:rPr>
              <w:t>244</w:t>
            </w:r>
          </w:p>
        </w:tc>
        <w:tc>
          <w:tcPr>
            <w:tcW w:w="1418" w:type="dxa"/>
          </w:tcPr>
          <w:p w14:paraId="1AC93989" w14:textId="675F623A" w:rsidR="00E65B66" w:rsidRPr="00D51778" w:rsidRDefault="00E65B66" w:rsidP="00F22C59">
            <w:pPr>
              <w:jc w:val="right"/>
              <w:rPr>
                <w:sz w:val="22"/>
                <w:szCs w:val="22"/>
              </w:rPr>
            </w:pPr>
            <w:r w:rsidRPr="00D51778">
              <w:rPr>
                <w:rFonts w:cs="Calibri"/>
                <w:color w:val="000000"/>
                <w:sz w:val="22"/>
                <w:szCs w:val="22"/>
                <w:lang w:val="ga"/>
              </w:rPr>
              <w:t>15</w:t>
            </w:r>
          </w:p>
        </w:tc>
        <w:tc>
          <w:tcPr>
            <w:tcW w:w="1559" w:type="dxa"/>
          </w:tcPr>
          <w:p w14:paraId="34B100E1" w14:textId="48C7B8EE" w:rsidR="00E65B66" w:rsidRPr="00D51778" w:rsidRDefault="00E65B66" w:rsidP="00F22C59">
            <w:pPr>
              <w:jc w:val="right"/>
              <w:rPr>
                <w:sz w:val="22"/>
                <w:szCs w:val="22"/>
              </w:rPr>
            </w:pPr>
            <w:r w:rsidRPr="00D51778">
              <w:rPr>
                <w:rFonts w:cs="Calibri"/>
                <w:color w:val="000000"/>
                <w:sz w:val="22"/>
                <w:szCs w:val="22"/>
                <w:lang w:val="ga"/>
              </w:rPr>
              <w:t>6.1%</w:t>
            </w:r>
          </w:p>
        </w:tc>
        <w:tc>
          <w:tcPr>
            <w:tcW w:w="1559" w:type="dxa"/>
          </w:tcPr>
          <w:p w14:paraId="057B95DA" w14:textId="7384D82F" w:rsidR="00E65B66" w:rsidRPr="00D51778" w:rsidRDefault="00E65B66" w:rsidP="00F22C59">
            <w:pPr>
              <w:jc w:val="right"/>
              <w:rPr>
                <w:sz w:val="22"/>
                <w:szCs w:val="22"/>
              </w:rPr>
            </w:pPr>
            <w:r w:rsidRPr="00D51778">
              <w:rPr>
                <w:rFonts w:cs="Calibri"/>
                <w:color w:val="000000"/>
                <w:sz w:val="22"/>
                <w:szCs w:val="22"/>
                <w:lang w:val="ga"/>
              </w:rPr>
              <w:t>240</w:t>
            </w:r>
          </w:p>
        </w:tc>
        <w:tc>
          <w:tcPr>
            <w:tcW w:w="1418" w:type="dxa"/>
          </w:tcPr>
          <w:p w14:paraId="71308510" w14:textId="601A18BF" w:rsidR="00E65B66" w:rsidRPr="00D51778" w:rsidRDefault="00E65B66" w:rsidP="00F22C59">
            <w:pPr>
              <w:jc w:val="right"/>
              <w:rPr>
                <w:sz w:val="22"/>
                <w:szCs w:val="22"/>
              </w:rPr>
            </w:pPr>
            <w:r w:rsidRPr="00D51778">
              <w:rPr>
                <w:rFonts w:cs="Calibri"/>
                <w:color w:val="000000"/>
                <w:sz w:val="22"/>
                <w:szCs w:val="22"/>
                <w:lang w:val="ga"/>
              </w:rPr>
              <w:t>13</w:t>
            </w:r>
          </w:p>
        </w:tc>
        <w:tc>
          <w:tcPr>
            <w:tcW w:w="1569" w:type="dxa"/>
          </w:tcPr>
          <w:p w14:paraId="6D6DB1D8" w14:textId="5D5CA388" w:rsidR="00E65B66" w:rsidRPr="00D51778" w:rsidRDefault="00E65B66" w:rsidP="00F22C59">
            <w:pPr>
              <w:jc w:val="right"/>
              <w:rPr>
                <w:sz w:val="22"/>
                <w:szCs w:val="22"/>
              </w:rPr>
            </w:pPr>
            <w:r w:rsidRPr="00D51778">
              <w:rPr>
                <w:rFonts w:cs="Calibri"/>
                <w:color w:val="000000"/>
                <w:sz w:val="22"/>
                <w:szCs w:val="22"/>
                <w:lang w:val="ga"/>
              </w:rPr>
              <w:t>5.4%</w:t>
            </w:r>
          </w:p>
        </w:tc>
      </w:tr>
      <w:tr w:rsidR="00E65B66" w:rsidRPr="00D51778" w14:paraId="01166FA5" w14:textId="77777777" w:rsidTr="00DA248F">
        <w:trPr>
          <w:jc w:val="center"/>
        </w:trPr>
        <w:tc>
          <w:tcPr>
            <w:tcW w:w="2137" w:type="dxa"/>
          </w:tcPr>
          <w:p w14:paraId="6E5CB3EE" w14:textId="6C852629" w:rsidR="00E65B66" w:rsidRPr="00D51778" w:rsidRDefault="00E65B66" w:rsidP="00F22C59">
            <w:pPr>
              <w:rPr>
                <w:sz w:val="22"/>
                <w:szCs w:val="22"/>
              </w:rPr>
            </w:pPr>
            <w:r w:rsidRPr="00D51778">
              <w:rPr>
                <w:rFonts w:cs="Calibri"/>
                <w:color w:val="000000"/>
                <w:sz w:val="22"/>
                <w:szCs w:val="22"/>
                <w:lang w:val="ga"/>
              </w:rPr>
              <w:t>Comhairle na nDochtúirí Leighis</w:t>
            </w:r>
          </w:p>
        </w:tc>
        <w:tc>
          <w:tcPr>
            <w:tcW w:w="1690" w:type="dxa"/>
          </w:tcPr>
          <w:p w14:paraId="756F9C15" w14:textId="410E7158" w:rsidR="00E65B66" w:rsidRPr="00D51778" w:rsidRDefault="00E65B66" w:rsidP="00F22C59">
            <w:pPr>
              <w:jc w:val="right"/>
              <w:rPr>
                <w:sz w:val="22"/>
                <w:szCs w:val="22"/>
              </w:rPr>
            </w:pPr>
            <w:r w:rsidRPr="00D51778">
              <w:rPr>
                <w:rFonts w:cs="Calibri"/>
                <w:color w:val="000000"/>
                <w:sz w:val="22"/>
                <w:szCs w:val="22"/>
                <w:lang w:val="ga"/>
              </w:rPr>
              <w:t>82</w:t>
            </w:r>
          </w:p>
        </w:tc>
        <w:tc>
          <w:tcPr>
            <w:tcW w:w="1418" w:type="dxa"/>
          </w:tcPr>
          <w:p w14:paraId="55C3BDC0" w14:textId="51482668" w:rsidR="00E65B66" w:rsidRPr="00D51778" w:rsidRDefault="00E65B66" w:rsidP="00F22C59">
            <w:pPr>
              <w:jc w:val="right"/>
              <w:rPr>
                <w:sz w:val="22"/>
                <w:szCs w:val="22"/>
              </w:rPr>
            </w:pPr>
            <w:r w:rsidRPr="00D51778">
              <w:rPr>
                <w:rFonts w:cs="Calibri"/>
                <w:color w:val="000000"/>
                <w:sz w:val="22"/>
                <w:szCs w:val="22"/>
                <w:lang w:val="ga"/>
              </w:rPr>
              <w:t>4</w:t>
            </w:r>
          </w:p>
        </w:tc>
        <w:tc>
          <w:tcPr>
            <w:tcW w:w="1559" w:type="dxa"/>
          </w:tcPr>
          <w:p w14:paraId="51534CC9" w14:textId="310E4C57" w:rsidR="00E65B66" w:rsidRPr="00D51778" w:rsidRDefault="00E65B66" w:rsidP="00F22C59">
            <w:pPr>
              <w:jc w:val="right"/>
              <w:rPr>
                <w:sz w:val="22"/>
                <w:szCs w:val="22"/>
              </w:rPr>
            </w:pPr>
            <w:r w:rsidRPr="00D51778">
              <w:rPr>
                <w:rFonts w:cs="Calibri"/>
                <w:color w:val="000000"/>
                <w:sz w:val="22"/>
                <w:szCs w:val="22"/>
                <w:lang w:val="ga"/>
              </w:rPr>
              <w:t>4.9%</w:t>
            </w:r>
          </w:p>
        </w:tc>
        <w:tc>
          <w:tcPr>
            <w:tcW w:w="1559" w:type="dxa"/>
          </w:tcPr>
          <w:p w14:paraId="03B5934A" w14:textId="4A66665B" w:rsidR="00E65B66" w:rsidRPr="00D51778" w:rsidRDefault="00E65B66" w:rsidP="00F22C59">
            <w:pPr>
              <w:jc w:val="right"/>
              <w:rPr>
                <w:sz w:val="22"/>
                <w:szCs w:val="22"/>
              </w:rPr>
            </w:pPr>
            <w:r w:rsidRPr="00D51778">
              <w:rPr>
                <w:rFonts w:cs="Calibri"/>
                <w:color w:val="000000"/>
                <w:sz w:val="22"/>
                <w:szCs w:val="22"/>
                <w:lang w:val="ga"/>
              </w:rPr>
              <w:t>92</w:t>
            </w:r>
          </w:p>
        </w:tc>
        <w:tc>
          <w:tcPr>
            <w:tcW w:w="1418" w:type="dxa"/>
          </w:tcPr>
          <w:p w14:paraId="67E0304F" w14:textId="643444B5" w:rsidR="00E65B66" w:rsidRPr="00D51778" w:rsidRDefault="00E65B66" w:rsidP="00F22C59">
            <w:pPr>
              <w:jc w:val="right"/>
              <w:rPr>
                <w:sz w:val="22"/>
                <w:szCs w:val="22"/>
              </w:rPr>
            </w:pPr>
            <w:r w:rsidRPr="00D51778">
              <w:rPr>
                <w:rFonts w:cs="Calibri"/>
                <w:color w:val="000000"/>
                <w:sz w:val="22"/>
                <w:szCs w:val="22"/>
                <w:lang w:val="ga"/>
              </w:rPr>
              <w:t>8</w:t>
            </w:r>
          </w:p>
        </w:tc>
        <w:tc>
          <w:tcPr>
            <w:tcW w:w="1569" w:type="dxa"/>
          </w:tcPr>
          <w:p w14:paraId="1EAA29E8" w14:textId="45FA7C23" w:rsidR="00E65B66" w:rsidRPr="00D51778" w:rsidRDefault="00E65B66" w:rsidP="00F22C59">
            <w:pPr>
              <w:jc w:val="right"/>
              <w:rPr>
                <w:sz w:val="22"/>
                <w:szCs w:val="22"/>
              </w:rPr>
            </w:pPr>
            <w:r w:rsidRPr="00D51778">
              <w:rPr>
                <w:rFonts w:cs="Calibri"/>
                <w:color w:val="000000"/>
                <w:sz w:val="22"/>
                <w:szCs w:val="22"/>
                <w:lang w:val="ga"/>
              </w:rPr>
              <w:t>8.7%</w:t>
            </w:r>
          </w:p>
        </w:tc>
      </w:tr>
      <w:tr w:rsidR="00E65B66" w:rsidRPr="00D51778" w14:paraId="220707A0" w14:textId="77777777" w:rsidTr="00DA248F">
        <w:trPr>
          <w:jc w:val="center"/>
        </w:trPr>
        <w:tc>
          <w:tcPr>
            <w:tcW w:w="2137" w:type="dxa"/>
          </w:tcPr>
          <w:p w14:paraId="5FB9AD45" w14:textId="4B15EDDA" w:rsidR="00E65B66" w:rsidRPr="00D51778" w:rsidRDefault="00E65B66" w:rsidP="00F22C59">
            <w:pPr>
              <w:rPr>
                <w:sz w:val="22"/>
                <w:szCs w:val="22"/>
              </w:rPr>
            </w:pPr>
            <w:r w:rsidRPr="00D51778">
              <w:rPr>
                <w:rFonts w:cs="Calibri"/>
                <w:color w:val="000000"/>
                <w:sz w:val="22"/>
                <w:szCs w:val="22"/>
                <w:lang w:val="ga"/>
              </w:rPr>
              <w:t>An Coimisiún Meabhair-Shláinte</w:t>
            </w:r>
          </w:p>
        </w:tc>
        <w:tc>
          <w:tcPr>
            <w:tcW w:w="1690" w:type="dxa"/>
          </w:tcPr>
          <w:p w14:paraId="71390DA6" w14:textId="621F190E" w:rsidR="00E65B66" w:rsidRPr="00D51778" w:rsidRDefault="00E65B66" w:rsidP="00F22C59">
            <w:pPr>
              <w:jc w:val="right"/>
              <w:rPr>
                <w:sz w:val="22"/>
                <w:szCs w:val="22"/>
              </w:rPr>
            </w:pPr>
            <w:r w:rsidRPr="00D51778">
              <w:rPr>
                <w:rFonts w:cs="Calibri"/>
                <w:color w:val="000000"/>
                <w:sz w:val="22"/>
                <w:szCs w:val="22"/>
                <w:lang w:val="ga"/>
              </w:rPr>
              <w:t>73</w:t>
            </w:r>
          </w:p>
        </w:tc>
        <w:tc>
          <w:tcPr>
            <w:tcW w:w="1418" w:type="dxa"/>
          </w:tcPr>
          <w:p w14:paraId="34CD947D" w14:textId="57F64DBB" w:rsidR="00E65B66" w:rsidRPr="00D51778" w:rsidRDefault="00E65B66" w:rsidP="00F22C59">
            <w:pPr>
              <w:jc w:val="right"/>
              <w:rPr>
                <w:sz w:val="22"/>
                <w:szCs w:val="22"/>
              </w:rPr>
            </w:pPr>
            <w:r w:rsidRPr="00D51778">
              <w:rPr>
                <w:rFonts w:cs="Calibri"/>
                <w:color w:val="000000"/>
                <w:sz w:val="22"/>
                <w:szCs w:val="22"/>
                <w:lang w:val="ga"/>
              </w:rPr>
              <w:t>4</w:t>
            </w:r>
          </w:p>
        </w:tc>
        <w:tc>
          <w:tcPr>
            <w:tcW w:w="1559" w:type="dxa"/>
          </w:tcPr>
          <w:p w14:paraId="4DC64A90" w14:textId="0C938332" w:rsidR="00E65B66" w:rsidRPr="00D51778" w:rsidRDefault="00E65B66" w:rsidP="00F22C59">
            <w:pPr>
              <w:jc w:val="right"/>
              <w:rPr>
                <w:sz w:val="22"/>
                <w:szCs w:val="22"/>
              </w:rPr>
            </w:pPr>
            <w:r w:rsidRPr="00D51778">
              <w:rPr>
                <w:rFonts w:cs="Calibri"/>
                <w:color w:val="000000"/>
                <w:sz w:val="22"/>
                <w:szCs w:val="22"/>
                <w:lang w:val="ga"/>
              </w:rPr>
              <w:t>5.5%</w:t>
            </w:r>
          </w:p>
        </w:tc>
        <w:tc>
          <w:tcPr>
            <w:tcW w:w="1559" w:type="dxa"/>
          </w:tcPr>
          <w:p w14:paraId="4B275745" w14:textId="55717E75" w:rsidR="00E65B66" w:rsidRPr="00D51778" w:rsidRDefault="00E65B66" w:rsidP="00F22C59">
            <w:pPr>
              <w:jc w:val="right"/>
              <w:rPr>
                <w:sz w:val="22"/>
                <w:szCs w:val="22"/>
              </w:rPr>
            </w:pPr>
            <w:r w:rsidRPr="00D51778">
              <w:rPr>
                <w:rFonts w:cs="Calibri"/>
                <w:color w:val="000000"/>
                <w:sz w:val="22"/>
                <w:szCs w:val="22"/>
                <w:lang w:val="ga"/>
              </w:rPr>
              <w:t>71</w:t>
            </w:r>
          </w:p>
        </w:tc>
        <w:tc>
          <w:tcPr>
            <w:tcW w:w="1418" w:type="dxa"/>
          </w:tcPr>
          <w:p w14:paraId="3F4BCD8E" w14:textId="443CAE1E" w:rsidR="00E65B66" w:rsidRPr="00D51778" w:rsidRDefault="00E65B66" w:rsidP="00F22C59">
            <w:pPr>
              <w:jc w:val="right"/>
              <w:rPr>
                <w:sz w:val="22"/>
                <w:szCs w:val="22"/>
              </w:rPr>
            </w:pPr>
            <w:r w:rsidRPr="00D51778">
              <w:rPr>
                <w:rFonts w:cs="Calibri"/>
                <w:color w:val="000000"/>
                <w:sz w:val="22"/>
                <w:szCs w:val="22"/>
                <w:lang w:val="ga"/>
              </w:rPr>
              <w:t>3</w:t>
            </w:r>
          </w:p>
        </w:tc>
        <w:tc>
          <w:tcPr>
            <w:tcW w:w="1569" w:type="dxa"/>
          </w:tcPr>
          <w:p w14:paraId="5A19921B" w14:textId="35791B7D" w:rsidR="00E65B66" w:rsidRPr="00D51778" w:rsidRDefault="00E65B66" w:rsidP="00F22C59">
            <w:pPr>
              <w:jc w:val="right"/>
              <w:rPr>
                <w:sz w:val="22"/>
                <w:szCs w:val="22"/>
              </w:rPr>
            </w:pPr>
            <w:r w:rsidRPr="00D51778">
              <w:rPr>
                <w:rFonts w:cs="Calibri"/>
                <w:color w:val="000000"/>
                <w:sz w:val="22"/>
                <w:szCs w:val="22"/>
                <w:lang w:val="ga"/>
              </w:rPr>
              <w:t>4.2%</w:t>
            </w:r>
          </w:p>
        </w:tc>
      </w:tr>
      <w:tr w:rsidR="00E70F7C" w:rsidRPr="00D51778" w14:paraId="1AEF3392" w14:textId="77777777" w:rsidTr="00DA248F">
        <w:trPr>
          <w:jc w:val="center"/>
        </w:trPr>
        <w:tc>
          <w:tcPr>
            <w:tcW w:w="2137" w:type="dxa"/>
          </w:tcPr>
          <w:p w14:paraId="16C4559E" w14:textId="28E16E4A" w:rsidR="00E70F7C" w:rsidRPr="00D51778" w:rsidRDefault="00E70F7C" w:rsidP="00F22C59">
            <w:pPr>
              <w:rPr>
                <w:rFonts w:cs="Calibri"/>
                <w:color w:val="000000"/>
                <w:sz w:val="22"/>
                <w:szCs w:val="22"/>
              </w:rPr>
            </w:pPr>
            <w:r w:rsidRPr="00D51778">
              <w:rPr>
                <w:rFonts w:cs="Calibri"/>
                <w:color w:val="000000"/>
                <w:sz w:val="22"/>
                <w:szCs w:val="22"/>
                <w:lang w:val="ga"/>
              </w:rPr>
              <w:t>An Bord um an gClárlann Náisiúnta Ailse</w:t>
            </w:r>
          </w:p>
        </w:tc>
        <w:tc>
          <w:tcPr>
            <w:tcW w:w="1690" w:type="dxa"/>
          </w:tcPr>
          <w:p w14:paraId="05154028" w14:textId="6B50D855" w:rsidR="00E70F7C" w:rsidRPr="00D51778" w:rsidRDefault="00E70F7C" w:rsidP="00F22C59">
            <w:pPr>
              <w:jc w:val="right"/>
              <w:rPr>
                <w:rFonts w:cs="Calibri"/>
                <w:color w:val="000000"/>
                <w:sz w:val="22"/>
                <w:szCs w:val="22"/>
              </w:rPr>
            </w:pPr>
            <w:r w:rsidRPr="00D51778">
              <w:rPr>
                <w:rFonts w:cs="Calibri"/>
                <w:color w:val="000000"/>
                <w:sz w:val="22"/>
                <w:szCs w:val="22"/>
                <w:lang w:val="ga"/>
              </w:rPr>
              <w:t>44</w:t>
            </w:r>
          </w:p>
        </w:tc>
        <w:tc>
          <w:tcPr>
            <w:tcW w:w="1418" w:type="dxa"/>
          </w:tcPr>
          <w:p w14:paraId="1B4AE306" w14:textId="178831B6" w:rsidR="00E70F7C" w:rsidRPr="00D51778" w:rsidRDefault="00E70F7C" w:rsidP="00F22C59">
            <w:pPr>
              <w:jc w:val="right"/>
              <w:rPr>
                <w:rFonts w:cs="Calibri"/>
                <w:color w:val="000000"/>
                <w:sz w:val="22"/>
                <w:szCs w:val="22"/>
              </w:rPr>
            </w:pPr>
            <w:r w:rsidRPr="00D51778">
              <w:rPr>
                <w:rFonts w:cs="Calibri"/>
                <w:color w:val="000000"/>
                <w:sz w:val="22"/>
                <w:szCs w:val="22"/>
                <w:lang w:val="ga"/>
              </w:rPr>
              <w:t>3</w:t>
            </w:r>
          </w:p>
        </w:tc>
        <w:tc>
          <w:tcPr>
            <w:tcW w:w="1559" w:type="dxa"/>
          </w:tcPr>
          <w:p w14:paraId="22F42244" w14:textId="5EE7DE45" w:rsidR="00E70F7C" w:rsidRPr="00D51778" w:rsidRDefault="00E70F7C" w:rsidP="00F22C59">
            <w:pPr>
              <w:jc w:val="right"/>
              <w:rPr>
                <w:rFonts w:cs="Calibri"/>
                <w:color w:val="000000"/>
                <w:sz w:val="22"/>
                <w:szCs w:val="22"/>
              </w:rPr>
            </w:pPr>
            <w:r w:rsidRPr="00D51778">
              <w:rPr>
                <w:rFonts w:cs="Calibri"/>
                <w:color w:val="000000"/>
                <w:sz w:val="22"/>
                <w:szCs w:val="22"/>
                <w:lang w:val="ga"/>
              </w:rPr>
              <w:t>6.8%</w:t>
            </w:r>
          </w:p>
        </w:tc>
        <w:tc>
          <w:tcPr>
            <w:tcW w:w="1559" w:type="dxa"/>
          </w:tcPr>
          <w:p w14:paraId="0AD35051" w14:textId="0046DE07" w:rsidR="00E70F7C" w:rsidRPr="00D51778" w:rsidRDefault="00E70F7C" w:rsidP="00F22C59">
            <w:pPr>
              <w:jc w:val="right"/>
              <w:rPr>
                <w:rFonts w:cs="Calibri"/>
                <w:color w:val="000000"/>
                <w:sz w:val="22"/>
                <w:szCs w:val="22"/>
              </w:rPr>
            </w:pPr>
            <w:r w:rsidRPr="00D51778">
              <w:rPr>
                <w:rFonts w:cs="Calibri"/>
                <w:color w:val="000000"/>
                <w:sz w:val="22"/>
                <w:szCs w:val="22"/>
                <w:lang w:val="ga"/>
              </w:rPr>
              <w:t>43</w:t>
            </w:r>
          </w:p>
        </w:tc>
        <w:tc>
          <w:tcPr>
            <w:tcW w:w="1418" w:type="dxa"/>
          </w:tcPr>
          <w:p w14:paraId="67BCDD15" w14:textId="39C067AB" w:rsidR="00E70F7C" w:rsidRPr="00D51778" w:rsidRDefault="00E70F7C" w:rsidP="00F22C59">
            <w:pPr>
              <w:jc w:val="right"/>
              <w:rPr>
                <w:rFonts w:cs="Calibri"/>
                <w:color w:val="000000"/>
                <w:sz w:val="22"/>
                <w:szCs w:val="22"/>
              </w:rPr>
            </w:pPr>
            <w:r w:rsidRPr="00D51778">
              <w:rPr>
                <w:rFonts w:cs="Calibri"/>
                <w:color w:val="000000"/>
                <w:sz w:val="22"/>
                <w:szCs w:val="22"/>
                <w:lang w:val="ga"/>
              </w:rPr>
              <w:t>3</w:t>
            </w:r>
          </w:p>
        </w:tc>
        <w:tc>
          <w:tcPr>
            <w:tcW w:w="1569" w:type="dxa"/>
          </w:tcPr>
          <w:p w14:paraId="537A6E88" w14:textId="2555DCA6" w:rsidR="00E70F7C" w:rsidRPr="00D51778" w:rsidRDefault="00E70F7C" w:rsidP="00F22C59">
            <w:pPr>
              <w:jc w:val="right"/>
              <w:rPr>
                <w:rFonts w:cs="Calibri"/>
                <w:color w:val="000000"/>
                <w:sz w:val="22"/>
                <w:szCs w:val="22"/>
              </w:rPr>
            </w:pPr>
            <w:r w:rsidRPr="00D51778">
              <w:rPr>
                <w:rFonts w:cs="Calibri"/>
                <w:color w:val="000000"/>
                <w:sz w:val="22"/>
                <w:szCs w:val="22"/>
                <w:lang w:val="ga"/>
              </w:rPr>
              <w:t>7.0%</w:t>
            </w:r>
          </w:p>
        </w:tc>
      </w:tr>
      <w:tr w:rsidR="00E65B66" w:rsidRPr="00D51778" w14:paraId="52A4EB73" w14:textId="77777777" w:rsidTr="00DA248F">
        <w:trPr>
          <w:jc w:val="center"/>
        </w:trPr>
        <w:tc>
          <w:tcPr>
            <w:tcW w:w="2137" w:type="dxa"/>
          </w:tcPr>
          <w:p w14:paraId="62BC7EA4" w14:textId="2352A0E2" w:rsidR="00E65B66" w:rsidRPr="00D51778" w:rsidRDefault="00E65B66" w:rsidP="00F22C59">
            <w:pPr>
              <w:rPr>
                <w:sz w:val="22"/>
                <w:szCs w:val="22"/>
              </w:rPr>
            </w:pPr>
            <w:r w:rsidRPr="00D51778">
              <w:rPr>
                <w:rFonts w:cs="Calibri"/>
                <w:color w:val="000000"/>
                <w:sz w:val="22"/>
                <w:szCs w:val="22"/>
                <w:lang w:val="ga"/>
              </w:rPr>
              <w:t>An Ciste Náisiúnta um Cheannach Cóireála</w:t>
            </w:r>
          </w:p>
        </w:tc>
        <w:tc>
          <w:tcPr>
            <w:tcW w:w="1690" w:type="dxa"/>
          </w:tcPr>
          <w:p w14:paraId="745351FC" w14:textId="5E1110FD" w:rsidR="00E65B66" w:rsidRPr="00D51778" w:rsidRDefault="00E65B66" w:rsidP="00F22C59">
            <w:pPr>
              <w:jc w:val="right"/>
              <w:rPr>
                <w:sz w:val="22"/>
                <w:szCs w:val="22"/>
              </w:rPr>
            </w:pPr>
            <w:r w:rsidRPr="00D51778">
              <w:rPr>
                <w:rFonts w:cs="Calibri"/>
                <w:color w:val="000000"/>
                <w:sz w:val="22"/>
                <w:szCs w:val="22"/>
                <w:lang w:val="ga"/>
              </w:rPr>
              <w:t>56</w:t>
            </w:r>
          </w:p>
        </w:tc>
        <w:tc>
          <w:tcPr>
            <w:tcW w:w="1418" w:type="dxa"/>
          </w:tcPr>
          <w:p w14:paraId="3B7D2CC7" w14:textId="1F10D2A1" w:rsidR="00E65B66" w:rsidRPr="00D51778" w:rsidRDefault="00E65B66" w:rsidP="00F22C59">
            <w:pPr>
              <w:jc w:val="right"/>
              <w:rPr>
                <w:sz w:val="22"/>
                <w:szCs w:val="22"/>
              </w:rPr>
            </w:pPr>
            <w:r w:rsidRPr="00D51778">
              <w:rPr>
                <w:rFonts w:cs="Calibri"/>
                <w:color w:val="000000"/>
                <w:sz w:val="22"/>
                <w:szCs w:val="22"/>
                <w:lang w:val="ga"/>
              </w:rPr>
              <w:t>4</w:t>
            </w:r>
          </w:p>
        </w:tc>
        <w:tc>
          <w:tcPr>
            <w:tcW w:w="1559" w:type="dxa"/>
          </w:tcPr>
          <w:p w14:paraId="4C2BAE6D" w14:textId="121CC39F" w:rsidR="00E65B66" w:rsidRPr="00D51778" w:rsidRDefault="00E65B66" w:rsidP="00F22C59">
            <w:pPr>
              <w:jc w:val="right"/>
              <w:rPr>
                <w:sz w:val="22"/>
                <w:szCs w:val="22"/>
              </w:rPr>
            </w:pPr>
            <w:r w:rsidRPr="00D51778">
              <w:rPr>
                <w:rFonts w:cs="Calibri"/>
                <w:color w:val="000000"/>
                <w:sz w:val="22"/>
                <w:szCs w:val="22"/>
                <w:lang w:val="ga"/>
              </w:rPr>
              <w:t>7.1%</w:t>
            </w:r>
          </w:p>
        </w:tc>
        <w:tc>
          <w:tcPr>
            <w:tcW w:w="1559" w:type="dxa"/>
          </w:tcPr>
          <w:p w14:paraId="42CF6729" w14:textId="7E0D40B1" w:rsidR="00E65B66" w:rsidRPr="00D51778" w:rsidRDefault="00E65B66" w:rsidP="00F22C59">
            <w:pPr>
              <w:jc w:val="right"/>
              <w:rPr>
                <w:sz w:val="22"/>
                <w:szCs w:val="22"/>
              </w:rPr>
            </w:pPr>
            <w:r w:rsidRPr="00D51778">
              <w:rPr>
                <w:rFonts w:cs="Calibri"/>
                <w:color w:val="000000"/>
                <w:sz w:val="22"/>
                <w:szCs w:val="22"/>
                <w:lang w:val="ga"/>
              </w:rPr>
              <w:t>63</w:t>
            </w:r>
          </w:p>
        </w:tc>
        <w:tc>
          <w:tcPr>
            <w:tcW w:w="1418" w:type="dxa"/>
          </w:tcPr>
          <w:p w14:paraId="29B56863" w14:textId="66F090FC" w:rsidR="00E65B66" w:rsidRPr="00D51778" w:rsidRDefault="00E65B66" w:rsidP="00F22C59">
            <w:pPr>
              <w:jc w:val="right"/>
              <w:rPr>
                <w:sz w:val="22"/>
                <w:szCs w:val="22"/>
              </w:rPr>
            </w:pPr>
            <w:r w:rsidRPr="00D51778">
              <w:rPr>
                <w:rFonts w:cs="Calibri"/>
                <w:color w:val="000000"/>
                <w:sz w:val="22"/>
                <w:szCs w:val="22"/>
                <w:lang w:val="ga"/>
              </w:rPr>
              <w:t>5</w:t>
            </w:r>
          </w:p>
        </w:tc>
        <w:tc>
          <w:tcPr>
            <w:tcW w:w="1569" w:type="dxa"/>
          </w:tcPr>
          <w:p w14:paraId="2F72654C" w14:textId="02205CE9" w:rsidR="00E65B66" w:rsidRPr="00D51778" w:rsidRDefault="00E65B66" w:rsidP="00F22C59">
            <w:pPr>
              <w:jc w:val="right"/>
              <w:rPr>
                <w:sz w:val="22"/>
                <w:szCs w:val="22"/>
              </w:rPr>
            </w:pPr>
            <w:r w:rsidRPr="00D51778">
              <w:rPr>
                <w:rFonts w:cs="Calibri"/>
                <w:color w:val="000000"/>
                <w:sz w:val="22"/>
                <w:szCs w:val="22"/>
                <w:lang w:val="ga"/>
              </w:rPr>
              <w:t>7.9%</w:t>
            </w:r>
          </w:p>
        </w:tc>
      </w:tr>
      <w:tr w:rsidR="00E65B66" w:rsidRPr="00D51778" w14:paraId="3C8F3970" w14:textId="77777777" w:rsidTr="00DA248F">
        <w:trPr>
          <w:jc w:val="center"/>
        </w:trPr>
        <w:tc>
          <w:tcPr>
            <w:tcW w:w="2137" w:type="dxa"/>
          </w:tcPr>
          <w:p w14:paraId="73FCD8F6" w14:textId="33F2CC07" w:rsidR="00E65B66" w:rsidRPr="00D51778" w:rsidRDefault="00E65B66" w:rsidP="00F22C59">
            <w:pPr>
              <w:rPr>
                <w:sz w:val="22"/>
                <w:szCs w:val="22"/>
              </w:rPr>
            </w:pPr>
            <w:r w:rsidRPr="00D51778">
              <w:rPr>
                <w:rFonts w:cs="Calibri"/>
                <w:color w:val="000000"/>
                <w:sz w:val="22"/>
                <w:szCs w:val="22"/>
                <w:lang w:val="ga"/>
              </w:rPr>
              <w:t>Bord Altranais agus Cnáimhseachais na hÉireann</w:t>
            </w:r>
          </w:p>
        </w:tc>
        <w:tc>
          <w:tcPr>
            <w:tcW w:w="1690" w:type="dxa"/>
          </w:tcPr>
          <w:p w14:paraId="461C4F47" w14:textId="4FC5B11F" w:rsidR="00E65B66" w:rsidRPr="00D51778" w:rsidRDefault="00E65B66" w:rsidP="00F22C59">
            <w:pPr>
              <w:jc w:val="right"/>
              <w:rPr>
                <w:sz w:val="22"/>
                <w:szCs w:val="22"/>
              </w:rPr>
            </w:pPr>
            <w:r w:rsidRPr="00D51778">
              <w:rPr>
                <w:rFonts w:cs="Calibri"/>
                <w:color w:val="000000"/>
                <w:sz w:val="22"/>
                <w:szCs w:val="22"/>
                <w:lang w:val="ga"/>
              </w:rPr>
              <w:t>45</w:t>
            </w:r>
          </w:p>
        </w:tc>
        <w:tc>
          <w:tcPr>
            <w:tcW w:w="1418" w:type="dxa"/>
          </w:tcPr>
          <w:p w14:paraId="471A1EA6" w14:textId="636D4034" w:rsidR="00E65B66" w:rsidRPr="00D51778" w:rsidRDefault="00E65B66" w:rsidP="00F22C59">
            <w:pPr>
              <w:jc w:val="right"/>
              <w:rPr>
                <w:sz w:val="22"/>
                <w:szCs w:val="22"/>
              </w:rPr>
            </w:pPr>
            <w:r w:rsidRPr="00D51778">
              <w:rPr>
                <w:rFonts w:cs="Calibri"/>
                <w:color w:val="000000"/>
                <w:sz w:val="22"/>
                <w:szCs w:val="22"/>
                <w:lang w:val="ga"/>
              </w:rPr>
              <w:t>2</w:t>
            </w:r>
          </w:p>
        </w:tc>
        <w:tc>
          <w:tcPr>
            <w:tcW w:w="1559" w:type="dxa"/>
          </w:tcPr>
          <w:p w14:paraId="5016A790" w14:textId="748975E9" w:rsidR="00E65B66" w:rsidRPr="00D51778" w:rsidRDefault="00E65B66" w:rsidP="00F22C59">
            <w:pPr>
              <w:jc w:val="right"/>
              <w:rPr>
                <w:sz w:val="22"/>
                <w:szCs w:val="22"/>
              </w:rPr>
            </w:pPr>
            <w:r w:rsidRPr="00D51778">
              <w:rPr>
                <w:rFonts w:cs="Calibri"/>
                <w:color w:val="000000"/>
                <w:sz w:val="22"/>
                <w:szCs w:val="22"/>
                <w:lang w:val="ga"/>
              </w:rPr>
              <w:t>4.4%</w:t>
            </w:r>
          </w:p>
        </w:tc>
        <w:tc>
          <w:tcPr>
            <w:tcW w:w="1559" w:type="dxa"/>
          </w:tcPr>
          <w:p w14:paraId="10271050" w14:textId="5D77BF9C" w:rsidR="00E65B66" w:rsidRPr="00D51778" w:rsidRDefault="00E65B66" w:rsidP="00F22C59">
            <w:pPr>
              <w:jc w:val="right"/>
              <w:rPr>
                <w:sz w:val="22"/>
                <w:szCs w:val="22"/>
              </w:rPr>
            </w:pPr>
            <w:r w:rsidRPr="00D51778">
              <w:rPr>
                <w:rFonts w:cs="Calibri"/>
                <w:color w:val="000000"/>
                <w:sz w:val="22"/>
                <w:szCs w:val="22"/>
                <w:lang w:val="ga"/>
              </w:rPr>
              <w:t>46</w:t>
            </w:r>
          </w:p>
        </w:tc>
        <w:tc>
          <w:tcPr>
            <w:tcW w:w="1418" w:type="dxa"/>
          </w:tcPr>
          <w:p w14:paraId="45A98E1A" w14:textId="35F6F674" w:rsidR="00E65B66" w:rsidRPr="00D51778" w:rsidRDefault="00E65B66" w:rsidP="00F22C59">
            <w:pPr>
              <w:jc w:val="right"/>
              <w:rPr>
                <w:sz w:val="22"/>
                <w:szCs w:val="22"/>
              </w:rPr>
            </w:pPr>
            <w:r w:rsidRPr="00D51778">
              <w:rPr>
                <w:rFonts w:cs="Calibri"/>
                <w:color w:val="000000"/>
                <w:sz w:val="22"/>
                <w:szCs w:val="22"/>
                <w:lang w:val="ga"/>
              </w:rPr>
              <w:t>3</w:t>
            </w:r>
          </w:p>
        </w:tc>
        <w:tc>
          <w:tcPr>
            <w:tcW w:w="1569" w:type="dxa"/>
          </w:tcPr>
          <w:p w14:paraId="14BD4866" w14:textId="2E990999" w:rsidR="00E65B66" w:rsidRPr="00D51778" w:rsidRDefault="00E65B66" w:rsidP="00F22C59">
            <w:pPr>
              <w:jc w:val="right"/>
              <w:rPr>
                <w:sz w:val="22"/>
                <w:szCs w:val="22"/>
              </w:rPr>
            </w:pPr>
            <w:r w:rsidRPr="00D51778">
              <w:rPr>
                <w:rFonts w:cs="Calibri"/>
                <w:color w:val="000000"/>
                <w:sz w:val="22"/>
                <w:szCs w:val="22"/>
                <w:lang w:val="ga"/>
              </w:rPr>
              <w:t>6.5%</w:t>
            </w:r>
          </w:p>
        </w:tc>
      </w:tr>
      <w:tr w:rsidR="00E65B66" w:rsidRPr="00D51778" w14:paraId="5C4B632C" w14:textId="77777777" w:rsidTr="00DA248F">
        <w:trPr>
          <w:jc w:val="center"/>
        </w:trPr>
        <w:tc>
          <w:tcPr>
            <w:tcW w:w="2137" w:type="dxa"/>
          </w:tcPr>
          <w:p w14:paraId="463D6742" w14:textId="0489FECA" w:rsidR="00E65B66" w:rsidRPr="00D51778" w:rsidRDefault="00E65B66" w:rsidP="00F22C59">
            <w:pPr>
              <w:rPr>
                <w:sz w:val="22"/>
                <w:szCs w:val="22"/>
              </w:rPr>
            </w:pPr>
            <w:r w:rsidRPr="00D51778">
              <w:rPr>
                <w:rFonts w:cs="Calibri"/>
                <w:color w:val="000000"/>
                <w:sz w:val="22"/>
                <w:szCs w:val="22"/>
                <w:lang w:val="ga"/>
              </w:rPr>
              <w:t>Cumann Cógaiseoirí na hÉireann</w:t>
            </w:r>
          </w:p>
        </w:tc>
        <w:tc>
          <w:tcPr>
            <w:tcW w:w="1690" w:type="dxa"/>
          </w:tcPr>
          <w:p w14:paraId="3CAF2FDC" w14:textId="6E28CBB9" w:rsidR="00E65B66" w:rsidRPr="00D51778" w:rsidRDefault="00E65B66" w:rsidP="00F22C59">
            <w:pPr>
              <w:jc w:val="right"/>
              <w:rPr>
                <w:sz w:val="22"/>
                <w:szCs w:val="22"/>
              </w:rPr>
            </w:pPr>
            <w:r w:rsidRPr="00D51778">
              <w:rPr>
                <w:rFonts w:cs="Calibri"/>
                <w:color w:val="000000"/>
                <w:sz w:val="22"/>
                <w:szCs w:val="22"/>
                <w:lang w:val="ga"/>
              </w:rPr>
              <w:t>46</w:t>
            </w:r>
          </w:p>
        </w:tc>
        <w:tc>
          <w:tcPr>
            <w:tcW w:w="1418" w:type="dxa"/>
          </w:tcPr>
          <w:p w14:paraId="27CBDF71" w14:textId="7145034C" w:rsidR="00E65B66" w:rsidRPr="00D51778" w:rsidRDefault="00E65B66" w:rsidP="00F22C59">
            <w:pPr>
              <w:jc w:val="right"/>
              <w:rPr>
                <w:sz w:val="22"/>
                <w:szCs w:val="22"/>
              </w:rPr>
            </w:pPr>
            <w:r w:rsidRPr="00D51778">
              <w:rPr>
                <w:rFonts w:cs="Calibri"/>
                <w:color w:val="000000"/>
                <w:sz w:val="22"/>
                <w:szCs w:val="22"/>
                <w:lang w:val="ga"/>
              </w:rPr>
              <w:t>3</w:t>
            </w:r>
          </w:p>
        </w:tc>
        <w:tc>
          <w:tcPr>
            <w:tcW w:w="1559" w:type="dxa"/>
          </w:tcPr>
          <w:p w14:paraId="5347C7B1" w14:textId="587D72F7" w:rsidR="00E65B66" w:rsidRPr="00D51778" w:rsidRDefault="00E65B66" w:rsidP="00F22C59">
            <w:pPr>
              <w:jc w:val="right"/>
              <w:rPr>
                <w:sz w:val="22"/>
                <w:szCs w:val="22"/>
              </w:rPr>
            </w:pPr>
            <w:r w:rsidRPr="00D51778">
              <w:rPr>
                <w:rFonts w:cs="Calibri"/>
                <w:color w:val="000000"/>
                <w:sz w:val="22"/>
                <w:szCs w:val="22"/>
                <w:lang w:val="ga"/>
              </w:rPr>
              <w:t>6.5%</w:t>
            </w:r>
          </w:p>
        </w:tc>
        <w:tc>
          <w:tcPr>
            <w:tcW w:w="1559" w:type="dxa"/>
          </w:tcPr>
          <w:p w14:paraId="03C4C2BF" w14:textId="55FEA082" w:rsidR="00E65B66" w:rsidRPr="00D51778" w:rsidRDefault="00E65B66" w:rsidP="00F22C59">
            <w:pPr>
              <w:jc w:val="right"/>
              <w:rPr>
                <w:sz w:val="22"/>
                <w:szCs w:val="22"/>
              </w:rPr>
            </w:pPr>
            <w:r w:rsidRPr="00D51778">
              <w:rPr>
                <w:rFonts w:cs="Calibri"/>
                <w:color w:val="000000"/>
                <w:sz w:val="22"/>
                <w:szCs w:val="22"/>
                <w:lang w:val="ga"/>
              </w:rPr>
              <w:t>44</w:t>
            </w:r>
          </w:p>
        </w:tc>
        <w:tc>
          <w:tcPr>
            <w:tcW w:w="1418" w:type="dxa"/>
          </w:tcPr>
          <w:p w14:paraId="2E6FCD04" w14:textId="5E5990FD" w:rsidR="00E65B66" w:rsidRPr="00D51778" w:rsidRDefault="00E65B66" w:rsidP="00F22C59">
            <w:pPr>
              <w:jc w:val="right"/>
              <w:rPr>
                <w:sz w:val="22"/>
                <w:szCs w:val="22"/>
              </w:rPr>
            </w:pPr>
            <w:r w:rsidRPr="00D51778">
              <w:rPr>
                <w:rFonts w:cs="Calibri"/>
                <w:color w:val="000000"/>
                <w:sz w:val="22"/>
                <w:szCs w:val="22"/>
                <w:lang w:val="ga"/>
              </w:rPr>
              <w:t>2</w:t>
            </w:r>
          </w:p>
        </w:tc>
        <w:tc>
          <w:tcPr>
            <w:tcW w:w="1569" w:type="dxa"/>
          </w:tcPr>
          <w:p w14:paraId="1218CBB4" w14:textId="2CDC00A5" w:rsidR="00E65B66" w:rsidRPr="00D51778" w:rsidRDefault="007E7CE3" w:rsidP="00F22C59">
            <w:pPr>
              <w:jc w:val="right"/>
              <w:rPr>
                <w:sz w:val="22"/>
                <w:szCs w:val="22"/>
              </w:rPr>
            </w:pPr>
            <w:r w:rsidRPr="00D51778">
              <w:rPr>
                <w:rFonts w:cs="Calibri"/>
                <w:color w:val="000000"/>
                <w:sz w:val="22"/>
                <w:szCs w:val="22"/>
                <w:lang w:val="ga"/>
              </w:rPr>
              <w:t>4.5%</w:t>
            </w:r>
          </w:p>
        </w:tc>
      </w:tr>
      <w:tr w:rsidR="00E65B66" w:rsidRPr="00D51778" w14:paraId="3BCCE182" w14:textId="77777777" w:rsidTr="00DA248F">
        <w:trPr>
          <w:jc w:val="center"/>
        </w:trPr>
        <w:tc>
          <w:tcPr>
            <w:tcW w:w="2137" w:type="dxa"/>
          </w:tcPr>
          <w:p w14:paraId="4A0ECC44" w14:textId="3D00417B" w:rsidR="00E65B66" w:rsidRPr="00D51778" w:rsidRDefault="00E65B66" w:rsidP="00F22C59">
            <w:pPr>
              <w:rPr>
                <w:sz w:val="22"/>
                <w:szCs w:val="22"/>
              </w:rPr>
            </w:pPr>
            <w:r w:rsidRPr="00D51778">
              <w:rPr>
                <w:rFonts w:cs="Calibri"/>
                <w:color w:val="000000"/>
                <w:sz w:val="22"/>
                <w:szCs w:val="22"/>
                <w:lang w:val="ga"/>
              </w:rPr>
              <w:t>An Chomhairle um Chúram Éigeandála Réamhospidéil</w:t>
            </w:r>
          </w:p>
        </w:tc>
        <w:tc>
          <w:tcPr>
            <w:tcW w:w="1690" w:type="dxa"/>
          </w:tcPr>
          <w:p w14:paraId="34BF38D3" w14:textId="2E1C73C4" w:rsidR="00E65B66" w:rsidRPr="00D51778" w:rsidRDefault="00E65B66" w:rsidP="00F22C59">
            <w:pPr>
              <w:jc w:val="right"/>
              <w:rPr>
                <w:sz w:val="22"/>
                <w:szCs w:val="22"/>
              </w:rPr>
            </w:pPr>
            <w:r w:rsidRPr="00D51778">
              <w:rPr>
                <w:rFonts w:cs="Calibri"/>
                <w:color w:val="000000"/>
                <w:sz w:val="22"/>
                <w:szCs w:val="22"/>
                <w:lang w:val="ga"/>
              </w:rPr>
              <w:t>21</w:t>
            </w:r>
          </w:p>
        </w:tc>
        <w:tc>
          <w:tcPr>
            <w:tcW w:w="1418" w:type="dxa"/>
          </w:tcPr>
          <w:p w14:paraId="26F3D49D" w14:textId="7F9C76D6" w:rsidR="00E65B66" w:rsidRPr="00D51778" w:rsidRDefault="00E65B66" w:rsidP="00F22C59">
            <w:pPr>
              <w:jc w:val="right"/>
              <w:rPr>
                <w:sz w:val="22"/>
                <w:szCs w:val="22"/>
              </w:rPr>
            </w:pPr>
            <w:r w:rsidRPr="00D51778">
              <w:rPr>
                <w:rFonts w:cs="Calibri"/>
                <w:color w:val="000000"/>
                <w:sz w:val="22"/>
                <w:szCs w:val="22"/>
                <w:lang w:val="ga"/>
              </w:rPr>
              <w:t>1</w:t>
            </w:r>
          </w:p>
        </w:tc>
        <w:tc>
          <w:tcPr>
            <w:tcW w:w="1559" w:type="dxa"/>
          </w:tcPr>
          <w:p w14:paraId="73305C54" w14:textId="5FB0495E" w:rsidR="00E65B66" w:rsidRPr="00D51778" w:rsidRDefault="00E65B66" w:rsidP="00F22C59">
            <w:pPr>
              <w:jc w:val="right"/>
              <w:rPr>
                <w:sz w:val="22"/>
                <w:szCs w:val="22"/>
              </w:rPr>
            </w:pPr>
            <w:r w:rsidRPr="00D51778">
              <w:rPr>
                <w:rFonts w:cs="Calibri"/>
                <w:color w:val="000000"/>
                <w:sz w:val="22"/>
                <w:szCs w:val="22"/>
                <w:lang w:val="ga"/>
              </w:rPr>
              <w:t>4.8%</w:t>
            </w:r>
          </w:p>
        </w:tc>
        <w:tc>
          <w:tcPr>
            <w:tcW w:w="1559" w:type="dxa"/>
          </w:tcPr>
          <w:p w14:paraId="215305CB" w14:textId="24607717" w:rsidR="00E65B66" w:rsidRPr="00D51778" w:rsidRDefault="00E65B66" w:rsidP="00F22C59">
            <w:pPr>
              <w:jc w:val="right"/>
              <w:rPr>
                <w:sz w:val="22"/>
                <w:szCs w:val="22"/>
              </w:rPr>
            </w:pPr>
            <w:r w:rsidRPr="00D51778">
              <w:rPr>
                <w:rFonts w:cs="Calibri"/>
                <w:color w:val="000000"/>
                <w:sz w:val="22"/>
                <w:szCs w:val="22"/>
                <w:lang w:val="ga"/>
              </w:rPr>
              <w:t>20</w:t>
            </w:r>
          </w:p>
        </w:tc>
        <w:tc>
          <w:tcPr>
            <w:tcW w:w="1418" w:type="dxa"/>
          </w:tcPr>
          <w:p w14:paraId="0911F938" w14:textId="2D1C1360" w:rsidR="00E65B66" w:rsidRPr="00D51778" w:rsidRDefault="00E65B66" w:rsidP="00F22C59">
            <w:pPr>
              <w:jc w:val="right"/>
              <w:rPr>
                <w:sz w:val="22"/>
                <w:szCs w:val="22"/>
              </w:rPr>
            </w:pPr>
            <w:r w:rsidRPr="00D51778">
              <w:rPr>
                <w:rFonts w:cs="Calibri"/>
                <w:color w:val="000000"/>
                <w:sz w:val="22"/>
                <w:szCs w:val="22"/>
                <w:lang w:val="ga"/>
              </w:rPr>
              <w:t>1</w:t>
            </w:r>
          </w:p>
        </w:tc>
        <w:tc>
          <w:tcPr>
            <w:tcW w:w="1569" w:type="dxa"/>
          </w:tcPr>
          <w:p w14:paraId="11927CDD" w14:textId="0CAA93FC" w:rsidR="00E65B66" w:rsidRPr="00D51778" w:rsidRDefault="00E65B66" w:rsidP="00F22C59">
            <w:pPr>
              <w:jc w:val="right"/>
              <w:rPr>
                <w:sz w:val="22"/>
                <w:szCs w:val="22"/>
              </w:rPr>
            </w:pPr>
            <w:r w:rsidRPr="00D51778">
              <w:rPr>
                <w:rFonts w:cs="Calibri"/>
                <w:color w:val="000000"/>
                <w:sz w:val="22"/>
                <w:szCs w:val="22"/>
                <w:lang w:val="ga"/>
              </w:rPr>
              <w:t>5.0%</w:t>
            </w:r>
          </w:p>
        </w:tc>
      </w:tr>
      <w:tr w:rsidR="00E65B66" w:rsidRPr="00D51778" w14:paraId="07B961D6" w14:textId="77777777" w:rsidTr="00DA248F">
        <w:trPr>
          <w:jc w:val="center"/>
        </w:trPr>
        <w:tc>
          <w:tcPr>
            <w:tcW w:w="2137" w:type="dxa"/>
          </w:tcPr>
          <w:p w14:paraId="7E62D567" w14:textId="4DDCEB11" w:rsidR="00E65B66" w:rsidRPr="00D51778" w:rsidRDefault="00E65B66" w:rsidP="00F22C59">
            <w:pPr>
              <w:rPr>
                <w:sz w:val="22"/>
                <w:szCs w:val="22"/>
              </w:rPr>
            </w:pPr>
            <w:r w:rsidRPr="00D51778">
              <w:rPr>
                <w:rFonts w:cs="Calibri"/>
                <w:color w:val="000000"/>
                <w:sz w:val="22"/>
                <w:szCs w:val="22"/>
                <w:lang w:val="ga"/>
              </w:rPr>
              <w:t>safefood</w:t>
            </w:r>
          </w:p>
        </w:tc>
        <w:tc>
          <w:tcPr>
            <w:tcW w:w="1690" w:type="dxa"/>
          </w:tcPr>
          <w:p w14:paraId="30A1D2A5" w14:textId="1491EDEA" w:rsidR="00E65B66" w:rsidRPr="00D51778" w:rsidRDefault="00E65B66" w:rsidP="00F22C59">
            <w:pPr>
              <w:jc w:val="right"/>
              <w:rPr>
                <w:sz w:val="22"/>
                <w:szCs w:val="22"/>
              </w:rPr>
            </w:pPr>
            <w:r w:rsidRPr="00D51778">
              <w:rPr>
                <w:rFonts w:cs="Calibri"/>
                <w:color w:val="000000"/>
                <w:sz w:val="22"/>
                <w:szCs w:val="22"/>
                <w:lang w:val="ga"/>
              </w:rPr>
              <w:t>31</w:t>
            </w:r>
          </w:p>
        </w:tc>
        <w:tc>
          <w:tcPr>
            <w:tcW w:w="1418" w:type="dxa"/>
          </w:tcPr>
          <w:p w14:paraId="4B1AD217" w14:textId="3087F63D" w:rsidR="00E65B66" w:rsidRPr="00D51778" w:rsidRDefault="00E65B66" w:rsidP="00F22C59">
            <w:pPr>
              <w:jc w:val="right"/>
              <w:rPr>
                <w:sz w:val="22"/>
                <w:szCs w:val="22"/>
              </w:rPr>
            </w:pPr>
            <w:r w:rsidRPr="00D51778">
              <w:rPr>
                <w:rFonts w:cs="Calibri"/>
                <w:color w:val="000000"/>
                <w:sz w:val="22"/>
                <w:szCs w:val="22"/>
                <w:lang w:val="ga"/>
              </w:rPr>
              <w:t>2</w:t>
            </w:r>
          </w:p>
        </w:tc>
        <w:tc>
          <w:tcPr>
            <w:tcW w:w="1559" w:type="dxa"/>
          </w:tcPr>
          <w:p w14:paraId="5EFAA780" w14:textId="08FB7A9C" w:rsidR="00E65B66" w:rsidRPr="00D51778" w:rsidRDefault="00E65B66" w:rsidP="00F22C59">
            <w:pPr>
              <w:jc w:val="right"/>
              <w:rPr>
                <w:sz w:val="22"/>
                <w:szCs w:val="22"/>
              </w:rPr>
            </w:pPr>
            <w:r w:rsidRPr="00D51778">
              <w:rPr>
                <w:rFonts w:cs="Calibri"/>
                <w:color w:val="000000"/>
                <w:sz w:val="22"/>
                <w:szCs w:val="22"/>
                <w:lang w:val="ga"/>
              </w:rPr>
              <w:t>6.5%</w:t>
            </w:r>
          </w:p>
        </w:tc>
        <w:tc>
          <w:tcPr>
            <w:tcW w:w="1559" w:type="dxa"/>
          </w:tcPr>
          <w:p w14:paraId="50F8CFF6" w14:textId="23C57B5C" w:rsidR="00E65B66" w:rsidRPr="00D51778" w:rsidRDefault="00E65B66" w:rsidP="00F22C59">
            <w:pPr>
              <w:jc w:val="right"/>
              <w:rPr>
                <w:sz w:val="22"/>
                <w:szCs w:val="22"/>
              </w:rPr>
            </w:pPr>
            <w:r w:rsidRPr="00D51778">
              <w:rPr>
                <w:rFonts w:cs="Calibri"/>
                <w:color w:val="000000"/>
                <w:sz w:val="22"/>
                <w:szCs w:val="22"/>
                <w:lang w:val="ga"/>
              </w:rPr>
              <w:t>26</w:t>
            </w:r>
          </w:p>
        </w:tc>
        <w:tc>
          <w:tcPr>
            <w:tcW w:w="1418" w:type="dxa"/>
          </w:tcPr>
          <w:p w14:paraId="744EF0DF" w14:textId="29201F12" w:rsidR="00E65B66" w:rsidRPr="00D51778" w:rsidRDefault="00E65B66" w:rsidP="00F22C59">
            <w:pPr>
              <w:jc w:val="right"/>
              <w:rPr>
                <w:sz w:val="22"/>
                <w:szCs w:val="22"/>
              </w:rPr>
            </w:pPr>
            <w:r w:rsidRPr="00D51778">
              <w:rPr>
                <w:rFonts w:cs="Calibri"/>
                <w:color w:val="000000"/>
                <w:sz w:val="22"/>
                <w:szCs w:val="22"/>
                <w:lang w:val="ga"/>
              </w:rPr>
              <w:t>2</w:t>
            </w:r>
          </w:p>
        </w:tc>
        <w:tc>
          <w:tcPr>
            <w:tcW w:w="1569" w:type="dxa"/>
          </w:tcPr>
          <w:p w14:paraId="137B996B" w14:textId="06FBED16" w:rsidR="00E65B66" w:rsidRPr="00D51778" w:rsidRDefault="00E65B66" w:rsidP="00F22C59">
            <w:pPr>
              <w:jc w:val="right"/>
              <w:rPr>
                <w:sz w:val="22"/>
                <w:szCs w:val="22"/>
              </w:rPr>
            </w:pPr>
            <w:r w:rsidRPr="00D51778">
              <w:rPr>
                <w:rFonts w:cs="Calibri"/>
                <w:color w:val="000000"/>
                <w:sz w:val="22"/>
                <w:szCs w:val="22"/>
                <w:lang w:val="ga"/>
              </w:rPr>
              <w:t>7.7%</w:t>
            </w:r>
          </w:p>
        </w:tc>
      </w:tr>
      <w:tr w:rsidR="00E65B66" w:rsidRPr="00D51778" w14:paraId="20D0C865" w14:textId="77777777" w:rsidTr="00DA248F">
        <w:trPr>
          <w:jc w:val="center"/>
        </w:trPr>
        <w:tc>
          <w:tcPr>
            <w:tcW w:w="2137" w:type="dxa"/>
          </w:tcPr>
          <w:p w14:paraId="6BECA05E" w14:textId="2F32CDC8" w:rsidR="00E65B66" w:rsidRPr="00D51778" w:rsidRDefault="00E65B66" w:rsidP="00F22C59">
            <w:pPr>
              <w:rPr>
                <w:sz w:val="22"/>
                <w:szCs w:val="22"/>
              </w:rPr>
            </w:pPr>
            <w:r w:rsidRPr="00D51778">
              <w:rPr>
                <w:rFonts w:cs="Calibri"/>
                <w:color w:val="000000"/>
                <w:sz w:val="22"/>
                <w:szCs w:val="22"/>
                <w:lang w:val="ga"/>
              </w:rPr>
              <w:t>Ospidéal San Séamas</w:t>
            </w:r>
          </w:p>
        </w:tc>
        <w:tc>
          <w:tcPr>
            <w:tcW w:w="1690" w:type="dxa"/>
          </w:tcPr>
          <w:p w14:paraId="6FD129D6" w14:textId="3C2E9C26" w:rsidR="00E65B66" w:rsidRPr="00D51778" w:rsidRDefault="00E65B66" w:rsidP="00F22C59">
            <w:pPr>
              <w:jc w:val="right"/>
              <w:rPr>
                <w:sz w:val="22"/>
                <w:szCs w:val="22"/>
              </w:rPr>
            </w:pPr>
            <w:r w:rsidRPr="00D51778">
              <w:rPr>
                <w:rFonts w:cs="Calibri"/>
                <w:color w:val="000000"/>
                <w:sz w:val="22"/>
                <w:szCs w:val="22"/>
                <w:lang w:val="ga"/>
              </w:rPr>
              <w:t>4,734</w:t>
            </w:r>
          </w:p>
        </w:tc>
        <w:tc>
          <w:tcPr>
            <w:tcW w:w="1418" w:type="dxa"/>
          </w:tcPr>
          <w:p w14:paraId="463EE1F7" w14:textId="6AFE5DCC" w:rsidR="00E65B66" w:rsidRPr="00D51778" w:rsidRDefault="00E65B66" w:rsidP="00F22C59">
            <w:pPr>
              <w:jc w:val="right"/>
              <w:rPr>
                <w:sz w:val="22"/>
                <w:szCs w:val="22"/>
              </w:rPr>
            </w:pPr>
            <w:r w:rsidRPr="00D51778">
              <w:rPr>
                <w:rFonts w:cs="Calibri"/>
                <w:color w:val="000000"/>
                <w:sz w:val="22"/>
                <w:szCs w:val="22"/>
                <w:lang w:val="ga"/>
              </w:rPr>
              <w:t>366</w:t>
            </w:r>
          </w:p>
        </w:tc>
        <w:tc>
          <w:tcPr>
            <w:tcW w:w="1559" w:type="dxa"/>
          </w:tcPr>
          <w:p w14:paraId="756F97DE" w14:textId="329B75E2" w:rsidR="00E65B66" w:rsidRPr="00D51778" w:rsidRDefault="00E65B66" w:rsidP="00F22C59">
            <w:pPr>
              <w:jc w:val="right"/>
              <w:rPr>
                <w:sz w:val="22"/>
                <w:szCs w:val="22"/>
              </w:rPr>
            </w:pPr>
            <w:r w:rsidRPr="00D51778">
              <w:rPr>
                <w:rFonts w:cs="Calibri"/>
                <w:color w:val="000000"/>
                <w:sz w:val="22"/>
                <w:szCs w:val="22"/>
                <w:lang w:val="ga"/>
              </w:rPr>
              <w:t>7.7%</w:t>
            </w:r>
          </w:p>
        </w:tc>
        <w:tc>
          <w:tcPr>
            <w:tcW w:w="1559" w:type="dxa"/>
          </w:tcPr>
          <w:p w14:paraId="5522295E" w14:textId="5DB093AE" w:rsidR="00E65B66" w:rsidRPr="00D51778" w:rsidRDefault="00E65B66" w:rsidP="00F22C59">
            <w:pPr>
              <w:jc w:val="right"/>
              <w:rPr>
                <w:sz w:val="22"/>
                <w:szCs w:val="22"/>
              </w:rPr>
            </w:pPr>
            <w:r w:rsidRPr="00D51778">
              <w:rPr>
                <w:rFonts w:cs="Calibri"/>
                <w:color w:val="000000"/>
                <w:sz w:val="22"/>
                <w:szCs w:val="22"/>
                <w:lang w:val="ga"/>
              </w:rPr>
              <w:t>4,985</w:t>
            </w:r>
          </w:p>
        </w:tc>
        <w:tc>
          <w:tcPr>
            <w:tcW w:w="1418" w:type="dxa"/>
          </w:tcPr>
          <w:p w14:paraId="1A99CF98" w14:textId="5054BD2B" w:rsidR="00E65B66" w:rsidRPr="00D51778" w:rsidRDefault="00E65B66" w:rsidP="00F22C59">
            <w:pPr>
              <w:jc w:val="right"/>
              <w:rPr>
                <w:sz w:val="22"/>
                <w:szCs w:val="22"/>
              </w:rPr>
            </w:pPr>
            <w:r w:rsidRPr="00D51778">
              <w:rPr>
                <w:rFonts w:cs="Calibri"/>
                <w:color w:val="000000"/>
                <w:sz w:val="22"/>
                <w:szCs w:val="22"/>
                <w:lang w:val="ga"/>
              </w:rPr>
              <w:t>278</w:t>
            </w:r>
          </w:p>
        </w:tc>
        <w:tc>
          <w:tcPr>
            <w:tcW w:w="1569" w:type="dxa"/>
          </w:tcPr>
          <w:p w14:paraId="19BDC8E5" w14:textId="09C323DC" w:rsidR="00E65B66" w:rsidRPr="00D51778" w:rsidRDefault="00E65B66" w:rsidP="00F22C59">
            <w:pPr>
              <w:jc w:val="right"/>
              <w:rPr>
                <w:sz w:val="22"/>
                <w:szCs w:val="22"/>
              </w:rPr>
            </w:pPr>
            <w:r w:rsidRPr="00D51778">
              <w:rPr>
                <w:rFonts w:cs="Calibri"/>
                <w:color w:val="000000"/>
                <w:sz w:val="22"/>
                <w:szCs w:val="22"/>
                <w:lang w:val="ga"/>
              </w:rPr>
              <w:t>5.6%</w:t>
            </w:r>
          </w:p>
        </w:tc>
      </w:tr>
      <w:tr w:rsidR="00E65B66" w:rsidRPr="00D51778" w14:paraId="058799A2" w14:textId="77777777" w:rsidTr="00DA248F">
        <w:trPr>
          <w:trHeight w:val="338"/>
          <w:jc w:val="center"/>
        </w:trPr>
        <w:tc>
          <w:tcPr>
            <w:tcW w:w="2137" w:type="dxa"/>
          </w:tcPr>
          <w:p w14:paraId="2E7135BB" w14:textId="4B0D4CFE" w:rsidR="00E65B66" w:rsidRPr="00D51778" w:rsidRDefault="00E65B66" w:rsidP="00F22C59">
            <w:pPr>
              <w:rPr>
                <w:sz w:val="22"/>
                <w:szCs w:val="22"/>
              </w:rPr>
            </w:pPr>
            <w:r w:rsidRPr="00D51778">
              <w:rPr>
                <w:rFonts w:cs="Calibri"/>
                <w:color w:val="000000"/>
                <w:sz w:val="22"/>
                <w:szCs w:val="22"/>
                <w:lang w:val="ga"/>
              </w:rPr>
              <w:t>Ospidéal Ollscoile Thamhlachta</w:t>
            </w:r>
          </w:p>
        </w:tc>
        <w:tc>
          <w:tcPr>
            <w:tcW w:w="1690" w:type="dxa"/>
          </w:tcPr>
          <w:p w14:paraId="482700C7" w14:textId="1B35FC59" w:rsidR="00E65B66" w:rsidRPr="00D51778" w:rsidRDefault="00E65B66" w:rsidP="00F22C59">
            <w:pPr>
              <w:jc w:val="right"/>
              <w:rPr>
                <w:sz w:val="22"/>
                <w:szCs w:val="22"/>
              </w:rPr>
            </w:pPr>
            <w:r w:rsidRPr="00D51778">
              <w:rPr>
                <w:rFonts w:cs="Calibri"/>
                <w:color w:val="000000"/>
                <w:sz w:val="22"/>
                <w:szCs w:val="22"/>
                <w:lang w:val="ga"/>
              </w:rPr>
              <w:t>3,104</w:t>
            </w:r>
          </w:p>
        </w:tc>
        <w:tc>
          <w:tcPr>
            <w:tcW w:w="1418" w:type="dxa"/>
          </w:tcPr>
          <w:p w14:paraId="1B55B4D4" w14:textId="3B613A92" w:rsidR="00E65B66" w:rsidRPr="00D51778" w:rsidRDefault="00E65B66" w:rsidP="00F22C59">
            <w:pPr>
              <w:jc w:val="right"/>
              <w:rPr>
                <w:sz w:val="22"/>
                <w:szCs w:val="22"/>
              </w:rPr>
            </w:pPr>
            <w:r w:rsidRPr="00D51778">
              <w:rPr>
                <w:rFonts w:cs="Calibri"/>
                <w:color w:val="000000"/>
                <w:sz w:val="22"/>
                <w:szCs w:val="22"/>
                <w:lang w:val="ga"/>
              </w:rPr>
              <w:t>125</w:t>
            </w:r>
          </w:p>
        </w:tc>
        <w:tc>
          <w:tcPr>
            <w:tcW w:w="1559" w:type="dxa"/>
          </w:tcPr>
          <w:p w14:paraId="4206D706" w14:textId="11063652" w:rsidR="00E65B66" w:rsidRPr="00D51778" w:rsidRDefault="00E65B66" w:rsidP="00F22C59">
            <w:pPr>
              <w:jc w:val="right"/>
              <w:rPr>
                <w:sz w:val="22"/>
                <w:szCs w:val="22"/>
              </w:rPr>
            </w:pPr>
            <w:r w:rsidRPr="00D51778">
              <w:rPr>
                <w:rFonts w:cs="Calibri"/>
                <w:color w:val="000000"/>
                <w:sz w:val="22"/>
                <w:szCs w:val="22"/>
                <w:lang w:val="ga"/>
              </w:rPr>
              <w:t>4.0%</w:t>
            </w:r>
          </w:p>
        </w:tc>
        <w:tc>
          <w:tcPr>
            <w:tcW w:w="1559" w:type="dxa"/>
          </w:tcPr>
          <w:p w14:paraId="1B73C8E3" w14:textId="1F489A79" w:rsidR="00E65B66" w:rsidRPr="00D51778" w:rsidRDefault="00E65B66" w:rsidP="00F22C59">
            <w:pPr>
              <w:jc w:val="right"/>
              <w:rPr>
                <w:sz w:val="22"/>
                <w:szCs w:val="22"/>
              </w:rPr>
            </w:pPr>
            <w:r w:rsidRPr="00D51778">
              <w:rPr>
                <w:rFonts w:cs="Calibri"/>
                <w:color w:val="000000"/>
                <w:sz w:val="22"/>
                <w:szCs w:val="22"/>
                <w:lang w:val="ga"/>
              </w:rPr>
              <w:t>3,279</w:t>
            </w:r>
          </w:p>
        </w:tc>
        <w:tc>
          <w:tcPr>
            <w:tcW w:w="1418" w:type="dxa"/>
          </w:tcPr>
          <w:p w14:paraId="43EE7FC9" w14:textId="5DEA0D56" w:rsidR="00E65B66" w:rsidRPr="00D51778" w:rsidRDefault="00E65B66" w:rsidP="00F22C59">
            <w:pPr>
              <w:jc w:val="right"/>
              <w:rPr>
                <w:sz w:val="22"/>
                <w:szCs w:val="22"/>
              </w:rPr>
            </w:pPr>
            <w:r w:rsidRPr="00D51778">
              <w:rPr>
                <w:rFonts w:cs="Calibri"/>
                <w:color w:val="000000"/>
                <w:sz w:val="22"/>
                <w:szCs w:val="22"/>
                <w:lang w:val="ga"/>
              </w:rPr>
              <w:t>102</w:t>
            </w:r>
          </w:p>
        </w:tc>
        <w:tc>
          <w:tcPr>
            <w:tcW w:w="1569" w:type="dxa"/>
          </w:tcPr>
          <w:p w14:paraId="2FA91B43" w14:textId="1E43719C" w:rsidR="00E65B66" w:rsidRPr="00D51778" w:rsidRDefault="00E65B66" w:rsidP="00F22C59">
            <w:pPr>
              <w:jc w:val="right"/>
              <w:rPr>
                <w:sz w:val="22"/>
                <w:szCs w:val="22"/>
              </w:rPr>
            </w:pPr>
            <w:r w:rsidRPr="00D51778">
              <w:rPr>
                <w:rFonts w:cs="Calibri"/>
                <w:color w:val="000000"/>
                <w:sz w:val="22"/>
                <w:szCs w:val="22"/>
                <w:lang w:val="ga"/>
              </w:rPr>
              <w:t>3.1%</w:t>
            </w:r>
          </w:p>
        </w:tc>
      </w:tr>
      <w:tr w:rsidR="00E65B66" w:rsidRPr="00D51778" w14:paraId="4FF95006" w14:textId="77777777" w:rsidTr="00DA248F">
        <w:trPr>
          <w:jc w:val="center"/>
        </w:trPr>
        <w:tc>
          <w:tcPr>
            <w:tcW w:w="2137" w:type="dxa"/>
          </w:tcPr>
          <w:p w14:paraId="5469E157" w14:textId="584F9639" w:rsidR="00E65B66" w:rsidRPr="00D51778" w:rsidRDefault="00E65B66" w:rsidP="00F22C59">
            <w:pPr>
              <w:rPr>
                <w:sz w:val="22"/>
                <w:szCs w:val="22"/>
              </w:rPr>
            </w:pPr>
            <w:r w:rsidRPr="00D51778">
              <w:rPr>
                <w:rFonts w:cs="Calibri"/>
                <w:color w:val="000000"/>
                <w:sz w:val="22"/>
                <w:szCs w:val="22"/>
                <w:lang w:val="ga"/>
              </w:rPr>
              <w:t xml:space="preserve">Vhi um Chúram Sláinte </w:t>
            </w:r>
          </w:p>
        </w:tc>
        <w:tc>
          <w:tcPr>
            <w:tcW w:w="1690" w:type="dxa"/>
          </w:tcPr>
          <w:p w14:paraId="7CF6A310" w14:textId="345FDEBA" w:rsidR="00E65B66" w:rsidRPr="00D51778" w:rsidRDefault="00E65B66" w:rsidP="00F22C59">
            <w:pPr>
              <w:jc w:val="right"/>
              <w:rPr>
                <w:sz w:val="22"/>
                <w:szCs w:val="22"/>
              </w:rPr>
            </w:pPr>
            <w:r w:rsidRPr="00D51778">
              <w:rPr>
                <w:rFonts w:cs="Calibri"/>
                <w:color w:val="000000"/>
                <w:sz w:val="22"/>
                <w:szCs w:val="22"/>
                <w:lang w:val="ga"/>
              </w:rPr>
              <w:t>1,555</w:t>
            </w:r>
          </w:p>
        </w:tc>
        <w:tc>
          <w:tcPr>
            <w:tcW w:w="1418" w:type="dxa"/>
          </w:tcPr>
          <w:p w14:paraId="1CDAA290" w14:textId="1C10B667" w:rsidR="00E65B66" w:rsidRPr="00D51778" w:rsidRDefault="00E65B66" w:rsidP="00F22C59">
            <w:pPr>
              <w:jc w:val="right"/>
              <w:rPr>
                <w:sz w:val="22"/>
                <w:szCs w:val="22"/>
              </w:rPr>
            </w:pPr>
            <w:r w:rsidRPr="00D51778">
              <w:rPr>
                <w:rFonts w:cs="Calibri"/>
                <w:color w:val="000000"/>
                <w:sz w:val="22"/>
                <w:szCs w:val="22"/>
                <w:lang w:val="ga"/>
              </w:rPr>
              <w:t>76</w:t>
            </w:r>
          </w:p>
        </w:tc>
        <w:tc>
          <w:tcPr>
            <w:tcW w:w="1559" w:type="dxa"/>
          </w:tcPr>
          <w:p w14:paraId="0A9B2AA2" w14:textId="365EABC0" w:rsidR="00E65B66" w:rsidRPr="00D51778" w:rsidRDefault="00E65B66" w:rsidP="00F22C59">
            <w:pPr>
              <w:jc w:val="right"/>
              <w:rPr>
                <w:sz w:val="22"/>
                <w:szCs w:val="22"/>
              </w:rPr>
            </w:pPr>
            <w:r w:rsidRPr="00D51778">
              <w:rPr>
                <w:rFonts w:cs="Calibri"/>
                <w:color w:val="000000"/>
                <w:sz w:val="22"/>
                <w:szCs w:val="22"/>
                <w:lang w:val="ga"/>
              </w:rPr>
              <w:t>4.9%</w:t>
            </w:r>
          </w:p>
        </w:tc>
        <w:tc>
          <w:tcPr>
            <w:tcW w:w="1559" w:type="dxa"/>
          </w:tcPr>
          <w:p w14:paraId="7DBF44CA" w14:textId="5AA8C72B" w:rsidR="00E65B66" w:rsidRPr="00D51778" w:rsidRDefault="00E65B66" w:rsidP="00F22C59">
            <w:pPr>
              <w:jc w:val="right"/>
              <w:rPr>
                <w:sz w:val="22"/>
                <w:szCs w:val="22"/>
              </w:rPr>
            </w:pPr>
            <w:r w:rsidRPr="00D51778">
              <w:rPr>
                <w:rFonts w:cs="Calibri"/>
                <w:color w:val="000000"/>
                <w:sz w:val="22"/>
                <w:szCs w:val="22"/>
                <w:lang w:val="ga"/>
              </w:rPr>
              <w:t>1,604</w:t>
            </w:r>
          </w:p>
        </w:tc>
        <w:tc>
          <w:tcPr>
            <w:tcW w:w="1418" w:type="dxa"/>
          </w:tcPr>
          <w:p w14:paraId="2DBF0593" w14:textId="770E799A" w:rsidR="00E65B66" w:rsidRPr="00D51778" w:rsidRDefault="00E65B66" w:rsidP="00F22C59">
            <w:pPr>
              <w:jc w:val="right"/>
              <w:rPr>
                <w:sz w:val="22"/>
                <w:szCs w:val="22"/>
              </w:rPr>
            </w:pPr>
            <w:r w:rsidRPr="00D51778">
              <w:rPr>
                <w:rFonts w:cs="Calibri"/>
                <w:color w:val="000000"/>
                <w:sz w:val="22"/>
                <w:szCs w:val="22"/>
                <w:lang w:val="ga"/>
              </w:rPr>
              <w:t>94</w:t>
            </w:r>
          </w:p>
        </w:tc>
        <w:tc>
          <w:tcPr>
            <w:tcW w:w="1569" w:type="dxa"/>
          </w:tcPr>
          <w:p w14:paraId="1445AC8D" w14:textId="1C6A3A7A" w:rsidR="00E65B66" w:rsidRPr="00D51778" w:rsidRDefault="00E65B66" w:rsidP="00F22C59">
            <w:pPr>
              <w:jc w:val="right"/>
              <w:rPr>
                <w:sz w:val="22"/>
                <w:szCs w:val="22"/>
              </w:rPr>
            </w:pPr>
            <w:r w:rsidRPr="00D51778">
              <w:rPr>
                <w:rFonts w:cs="Calibri"/>
                <w:color w:val="000000"/>
                <w:sz w:val="22"/>
                <w:szCs w:val="22"/>
                <w:lang w:val="ga"/>
              </w:rPr>
              <w:t>5.9%</w:t>
            </w:r>
          </w:p>
        </w:tc>
      </w:tr>
      <w:tr w:rsidR="003F62BE" w:rsidRPr="00D51778" w14:paraId="05506347" w14:textId="77777777" w:rsidTr="00DA248F">
        <w:trPr>
          <w:trHeight w:val="517"/>
          <w:jc w:val="center"/>
        </w:trPr>
        <w:tc>
          <w:tcPr>
            <w:tcW w:w="2137" w:type="dxa"/>
          </w:tcPr>
          <w:p w14:paraId="46FA73E9" w14:textId="0A31B96C" w:rsidR="003F62BE" w:rsidRPr="00D51778" w:rsidRDefault="003F62BE" w:rsidP="008E7ACF">
            <w:pPr>
              <w:spacing w:after="0"/>
              <w:rPr>
                <w:b/>
                <w:sz w:val="22"/>
                <w:szCs w:val="22"/>
              </w:rPr>
            </w:pPr>
            <w:r w:rsidRPr="00D51778">
              <w:rPr>
                <w:b/>
                <w:bCs/>
                <w:sz w:val="22"/>
                <w:szCs w:val="22"/>
                <w:lang w:val="ga"/>
              </w:rPr>
              <w:lastRenderedPageBreak/>
              <w:t xml:space="preserve">Mór-Iomlán </w:t>
            </w:r>
          </w:p>
        </w:tc>
        <w:tc>
          <w:tcPr>
            <w:tcW w:w="1690" w:type="dxa"/>
          </w:tcPr>
          <w:p w14:paraId="4077CB7A" w14:textId="60EC0BB5"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10,8629</w:t>
            </w:r>
          </w:p>
          <w:p w14:paraId="113D84BE" w14:textId="71A1111D" w:rsidR="003F62BE" w:rsidRPr="00D51778" w:rsidRDefault="003F62BE" w:rsidP="00F22C59">
            <w:pPr>
              <w:spacing w:after="0"/>
              <w:jc w:val="right"/>
              <w:rPr>
                <w:sz w:val="22"/>
                <w:szCs w:val="22"/>
              </w:rPr>
            </w:pPr>
          </w:p>
        </w:tc>
        <w:tc>
          <w:tcPr>
            <w:tcW w:w="1418" w:type="dxa"/>
          </w:tcPr>
          <w:p w14:paraId="092E8720" w14:textId="5B6015E8"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1</w:t>
            </w:r>
            <w:r w:rsidR="00621006">
              <w:rPr>
                <w:rFonts w:cs="Calibri"/>
                <w:b/>
                <w:bCs/>
                <w:color w:val="000000"/>
                <w:sz w:val="22"/>
                <w:szCs w:val="22"/>
                <w:lang w:val="ga"/>
              </w:rPr>
              <w:t>,</w:t>
            </w:r>
            <w:r w:rsidRPr="00D51778">
              <w:rPr>
                <w:rFonts w:cs="Calibri"/>
                <w:b/>
                <w:bCs/>
                <w:color w:val="000000"/>
                <w:sz w:val="22"/>
                <w:szCs w:val="22"/>
                <w:lang w:val="ga"/>
              </w:rPr>
              <w:t>378</w:t>
            </w:r>
          </w:p>
          <w:p w14:paraId="001A315D" w14:textId="5A6F18DA" w:rsidR="003F62BE" w:rsidRPr="00D51778" w:rsidRDefault="003F62BE" w:rsidP="00F22C59">
            <w:pPr>
              <w:spacing w:after="0"/>
              <w:jc w:val="right"/>
              <w:rPr>
                <w:b/>
                <w:sz w:val="22"/>
                <w:szCs w:val="22"/>
              </w:rPr>
            </w:pPr>
          </w:p>
        </w:tc>
        <w:tc>
          <w:tcPr>
            <w:tcW w:w="1559" w:type="dxa"/>
          </w:tcPr>
          <w:p w14:paraId="07E46314" w14:textId="10839DAC" w:rsidR="003F62BE" w:rsidRPr="00D51778" w:rsidRDefault="00B137F2" w:rsidP="00F22C59">
            <w:pPr>
              <w:spacing w:after="0"/>
              <w:jc w:val="right"/>
              <w:rPr>
                <w:b/>
                <w:sz w:val="22"/>
                <w:szCs w:val="22"/>
              </w:rPr>
            </w:pPr>
            <w:r w:rsidRPr="00D51778">
              <w:rPr>
                <w:b/>
                <w:bCs/>
                <w:sz w:val="22"/>
                <w:szCs w:val="22"/>
                <w:lang w:val="ga"/>
              </w:rPr>
              <w:t>1.3%</w:t>
            </w:r>
          </w:p>
        </w:tc>
        <w:tc>
          <w:tcPr>
            <w:tcW w:w="1559" w:type="dxa"/>
          </w:tcPr>
          <w:p w14:paraId="28DB24BB" w14:textId="0F8168FA"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113,399</w:t>
            </w:r>
          </w:p>
          <w:p w14:paraId="5FB9A2C6" w14:textId="41F1CC38" w:rsidR="003F62BE" w:rsidRPr="00D51778" w:rsidRDefault="003F62BE" w:rsidP="00F22C59">
            <w:pPr>
              <w:spacing w:after="0"/>
              <w:jc w:val="right"/>
              <w:rPr>
                <w:b/>
                <w:sz w:val="22"/>
                <w:szCs w:val="22"/>
              </w:rPr>
            </w:pPr>
          </w:p>
        </w:tc>
        <w:tc>
          <w:tcPr>
            <w:tcW w:w="1418" w:type="dxa"/>
          </w:tcPr>
          <w:p w14:paraId="2C23477C" w14:textId="440400B8"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2,296</w:t>
            </w:r>
          </w:p>
          <w:p w14:paraId="6FA66A19" w14:textId="59F5B371" w:rsidR="003F62BE" w:rsidRPr="00D51778" w:rsidRDefault="003F62BE" w:rsidP="00F22C59">
            <w:pPr>
              <w:spacing w:after="0"/>
              <w:jc w:val="right"/>
              <w:rPr>
                <w:b/>
                <w:sz w:val="22"/>
                <w:szCs w:val="22"/>
              </w:rPr>
            </w:pPr>
          </w:p>
        </w:tc>
        <w:tc>
          <w:tcPr>
            <w:tcW w:w="1569" w:type="dxa"/>
          </w:tcPr>
          <w:p w14:paraId="5E412C61" w14:textId="4FEB4437" w:rsidR="003F62BE" w:rsidRPr="00D51778" w:rsidRDefault="00B137F2" w:rsidP="00F22C59">
            <w:pPr>
              <w:spacing w:after="0"/>
              <w:jc w:val="right"/>
              <w:rPr>
                <w:b/>
                <w:sz w:val="22"/>
                <w:szCs w:val="22"/>
              </w:rPr>
            </w:pPr>
            <w:r w:rsidRPr="00D51778">
              <w:rPr>
                <w:b/>
                <w:bCs/>
                <w:sz w:val="22"/>
                <w:szCs w:val="22"/>
                <w:lang w:val="ga"/>
              </w:rPr>
              <w:t>2.0%</w:t>
            </w:r>
          </w:p>
        </w:tc>
      </w:tr>
    </w:tbl>
    <w:p w14:paraId="0F5B2E45" w14:textId="0EF6DD6D" w:rsidR="00692A75" w:rsidRPr="00D51778" w:rsidRDefault="00692A75">
      <w:pPr>
        <w:spacing w:after="0"/>
        <w:rPr>
          <w:rFonts w:cs="Arial"/>
          <w:b/>
          <w:sz w:val="22"/>
          <w:szCs w:val="22"/>
        </w:rPr>
      </w:pPr>
    </w:p>
    <w:p w14:paraId="38FFD04C" w14:textId="77777777" w:rsidR="00FB7E2F" w:rsidRPr="00D51778" w:rsidRDefault="00FB7E2F" w:rsidP="00046D0A">
      <w:pPr>
        <w:pStyle w:val="TableTitle"/>
        <w:rPr>
          <w:szCs w:val="26"/>
        </w:rPr>
      </w:pPr>
    </w:p>
    <w:p w14:paraId="6D15F4B7" w14:textId="5752F038" w:rsidR="009C6D45" w:rsidRDefault="009C6D45">
      <w:pPr>
        <w:spacing w:after="0"/>
        <w:rPr>
          <w:b/>
          <w:szCs w:val="26"/>
        </w:rPr>
      </w:pPr>
      <w:r>
        <w:rPr>
          <w:szCs w:val="26"/>
        </w:rPr>
        <w:br w:type="page"/>
      </w:r>
    </w:p>
    <w:p w14:paraId="7F7C73BC" w14:textId="77777777" w:rsidR="001624B2" w:rsidRPr="00D51778" w:rsidRDefault="001624B2" w:rsidP="001624B2">
      <w:pPr>
        <w:pStyle w:val="Heading2"/>
        <w:rPr>
          <w:color w:val="000000" w:themeColor="text1"/>
        </w:rPr>
      </w:pPr>
    </w:p>
    <w:p w14:paraId="7FF59402" w14:textId="30438004" w:rsidR="00001536" w:rsidRPr="00D51778" w:rsidRDefault="00624403" w:rsidP="00001536">
      <w:pPr>
        <w:pStyle w:val="Heading2"/>
        <w:rPr>
          <w:color w:val="000000" w:themeColor="text1"/>
        </w:rPr>
      </w:pPr>
      <w:bookmarkStart w:id="75" w:name="_Toc124367423"/>
      <w:r w:rsidRPr="00D51778">
        <w:rPr>
          <w:bCs/>
          <w:color w:val="000000" w:themeColor="text1"/>
          <w:lang w:val="ga"/>
        </w:rPr>
        <w:t>An Roinn Tithíochta, Rialtais Áitiúil agus Oidhreachta</w:t>
      </w:r>
      <w:bookmarkEnd w:id="75"/>
      <w:r w:rsidRPr="00D51778">
        <w:rPr>
          <w:bCs/>
          <w:color w:val="000000" w:themeColor="text1"/>
          <w:lang w:val="ga"/>
        </w:rPr>
        <w:t xml:space="preserve"> </w:t>
      </w:r>
    </w:p>
    <w:p w14:paraId="2892E4E8" w14:textId="77777777" w:rsidR="00031890" w:rsidRPr="00D51778" w:rsidRDefault="00031890" w:rsidP="00031890">
      <w:pPr>
        <w:rPr>
          <w:sz w:val="6"/>
          <w:szCs w:val="6"/>
        </w:rPr>
      </w:pPr>
    </w:p>
    <w:tbl>
      <w:tblPr>
        <w:tblStyle w:val="TableGrid"/>
        <w:tblW w:w="11213" w:type="dxa"/>
        <w:jc w:val="center"/>
        <w:tblLayout w:type="fixed"/>
        <w:tblLook w:val="04A0" w:firstRow="1" w:lastRow="0" w:firstColumn="1" w:lastColumn="0" w:noHBand="0" w:noVBand="1"/>
        <w:tblCaption w:val="Department of Housing, Local Government &amp; Heritage"/>
        <w:tblDescription w:val="Department of Housing, Local Government &amp; Heritage (comparison to the former Department of Housing, Planning &amp; Local Government in 2019)"/>
      </w:tblPr>
      <w:tblGrid>
        <w:gridCol w:w="2283"/>
        <w:gridCol w:w="1403"/>
        <w:gridCol w:w="1412"/>
        <w:gridCol w:w="1564"/>
        <w:gridCol w:w="1418"/>
        <w:gridCol w:w="1559"/>
        <w:gridCol w:w="1574"/>
      </w:tblGrid>
      <w:tr w:rsidR="00107D01" w:rsidRPr="00D51778" w14:paraId="7A0873C6" w14:textId="77777777" w:rsidTr="00C75B07">
        <w:trPr>
          <w:tblHeader/>
          <w:jc w:val="center"/>
        </w:trPr>
        <w:tc>
          <w:tcPr>
            <w:tcW w:w="2283" w:type="dxa"/>
          </w:tcPr>
          <w:p w14:paraId="27950BF4" w14:textId="77777777" w:rsidR="00107D01" w:rsidRPr="00B14E6C" w:rsidRDefault="00107D01" w:rsidP="00812E67">
            <w:pPr>
              <w:pStyle w:val="TableHead"/>
              <w:rPr>
                <w:sz w:val="22"/>
                <w:szCs w:val="22"/>
              </w:rPr>
            </w:pPr>
            <w:r w:rsidRPr="00B14E6C">
              <w:rPr>
                <w:bCs/>
                <w:sz w:val="22"/>
                <w:szCs w:val="22"/>
                <w:lang w:val="ga"/>
              </w:rPr>
              <w:t>Comhlacht Poiblí</w:t>
            </w:r>
          </w:p>
        </w:tc>
        <w:tc>
          <w:tcPr>
            <w:tcW w:w="1403" w:type="dxa"/>
          </w:tcPr>
          <w:p w14:paraId="1BF86343" w14:textId="47701621" w:rsidR="00107D01" w:rsidRPr="00B14E6C" w:rsidRDefault="00107D01" w:rsidP="00812E67">
            <w:pPr>
              <w:pStyle w:val="TableHead"/>
              <w:rPr>
                <w:sz w:val="22"/>
                <w:szCs w:val="22"/>
              </w:rPr>
            </w:pPr>
            <w:r w:rsidRPr="00B14E6C">
              <w:rPr>
                <w:bCs/>
                <w:sz w:val="22"/>
                <w:szCs w:val="22"/>
                <w:lang w:val="ga"/>
              </w:rPr>
              <w:t>An líon iomlán fostaithe 2020</w:t>
            </w:r>
          </w:p>
        </w:tc>
        <w:tc>
          <w:tcPr>
            <w:tcW w:w="1412" w:type="dxa"/>
          </w:tcPr>
          <w:p w14:paraId="2304D017" w14:textId="721F865B" w:rsidR="00107D01" w:rsidRPr="00B14E6C" w:rsidRDefault="00107D01" w:rsidP="00812E67">
            <w:pPr>
              <w:pStyle w:val="TableHead"/>
              <w:rPr>
                <w:sz w:val="22"/>
                <w:szCs w:val="22"/>
              </w:rPr>
            </w:pPr>
            <w:r w:rsidRPr="00B14E6C">
              <w:rPr>
                <w:bCs/>
                <w:sz w:val="22"/>
                <w:szCs w:val="22"/>
                <w:lang w:val="ga"/>
              </w:rPr>
              <w:t xml:space="preserve">An líon fostaithe a thuairiscigh míchumas </w:t>
            </w:r>
          </w:p>
          <w:p w14:paraId="0AAFD887" w14:textId="512B29B6" w:rsidR="00107D01" w:rsidRPr="00B14E6C" w:rsidRDefault="00F1261F" w:rsidP="00812E67">
            <w:pPr>
              <w:pStyle w:val="TableHead"/>
              <w:rPr>
                <w:sz w:val="22"/>
                <w:szCs w:val="22"/>
              </w:rPr>
            </w:pPr>
            <w:r w:rsidRPr="00B14E6C">
              <w:rPr>
                <w:bCs/>
                <w:sz w:val="22"/>
                <w:szCs w:val="22"/>
                <w:lang w:val="ga"/>
              </w:rPr>
              <w:t>2020</w:t>
            </w:r>
          </w:p>
        </w:tc>
        <w:tc>
          <w:tcPr>
            <w:tcW w:w="1564" w:type="dxa"/>
          </w:tcPr>
          <w:p w14:paraId="1712622D" w14:textId="47FD9542" w:rsidR="00107D01" w:rsidRPr="00B14E6C" w:rsidRDefault="00107D01" w:rsidP="00812E67">
            <w:pPr>
              <w:pStyle w:val="TableHead"/>
              <w:rPr>
                <w:sz w:val="22"/>
                <w:szCs w:val="22"/>
              </w:rPr>
            </w:pPr>
            <w:r w:rsidRPr="00B14E6C">
              <w:rPr>
                <w:bCs/>
                <w:sz w:val="22"/>
                <w:szCs w:val="22"/>
                <w:lang w:val="ga"/>
              </w:rPr>
              <w:t>An % d’fhostaithe a thuairiscigh</w:t>
            </w:r>
          </w:p>
          <w:p w14:paraId="374D157D" w14:textId="31B28062" w:rsidR="00107D01" w:rsidRPr="00B14E6C" w:rsidRDefault="004B379F" w:rsidP="00812E67">
            <w:pPr>
              <w:pStyle w:val="TableHead"/>
              <w:rPr>
                <w:sz w:val="22"/>
                <w:szCs w:val="22"/>
              </w:rPr>
            </w:pPr>
            <w:r w:rsidRPr="00B14E6C">
              <w:rPr>
                <w:bCs/>
                <w:sz w:val="22"/>
                <w:szCs w:val="22"/>
                <w:lang w:val="ga"/>
              </w:rPr>
              <w:t>míchumas 2020</w:t>
            </w:r>
          </w:p>
        </w:tc>
        <w:tc>
          <w:tcPr>
            <w:tcW w:w="1418" w:type="dxa"/>
          </w:tcPr>
          <w:p w14:paraId="233E3EA5" w14:textId="442FDA9C" w:rsidR="00107D01" w:rsidRPr="00B14E6C" w:rsidRDefault="00F1261F" w:rsidP="00812E67">
            <w:pPr>
              <w:pStyle w:val="TableHead"/>
              <w:rPr>
                <w:sz w:val="22"/>
                <w:szCs w:val="22"/>
              </w:rPr>
            </w:pPr>
            <w:r w:rsidRPr="00B14E6C">
              <w:rPr>
                <w:bCs/>
                <w:sz w:val="22"/>
                <w:szCs w:val="22"/>
                <w:lang w:val="ga"/>
              </w:rPr>
              <w:t>An líon iomlán fostaithe 2021</w:t>
            </w:r>
          </w:p>
        </w:tc>
        <w:tc>
          <w:tcPr>
            <w:tcW w:w="1559" w:type="dxa"/>
          </w:tcPr>
          <w:p w14:paraId="25F5F870" w14:textId="0CD8B15A" w:rsidR="00107D01" w:rsidRPr="00B14E6C" w:rsidRDefault="004B379F" w:rsidP="00812E67">
            <w:pPr>
              <w:pStyle w:val="TableHead"/>
              <w:rPr>
                <w:sz w:val="22"/>
                <w:szCs w:val="22"/>
              </w:rPr>
            </w:pPr>
            <w:r w:rsidRPr="00B14E6C">
              <w:rPr>
                <w:bCs/>
                <w:sz w:val="22"/>
                <w:szCs w:val="22"/>
                <w:lang w:val="ga"/>
              </w:rPr>
              <w:t xml:space="preserve">An líon fostaithe a thuairiscigh míchumas </w:t>
            </w:r>
          </w:p>
          <w:p w14:paraId="6848B8E0" w14:textId="33A2DAD2" w:rsidR="00107D01" w:rsidRPr="00B14E6C" w:rsidRDefault="00F1261F" w:rsidP="00812E67">
            <w:pPr>
              <w:pStyle w:val="TableHead"/>
              <w:rPr>
                <w:sz w:val="22"/>
                <w:szCs w:val="22"/>
              </w:rPr>
            </w:pPr>
            <w:r w:rsidRPr="00B14E6C">
              <w:rPr>
                <w:bCs/>
                <w:sz w:val="22"/>
                <w:szCs w:val="22"/>
                <w:lang w:val="ga"/>
              </w:rPr>
              <w:t>2021</w:t>
            </w:r>
          </w:p>
        </w:tc>
        <w:tc>
          <w:tcPr>
            <w:tcW w:w="1574" w:type="dxa"/>
          </w:tcPr>
          <w:p w14:paraId="48E9618F" w14:textId="0A23B395" w:rsidR="00107D01" w:rsidRPr="00B14E6C" w:rsidRDefault="00107D01" w:rsidP="00812E67">
            <w:pPr>
              <w:pStyle w:val="TableHead"/>
              <w:rPr>
                <w:sz w:val="22"/>
                <w:szCs w:val="22"/>
              </w:rPr>
            </w:pPr>
            <w:r w:rsidRPr="00B14E6C">
              <w:rPr>
                <w:bCs/>
                <w:sz w:val="22"/>
                <w:szCs w:val="22"/>
                <w:lang w:val="ga"/>
              </w:rPr>
              <w:t>An % d’fhostaithe a thuairiscigh</w:t>
            </w:r>
          </w:p>
          <w:p w14:paraId="3C509247" w14:textId="7A0B6731" w:rsidR="00107D01" w:rsidRPr="00B14E6C" w:rsidRDefault="004B379F" w:rsidP="00812E67">
            <w:pPr>
              <w:pStyle w:val="TableHead"/>
              <w:rPr>
                <w:sz w:val="22"/>
                <w:szCs w:val="22"/>
              </w:rPr>
            </w:pPr>
            <w:r w:rsidRPr="00B14E6C">
              <w:rPr>
                <w:bCs/>
                <w:sz w:val="22"/>
                <w:szCs w:val="22"/>
                <w:lang w:val="ga"/>
              </w:rPr>
              <w:t>míchumas 2021</w:t>
            </w:r>
          </w:p>
        </w:tc>
      </w:tr>
      <w:tr w:rsidR="0069671B" w:rsidRPr="00D51778" w14:paraId="205E78D3" w14:textId="77777777" w:rsidTr="00C75B07">
        <w:trPr>
          <w:jc w:val="center"/>
        </w:trPr>
        <w:tc>
          <w:tcPr>
            <w:tcW w:w="2283" w:type="dxa"/>
          </w:tcPr>
          <w:p w14:paraId="6CC20903" w14:textId="419FFD09" w:rsidR="0069671B" w:rsidRPr="00D51778" w:rsidRDefault="0069671B" w:rsidP="00F22C59">
            <w:pPr>
              <w:rPr>
                <w:sz w:val="22"/>
                <w:szCs w:val="22"/>
              </w:rPr>
            </w:pPr>
            <w:r w:rsidRPr="00D51778">
              <w:rPr>
                <w:rFonts w:cs="Calibri"/>
                <w:color w:val="000000"/>
                <w:sz w:val="22"/>
                <w:szCs w:val="22"/>
                <w:lang w:val="ga"/>
              </w:rPr>
              <w:t>An Bord Pleanála</w:t>
            </w:r>
          </w:p>
        </w:tc>
        <w:tc>
          <w:tcPr>
            <w:tcW w:w="1403" w:type="dxa"/>
          </w:tcPr>
          <w:p w14:paraId="6AE0AC27" w14:textId="39420708" w:rsidR="0069671B" w:rsidRPr="00D51778" w:rsidRDefault="0069671B" w:rsidP="00F22C59">
            <w:pPr>
              <w:jc w:val="right"/>
              <w:rPr>
                <w:sz w:val="22"/>
                <w:szCs w:val="22"/>
              </w:rPr>
            </w:pPr>
            <w:r w:rsidRPr="00D51778">
              <w:rPr>
                <w:rFonts w:cs="Calibri"/>
                <w:color w:val="000000"/>
                <w:sz w:val="22"/>
                <w:szCs w:val="22"/>
                <w:lang w:val="ga"/>
              </w:rPr>
              <w:t>192</w:t>
            </w:r>
          </w:p>
        </w:tc>
        <w:tc>
          <w:tcPr>
            <w:tcW w:w="1412" w:type="dxa"/>
          </w:tcPr>
          <w:p w14:paraId="48393BF2" w14:textId="2DB328B9" w:rsidR="0069671B" w:rsidRPr="00D51778" w:rsidRDefault="0069671B" w:rsidP="00F22C59">
            <w:pPr>
              <w:jc w:val="right"/>
              <w:rPr>
                <w:sz w:val="22"/>
                <w:szCs w:val="22"/>
              </w:rPr>
            </w:pPr>
            <w:r w:rsidRPr="00D51778">
              <w:rPr>
                <w:rFonts w:cs="Calibri"/>
                <w:color w:val="000000"/>
                <w:sz w:val="22"/>
                <w:szCs w:val="22"/>
                <w:lang w:val="ga"/>
              </w:rPr>
              <w:t>15</w:t>
            </w:r>
          </w:p>
        </w:tc>
        <w:tc>
          <w:tcPr>
            <w:tcW w:w="1564" w:type="dxa"/>
          </w:tcPr>
          <w:p w14:paraId="56BD7C6B" w14:textId="717A36A3" w:rsidR="0069671B" w:rsidRPr="00D51778" w:rsidRDefault="0069671B" w:rsidP="00F22C59">
            <w:pPr>
              <w:jc w:val="right"/>
              <w:rPr>
                <w:sz w:val="22"/>
                <w:szCs w:val="22"/>
              </w:rPr>
            </w:pPr>
            <w:r w:rsidRPr="00D51778">
              <w:rPr>
                <w:rFonts w:cs="Calibri"/>
                <w:color w:val="000000"/>
                <w:sz w:val="22"/>
                <w:szCs w:val="22"/>
                <w:lang w:val="ga"/>
              </w:rPr>
              <w:t>7.8%</w:t>
            </w:r>
          </w:p>
        </w:tc>
        <w:tc>
          <w:tcPr>
            <w:tcW w:w="1418" w:type="dxa"/>
          </w:tcPr>
          <w:p w14:paraId="3E5AF5FB" w14:textId="79DCEA40" w:rsidR="0069671B" w:rsidRPr="00D51778" w:rsidRDefault="0069671B" w:rsidP="00F22C59">
            <w:pPr>
              <w:jc w:val="right"/>
              <w:rPr>
                <w:sz w:val="22"/>
                <w:szCs w:val="22"/>
              </w:rPr>
            </w:pPr>
            <w:r w:rsidRPr="00D51778">
              <w:rPr>
                <w:rFonts w:cs="Calibri"/>
                <w:color w:val="000000"/>
                <w:sz w:val="22"/>
                <w:szCs w:val="22"/>
                <w:lang w:val="ga"/>
              </w:rPr>
              <w:t>203</w:t>
            </w:r>
          </w:p>
        </w:tc>
        <w:tc>
          <w:tcPr>
            <w:tcW w:w="1559" w:type="dxa"/>
          </w:tcPr>
          <w:p w14:paraId="429B613F" w14:textId="0D616F73" w:rsidR="0069671B" w:rsidRPr="00D51778" w:rsidRDefault="0069671B" w:rsidP="00F22C59">
            <w:pPr>
              <w:jc w:val="right"/>
              <w:rPr>
                <w:sz w:val="22"/>
                <w:szCs w:val="22"/>
              </w:rPr>
            </w:pPr>
            <w:r w:rsidRPr="00D51778">
              <w:rPr>
                <w:rFonts w:cs="Calibri"/>
                <w:color w:val="000000"/>
                <w:sz w:val="22"/>
                <w:szCs w:val="22"/>
                <w:lang w:val="ga"/>
              </w:rPr>
              <w:t>22</w:t>
            </w:r>
          </w:p>
        </w:tc>
        <w:tc>
          <w:tcPr>
            <w:tcW w:w="1574" w:type="dxa"/>
          </w:tcPr>
          <w:p w14:paraId="5DEE772A" w14:textId="7FD3C941" w:rsidR="0069671B" w:rsidRPr="00D51778" w:rsidRDefault="0069671B" w:rsidP="00F22C59">
            <w:pPr>
              <w:jc w:val="right"/>
              <w:rPr>
                <w:sz w:val="22"/>
                <w:szCs w:val="22"/>
              </w:rPr>
            </w:pPr>
            <w:r w:rsidRPr="00D51778">
              <w:rPr>
                <w:rFonts w:cs="Calibri"/>
                <w:color w:val="000000"/>
                <w:sz w:val="22"/>
                <w:szCs w:val="22"/>
                <w:lang w:val="ga"/>
              </w:rPr>
              <w:t>10.8%</w:t>
            </w:r>
          </w:p>
        </w:tc>
      </w:tr>
      <w:tr w:rsidR="0069671B" w:rsidRPr="00D51778" w14:paraId="5D7AAD41" w14:textId="77777777" w:rsidTr="00C75B07">
        <w:trPr>
          <w:jc w:val="center"/>
        </w:trPr>
        <w:tc>
          <w:tcPr>
            <w:tcW w:w="2283" w:type="dxa"/>
          </w:tcPr>
          <w:p w14:paraId="566A9DFE" w14:textId="36B34246" w:rsidR="0069671B" w:rsidRPr="00D51778" w:rsidRDefault="0069671B" w:rsidP="00F27AFB">
            <w:pPr>
              <w:rPr>
                <w:sz w:val="22"/>
                <w:szCs w:val="22"/>
              </w:rPr>
            </w:pPr>
            <w:r w:rsidRPr="00D51778">
              <w:rPr>
                <w:color w:val="000000"/>
                <w:sz w:val="22"/>
                <w:szCs w:val="22"/>
                <w:lang w:val="ga"/>
              </w:rPr>
              <w:t>Údarás Rialála na gComhlachtaí Tithíochta Ceadaithe</w:t>
            </w:r>
            <w:r w:rsidR="0083149F">
              <w:rPr>
                <w:color w:val="000000"/>
                <w:sz w:val="22"/>
                <w:szCs w:val="22"/>
                <w:lang w:val="ga"/>
              </w:rPr>
              <w:t xml:space="preserve"> (AHBRA)</w:t>
            </w:r>
            <w:r w:rsidRPr="00D51778">
              <w:rPr>
                <w:color w:val="000000"/>
                <w:sz w:val="22"/>
                <w:szCs w:val="22"/>
                <w:lang w:val="ga"/>
              </w:rPr>
              <w:t xml:space="preserve"> </w:t>
            </w:r>
            <w:r w:rsidRPr="00D51778">
              <w:rPr>
                <w:b/>
                <w:bCs/>
                <w:sz w:val="22"/>
                <w:szCs w:val="22"/>
                <w:lang w:val="ga"/>
              </w:rPr>
              <w:t xml:space="preserve">(Is comhlacht poiblí nua é seo a cruthaíodh sa bhliain 2021. Ní dhearna an comhlacht poiblí seo tuairisceán Chuid 5 sa bhliain 2020) </w:t>
            </w:r>
          </w:p>
        </w:tc>
        <w:tc>
          <w:tcPr>
            <w:tcW w:w="1403" w:type="dxa"/>
          </w:tcPr>
          <w:p w14:paraId="533C0458" w14:textId="3BE80DD9" w:rsidR="0069671B" w:rsidRPr="00D51778" w:rsidRDefault="00F22C59" w:rsidP="00F22C59">
            <w:pPr>
              <w:jc w:val="right"/>
              <w:rPr>
                <w:sz w:val="22"/>
                <w:szCs w:val="22"/>
              </w:rPr>
            </w:pPr>
            <w:r w:rsidRPr="00D51778">
              <w:rPr>
                <w:sz w:val="22"/>
                <w:szCs w:val="22"/>
                <w:lang w:val="ga"/>
              </w:rPr>
              <w:t>-</w:t>
            </w:r>
          </w:p>
        </w:tc>
        <w:tc>
          <w:tcPr>
            <w:tcW w:w="1412" w:type="dxa"/>
          </w:tcPr>
          <w:p w14:paraId="407F9376" w14:textId="12266DB2" w:rsidR="0069671B" w:rsidRPr="00D51778" w:rsidRDefault="00F22C59" w:rsidP="00F22C59">
            <w:pPr>
              <w:jc w:val="right"/>
              <w:rPr>
                <w:sz w:val="22"/>
                <w:szCs w:val="22"/>
              </w:rPr>
            </w:pPr>
            <w:r w:rsidRPr="00D51778">
              <w:rPr>
                <w:sz w:val="22"/>
                <w:szCs w:val="22"/>
                <w:lang w:val="ga"/>
              </w:rPr>
              <w:t>-</w:t>
            </w:r>
          </w:p>
        </w:tc>
        <w:tc>
          <w:tcPr>
            <w:tcW w:w="1564" w:type="dxa"/>
          </w:tcPr>
          <w:p w14:paraId="7948FA7E" w14:textId="0D07F9E9" w:rsidR="0069671B" w:rsidRPr="00D51778" w:rsidRDefault="00F22C59" w:rsidP="00F22C59">
            <w:pPr>
              <w:jc w:val="right"/>
              <w:rPr>
                <w:sz w:val="22"/>
                <w:szCs w:val="22"/>
              </w:rPr>
            </w:pPr>
            <w:r w:rsidRPr="00D51778">
              <w:rPr>
                <w:sz w:val="22"/>
                <w:szCs w:val="22"/>
                <w:lang w:val="ga"/>
              </w:rPr>
              <w:t>-</w:t>
            </w:r>
          </w:p>
        </w:tc>
        <w:tc>
          <w:tcPr>
            <w:tcW w:w="1418" w:type="dxa"/>
          </w:tcPr>
          <w:p w14:paraId="7FBEB1CD" w14:textId="2B13878C" w:rsidR="0069671B" w:rsidRPr="00D51778" w:rsidRDefault="0069671B" w:rsidP="00F22C59">
            <w:pPr>
              <w:jc w:val="right"/>
              <w:rPr>
                <w:sz w:val="22"/>
                <w:szCs w:val="22"/>
              </w:rPr>
            </w:pPr>
            <w:r w:rsidRPr="00D51778">
              <w:rPr>
                <w:rFonts w:cs="Calibri"/>
                <w:color w:val="000000"/>
                <w:sz w:val="22"/>
                <w:szCs w:val="22"/>
                <w:lang w:val="ga"/>
              </w:rPr>
              <w:t>18</w:t>
            </w:r>
          </w:p>
        </w:tc>
        <w:tc>
          <w:tcPr>
            <w:tcW w:w="1559" w:type="dxa"/>
          </w:tcPr>
          <w:p w14:paraId="51B7F364" w14:textId="6DFD55A8" w:rsidR="0069671B" w:rsidRPr="00D51778" w:rsidRDefault="0069671B" w:rsidP="00F22C59">
            <w:pPr>
              <w:jc w:val="right"/>
              <w:rPr>
                <w:sz w:val="22"/>
                <w:szCs w:val="22"/>
              </w:rPr>
            </w:pPr>
            <w:r w:rsidRPr="00D51778">
              <w:rPr>
                <w:rFonts w:cs="Calibri"/>
                <w:color w:val="000000"/>
                <w:sz w:val="22"/>
                <w:szCs w:val="22"/>
                <w:lang w:val="ga"/>
              </w:rPr>
              <w:t>3</w:t>
            </w:r>
          </w:p>
        </w:tc>
        <w:tc>
          <w:tcPr>
            <w:tcW w:w="1574" w:type="dxa"/>
          </w:tcPr>
          <w:p w14:paraId="19012F27" w14:textId="7ADCBDCB" w:rsidR="0069671B" w:rsidRPr="00D51778" w:rsidRDefault="0069671B" w:rsidP="00F22C59">
            <w:pPr>
              <w:jc w:val="right"/>
              <w:rPr>
                <w:sz w:val="22"/>
                <w:szCs w:val="22"/>
              </w:rPr>
            </w:pPr>
            <w:r w:rsidRPr="00D51778">
              <w:rPr>
                <w:rFonts w:cs="Calibri"/>
                <w:color w:val="000000"/>
                <w:sz w:val="22"/>
                <w:szCs w:val="22"/>
                <w:lang w:val="ga"/>
              </w:rPr>
              <w:t>16.7%</w:t>
            </w:r>
          </w:p>
        </w:tc>
      </w:tr>
      <w:tr w:rsidR="0069671B" w:rsidRPr="00D51778" w14:paraId="2DA2D1FE" w14:textId="77777777" w:rsidTr="00C75B07">
        <w:trPr>
          <w:jc w:val="center"/>
        </w:trPr>
        <w:tc>
          <w:tcPr>
            <w:tcW w:w="2283" w:type="dxa"/>
          </w:tcPr>
          <w:p w14:paraId="4A935158" w14:textId="6FCDEB63" w:rsidR="0069671B" w:rsidRPr="00D51778" w:rsidRDefault="0069671B" w:rsidP="00F22C59">
            <w:pPr>
              <w:rPr>
                <w:sz w:val="22"/>
                <w:szCs w:val="22"/>
              </w:rPr>
            </w:pPr>
            <w:r w:rsidRPr="00D51778">
              <w:rPr>
                <w:rFonts w:cs="Calibri"/>
                <w:color w:val="000000"/>
                <w:sz w:val="22"/>
                <w:szCs w:val="22"/>
                <w:lang w:val="ga"/>
              </w:rPr>
              <w:t>Comhairle Contae Cheatharlach</w:t>
            </w:r>
          </w:p>
        </w:tc>
        <w:tc>
          <w:tcPr>
            <w:tcW w:w="1403" w:type="dxa"/>
          </w:tcPr>
          <w:p w14:paraId="10A47683" w14:textId="6F7649EE" w:rsidR="0069671B" w:rsidRPr="00D51778" w:rsidRDefault="0069671B" w:rsidP="00F22C59">
            <w:pPr>
              <w:jc w:val="right"/>
              <w:rPr>
                <w:sz w:val="22"/>
                <w:szCs w:val="22"/>
              </w:rPr>
            </w:pPr>
            <w:r w:rsidRPr="00D51778">
              <w:rPr>
                <w:rFonts w:cs="Calibri"/>
                <w:color w:val="000000"/>
                <w:sz w:val="22"/>
                <w:szCs w:val="22"/>
                <w:lang w:val="ga"/>
              </w:rPr>
              <w:t>326</w:t>
            </w:r>
          </w:p>
        </w:tc>
        <w:tc>
          <w:tcPr>
            <w:tcW w:w="1412" w:type="dxa"/>
          </w:tcPr>
          <w:p w14:paraId="10633564" w14:textId="7C2114EB" w:rsidR="0069671B" w:rsidRPr="00D51778" w:rsidRDefault="0069671B" w:rsidP="00F22C59">
            <w:pPr>
              <w:jc w:val="right"/>
              <w:rPr>
                <w:sz w:val="22"/>
                <w:szCs w:val="22"/>
              </w:rPr>
            </w:pPr>
            <w:r w:rsidRPr="00D51778">
              <w:rPr>
                <w:rFonts w:cs="Calibri"/>
                <w:color w:val="000000"/>
                <w:sz w:val="22"/>
                <w:szCs w:val="22"/>
                <w:lang w:val="ga"/>
              </w:rPr>
              <w:t>14</w:t>
            </w:r>
          </w:p>
        </w:tc>
        <w:tc>
          <w:tcPr>
            <w:tcW w:w="1564" w:type="dxa"/>
          </w:tcPr>
          <w:p w14:paraId="490400D7" w14:textId="20FE0D7B" w:rsidR="0069671B" w:rsidRPr="00D51778" w:rsidRDefault="0069671B" w:rsidP="00F22C59">
            <w:pPr>
              <w:jc w:val="right"/>
              <w:rPr>
                <w:sz w:val="22"/>
                <w:szCs w:val="22"/>
              </w:rPr>
            </w:pPr>
            <w:r w:rsidRPr="00D51778">
              <w:rPr>
                <w:rFonts w:cs="Calibri"/>
                <w:color w:val="000000"/>
                <w:sz w:val="22"/>
                <w:szCs w:val="22"/>
                <w:lang w:val="ga"/>
              </w:rPr>
              <w:t>4.3%</w:t>
            </w:r>
          </w:p>
        </w:tc>
        <w:tc>
          <w:tcPr>
            <w:tcW w:w="1418" w:type="dxa"/>
          </w:tcPr>
          <w:p w14:paraId="39A104D5" w14:textId="2743C7B9" w:rsidR="0069671B" w:rsidRPr="00D51778" w:rsidRDefault="0069671B" w:rsidP="00F22C59">
            <w:pPr>
              <w:jc w:val="right"/>
              <w:rPr>
                <w:sz w:val="22"/>
                <w:szCs w:val="22"/>
              </w:rPr>
            </w:pPr>
            <w:r w:rsidRPr="00D51778">
              <w:rPr>
                <w:rFonts w:cs="Calibri"/>
                <w:color w:val="000000"/>
                <w:sz w:val="22"/>
                <w:szCs w:val="22"/>
                <w:lang w:val="ga"/>
              </w:rPr>
              <w:t>376</w:t>
            </w:r>
          </w:p>
        </w:tc>
        <w:tc>
          <w:tcPr>
            <w:tcW w:w="1559" w:type="dxa"/>
          </w:tcPr>
          <w:p w14:paraId="71433937" w14:textId="2ACC07CB" w:rsidR="0069671B" w:rsidRPr="00D51778" w:rsidRDefault="0069671B" w:rsidP="00F22C59">
            <w:pPr>
              <w:jc w:val="right"/>
              <w:rPr>
                <w:sz w:val="22"/>
                <w:szCs w:val="22"/>
              </w:rPr>
            </w:pPr>
            <w:r w:rsidRPr="00D51778">
              <w:rPr>
                <w:rFonts w:cs="Calibri"/>
                <w:color w:val="000000"/>
                <w:sz w:val="22"/>
                <w:szCs w:val="22"/>
                <w:lang w:val="ga"/>
              </w:rPr>
              <w:t>14</w:t>
            </w:r>
          </w:p>
        </w:tc>
        <w:tc>
          <w:tcPr>
            <w:tcW w:w="1574" w:type="dxa"/>
          </w:tcPr>
          <w:p w14:paraId="3AF6EB04" w14:textId="016A0644" w:rsidR="0069671B" w:rsidRPr="00D51778" w:rsidRDefault="0069671B" w:rsidP="00F22C59">
            <w:pPr>
              <w:jc w:val="right"/>
              <w:rPr>
                <w:sz w:val="22"/>
                <w:szCs w:val="22"/>
              </w:rPr>
            </w:pPr>
            <w:r w:rsidRPr="00D51778">
              <w:rPr>
                <w:rFonts w:cs="Calibri"/>
                <w:color w:val="000000"/>
                <w:sz w:val="22"/>
                <w:szCs w:val="22"/>
                <w:lang w:val="ga"/>
              </w:rPr>
              <w:t>3.7%</w:t>
            </w:r>
          </w:p>
        </w:tc>
      </w:tr>
      <w:tr w:rsidR="0069671B" w:rsidRPr="00D51778" w14:paraId="2AD3EDD5" w14:textId="77777777" w:rsidTr="00C75B07">
        <w:trPr>
          <w:jc w:val="center"/>
        </w:trPr>
        <w:tc>
          <w:tcPr>
            <w:tcW w:w="2283" w:type="dxa"/>
          </w:tcPr>
          <w:p w14:paraId="2C6B0D0C" w14:textId="49CC3026" w:rsidR="0069671B" w:rsidRPr="00D51778" w:rsidRDefault="0069671B" w:rsidP="00F22C59">
            <w:pPr>
              <w:rPr>
                <w:sz w:val="22"/>
                <w:szCs w:val="22"/>
              </w:rPr>
            </w:pPr>
            <w:r w:rsidRPr="00D51778">
              <w:rPr>
                <w:rFonts w:cs="Calibri"/>
                <w:color w:val="000000"/>
                <w:sz w:val="22"/>
                <w:szCs w:val="22"/>
                <w:lang w:val="ga"/>
              </w:rPr>
              <w:t xml:space="preserve">Comhairle Contae an Chabháin </w:t>
            </w:r>
          </w:p>
        </w:tc>
        <w:tc>
          <w:tcPr>
            <w:tcW w:w="1403" w:type="dxa"/>
          </w:tcPr>
          <w:p w14:paraId="21E05456" w14:textId="27FF2819" w:rsidR="0069671B" w:rsidRPr="00D51778" w:rsidRDefault="0069671B" w:rsidP="00F22C59">
            <w:pPr>
              <w:jc w:val="right"/>
              <w:rPr>
                <w:sz w:val="22"/>
                <w:szCs w:val="22"/>
              </w:rPr>
            </w:pPr>
            <w:r w:rsidRPr="00D51778">
              <w:rPr>
                <w:rFonts w:cs="Calibri"/>
                <w:color w:val="000000"/>
                <w:sz w:val="22"/>
                <w:szCs w:val="22"/>
                <w:lang w:val="ga"/>
              </w:rPr>
              <w:t>417</w:t>
            </w:r>
          </w:p>
        </w:tc>
        <w:tc>
          <w:tcPr>
            <w:tcW w:w="1412" w:type="dxa"/>
          </w:tcPr>
          <w:p w14:paraId="36102BF4" w14:textId="1C2C69F8" w:rsidR="0069671B" w:rsidRPr="00D51778" w:rsidRDefault="0069671B" w:rsidP="00F22C59">
            <w:pPr>
              <w:jc w:val="right"/>
              <w:rPr>
                <w:sz w:val="22"/>
                <w:szCs w:val="22"/>
              </w:rPr>
            </w:pPr>
            <w:r w:rsidRPr="00D51778">
              <w:rPr>
                <w:rFonts w:cs="Calibri"/>
                <w:color w:val="000000"/>
                <w:sz w:val="22"/>
                <w:szCs w:val="22"/>
                <w:lang w:val="ga"/>
              </w:rPr>
              <w:t>21</w:t>
            </w:r>
          </w:p>
        </w:tc>
        <w:tc>
          <w:tcPr>
            <w:tcW w:w="1564" w:type="dxa"/>
          </w:tcPr>
          <w:p w14:paraId="2572F8C6" w14:textId="4D57F96E" w:rsidR="0069671B" w:rsidRPr="00D51778" w:rsidRDefault="0069671B" w:rsidP="00F22C59">
            <w:pPr>
              <w:jc w:val="right"/>
              <w:rPr>
                <w:sz w:val="22"/>
                <w:szCs w:val="22"/>
              </w:rPr>
            </w:pPr>
            <w:r w:rsidRPr="00D51778">
              <w:rPr>
                <w:rFonts w:cs="Calibri"/>
                <w:color w:val="000000"/>
                <w:sz w:val="22"/>
                <w:szCs w:val="22"/>
                <w:lang w:val="ga"/>
              </w:rPr>
              <w:t>5.0%</w:t>
            </w:r>
          </w:p>
        </w:tc>
        <w:tc>
          <w:tcPr>
            <w:tcW w:w="1418" w:type="dxa"/>
          </w:tcPr>
          <w:p w14:paraId="46BE8232" w14:textId="6E51D115" w:rsidR="0069671B" w:rsidRPr="00D51778" w:rsidRDefault="0069671B" w:rsidP="00F22C59">
            <w:pPr>
              <w:jc w:val="right"/>
              <w:rPr>
                <w:sz w:val="22"/>
                <w:szCs w:val="22"/>
              </w:rPr>
            </w:pPr>
            <w:r w:rsidRPr="00D51778">
              <w:rPr>
                <w:rFonts w:cs="Calibri"/>
                <w:color w:val="000000"/>
                <w:sz w:val="22"/>
                <w:szCs w:val="22"/>
                <w:lang w:val="ga"/>
              </w:rPr>
              <w:t>414</w:t>
            </w:r>
          </w:p>
        </w:tc>
        <w:tc>
          <w:tcPr>
            <w:tcW w:w="1559" w:type="dxa"/>
          </w:tcPr>
          <w:p w14:paraId="15958FD5" w14:textId="7053B0AA" w:rsidR="0069671B" w:rsidRPr="00D51778" w:rsidRDefault="0069671B" w:rsidP="00F22C59">
            <w:pPr>
              <w:jc w:val="right"/>
              <w:rPr>
                <w:sz w:val="22"/>
                <w:szCs w:val="22"/>
              </w:rPr>
            </w:pPr>
            <w:r w:rsidRPr="00D51778">
              <w:rPr>
                <w:rFonts w:cs="Calibri"/>
                <w:color w:val="000000"/>
                <w:sz w:val="22"/>
                <w:szCs w:val="22"/>
                <w:lang w:val="ga"/>
              </w:rPr>
              <w:t>18</w:t>
            </w:r>
          </w:p>
        </w:tc>
        <w:tc>
          <w:tcPr>
            <w:tcW w:w="1574" w:type="dxa"/>
          </w:tcPr>
          <w:p w14:paraId="25BBA5CA" w14:textId="67704EF2" w:rsidR="0069671B" w:rsidRPr="00D51778" w:rsidRDefault="00446F2A" w:rsidP="00F22C59">
            <w:pPr>
              <w:jc w:val="right"/>
              <w:rPr>
                <w:sz w:val="22"/>
                <w:szCs w:val="22"/>
              </w:rPr>
            </w:pPr>
            <w:r w:rsidRPr="00D51778">
              <w:rPr>
                <w:rFonts w:cs="Calibri"/>
                <w:color w:val="000000"/>
                <w:sz w:val="22"/>
                <w:szCs w:val="22"/>
                <w:lang w:val="ga"/>
              </w:rPr>
              <w:t>4.3%</w:t>
            </w:r>
          </w:p>
        </w:tc>
      </w:tr>
      <w:tr w:rsidR="0069671B" w:rsidRPr="00D51778" w14:paraId="0DCFD366" w14:textId="77777777" w:rsidTr="00C75B07">
        <w:trPr>
          <w:jc w:val="center"/>
        </w:trPr>
        <w:tc>
          <w:tcPr>
            <w:tcW w:w="2283" w:type="dxa"/>
          </w:tcPr>
          <w:p w14:paraId="425F5896" w14:textId="395FECF5" w:rsidR="0069671B" w:rsidRPr="00D51778" w:rsidRDefault="0069671B" w:rsidP="00F22C59">
            <w:pPr>
              <w:rPr>
                <w:sz w:val="22"/>
                <w:szCs w:val="22"/>
              </w:rPr>
            </w:pPr>
            <w:r w:rsidRPr="00D51778">
              <w:rPr>
                <w:rFonts w:cs="Calibri"/>
                <w:color w:val="000000"/>
                <w:sz w:val="22"/>
                <w:szCs w:val="22"/>
                <w:lang w:val="ga"/>
              </w:rPr>
              <w:t>Comhairle Contae an Chláir</w:t>
            </w:r>
          </w:p>
        </w:tc>
        <w:tc>
          <w:tcPr>
            <w:tcW w:w="1403" w:type="dxa"/>
          </w:tcPr>
          <w:p w14:paraId="5ED64031" w14:textId="02B20BA5" w:rsidR="0069671B" w:rsidRPr="00D51778" w:rsidRDefault="0069671B" w:rsidP="00F22C59">
            <w:pPr>
              <w:jc w:val="right"/>
              <w:rPr>
                <w:sz w:val="22"/>
                <w:szCs w:val="22"/>
              </w:rPr>
            </w:pPr>
            <w:r w:rsidRPr="00D51778">
              <w:rPr>
                <w:rFonts w:cs="Calibri"/>
                <w:color w:val="000000"/>
                <w:sz w:val="22"/>
                <w:szCs w:val="22"/>
                <w:lang w:val="ga"/>
              </w:rPr>
              <w:t>863</w:t>
            </w:r>
          </w:p>
        </w:tc>
        <w:tc>
          <w:tcPr>
            <w:tcW w:w="1412" w:type="dxa"/>
          </w:tcPr>
          <w:p w14:paraId="5C697F80" w14:textId="6EEA0677" w:rsidR="0069671B" w:rsidRPr="00D51778" w:rsidRDefault="0069671B" w:rsidP="00F22C59">
            <w:pPr>
              <w:jc w:val="right"/>
              <w:rPr>
                <w:sz w:val="22"/>
                <w:szCs w:val="22"/>
              </w:rPr>
            </w:pPr>
            <w:r w:rsidRPr="00D51778">
              <w:rPr>
                <w:rFonts w:cs="Calibri"/>
                <w:color w:val="000000"/>
                <w:sz w:val="22"/>
                <w:szCs w:val="22"/>
                <w:lang w:val="ga"/>
              </w:rPr>
              <w:t>33</w:t>
            </w:r>
          </w:p>
        </w:tc>
        <w:tc>
          <w:tcPr>
            <w:tcW w:w="1564" w:type="dxa"/>
          </w:tcPr>
          <w:p w14:paraId="564D3A53" w14:textId="4308D152" w:rsidR="0069671B" w:rsidRPr="00D51778" w:rsidRDefault="0069671B" w:rsidP="00F22C59">
            <w:pPr>
              <w:jc w:val="right"/>
              <w:rPr>
                <w:sz w:val="22"/>
                <w:szCs w:val="22"/>
              </w:rPr>
            </w:pPr>
            <w:r w:rsidRPr="00D51778">
              <w:rPr>
                <w:rFonts w:cs="Calibri"/>
                <w:color w:val="000000"/>
                <w:sz w:val="22"/>
                <w:szCs w:val="22"/>
                <w:lang w:val="ga"/>
              </w:rPr>
              <w:t>3.8%</w:t>
            </w:r>
          </w:p>
        </w:tc>
        <w:tc>
          <w:tcPr>
            <w:tcW w:w="1418" w:type="dxa"/>
          </w:tcPr>
          <w:p w14:paraId="6BC36069" w14:textId="53CEFA67" w:rsidR="0069671B" w:rsidRPr="00D51778" w:rsidRDefault="0069671B" w:rsidP="00F22C59">
            <w:pPr>
              <w:jc w:val="right"/>
              <w:rPr>
                <w:sz w:val="22"/>
                <w:szCs w:val="22"/>
              </w:rPr>
            </w:pPr>
            <w:r w:rsidRPr="00D51778">
              <w:rPr>
                <w:rFonts w:cs="Calibri"/>
                <w:color w:val="000000"/>
                <w:sz w:val="22"/>
                <w:szCs w:val="22"/>
                <w:lang w:val="ga"/>
              </w:rPr>
              <w:t>974</w:t>
            </w:r>
          </w:p>
        </w:tc>
        <w:tc>
          <w:tcPr>
            <w:tcW w:w="1559" w:type="dxa"/>
          </w:tcPr>
          <w:p w14:paraId="41568951" w14:textId="55AD5341" w:rsidR="0069671B" w:rsidRPr="00D51778" w:rsidRDefault="0069671B" w:rsidP="00F22C59">
            <w:pPr>
              <w:jc w:val="right"/>
              <w:rPr>
                <w:sz w:val="22"/>
                <w:szCs w:val="22"/>
              </w:rPr>
            </w:pPr>
            <w:r w:rsidRPr="00D51778">
              <w:rPr>
                <w:rFonts w:cs="Calibri"/>
                <w:color w:val="000000"/>
                <w:sz w:val="22"/>
                <w:szCs w:val="22"/>
                <w:lang w:val="ga"/>
              </w:rPr>
              <w:t>34</w:t>
            </w:r>
          </w:p>
        </w:tc>
        <w:tc>
          <w:tcPr>
            <w:tcW w:w="1574" w:type="dxa"/>
          </w:tcPr>
          <w:p w14:paraId="2FDEB4EE" w14:textId="35FD33F8" w:rsidR="0069671B" w:rsidRPr="00D51778" w:rsidRDefault="0069671B" w:rsidP="00F22C59">
            <w:pPr>
              <w:jc w:val="right"/>
              <w:rPr>
                <w:sz w:val="22"/>
                <w:szCs w:val="22"/>
              </w:rPr>
            </w:pPr>
            <w:r w:rsidRPr="00D51778">
              <w:rPr>
                <w:rFonts w:cs="Calibri"/>
                <w:color w:val="000000"/>
                <w:sz w:val="22"/>
                <w:szCs w:val="22"/>
                <w:lang w:val="ga"/>
              </w:rPr>
              <w:t>3.5%</w:t>
            </w:r>
          </w:p>
        </w:tc>
      </w:tr>
      <w:tr w:rsidR="0069671B" w:rsidRPr="00D51778" w14:paraId="7E2FD676" w14:textId="77777777" w:rsidTr="00C75B07">
        <w:trPr>
          <w:jc w:val="center"/>
        </w:trPr>
        <w:tc>
          <w:tcPr>
            <w:tcW w:w="2283" w:type="dxa"/>
          </w:tcPr>
          <w:p w14:paraId="36150334" w14:textId="301253F6" w:rsidR="0069671B" w:rsidRPr="00D51778" w:rsidRDefault="0069671B" w:rsidP="00F22C59">
            <w:pPr>
              <w:rPr>
                <w:sz w:val="22"/>
                <w:szCs w:val="22"/>
              </w:rPr>
            </w:pPr>
            <w:r w:rsidRPr="00D51778">
              <w:rPr>
                <w:rFonts w:cs="Calibri"/>
                <w:color w:val="000000"/>
                <w:sz w:val="22"/>
                <w:szCs w:val="22"/>
                <w:lang w:val="ga"/>
              </w:rPr>
              <w:t>Comhairle Cathrach Chorcaí</w:t>
            </w:r>
          </w:p>
        </w:tc>
        <w:tc>
          <w:tcPr>
            <w:tcW w:w="1403" w:type="dxa"/>
          </w:tcPr>
          <w:p w14:paraId="5F28C013" w14:textId="6EC83809" w:rsidR="0069671B" w:rsidRPr="00D51778" w:rsidRDefault="0069671B" w:rsidP="00F22C59">
            <w:pPr>
              <w:jc w:val="right"/>
              <w:rPr>
                <w:sz w:val="22"/>
                <w:szCs w:val="22"/>
              </w:rPr>
            </w:pPr>
            <w:r w:rsidRPr="00D51778">
              <w:rPr>
                <w:rFonts w:cs="Calibri"/>
                <w:color w:val="000000"/>
                <w:sz w:val="22"/>
                <w:szCs w:val="22"/>
                <w:lang w:val="ga"/>
              </w:rPr>
              <w:t>1,560</w:t>
            </w:r>
          </w:p>
        </w:tc>
        <w:tc>
          <w:tcPr>
            <w:tcW w:w="1412" w:type="dxa"/>
          </w:tcPr>
          <w:p w14:paraId="395D7F1B" w14:textId="2306E5FD" w:rsidR="0069671B" w:rsidRPr="00D51778" w:rsidRDefault="0069671B" w:rsidP="00F22C59">
            <w:pPr>
              <w:jc w:val="right"/>
              <w:rPr>
                <w:sz w:val="22"/>
                <w:szCs w:val="22"/>
              </w:rPr>
            </w:pPr>
            <w:r w:rsidRPr="00D51778">
              <w:rPr>
                <w:rFonts w:cs="Calibri"/>
                <w:color w:val="000000"/>
                <w:sz w:val="22"/>
                <w:szCs w:val="22"/>
                <w:lang w:val="ga"/>
              </w:rPr>
              <w:t>49</w:t>
            </w:r>
          </w:p>
        </w:tc>
        <w:tc>
          <w:tcPr>
            <w:tcW w:w="1564" w:type="dxa"/>
          </w:tcPr>
          <w:p w14:paraId="52E1FF5B" w14:textId="445300E5" w:rsidR="0069671B" w:rsidRPr="00D51778" w:rsidRDefault="0069671B" w:rsidP="00F22C59">
            <w:pPr>
              <w:jc w:val="right"/>
              <w:rPr>
                <w:sz w:val="22"/>
                <w:szCs w:val="22"/>
              </w:rPr>
            </w:pPr>
            <w:r w:rsidRPr="00D51778">
              <w:rPr>
                <w:rFonts w:cs="Calibri"/>
                <w:color w:val="000000"/>
                <w:sz w:val="22"/>
                <w:szCs w:val="22"/>
                <w:lang w:val="ga"/>
              </w:rPr>
              <w:t>3.1%</w:t>
            </w:r>
          </w:p>
        </w:tc>
        <w:tc>
          <w:tcPr>
            <w:tcW w:w="1418" w:type="dxa"/>
          </w:tcPr>
          <w:p w14:paraId="430E2A03" w14:textId="062CDB55" w:rsidR="0069671B" w:rsidRPr="00D51778" w:rsidRDefault="0069671B" w:rsidP="00F22C59">
            <w:pPr>
              <w:jc w:val="right"/>
              <w:rPr>
                <w:sz w:val="22"/>
                <w:szCs w:val="22"/>
              </w:rPr>
            </w:pPr>
            <w:r w:rsidRPr="00D51778">
              <w:rPr>
                <w:rFonts w:cs="Calibri"/>
                <w:color w:val="000000"/>
                <w:sz w:val="22"/>
                <w:szCs w:val="22"/>
                <w:lang w:val="ga"/>
              </w:rPr>
              <w:t>1,559</w:t>
            </w:r>
          </w:p>
        </w:tc>
        <w:tc>
          <w:tcPr>
            <w:tcW w:w="1559" w:type="dxa"/>
          </w:tcPr>
          <w:p w14:paraId="116E9AC5" w14:textId="755FDB39" w:rsidR="0069671B" w:rsidRPr="00D51778" w:rsidRDefault="0069671B" w:rsidP="00F22C59">
            <w:pPr>
              <w:jc w:val="right"/>
              <w:rPr>
                <w:sz w:val="22"/>
                <w:szCs w:val="22"/>
              </w:rPr>
            </w:pPr>
            <w:r w:rsidRPr="00D51778">
              <w:rPr>
                <w:rFonts w:cs="Calibri"/>
                <w:color w:val="000000"/>
                <w:sz w:val="22"/>
                <w:szCs w:val="22"/>
                <w:lang w:val="ga"/>
              </w:rPr>
              <w:t>49</w:t>
            </w:r>
          </w:p>
        </w:tc>
        <w:tc>
          <w:tcPr>
            <w:tcW w:w="1574" w:type="dxa"/>
          </w:tcPr>
          <w:p w14:paraId="5B343DB3" w14:textId="4DBF89F5" w:rsidR="0069671B" w:rsidRPr="00D51778" w:rsidRDefault="0069671B" w:rsidP="00F22C59">
            <w:pPr>
              <w:jc w:val="right"/>
              <w:rPr>
                <w:sz w:val="22"/>
                <w:szCs w:val="22"/>
              </w:rPr>
            </w:pPr>
            <w:r w:rsidRPr="00D51778">
              <w:rPr>
                <w:rFonts w:cs="Calibri"/>
                <w:color w:val="000000"/>
                <w:sz w:val="22"/>
                <w:szCs w:val="22"/>
                <w:lang w:val="ga"/>
              </w:rPr>
              <w:t>3.1%</w:t>
            </w:r>
          </w:p>
        </w:tc>
      </w:tr>
      <w:tr w:rsidR="0069671B" w:rsidRPr="00D51778" w14:paraId="7712F50E" w14:textId="77777777" w:rsidTr="00C75B07">
        <w:trPr>
          <w:jc w:val="center"/>
        </w:trPr>
        <w:tc>
          <w:tcPr>
            <w:tcW w:w="2283" w:type="dxa"/>
          </w:tcPr>
          <w:p w14:paraId="0BC622D0" w14:textId="4A2BDFDB" w:rsidR="0069671B" w:rsidRPr="00D51778" w:rsidRDefault="0069671B" w:rsidP="00F22C59">
            <w:pPr>
              <w:rPr>
                <w:sz w:val="22"/>
                <w:szCs w:val="22"/>
              </w:rPr>
            </w:pPr>
            <w:r w:rsidRPr="00D51778">
              <w:rPr>
                <w:rFonts w:cs="Calibri"/>
                <w:color w:val="000000"/>
                <w:sz w:val="22"/>
                <w:szCs w:val="22"/>
                <w:lang w:val="ga"/>
              </w:rPr>
              <w:t>Comhairle Contae Chorcaí</w:t>
            </w:r>
          </w:p>
        </w:tc>
        <w:tc>
          <w:tcPr>
            <w:tcW w:w="1403" w:type="dxa"/>
          </w:tcPr>
          <w:p w14:paraId="4B324A6C" w14:textId="77C64283" w:rsidR="0069671B" w:rsidRPr="00D51778" w:rsidRDefault="0069671B" w:rsidP="00F22C59">
            <w:pPr>
              <w:jc w:val="right"/>
              <w:rPr>
                <w:sz w:val="22"/>
                <w:szCs w:val="22"/>
              </w:rPr>
            </w:pPr>
            <w:r w:rsidRPr="00D51778">
              <w:rPr>
                <w:rFonts w:cs="Calibri"/>
                <w:color w:val="000000"/>
                <w:sz w:val="22"/>
                <w:szCs w:val="22"/>
                <w:lang w:val="ga"/>
              </w:rPr>
              <w:t>2,632</w:t>
            </w:r>
          </w:p>
        </w:tc>
        <w:tc>
          <w:tcPr>
            <w:tcW w:w="1412" w:type="dxa"/>
          </w:tcPr>
          <w:p w14:paraId="635DE84D" w14:textId="5AB1DDF8" w:rsidR="0069671B" w:rsidRPr="00D51778" w:rsidRDefault="0069671B" w:rsidP="00F22C59">
            <w:pPr>
              <w:jc w:val="right"/>
              <w:rPr>
                <w:sz w:val="22"/>
                <w:szCs w:val="22"/>
              </w:rPr>
            </w:pPr>
            <w:r w:rsidRPr="00D51778">
              <w:rPr>
                <w:rFonts w:cs="Calibri"/>
                <w:color w:val="000000"/>
                <w:sz w:val="22"/>
                <w:szCs w:val="22"/>
                <w:lang w:val="ga"/>
              </w:rPr>
              <w:t>82</w:t>
            </w:r>
          </w:p>
        </w:tc>
        <w:tc>
          <w:tcPr>
            <w:tcW w:w="1564" w:type="dxa"/>
          </w:tcPr>
          <w:p w14:paraId="24A5AE5C" w14:textId="3F561D52" w:rsidR="0069671B" w:rsidRPr="00D51778" w:rsidRDefault="0069671B" w:rsidP="00F22C59">
            <w:pPr>
              <w:jc w:val="right"/>
              <w:rPr>
                <w:sz w:val="22"/>
                <w:szCs w:val="22"/>
              </w:rPr>
            </w:pPr>
            <w:r w:rsidRPr="00D51778">
              <w:rPr>
                <w:rFonts w:cs="Calibri"/>
                <w:color w:val="000000"/>
                <w:sz w:val="22"/>
                <w:szCs w:val="22"/>
                <w:lang w:val="ga"/>
              </w:rPr>
              <w:t>3.1%</w:t>
            </w:r>
          </w:p>
        </w:tc>
        <w:tc>
          <w:tcPr>
            <w:tcW w:w="1418" w:type="dxa"/>
          </w:tcPr>
          <w:p w14:paraId="031ED7D7" w14:textId="4789501A" w:rsidR="0069671B" w:rsidRPr="00D51778" w:rsidRDefault="0069671B" w:rsidP="00F22C59">
            <w:pPr>
              <w:jc w:val="right"/>
              <w:rPr>
                <w:sz w:val="22"/>
                <w:szCs w:val="22"/>
              </w:rPr>
            </w:pPr>
            <w:r w:rsidRPr="00D51778">
              <w:rPr>
                <w:rFonts w:cs="Calibri"/>
                <w:color w:val="000000"/>
                <w:sz w:val="22"/>
                <w:szCs w:val="22"/>
                <w:lang w:val="ga"/>
              </w:rPr>
              <w:t>2,640</w:t>
            </w:r>
          </w:p>
        </w:tc>
        <w:tc>
          <w:tcPr>
            <w:tcW w:w="1559" w:type="dxa"/>
          </w:tcPr>
          <w:p w14:paraId="514B1378" w14:textId="796A0826" w:rsidR="0069671B" w:rsidRPr="00D51778" w:rsidRDefault="0069671B" w:rsidP="00F22C59">
            <w:pPr>
              <w:jc w:val="right"/>
              <w:rPr>
                <w:sz w:val="22"/>
                <w:szCs w:val="22"/>
              </w:rPr>
            </w:pPr>
            <w:r w:rsidRPr="00D51778">
              <w:rPr>
                <w:rFonts w:cs="Calibri"/>
                <w:color w:val="000000"/>
                <w:sz w:val="22"/>
                <w:szCs w:val="22"/>
                <w:lang w:val="ga"/>
              </w:rPr>
              <w:t>91</w:t>
            </w:r>
          </w:p>
        </w:tc>
        <w:tc>
          <w:tcPr>
            <w:tcW w:w="1574" w:type="dxa"/>
          </w:tcPr>
          <w:p w14:paraId="4836BD8F" w14:textId="2B734DED" w:rsidR="0069671B" w:rsidRPr="00D51778" w:rsidRDefault="007E7CE3" w:rsidP="00F22C59">
            <w:pPr>
              <w:jc w:val="right"/>
              <w:rPr>
                <w:sz w:val="22"/>
                <w:szCs w:val="22"/>
              </w:rPr>
            </w:pPr>
            <w:r w:rsidRPr="00D51778">
              <w:rPr>
                <w:rFonts w:cs="Calibri"/>
                <w:color w:val="000000"/>
                <w:sz w:val="22"/>
                <w:szCs w:val="22"/>
                <w:lang w:val="ga"/>
              </w:rPr>
              <w:t>3.4%</w:t>
            </w:r>
          </w:p>
        </w:tc>
      </w:tr>
      <w:tr w:rsidR="0069671B" w:rsidRPr="00D51778" w14:paraId="6C780DDD" w14:textId="77777777" w:rsidTr="00C75B07">
        <w:trPr>
          <w:jc w:val="center"/>
        </w:trPr>
        <w:tc>
          <w:tcPr>
            <w:tcW w:w="2283" w:type="dxa"/>
          </w:tcPr>
          <w:p w14:paraId="2EFDF2EC" w14:textId="1037A615" w:rsidR="0069671B" w:rsidRPr="00D51778" w:rsidRDefault="0069671B" w:rsidP="00F22C59">
            <w:pPr>
              <w:rPr>
                <w:sz w:val="22"/>
                <w:szCs w:val="22"/>
              </w:rPr>
            </w:pPr>
            <w:r w:rsidRPr="00D51778">
              <w:rPr>
                <w:rFonts w:cs="Calibri"/>
                <w:color w:val="000000"/>
                <w:sz w:val="22"/>
                <w:szCs w:val="22"/>
                <w:lang w:val="ga"/>
              </w:rPr>
              <w:t>Comhairle Contae Dhún na nGall</w:t>
            </w:r>
          </w:p>
        </w:tc>
        <w:tc>
          <w:tcPr>
            <w:tcW w:w="1403" w:type="dxa"/>
          </w:tcPr>
          <w:p w14:paraId="5F5D0972" w14:textId="72C4F355" w:rsidR="0069671B" w:rsidRPr="00D51778" w:rsidRDefault="0069671B" w:rsidP="00F22C59">
            <w:pPr>
              <w:jc w:val="right"/>
              <w:rPr>
                <w:sz w:val="22"/>
                <w:szCs w:val="22"/>
              </w:rPr>
            </w:pPr>
            <w:r w:rsidRPr="00D51778">
              <w:rPr>
                <w:rFonts w:cs="Calibri"/>
                <w:color w:val="000000"/>
                <w:sz w:val="22"/>
                <w:szCs w:val="22"/>
                <w:lang w:val="ga"/>
              </w:rPr>
              <w:t>1,185</w:t>
            </w:r>
          </w:p>
        </w:tc>
        <w:tc>
          <w:tcPr>
            <w:tcW w:w="1412" w:type="dxa"/>
          </w:tcPr>
          <w:p w14:paraId="0F403FB8" w14:textId="749D62BC" w:rsidR="0069671B" w:rsidRPr="00D51778" w:rsidRDefault="0069671B" w:rsidP="00F22C59">
            <w:pPr>
              <w:jc w:val="right"/>
              <w:rPr>
                <w:sz w:val="22"/>
                <w:szCs w:val="22"/>
              </w:rPr>
            </w:pPr>
            <w:r w:rsidRPr="00D51778">
              <w:rPr>
                <w:rFonts w:cs="Calibri"/>
                <w:color w:val="000000"/>
                <w:sz w:val="22"/>
                <w:szCs w:val="22"/>
                <w:lang w:val="ga"/>
              </w:rPr>
              <w:t>42</w:t>
            </w:r>
          </w:p>
        </w:tc>
        <w:tc>
          <w:tcPr>
            <w:tcW w:w="1564" w:type="dxa"/>
          </w:tcPr>
          <w:p w14:paraId="2ED93F80" w14:textId="65AF9B3E" w:rsidR="0069671B" w:rsidRPr="00D51778" w:rsidRDefault="0069671B" w:rsidP="00F22C59">
            <w:pPr>
              <w:jc w:val="right"/>
              <w:rPr>
                <w:sz w:val="22"/>
                <w:szCs w:val="22"/>
              </w:rPr>
            </w:pPr>
            <w:r w:rsidRPr="00D51778">
              <w:rPr>
                <w:rFonts w:cs="Calibri"/>
                <w:color w:val="000000"/>
                <w:sz w:val="22"/>
                <w:szCs w:val="22"/>
                <w:lang w:val="ga"/>
              </w:rPr>
              <w:t>3.5%</w:t>
            </w:r>
          </w:p>
        </w:tc>
        <w:tc>
          <w:tcPr>
            <w:tcW w:w="1418" w:type="dxa"/>
          </w:tcPr>
          <w:p w14:paraId="5F65DA2E" w14:textId="69839B82" w:rsidR="0069671B" w:rsidRPr="00D51778" w:rsidRDefault="0069671B" w:rsidP="00F22C59">
            <w:pPr>
              <w:jc w:val="right"/>
              <w:rPr>
                <w:sz w:val="22"/>
                <w:szCs w:val="22"/>
              </w:rPr>
            </w:pPr>
            <w:r w:rsidRPr="00D51778">
              <w:rPr>
                <w:rFonts w:cs="Calibri"/>
                <w:color w:val="000000"/>
                <w:sz w:val="22"/>
                <w:szCs w:val="22"/>
                <w:lang w:val="ga"/>
              </w:rPr>
              <w:t>1,198</w:t>
            </w:r>
          </w:p>
        </w:tc>
        <w:tc>
          <w:tcPr>
            <w:tcW w:w="1559" w:type="dxa"/>
          </w:tcPr>
          <w:p w14:paraId="616FF7E4" w14:textId="73C7901D" w:rsidR="0069671B" w:rsidRPr="00D51778" w:rsidRDefault="0069671B" w:rsidP="00F22C59">
            <w:pPr>
              <w:jc w:val="right"/>
              <w:rPr>
                <w:sz w:val="22"/>
                <w:szCs w:val="22"/>
              </w:rPr>
            </w:pPr>
            <w:r w:rsidRPr="00D51778">
              <w:rPr>
                <w:rFonts w:cs="Calibri"/>
                <w:color w:val="000000"/>
                <w:sz w:val="22"/>
                <w:szCs w:val="22"/>
                <w:lang w:val="ga"/>
              </w:rPr>
              <w:t>51</w:t>
            </w:r>
          </w:p>
        </w:tc>
        <w:tc>
          <w:tcPr>
            <w:tcW w:w="1574" w:type="dxa"/>
          </w:tcPr>
          <w:p w14:paraId="1F85D639" w14:textId="0488B4F4" w:rsidR="0069671B" w:rsidRPr="00D51778" w:rsidRDefault="0069671B" w:rsidP="00F22C59">
            <w:pPr>
              <w:jc w:val="right"/>
              <w:rPr>
                <w:sz w:val="22"/>
                <w:szCs w:val="22"/>
              </w:rPr>
            </w:pPr>
            <w:r w:rsidRPr="00D51778">
              <w:rPr>
                <w:rFonts w:cs="Calibri"/>
                <w:color w:val="000000"/>
                <w:sz w:val="22"/>
                <w:szCs w:val="22"/>
                <w:lang w:val="ga"/>
              </w:rPr>
              <w:t>4.3%</w:t>
            </w:r>
          </w:p>
        </w:tc>
      </w:tr>
      <w:tr w:rsidR="0069671B" w:rsidRPr="00D51778" w14:paraId="0F8D6818" w14:textId="77777777" w:rsidTr="00C75B07">
        <w:trPr>
          <w:jc w:val="center"/>
        </w:trPr>
        <w:tc>
          <w:tcPr>
            <w:tcW w:w="2283" w:type="dxa"/>
          </w:tcPr>
          <w:p w14:paraId="751F1719" w14:textId="41EB3F15" w:rsidR="0069671B" w:rsidRPr="00D51778" w:rsidRDefault="0069671B" w:rsidP="00F22C59">
            <w:pPr>
              <w:rPr>
                <w:sz w:val="22"/>
                <w:szCs w:val="22"/>
              </w:rPr>
            </w:pPr>
            <w:r w:rsidRPr="00D51778">
              <w:rPr>
                <w:rFonts w:cs="Calibri"/>
                <w:color w:val="000000"/>
                <w:sz w:val="22"/>
                <w:szCs w:val="22"/>
                <w:lang w:val="ga"/>
              </w:rPr>
              <w:t>Comhairle Cathrach Bhaile Átha Cliath</w:t>
            </w:r>
          </w:p>
        </w:tc>
        <w:tc>
          <w:tcPr>
            <w:tcW w:w="1403" w:type="dxa"/>
          </w:tcPr>
          <w:p w14:paraId="44C6029B" w14:textId="2C2898B4" w:rsidR="0069671B" w:rsidRPr="00D51778" w:rsidRDefault="0069671B" w:rsidP="00F22C59">
            <w:pPr>
              <w:jc w:val="right"/>
              <w:rPr>
                <w:sz w:val="22"/>
                <w:szCs w:val="22"/>
              </w:rPr>
            </w:pPr>
            <w:r w:rsidRPr="00D51778">
              <w:rPr>
                <w:rFonts w:cs="Calibri"/>
                <w:color w:val="000000"/>
                <w:sz w:val="22"/>
                <w:szCs w:val="22"/>
                <w:lang w:val="ga"/>
              </w:rPr>
              <w:t>5,933</w:t>
            </w:r>
          </w:p>
        </w:tc>
        <w:tc>
          <w:tcPr>
            <w:tcW w:w="1412" w:type="dxa"/>
          </w:tcPr>
          <w:p w14:paraId="7B5EDD21" w14:textId="54E1B8DC" w:rsidR="0069671B" w:rsidRPr="00D51778" w:rsidRDefault="0069671B" w:rsidP="00F22C59">
            <w:pPr>
              <w:jc w:val="right"/>
              <w:rPr>
                <w:sz w:val="22"/>
                <w:szCs w:val="22"/>
              </w:rPr>
            </w:pPr>
            <w:r w:rsidRPr="00D51778">
              <w:rPr>
                <w:rFonts w:cs="Calibri"/>
                <w:color w:val="000000"/>
                <w:sz w:val="22"/>
                <w:szCs w:val="22"/>
                <w:lang w:val="ga"/>
              </w:rPr>
              <w:t>274</w:t>
            </w:r>
          </w:p>
        </w:tc>
        <w:tc>
          <w:tcPr>
            <w:tcW w:w="1564" w:type="dxa"/>
          </w:tcPr>
          <w:p w14:paraId="01563F9E" w14:textId="1CE38C2B" w:rsidR="0069671B" w:rsidRPr="00D51778" w:rsidRDefault="0069671B" w:rsidP="00F22C59">
            <w:pPr>
              <w:jc w:val="right"/>
              <w:rPr>
                <w:sz w:val="22"/>
                <w:szCs w:val="22"/>
              </w:rPr>
            </w:pPr>
            <w:r w:rsidRPr="00D51778">
              <w:rPr>
                <w:rFonts w:cs="Calibri"/>
                <w:color w:val="000000"/>
                <w:sz w:val="22"/>
                <w:szCs w:val="22"/>
                <w:lang w:val="ga"/>
              </w:rPr>
              <w:t>4.6%</w:t>
            </w:r>
          </w:p>
        </w:tc>
        <w:tc>
          <w:tcPr>
            <w:tcW w:w="1418" w:type="dxa"/>
          </w:tcPr>
          <w:p w14:paraId="64D330FE" w14:textId="263F67AB" w:rsidR="0069671B" w:rsidRPr="00D51778" w:rsidRDefault="0069671B" w:rsidP="00F22C59">
            <w:pPr>
              <w:jc w:val="right"/>
              <w:rPr>
                <w:sz w:val="22"/>
                <w:szCs w:val="22"/>
              </w:rPr>
            </w:pPr>
            <w:r w:rsidRPr="00D51778">
              <w:rPr>
                <w:rFonts w:cs="Calibri"/>
                <w:color w:val="000000"/>
                <w:sz w:val="22"/>
                <w:szCs w:val="22"/>
                <w:lang w:val="ga"/>
              </w:rPr>
              <w:t>5,882</w:t>
            </w:r>
          </w:p>
        </w:tc>
        <w:tc>
          <w:tcPr>
            <w:tcW w:w="1559" w:type="dxa"/>
          </w:tcPr>
          <w:p w14:paraId="150B5AA4" w14:textId="49F0A18B" w:rsidR="0069671B" w:rsidRPr="00D51778" w:rsidRDefault="0069671B" w:rsidP="00F22C59">
            <w:pPr>
              <w:jc w:val="right"/>
              <w:rPr>
                <w:sz w:val="22"/>
                <w:szCs w:val="22"/>
              </w:rPr>
            </w:pPr>
            <w:r w:rsidRPr="00D51778">
              <w:rPr>
                <w:rFonts w:cs="Calibri"/>
                <w:color w:val="000000"/>
                <w:sz w:val="22"/>
                <w:szCs w:val="22"/>
                <w:lang w:val="ga"/>
              </w:rPr>
              <w:t>259</w:t>
            </w:r>
          </w:p>
        </w:tc>
        <w:tc>
          <w:tcPr>
            <w:tcW w:w="1574" w:type="dxa"/>
          </w:tcPr>
          <w:p w14:paraId="6FA106C3" w14:textId="0B9297A3" w:rsidR="0069671B" w:rsidRPr="00D51778" w:rsidRDefault="0069671B" w:rsidP="00F22C59">
            <w:pPr>
              <w:jc w:val="right"/>
              <w:rPr>
                <w:sz w:val="22"/>
                <w:szCs w:val="22"/>
              </w:rPr>
            </w:pPr>
            <w:r w:rsidRPr="00D51778">
              <w:rPr>
                <w:rFonts w:cs="Calibri"/>
                <w:color w:val="000000"/>
                <w:sz w:val="22"/>
                <w:szCs w:val="22"/>
                <w:lang w:val="ga"/>
              </w:rPr>
              <w:t>4.4%</w:t>
            </w:r>
          </w:p>
        </w:tc>
      </w:tr>
      <w:tr w:rsidR="0069671B" w:rsidRPr="00D51778" w14:paraId="6DF349E9" w14:textId="77777777" w:rsidTr="00C75B07">
        <w:trPr>
          <w:jc w:val="center"/>
        </w:trPr>
        <w:tc>
          <w:tcPr>
            <w:tcW w:w="2283" w:type="dxa"/>
          </w:tcPr>
          <w:p w14:paraId="3E1CA063" w14:textId="78DFDF18" w:rsidR="0069671B" w:rsidRPr="00D51778" w:rsidRDefault="0069671B" w:rsidP="00F22C59">
            <w:pPr>
              <w:rPr>
                <w:sz w:val="22"/>
                <w:szCs w:val="22"/>
              </w:rPr>
            </w:pPr>
            <w:r w:rsidRPr="00D51778">
              <w:rPr>
                <w:rFonts w:cs="Calibri"/>
                <w:color w:val="000000"/>
                <w:sz w:val="22"/>
                <w:szCs w:val="22"/>
                <w:lang w:val="ga"/>
              </w:rPr>
              <w:lastRenderedPageBreak/>
              <w:t>Comhairle Contae Dhún Laoghaire-Ráth an Dúin</w:t>
            </w:r>
          </w:p>
        </w:tc>
        <w:tc>
          <w:tcPr>
            <w:tcW w:w="1403" w:type="dxa"/>
          </w:tcPr>
          <w:p w14:paraId="6B41DABE" w14:textId="73787102" w:rsidR="0069671B" w:rsidRPr="00D51778" w:rsidRDefault="0069671B" w:rsidP="00F22C59">
            <w:pPr>
              <w:jc w:val="right"/>
              <w:rPr>
                <w:sz w:val="22"/>
                <w:szCs w:val="22"/>
              </w:rPr>
            </w:pPr>
            <w:r w:rsidRPr="00D51778">
              <w:rPr>
                <w:rFonts w:cs="Calibri"/>
                <w:color w:val="000000"/>
                <w:sz w:val="22"/>
                <w:szCs w:val="22"/>
                <w:lang w:val="ga"/>
              </w:rPr>
              <w:t>1,111</w:t>
            </w:r>
          </w:p>
        </w:tc>
        <w:tc>
          <w:tcPr>
            <w:tcW w:w="1412" w:type="dxa"/>
          </w:tcPr>
          <w:p w14:paraId="587190A0" w14:textId="727DC5C8" w:rsidR="0069671B" w:rsidRPr="00D51778" w:rsidRDefault="0069671B" w:rsidP="00F22C59">
            <w:pPr>
              <w:jc w:val="right"/>
              <w:rPr>
                <w:sz w:val="22"/>
                <w:szCs w:val="22"/>
              </w:rPr>
            </w:pPr>
            <w:r w:rsidRPr="00D51778">
              <w:rPr>
                <w:rFonts w:cs="Calibri"/>
                <w:color w:val="000000"/>
                <w:sz w:val="22"/>
                <w:szCs w:val="22"/>
                <w:lang w:val="ga"/>
              </w:rPr>
              <w:t>43</w:t>
            </w:r>
          </w:p>
        </w:tc>
        <w:tc>
          <w:tcPr>
            <w:tcW w:w="1564" w:type="dxa"/>
          </w:tcPr>
          <w:p w14:paraId="17C62FA8" w14:textId="6084FDA6" w:rsidR="0069671B" w:rsidRPr="00D51778" w:rsidRDefault="0069671B" w:rsidP="00F22C59">
            <w:pPr>
              <w:jc w:val="right"/>
              <w:rPr>
                <w:sz w:val="22"/>
                <w:szCs w:val="22"/>
              </w:rPr>
            </w:pPr>
            <w:r w:rsidRPr="00D51778">
              <w:rPr>
                <w:rFonts w:cs="Calibri"/>
                <w:color w:val="000000"/>
                <w:sz w:val="22"/>
                <w:szCs w:val="22"/>
                <w:lang w:val="ga"/>
              </w:rPr>
              <w:t>3.9%</w:t>
            </w:r>
          </w:p>
        </w:tc>
        <w:tc>
          <w:tcPr>
            <w:tcW w:w="1418" w:type="dxa"/>
          </w:tcPr>
          <w:p w14:paraId="291EF83B" w14:textId="155BADA6" w:rsidR="0069671B" w:rsidRPr="00D51778" w:rsidRDefault="0069671B" w:rsidP="00F22C59">
            <w:pPr>
              <w:jc w:val="right"/>
              <w:rPr>
                <w:sz w:val="22"/>
                <w:szCs w:val="22"/>
              </w:rPr>
            </w:pPr>
            <w:r w:rsidRPr="00D51778">
              <w:rPr>
                <w:rFonts w:cs="Calibri"/>
                <w:color w:val="000000"/>
                <w:sz w:val="22"/>
                <w:szCs w:val="22"/>
                <w:lang w:val="ga"/>
              </w:rPr>
              <w:t>1,125</w:t>
            </w:r>
          </w:p>
        </w:tc>
        <w:tc>
          <w:tcPr>
            <w:tcW w:w="1559" w:type="dxa"/>
          </w:tcPr>
          <w:p w14:paraId="2425ABC1" w14:textId="2F7238D3" w:rsidR="0069671B" w:rsidRPr="00D51778" w:rsidRDefault="0069671B" w:rsidP="00F22C59">
            <w:pPr>
              <w:jc w:val="right"/>
              <w:rPr>
                <w:sz w:val="22"/>
                <w:szCs w:val="22"/>
              </w:rPr>
            </w:pPr>
            <w:r w:rsidRPr="00D51778">
              <w:rPr>
                <w:rFonts w:cs="Calibri"/>
                <w:color w:val="000000"/>
                <w:sz w:val="22"/>
                <w:szCs w:val="22"/>
                <w:lang w:val="ga"/>
              </w:rPr>
              <w:t>45</w:t>
            </w:r>
          </w:p>
        </w:tc>
        <w:tc>
          <w:tcPr>
            <w:tcW w:w="1574" w:type="dxa"/>
          </w:tcPr>
          <w:p w14:paraId="543AC70E" w14:textId="11CFF506" w:rsidR="0069671B" w:rsidRPr="00D51778" w:rsidRDefault="0069671B" w:rsidP="00F22C59">
            <w:pPr>
              <w:jc w:val="right"/>
              <w:rPr>
                <w:sz w:val="22"/>
                <w:szCs w:val="22"/>
              </w:rPr>
            </w:pPr>
            <w:r w:rsidRPr="00D51778">
              <w:rPr>
                <w:rFonts w:cs="Calibri"/>
                <w:color w:val="000000"/>
                <w:sz w:val="22"/>
                <w:szCs w:val="22"/>
                <w:lang w:val="ga"/>
              </w:rPr>
              <w:t>4.0%</w:t>
            </w:r>
          </w:p>
        </w:tc>
      </w:tr>
      <w:tr w:rsidR="0069671B" w:rsidRPr="00D51778" w14:paraId="4BFFF82B" w14:textId="77777777" w:rsidTr="00C75B07">
        <w:trPr>
          <w:jc w:val="center"/>
        </w:trPr>
        <w:tc>
          <w:tcPr>
            <w:tcW w:w="2283" w:type="dxa"/>
          </w:tcPr>
          <w:p w14:paraId="24ED2C56" w14:textId="3F7E8D16" w:rsidR="0069671B" w:rsidRPr="00D51778" w:rsidRDefault="0069671B" w:rsidP="00F22C59">
            <w:pPr>
              <w:rPr>
                <w:sz w:val="22"/>
                <w:szCs w:val="22"/>
              </w:rPr>
            </w:pPr>
            <w:r w:rsidRPr="00D51778">
              <w:rPr>
                <w:rFonts w:cs="Calibri"/>
                <w:color w:val="000000"/>
                <w:sz w:val="22"/>
                <w:szCs w:val="22"/>
                <w:lang w:val="ga"/>
              </w:rPr>
              <w:t xml:space="preserve">Tionól Réigiúnach an Oirthir agus Lár Tíre </w:t>
            </w:r>
          </w:p>
        </w:tc>
        <w:tc>
          <w:tcPr>
            <w:tcW w:w="1403" w:type="dxa"/>
          </w:tcPr>
          <w:p w14:paraId="39CAA035" w14:textId="444F0FF1" w:rsidR="0069671B" w:rsidRPr="00D51778" w:rsidRDefault="0069671B" w:rsidP="00F22C59">
            <w:pPr>
              <w:jc w:val="right"/>
              <w:rPr>
                <w:sz w:val="22"/>
                <w:szCs w:val="22"/>
              </w:rPr>
            </w:pPr>
            <w:r w:rsidRPr="00D51778">
              <w:rPr>
                <w:rFonts w:cs="Calibri"/>
                <w:color w:val="000000"/>
                <w:sz w:val="22"/>
                <w:szCs w:val="22"/>
                <w:lang w:val="ga"/>
              </w:rPr>
              <w:t>19</w:t>
            </w:r>
          </w:p>
        </w:tc>
        <w:tc>
          <w:tcPr>
            <w:tcW w:w="1412" w:type="dxa"/>
          </w:tcPr>
          <w:p w14:paraId="2D70D73D" w14:textId="5E197F24" w:rsidR="0069671B" w:rsidRPr="00D51778" w:rsidRDefault="0069671B" w:rsidP="00F22C59">
            <w:pPr>
              <w:jc w:val="right"/>
              <w:rPr>
                <w:sz w:val="22"/>
                <w:szCs w:val="22"/>
              </w:rPr>
            </w:pPr>
            <w:r w:rsidRPr="00D51778">
              <w:rPr>
                <w:rFonts w:cs="Calibri"/>
                <w:color w:val="000000"/>
                <w:sz w:val="22"/>
                <w:szCs w:val="22"/>
                <w:lang w:val="ga"/>
              </w:rPr>
              <w:t>0</w:t>
            </w:r>
          </w:p>
        </w:tc>
        <w:tc>
          <w:tcPr>
            <w:tcW w:w="1564" w:type="dxa"/>
          </w:tcPr>
          <w:p w14:paraId="5CFE0BA9" w14:textId="6903B3B3" w:rsidR="0069671B" w:rsidRPr="00D51778" w:rsidRDefault="0069671B" w:rsidP="00F22C59">
            <w:pPr>
              <w:jc w:val="right"/>
              <w:rPr>
                <w:sz w:val="22"/>
                <w:szCs w:val="22"/>
              </w:rPr>
            </w:pPr>
            <w:r w:rsidRPr="00D51778">
              <w:rPr>
                <w:rFonts w:cs="Calibri"/>
                <w:color w:val="000000"/>
                <w:sz w:val="22"/>
                <w:szCs w:val="22"/>
                <w:lang w:val="ga"/>
              </w:rPr>
              <w:t>0.0%</w:t>
            </w:r>
          </w:p>
        </w:tc>
        <w:tc>
          <w:tcPr>
            <w:tcW w:w="1418" w:type="dxa"/>
          </w:tcPr>
          <w:p w14:paraId="19123DB2" w14:textId="2B013F58" w:rsidR="0069671B" w:rsidRPr="00D51778" w:rsidRDefault="0069671B" w:rsidP="00F22C59">
            <w:pPr>
              <w:jc w:val="right"/>
              <w:rPr>
                <w:sz w:val="22"/>
                <w:szCs w:val="22"/>
              </w:rPr>
            </w:pPr>
            <w:r w:rsidRPr="00D51778">
              <w:rPr>
                <w:rFonts w:cs="Calibri"/>
                <w:color w:val="000000"/>
                <w:sz w:val="22"/>
                <w:szCs w:val="22"/>
                <w:lang w:val="ga"/>
              </w:rPr>
              <w:t>20</w:t>
            </w:r>
          </w:p>
        </w:tc>
        <w:tc>
          <w:tcPr>
            <w:tcW w:w="1559" w:type="dxa"/>
          </w:tcPr>
          <w:p w14:paraId="6BD58D55" w14:textId="4BFABCA3" w:rsidR="0069671B" w:rsidRPr="00D51778" w:rsidRDefault="0069671B" w:rsidP="00F22C59">
            <w:pPr>
              <w:jc w:val="right"/>
              <w:rPr>
                <w:sz w:val="22"/>
                <w:szCs w:val="22"/>
              </w:rPr>
            </w:pPr>
            <w:r w:rsidRPr="00D51778">
              <w:rPr>
                <w:rFonts w:cs="Calibri"/>
                <w:color w:val="000000"/>
                <w:sz w:val="22"/>
                <w:szCs w:val="22"/>
                <w:lang w:val="ga"/>
              </w:rPr>
              <w:t>0</w:t>
            </w:r>
          </w:p>
        </w:tc>
        <w:tc>
          <w:tcPr>
            <w:tcW w:w="1574" w:type="dxa"/>
          </w:tcPr>
          <w:p w14:paraId="7A9BF481" w14:textId="71F7B27B" w:rsidR="0069671B" w:rsidRPr="00D51778" w:rsidRDefault="0069671B" w:rsidP="00F22C59">
            <w:pPr>
              <w:jc w:val="right"/>
              <w:rPr>
                <w:sz w:val="22"/>
                <w:szCs w:val="22"/>
              </w:rPr>
            </w:pPr>
            <w:r w:rsidRPr="00D51778">
              <w:rPr>
                <w:rFonts w:cs="Calibri"/>
                <w:color w:val="000000"/>
                <w:sz w:val="22"/>
                <w:szCs w:val="22"/>
                <w:lang w:val="ga"/>
              </w:rPr>
              <w:t>0.0%</w:t>
            </w:r>
          </w:p>
        </w:tc>
      </w:tr>
      <w:tr w:rsidR="0069671B" w:rsidRPr="00D51778" w14:paraId="4F456943" w14:textId="77777777" w:rsidTr="00C75B07">
        <w:trPr>
          <w:jc w:val="center"/>
        </w:trPr>
        <w:tc>
          <w:tcPr>
            <w:tcW w:w="2283" w:type="dxa"/>
          </w:tcPr>
          <w:p w14:paraId="40593F1A" w14:textId="74F75816" w:rsidR="0069671B" w:rsidRPr="00D51778" w:rsidRDefault="0069671B" w:rsidP="00F22C59">
            <w:pPr>
              <w:rPr>
                <w:sz w:val="22"/>
                <w:szCs w:val="22"/>
              </w:rPr>
            </w:pPr>
            <w:r w:rsidRPr="00D51778">
              <w:rPr>
                <w:rFonts w:cs="Calibri"/>
                <w:color w:val="000000"/>
                <w:sz w:val="22"/>
                <w:szCs w:val="22"/>
                <w:lang w:val="ga"/>
              </w:rPr>
              <w:t>Ervia/Líonraí Gáis Éireann</w:t>
            </w:r>
          </w:p>
        </w:tc>
        <w:tc>
          <w:tcPr>
            <w:tcW w:w="1403" w:type="dxa"/>
          </w:tcPr>
          <w:p w14:paraId="3AD69E50" w14:textId="6F965D65" w:rsidR="0069671B" w:rsidRPr="00D51778" w:rsidRDefault="0069671B" w:rsidP="00F22C59">
            <w:pPr>
              <w:jc w:val="right"/>
              <w:rPr>
                <w:sz w:val="22"/>
                <w:szCs w:val="22"/>
              </w:rPr>
            </w:pPr>
            <w:r w:rsidRPr="00D51778">
              <w:rPr>
                <w:rFonts w:cs="Calibri"/>
                <w:color w:val="000000"/>
                <w:sz w:val="22"/>
                <w:szCs w:val="22"/>
                <w:lang w:val="ga"/>
              </w:rPr>
              <w:t>1,124</w:t>
            </w:r>
          </w:p>
        </w:tc>
        <w:tc>
          <w:tcPr>
            <w:tcW w:w="1412" w:type="dxa"/>
          </w:tcPr>
          <w:p w14:paraId="5684430B" w14:textId="132F8117" w:rsidR="0069671B" w:rsidRPr="00D51778" w:rsidRDefault="0069671B" w:rsidP="00F22C59">
            <w:pPr>
              <w:jc w:val="right"/>
              <w:rPr>
                <w:sz w:val="22"/>
                <w:szCs w:val="22"/>
              </w:rPr>
            </w:pPr>
            <w:r w:rsidRPr="00D51778">
              <w:rPr>
                <w:rFonts w:cs="Calibri"/>
                <w:color w:val="000000"/>
                <w:sz w:val="22"/>
                <w:szCs w:val="22"/>
                <w:lang w:val="ga"/>
              </w:rPr>
              <w:t>40</w:t>
            </w:r>
          </w:p>
        </w:tc>
        <w:tc>
          <w:tcPr>
            <w:tcW w:w="1564" w:type="dxa"/>
          </w:tcPr>
          <w:p w14:paraId="2B0CF0FD" w14:textId="4E11D788" w:rsidR="0069671B" w:rsidRPr="00D51778" w:rsidRDefault="0069671B" w:rsidP="00F22C59">
            <w:pPr>
              <w:jc w:val="right"/>
              <w:rPr>
                <w:sz w:val="22"/>
                <w:szCs w:val="22"/>
              </w:rPr>
            </w:pPr>
            <w:r w:rsidRPr="00D51778">
              <w:rPr>
                <w:rFonts w:cs="Calibri"/>
                <w:color w:val="000000"/>
                <w:sz w:val="22"/>
                <w:szCs w:val="22"/>
                <w:lang w:val="ga"/>
              </w:rPr>
              <w:t>3.6%</w:t>
            </w:r>
          </w:p>
        </w:tc>
        <w:tc>
          <w:tcPr>
            <w:tcW w:w="1418" w:type="dxa"/>
          </w:tcPr>
          <w:p w14:paraId="2A85D448" w14:textId="69E7D2E1" w:rsidR="0069671B" w:rsidRPr="00D51778" w:rsidRDefault="0069671B" w:rsidP="00F22C59">
            <w:pPr>
              <w:jc w:val="right"/>
              <w:rPr>
                <w:sz w:val="22"/>
                <w:szCs w:val="22"/>
              </w:rPr>
            </w:pPr>
            <w:r w:rsidRPr="00D51778">
              <w:rPr>
                <w:rFonts w:cs="Calibri"/>
                <w:color w:val="000000"/>
                <w:sz w:val="22"/>
                <w:szCs w:val="22"/>
                <w:lang w:val="ga"/>
              </w:rPr>
              <w:t>708</w:t>
            </w:r>
          </w:p>
        </w:tc>
        <w:tc>
          <w:tcPr>
            <w:tcW w:w="1559" w:type="dxa"/>
          </w:tcPr>
          <w:p w14:paraId="6B2D94BD" w14:textId="6D2385B7" w:rsidR="0069671B" w:rsidRPr="00D51778" w:rsidRDefault="0069671B" w:rsidP="00F22C59">
            <w:pPr>
              <w:jc w:val="right"/>
              <w:rPr>
                <w:sz w:val="22"/>
                <w:szCs w:val="22"/>
              </w:rPr>
            </w:pPr>
            <w:r w:rsidRPr="00D51778">
              <w:rPr>
                <w:rFonts w:cs="Calibri"/>
                <w:color w:val="000000"/>
                <w:sz w:val="22"/>
                <w:szCs w:val="22"/>
                <w:lang w:val="ga"/>
              </w:rPr>
              <w:t>33</w:t>
            </w:r>
          </w:p>
        </w:tc>
        <w:tc>
          <w:tcPr>
            <w:tcW w:w="1574" w:type="dxa"/>
          </w:tcPr>
          <w:p w14:paraId="4EAFF48B" w14:textId="46870794" w:rsidR="0069671B" w:rsidRPr="00D51778" w:rsidRDefault="0069671B" w:rsidP="00F22C59">
            <w:pPr>
              <w:jc w:val="right"/>
              <w:rPr>
                <w:sz w:val="22"/>
                <w:szCs w:val="22"/>
              </w:rPr>
            </w:pPr>
            <w:r w:rsidRPr="00D51778">
              <w:rPr>
                <w:rFonts w:cs="Calibri"/>
                <w:color w:val="000000"/>
                <w:sz w:val="22"/>
                <w:szCs w:val="22"/>
                <w:lang w:val="ga"/>
              </w:rPr>
              <w:t>4.7%</w:t>
            </w:r>
          </w:p>
        </w:tc>
      </w:tr>
      <w:tr w:rsidR="0069671B" w:rsidRPr="00D51778" w14:paraId="58099D19" w14:textId="77777777" w:rsidTr="00C75B07">
        <w:trPr>
          <w:jc w:val="center"/>
        </w:trPr>
        <w:tc>
          <w:tcPr>
            <w:tcW w:w="2283" w:type="dxa"/>
          </w:tcPr>
          <w:p w14:paraId="5E4756DD" w14:textId="4FFB2EB0" w:rsidR="0069671B" w:rsidRPr="00D51778" w:rsidRDefault="0069671B" w:rsidP="00F22C59">
            <w:pPr>
              <w:rPr>
                <w:sz w:val="22"/>
                <w:szCs w:val="22"/>
              </w:rPr>
            </w:pPr>
            <w:r w:rsidRPr="00D51778">
              <w:rPr>
                <w:rFonts w:cs="Calibri"/>
                <w:color w:val="000000"/>
                <w:sz w:val="22"/>
                <w:szCs w:val="22"/>
                <w:lang w:val="ga"/>
              </w:rPr>
              <w:t>Comhairle Contae Fhine Gall</w:t>
            </w:r>
          </w:p>
        </w:tc>
        <w:tc>
          <w:tcPr>
            <w:tcW w:w="1403" w:type="dxa"/>
          </w:tcPr>
          <w:p w14:paraId="71DC4F86" w14:textId="748AA2B3" w:rsidR="0069671B" w:rsidRPr="00D51778" w:rsidRDefault="0069671B" w:rsidP="00F22C59">
            <w:pPr>
              <w:jc w:val="right"/>
              <w:rPr>
                <w:sz w:val="22"/>
                <w:szCs w:val="22"/>
              </w:rPr>
            </w:pPr>
            <w:r w:rsidRPr="00D51778">
              <w:rPr>
                <w:rFonts w:cs="Calibri"/>
                <w:color w:val="000000"/>
                <w:sz w:val="22"/>
                <w:szCs w:val="22"/>
                <w:lang w:val="ga"/>
              </w:rPr>
              <w:t>1,526</w:t>
            </w:r>
          </w:p>
        </w:tc>
        <w:tc>
          <w:tcPr>
            <w:tcW w:w="1412" w:type="dxa"/>
          </w:tcPr>
          <w:p w14:paraId="2BE3AF75" w14:textId="2078103F" w:rsidR="0069671B" w:rsidRPr="00D51778" w:rsidRDefault="0069671B" w:rsidP="00F22C59">
            <w:pPr>
              <w:jc w:val="right"/>
              <w:rPr>
                <w:sz w:val="22"/>
                <w:szCs w:val="22"/>
              </w:rPr>
            </w:pPr>
            <w:r w:rsidRPr="00D51778">
              <w:rPr>
                <w:rFonts w:cs="Calibri"/>
                <w:color w:val="000000"/>
                <w:sz w:val="22"/>
                <w:szCs w:val="22"/>
                <w:lang w:val="ga"/>
              </w:rPr>
              <w:t>47</w:t>
            </w:r>
          </w:p>
        </w:tc>
        <w:tc>
          <w:tcPr>
            <w:tcW w:w="1564" w:type="dxa"/>
          </w:tcPr>
          <w:p w14:paraId="58CEE502" w14:textId="1D865FC3" w:rsidR="0069671B" w:rsidRPr="00D51778" w:rsidRDefault="0069671B" w:rsidP="00F22C59">
            <w:pPr>
              <w:jc w:val="right"/>
              <w:rPr>
                <w:sz w:val="22"/>
                <w:szCs w:val="22"/>
              </w:rPr>
            </w:pPr>
            <w:r w:rsidRPr="00D51778">
              <w:rPr>
                <w:rFonts w:cs="Calibri"/>
                <w:color w:val="000000"/>
                <w:sz w:val="22"/>
                <w:szCs w:val="22"/>
                <w:lang w:val="ga"/>
              </w:rPr>
              <w:t>3.1%</w:t>
            </w:r>
          </w:p>
        </w:tc>
        <w:tc>
          <w:tcPr>
            <w:tcW w:w="1418" w:type="dxa"/>
          </w:tcPr>
          <w:p w14:paraId="14345ED6" w14:textId="47740BDA" w:rsidR="0069671B" w:rsidRPr="00D51778" w:rsidRDefault="0069671B" w:rsidP="00F22C59">
            <w:pPr>
              <w:jc w:val="right"/>
              <w:rPr>
                <w:sz w:val="22"/>
                <w:szCs w:val="22"/>
              </w:rPr>
            </w:pPr>
            <w:r w:rsidRPr="00D51778">
              <w:rPr>
                <w:rFonts w:cs="Calibri"/>
                <w:color w:val="000000"/>
                <w:sz w:val="22"/>
                <w:szCs w:val="22"/>
                <w:lang w:val="ga"/>
              </w:rPr>
              <w:t>1,487</w:t>
            </w:r>
          </w:p>
        </w:tc>
        <w:tc>
          <w:tcPr>
            <w:tcW w:w="1559" w:type="dxa"/>
          </w:tcPr>
          <w:p w14:paraId="3826FACE" w14:textId="06CDA8C8" w:rsidR="0069671B" w:rsidRPr="00D51778" w:rsidRDefault="0069671B" w:rsidP="00F22C59">
            <w:pPr>
              <w:jc w:val="right"/>
              <w:rPr>
                <w:sz w:val="22"/>
                <w:szCs w:val="22"/>
              </w:rPr>
            </w:pPr>
            <w:r w:rsidRPr="00D51778">
              <w:rPr>
                <w:rFonts w:cs="Calibri"/>
                <w:color w:val="000000"/>
                <w:sz w:val="22"/>
                <w:szCs w:val="22"/>
                <w:lang w:val="ga"/>
              </w:rPr>
              <w:t>45</w:t>
            </w:r>
          </w:p>
        </w:tc>
        <w:tc>
          <w:tcPr>
            <w:tcW w:w="1574" w:type="dxa"/>
          </w:tcPr>
          <w:p w14:paraId="4A707A1E" w14:textId="453A8C03" w:rsidR="0069671B" w:rsidRPr="00D51778" w:rsidRDefault="0069671B" w:rsidP="00F22C59">
            <w:pPr>
              <w:jc w:val="right"/>
              <w:rPr>
                <w:sz w:val="22"/>
                <w:szCs w:val="22"/>
              </w:rPr>
            </w:pPr>
            <w:r w:rsidRPr="00D51778">
              <w:rPr>
                <w:rFonts w:cs="Calibri"/>
                <w:color w:val="000000"/>
                <w:sz w:val="22"/>
                <w:szCs w:val="22"/>
                <w:lang w:val="ga"/>
              </w:rPr>
              <w:t>3.0%</w:t>
            </w:r>
          </w:p>
        </w:tc>
      </w:tr>
      <w:tr w:rsidR="0069671B" w:rsidRPr="00D51778" w14:paraId="4CC3D455" w14:textId="77777777" w:rsidTr="00C75B07">
        <w:trPr>
          <w:jc w:val="center"/>
        </w:trPr>
        <w:tc>
          <w:tcPr>
            <w:tcW w:w="2283" w:type="dxa"/>
          </w:tcPr>
          <w:p w14:paraId="73400DA1" w14:textId="723B08F3" w:rsidR="0069671B" w:rsidRPr="00D51778" w:rsidRDefault="0069671B" w:rsidP="00F22C59">
            <w:pPr>
              <w:rPr>
                <w:sz w:val="22"/>
                <w:szCs w:val="22"/>
              </w:rPr>
            </w:pPr>
            <w:r w:rsidRPr="00D51778">
              <w:rPr>
                <w:rFonts w:cs="Calibri"/>
                <w:color w:val="000000"/>
                <w:sz w:val="22"/>
                <w:szCs w:val="22"/>
                <w:lang w:val="ga"/>
              </w:rPr>
              <w:t>Comhairle Cathrach na Gaillimhe</w:t>
            </w:r>
          </w:p>
        </w:tc>
        <w:tc>
          <w:tcPr>
            <w:tcW w:w="1403" w:type="dxa"/>
          </w:tcPr>
          <w:p w14:paraId="7B57DC62" w14:textId="714B2F33" w:rsidR="0069671B" w:rsidRPr="00D51778" w:rsidRDefault="0069671B" w:rsidP="00F22C59">
            <w:pPr>
              <w:jc w:val="right"/>
              <w:rPr>
                <w:sz w:val="22"/>
                <w:szCs w:val="22"/>
              </w:rPr>
            </w:pPr>
            <w:r w:rsidRPr="00D51778">
              <w:rPr>
                <w:rFonts w:cs="Calibri"/>
                <w:color w:val="000000"/>
                <w:sz w:val="22"/>
                <w:szCs w:val="22"/>
                <w:lang w:val="ga"/>
              </w:rPr>
              <w:t>536</w:t>
            </w:r>
          </w:p>
        </w:tc>
        <w:tc>
          <w:tcPr>
            <w:tcW w:w="1412" w:type="dxa"/>
          </w:tcPr>
          <w:p w14:paraId="74AEA864" w14:textId="3913FFE7" w:rsidR="0069671B" w:rsidRPr="00D51778" w:rsidRDefault="0069671B" w:rsidP="00F22C59">
            <w:pPr>
              <w:jc w:val="right"/>
              <w:rPr>
                <w:sz w:val="22"/>
                <w:szCs w:val="22"/>
              </w:rPr>
            </w:pPr>
            <w:r w:rsidRPr="00D51778">
              <w:rPr>
                <w:rFonts w:cs="Calibri"/>
                <w:color w:val="000000"/>
                <w:sz w:val="22"/>
                <w:szCs w:val="22"/>
                <w:lang w:val="ga"/>
              </w:rPr>
              <w:t>18</w:t>
            </w:r>
          </w:p>
        </w:tc>
        <w:tc>
          <w:tcPr>
            <w:tcW w:w="1564" w:type="dxa"/>
          </w:tcPr>
          <w:p w14:paraId="6B7EE9DB" w14:textId="47149022" w:rsidR="0069671B" w:rsidRPr="00D51778" w:rsidRDefault="0069671B" w:rsidP="00F22C59">
            <w:pPr>
              <w:jc w:val="right"/>
              <w:rPr>
                <w:sz w:val="22"/>
                <w:szCs w:val="22"/>
              </w:rPr>
            </w:pPr>
            <w:r w:rsidRPr="00D51778">
              <w:rPr>
                <w:rFonts w:cs="Calibri"/>
                <w:color w:val="000000"/>
                <w:sz w:val="22"/>
                <w:szCs w:val="22"/>
                <w:lang w:val="ga"/>
              </w:rPr>
              <w:t>3.4%</w:t>
            </w:r>
          </w:p>
        </w:tc>
        <w:tc>
          <w:tcPr>
            <w:tcW w:w="1418" w:type="dxa"/>
          </w:tcPr>
          <w:p w14:paraId="7EDE5531" w14:textId="6508303B" w:rsidR="0069671B" w:rsidRPr="00D51778" w:rsidRDefault="0069671B" w:rsidP="00F22C59">
            <w:pPr>
              <w:jc w:val="right"/>
              <w:rPr>
                <w:sz w:val="22"/>
                <w:szCs w:val="22"/>
              </w:rPr>
            </w:pPr>
            <w:r w:rsidRPr="00D51778">
              <w:rPr>
                <w:rFonts w:cs="Calibri"/>
                <w:color w:val="000000"/>
                <w:sz w:val="22"/>
                <w:szCs w:val="22"/>
                <w:lang w:val="ga"/>
              </w:rPr>
              <w:t>554</w:t>
            </w:r>
          </w:p>
        </w:tc>
        <w:tc>
          <w:tcPr>
            <w:tcW w:w="1559" w:type="dxa"/>
          </w:tcPr>
          <w:p w14:paraId="32772287" w14:textId="1AD0B855" w:rsidR="0069671B" w:rsidRPr="00D51778" w:rsidRDefault="0069671B" w:rsidP="00F22C59">
            <w:pPr>
              <w:jc w:val="right"/>
              <w:rPr>
                <w:sz w:val="22"/>
                <w:szCs w:val="22"/>
              </w:rPr>
            </w:pPr>
            <w:r w:rsidRPr="00D51778">
              <w:rPr>
                <w:rFonts w:cs="Calibri"/>
                <w:color w:val="000000"/>
                <w:sz w:val="22"/>
                <w:szCs w:val="22"/>
                <w:lang w:val="ga"/>
              </w:rPr>
              <w:t>28</w:t>
            </w:r>
          </w:p>
        </w:tc>
        <w:tc>
          <w:tcPr>
            <w:tcW w:w="1574" w:type="dxa"/>
          </w:tcPr>
          <w:p w14:paraId="1F7453E9" w14:textId="721A215C" w:rsidR="0069671B" w:rsidRPr="00D51778" w:rsidRDefault="0069671B" w:rsidP="00F22C59">
            <w:pPr>
              <w:jc w:val="right"/>
              <w:rPr>
                <w:sz w:val="22"/>
                <w:szCs w:val="22"/>
              </w:rPr>
            </w:pPr>
            <w:r w:rsidRPr="00D51778">
              <w:rPr>
                <w:rFonts w:cs="Calibri"/>
                <w:color w:val="000000"/>
                <w:sz w:val="22"/>
                <w:szCs w:val="22"/>
                <w:lang w:val="ga"/>
              </w:rPr>
              <w:t>5.1%</w:t>
            </w:r>
          </w:p>
        </w:tc>
      </w:tr>
      <w:tr w:rsidR="0069671B" w:rsidRPr="00D51778" w14:paraId="09695495" w14:textId="77777777" w:rsidTr="00C75B07">
        <w:trPr>
          <w:jc w:val="center"/>
        </w:trPr>
        <w:tc>
          <w:tcPr>
            <w:tcW w:w="2283" w:type="dxa"/>
          </w:tcPr>
          <w:p w14:paraId="167394FF" w14:textId="5DD34B83" w:rsidR="0069671B" w:rsidRPr="00D51778" w:rsidRDefault="0069671B" w:rsidP="00F22C59">
            <w:pPr>
              <w:rPr>
                <w:b/>
                <w:sz w:val="22"/>
                <w:szCs w:val="22"/>
              </w:rPr>
            </w:pPr>
            <w:r w:rsidRPr="00D51778">
              <w:rPr>
                <w:rFonts w:cs="Calibri"/>
                <w:color w:val="000000"/>
                <w:sz w:val="22"/>
                <w:szCs w:val="22"/>
                <w:lang w:val="ga"/>
              </w:rPr>
              <w:t>Comhairle Contae na Gaillimhe</w:t>
            </w:r>
          </w:p>
        </w:tc>
        <w:tc>
          <w:tcPr>
            <w:tcW w:w="1403" w:type="dxa"/>
          </w:tcPr>
          <w:p w14:paraId="6B27C33D" w14:textId="6C5EB3AE" w:rsidR="0069671B" w:rsidRPr="00D51778" w:rsidRDefault="0069671B" w:rsidP="00F22C59">
            <w:pPr>
              <w:pStyle w:val="TableHead"/>
              <w:jc w:val="right"/>
              <w:rPr>
                <w:b w:val="0"/>
                <w:sz w:val="22"/>
                <w:szCs w:val="22"/>
              </w:rPr>
            </w:pPr>
            <w:r w:rsidRPr="00D51778">
              <w:rPr>
                <w:rFonts w:cs="Calibri"/>
                <w:b w:val="0"/>
                <w:color w:val="000000"/>
                <w:sz w:val="22"/>
                <w:szCs w:val="22"/>
                <w:lang w:val="ga"/>
              </w:rPr>
              <w:t>825</w:t>
            </w:r>
          </w:p>
        </w:tc>
        <w:tc>
          <w:tcPr>
            <w:tcW w:w="1412" w:type="dxa"/>
          </w:tcPr>
          <w:p w14:paraId="6F79FBBC" w14:textId="4F4D118A" w:rsidR="0069671B" w:rsidRPr="00D51778" w:rsidRDefault="0069671B" w:rsidP="00F22C59">
            <w:pPr>
              <w:pStyle w:val="TableHead"/>
              <w:jc w:val="right"/>
              <w:rPr>
                <w:b w:val="0"/>
                <w:sz w:val="22"/>
                <w:szCs w:val="22"/>
              </w:rPr>
            </w:pPr>
            <w:r w:rsidRPr="00D51778">
              <w:rPr>
                <w:rFonts w:cs="Calibri"/>
                <w:b w:val="0"/>
                <w:color w:val="000000"/>
                <w:sz w:val="22"/>
                <w:szCs w:val="22"/>
                <w:lang w:val="ga"/>
              </w:rPr>
              <w:t>25</w:t>
            </w:r>
          </w:p>
        </w:tc>
        <w:tc>
          <w:tcPr>
            <w:tcW w:w="1564" w:type="dxa"/>
          </w:tcPr>
          <w:p w14:paraId="35BB4FD0" w14:textId="7AEA4F73" w:rsidR="0069671B" w:rsidRPr="00D51778" w:rsidRDefault="0069671B" w:rsidP="00F22C59">
            <w:pPr>
              <w:pStyle w:val="TableHead"/>
              <w:jc w:val="right"/>
              <w:rPr>
                <w:b w:val="0"/>
                <w:sz w:val="22"/>
                <w:szCs w:val="22"/>
              </w:rPr>
            </w:pPr>
            <w:r w:rsidRPr="00D51778">
              <w:rPr>
                <w:rFonts w:cs="Calibri"/>
                <w:b w:val="0"/>
                <w:color w:val="000000"/>
                <w:sz w:val="22"/>
                <w:szCs w:val="22"/>
                <w:lang w:val="ga"/>
              </w:rPr>
              <w:t>3.0%</w:t>
            </w:r>
          </w:p>
        </w:tc>
        <w:tc>
          <w:tcPr>
            <w:tcW w:w="1418" w:type="dxa"/>
          </w:tcPr>
          <w:p w14:paraId="6DF1A36B" w14:textId="062F2D91" w:rsidR="0069671B" w:rsidRPr="00D51778" w:rsidRDefault="0069671B" w:rsidP="00F22C59">
            <w:pPr>
              <w:jc w:val="right"/>
              <w:rPr>
                <w:sz w:val="22"/>
                <w:szCs w:val="22"/>
              </w:rPr>
            </w:pPr>
            <w:r w:rsidRPr="00D51778">
              <w:rPr>
                <w:rFonts w:cs="Calibri"/>
                <w:color w:val="000000"/>
                <w:sz w:val="22"/>
                <w:szCs w:val="22"/>
                <w:lang w:val="ga"/>
              </w:rPr>
              <w:t>845</w:t>
            </w:r>
          </w:p>
        </w:tc>
        <w:tc>
          <w:tcPr>
            <w:tcW w:w="1559" w:type="dxa"/>
          </w:tcPr>
          <w:p w14:paraId="6A173D4C" w14:textId="543C46C8" w:rsidR="0069671B" w:rsidRPr="00D51778" w:rsidRDefault="0069671B" w:rsidP="00F22C59">
            <w:pPr>
              <w:jc w:val="right"/>
              <w:rPr>
                <w:sz w:val="22"/>
                <w:szCs w:val="22"/>
              </w:rPr>
            </w:pPr>
            <w:r w:rsidRPr="00D51778">
              <w:rPr>
                <w:rFonts w:cs="Calibri"/>
                <w:color w:val="000000"/>
                <w:sz w:val="22"/>
                <w:szCs w:val="22"/>
                <w:lang w:val="ga"/>
              </w:rPr>
              <w:t>29</w:t>
            </w:r>
          </w:p>
        </w:tc>
        <w:tc>
          <w:tcPr>
            <w:tcW w:w="1574" w:type="dxa"/>
          </w:tcPr>
          <w:p w14:paraId="18978F83" w14:textId="6F7EB131" w:rsidR="0069671B" w:rsidRPr="00D51778" w:rsidRDefault="0069671B" w:rsidP="00F22C59">
            <w:pPr>
              <w:jc w:val="right"/>
              <w:rPr>
                <w:sz w:val="22"/>
                <w:szCs w:val="22"/>
              </w:rPr>
            </w:pPr>
            <w:r w:rsidRPr="00D51778">
              <w:rPr>
                <w:rFonts w:cs="Calibri"/>
                <w:color w:val="000000"/>
                <w:sz w:val="22"/>
                <w:szCs w:val="22"/>
                <w:lang w:val="ga"/>
              </w:rPr>
              <w:t>3.4%</w:t>
            </w:r>
          </w:p>
        </w:tc>
      </w:tr>
      <w:tr w:rsidR="0069671B" w:rsidRPr="00D51778" w14:paraId="42B92880" w14:textId="77777777" w:rsidTr="00C75B07">
        <w:trPr>
          <w:jc w:val="center"/>
        </w:trPr>
        <w:tc>
          <w:tcPr>
            <w:tcW w:w="2283" w:type="dxa"/>
          </w:tcPr>
          <w:p w14:paraId="7D606E79" w14:textId="0E04B689" w:rsidR="0069671B" w:rsidRPr="00D51778" w:rsidRDefault="0069671B" w:rsidP="00F22C59">
            <w:pPr>
              <w:rPr>
                <w:sz w:val="22"/>
                <w:szCs w:val="22"/>
              </w:rPr>
            </w:pPr>
            <w:r w:rsidRPr="00D51778">
              <w:rPr>
                <w:rFonts w:cs="Calibri"/>
                <w:color w:val="000000"/>
                <w:sz w:val="22"/>
                <w:szCs w:val="22"/>
                <w:lang w:val="ga"/>
              </w:rPr>
              <w:t>An Chomhairle Oidhreachta</w:t>
            </w:r>
          </w:p>
        </w:tc>
        <w:tc>
          <w:tcPr>
            <w:tcW w:w="1403" w:type="dxa"/>
          </w:tcPr>
          <w:p w14:paraId="777B044D" w14:textId="082019AB" w:rsidR="0069671B" w:rsidRPr="00D51778" w:rsidRDefault="0069671B" w:rsidP="00F22C59">
            <w:pPr>
              <w:jc w:val="right"/>
              <w:rPr>
                <w:sz w:val="22"/>
                <w:szCs w:val="22"/>
              </w:rPr>
            </w:pPr>
            <w:r w:rsidRPr="00D51778">
              <w:rPr>
                <w:rFonts w:cs="Calibri"/>
                <w:color w:val="000000"/>
                <w:sz w:val="22"/>
                <w:szCs w:val="22"/>
                <w:lang w:val="ga"/>
              </w:rPr>
              <w:t>15</w:t>
            </w:r>
          </w:p>
        </w:tc>
        <w:tc>
          <w:tcPr>
            <w:tcW w:w="1412" w:type="dxa"/>
          </w:tcPr>
          <w:p w14:paraId="4560F0FD" w14:textId="5AA6C60E" w:rsidR="0069671B" w:rsidRPr="00D51778" w:rsidRDefault="0069671B" w:rsidP="00F22C59">
            <w:pPr>
              <w:jc w:val="right"/>
              <w:rPr>
                <w:sz w:val="22"/>
                <w:szCs w:val="22"/>
              </w:rPr>
            </w:pPr>
            <w:r w:rsidRPr="00D51778">
              <w:rPr>
                <w:rFonts w:cs="Calibri"/>
                <w:color w:val="000000"/>
                <w:sz w:val="22"/>
                <w:szCs w:val="22"/>
                <w:lang w:val="ga"/>
              </w:rPr>
              <w:t>0</w:t>
            </w:r>
          </w:p>
        </w:tc>
        <w:tc>
          <w:tcPr>
            <w:tcW w:w="1564" w:type="dxa"/>
          </w:tcPr>
          <w:p w14:paraId="3309ECDB" w14:textId="09F6EC96" w:rsidR="0069671B" w:rsidRPr="00D51778" w:rsidRDefault="0069671B" w:rsidP="00F22C59">
            <w:pPr>
              <w:jc w:val="right"/>
              <w:rPr>
                <w:sz w:val="22"/>
                <w:szCs w:val="22"/>
              </w:rPr>
            </w:pPr>
            <w:r w:rsidRPr="00D51778">
              <w:rPr>
                <w:rFonts w:cs="Calibri"/>
                <w:color w:val="000000"/>
                <w:sz w:val="22"/>
                <w:szCs w:val="22"/>
                <w:lang w:val="ga"/>
              </w:rPr>
              <w:t>0.0%</w:t>
            </w:r>
          </w:p>
        </w:tc>
        <w:tc>
          <w:tcPr>
            <w:tcW w:w="1418" w:type="dxa"/>
          </w:tcPr>
          <w:p w14:paraId="1ED06A52" w14:textId="5AF3B6E4" w:rsidR="0069671B" w:rsidRPr="00D51778" w:rsidRDefault="0069671B" w:rsidP="00F22C59">
            <w:pPr>
              <w:jc w:val="right"/>
              <w:rPr>
                <w:sz w:val="22"/>
                <w:szCs w:val="22"/>
              </w:rPr>
            </w:pPr>
            <w:r w:rsidRPr="00D51778">
              <w:rPr>
                <w:rFonts w:cs="Calibri"/>
                <w:color w:val="000000"/>
                <w:sz w:val="22"/>
                <w:szCs w:val="22"/>
                <w:lang w:val="ga"/>
              </w:rPr>
              <w:t>19</w:t>
            </w:r>
          </w:p>
        </w:tc>
        <w:tc>
          <w:tcPr>
            <w:tcW w:w="1559" w:type="dxa"/>
          </w:tcPr>
          <w:p w14:paraId="3C8BA0AF" w14:textId="27743F73" w:rsidR="0069671B" w:rsidRPr="00D51778" w:rsidRDefault="0069671B" w:rsidP="00F22C59">
            <w:pPr>
              <w:jc w:val="right"/>
              <w:rPr>
                <w:sz w:val="22"/>
                <w:szCs w:val="22"/>
              </w:rPr>
            </w:pPr>
            <w:r w:rsidRPr="00D51778">
              <w:rPr>
                <w:rFonts w:cs="Calibri"/>
                <w:color w:val="000000"/>
                <w:sz w:val="22"/>
                <w:szCs w:val="22"/>
                <w:lang w:val="ga"/>
              </w:rPr>
              <w:t>0</w:t>
            </w:r>
          </w:p>
        </w:tc>
        <w:tc>
          <w:tcPr>
            <w:tcW w:w="1574" w:type="dxa"/>
          </w:tcPr>
          <w:p w14:paraId="53A02BB2" w14:textId="6A609EDB" w:rsidR="0069671B" w:rsidRPr="00D51778" w:rsidRDefault="0069671B" w:rsidP="00F22C59">
            <w:pPr>
              <w:jc w:val="right"/>
              <w:rPr>
                <w:sz w:val="22"/>
                <w:szCs w:val="22"/>
              </w:rPr>
            </w:pPr>
            <w:r w:rsidRPr="00D51778">
              <w:rPr>
                <w:rFonts w:cs="Calibri"/>
                <w:color w:val="000000"/>
                <w:sz w:val="22"/>
                <w:szCs w:val="22"/>
                <w:lang w:val="ga"/>
              </w:rPr>
              <w:t>0.0%</w:t>
            </w:r>
          </w:p>
        </w:tc>
      </w:tr>
      <w:tr w:rsidR="0069671B" w:rsidRPr="00D51778" w14:paraId="40D7DB44" w14:textId="77777777" w:rsidTr="00C75B07">
        <w:trPr>
          <w:jc w:val="center"/>
        </w:trPr>
        <w:tc>
          <w:tcPr>
            <w:tcW w:w="2283" w:type="dxa"/>
          </w:tcPr>
          <w:p w14:paraId="0B6828DE" w14:textId="65DB665B" w:rsidR="0069671B" w:rsidRPr="00D51778" w:rsidRDefault="0069671B" w:rsidP="00F22C59">
            <w:pPr>
              <w:rPr>
                <w:sz w:val="22"/>
                <w:szCs w:val="22"/>
              </w:rPr>
            </w:pPr>
            <w:r w:rsidRPr="00D51778">
              <w:rPr>
                <w:rFonts w:cs="Calibri"/>
                <w:color w:val="000000"/>
                <w:sz w:val="22"/>
                <w:szCs w:val="22"/>
                <w:lang w:val="ga"/>
              </w:rPr>
              <w:t>An Ghníomhaireacht um Thithíocht agus Pobail Inbhuanaithe</w:t>
            </w:r>
          </w:p>
        </w:tc>
        <w:tc>
          <w:tcPr>
            <w:tcW w:w="1403" w:type="dxa"/>
          </w:tcPr>
          <w:p w14:paraId="35F48286" w14:textId="5285678C" w:rsidR="0069671B" w:rsidRPr="00D51778" w:rsidRDefault="0069671B" w:rsidP="00F22C59">
            <w:pPr>
              <w:jc w:val="right"/>
              <w:rPr>
                <w:sz w:val="22"/>
                <w:szCs w:val="22"/>
              </w:rPr>
            </w:pPr>
            <w:r w:rsidRPr="00D51778">
              <w:rPr>
                <w:rFonts w:cs="Calibri"/>
                <w:color w:val="000000"/>
                <w:sz w:val="22"/>
                <w:szCs w:val="22"/>
                <w:lang w:val="ga"/>
              </w:rPr>
              <w:t>115</w:t>
            </w:r>
          </w:p>
        </w:tc>
        <w:tc>
          <w:tcPr>
            <w:tcW w:w="1412" w:type="dxa"/>
          </w:tcPr>
          <w:p w14:paraId="0040192A" w14:textId="4B08E8A4" w:rsidR="0069671B" w:rsidRPr="00D51778" w:rsidRDefault="0069671B" w:rsidP="00F22C59">
            <w:pPr>
              <w:jc w:val="right"/>
              <w:rPr>
                <w:sz w:val="22"/>
                <w:szCs w:val="22"/>
              </w:rPr>
            </w:pPr>
            <w:r w:rsidRPr="00D51778">
              <w:rPr>
                <w:rFonts w:cs="Calibri"/>
                <w:color w:val="000000"/>
                <w:sz w:val="22"/>
                <w:szCs w:val="22"/>
                <w:lang w:val="ga"/>
              </w:rPr>
              <w:t>8</w:t>
            </w:r>
          </w:p>
        </w:tc>
        <w:tc>
          <w:tcPr>
            <w:tcW w:w="1564" w:type="dxa"/>
          </w:tcPr>
          <w:p w14:paraId="36120280" w14:textId="60DEE911" w:rsidR="0069671B" w:rsidRPr="00D51778" w:rsidRDefault="0069671B" w:rsidP="00F22C59">
            <w:pPr>
              <w:jc w:val="right"/>
              <w:rPr>
                <w:sz w:val="22"/>
                <w:szCs w:val="22"/>
              </w:rPr>
            </w:pPr>
            <w:r w:rsidRPr="00D51778">
              <w:rPr>
                <w:rFonts w:cs="Calibri"/>
                <w:color w:val="000000"/>
                <w:sz w:val="22"/>
                <w:szCs w:val="22"/>
                <w:lang w:val="ga"/>
              </w:rPr>
              <w:t>7.0%</w:t>
            </w:r>
          </w:p>
        </w:tc>
        <w:tc>
          <w:tcPr>
            <w:tcW w:w="1418" w:type="dxa"/>
          </w:tcPr>
          <w:p w14:paraId="6BF6C2B6" w14:textId="52BC30E7" w:rsidR="0069671B" w:rsidRPr="00D51778" w:rsidRDefault="0069671B" w:rsidP="00F22C59">
            <w:pPr>
              <w:jc w:val="right"/>
              <w:rPr>
                <w:sz w:val="22"/>
                <w:szCs w:val="22"/>
              </w:rPr>
            </w:pPr>
            <w:r w:rsidRPr="00D51778">
              <w:rPr>
                <w:rFonts w:cs="Calibri"/>
                <w:color w:val="000000"/>
                <w:sz w:val="22"/>
                <w:szCs w:val="22"/>
                <w:lang w:val="ga"/>
              </w:rPr>
              <w:t>113</w:t>
            </w:r>
          </w:p>
        </w:tc>
        <w:tc>
          <w:tcPr>
            <w:tcW w:w="1559" w:type="dxa"/>
          </w:tcPr>
          <w:p w14:paraId="7498C304" w14:textId="31B2DB9F" w:rsidR="0069671B" w:rsidRPr="00D51778" w:rsidRDefault="0069671B" w:rsidP="00F22C59">
            <w:pPr>
              <w:jc w:val="right"/>
              <w:rPr>
                <w:sz w:val="22"/>
                <w:szCs w:val="22"/>
              </w:rPr>
            </w:pPr>
            <w:r w:rsidRPr="00D51778">
              <w:rPr>
                <w:rFonts w:cs="Calibri"/>
                <w:color w:val="000000"/>
                <w:sz w:val="22"/>
                <w:szCs w:val="22"/>
                <w:lang w:val="ga"/>
              </w:rPr>
              <w:t>7</w:t>
            </w:r>
          </w:p>
        </w:tc>
        <w:tc>
          <w:tcPr>
            <w:tcW w:w="1574" w:type="dxa"/>
          </w:tcPr>
          <w:p w14:paraId="237E56E2" w14:textId="17BB33B8" w:rsidR="0069671B" w:rsidRPr="00D51778" w:rsidRDefault="0069671B" w:rsidP="00F22C59">
            <w:pPr>
              <w:jc w:val="right"/>
              <w:rPr>
                <w:sz w:val="22"/>
                <w:szCs w:val="22"/>
              </w:rPr>
            </w:pPr>
            <w:r w:rsidRPr="00D51778">
              <w:rPr>
                <w:rFonts w:cs="Calibri"/>
                <w:color w:val="000000"/>
                <w:sz w:val="22"/>
                <w:szCs w:val="22"/>
                <w:lang w:val="ga"/>
              </w:rPr>
              <w:t>6.2%</w:t>
            </w:r>
          </w:p>
        </w:tc>
      </w:tr>
      <w:tr w:rsidR="0069671B" w:rsidRPr="00D51778" w14:paraId="6E97307E" w14:textId="77777777" w:rsidTr="00C75B07">
        <w:trPr>
          <w:jc w:val="center"/>
        </w:trPr>
        <w:tc>
          <w:tcPr>
            <w:tcW w:w="2283" w:type="dxa"/>
          </w:tcPr>
          <w:p w14:paraId="547DAFC3" w14:textId="2CF2A0EE" w:rsidR="0069671B" w:rsidRPr="00D51778" w:rsidRDefault="0069671B" w:rsidP="00F22C59">
            <w:pPr>
              <w:rPr>
                <w:sz w:val="22"/>
                <w:szCs w:val="22"/>
              </w:rPr>
            </w:pPr>
            <w:r w:rsidRPr="00D51778">
              <w:rPr>
                <w:rFonts w:cs="Calibri"/>
                <w:color w:val="000000"/>
                <w:sz w:val="22"/>
                <w:szCs w:val="22"/>
                <w:lang w:val="ga"/>
              </w:rPr>
              <w:t>An Ghníomhaireacht Airgeadais do Thithe</w:t>
            </w:r>
          </w:p>
        </w:tc>
        <w:tc>
          <w:tcPr>
            <w:tcW w:w="1403" w:type="dxa"/>
          </w:tcPr>
          <w:p w14:paraId="74CCBDA7" w14:textId="62E24910" w:rsidR="0069671B" w:rsidRPr="00D51778" w:rsidRDefault="0069671B" w:rsidP="00F22C59">
            <w:pPr>
              <w:jc w:val="right"/>
              <w:rPr>
                <w:sz w:val="22"/>
                <w:szCs w:val="22"/>
              </w:rPr>
            </w:pPr>
            <w:r w:rsidRPr="00D51778">
              <w:rPr>
                <w:rFonts w:cs="Calibri"/>
                <w:color w:val="000000"/>
                <w:sz w:val="22"/>
                <w:szCs w:val="22"/>
                <w:lang w:val="ga"/>
              </w:rPr>
              <w:t>15</w:t>
            </w:r>
          </w:p>
        </w:tc>
        <w:tc>
          <w:tcPr>
            <w:tcW w:w="1412" w:type="dxa"/>
          </w:tcPr>
          <w:p w14:paraId="6D94AC7F" w14:textId="2FD1C873" w:rsidR="0069671B" w:rsidRPr="00D51778" w:rsidRDefault="0069671B" w:rsidP="00F22C59">
            <w:pPr>
              <w:jc w:val="right"/>
              <w:rPr>
                <w:sz w:val="22"/>
                <w:szCs w:val="22"/>
              </w:rPr>
            </w:pPr>
            <w:r w:rsidRPr="00D51778">
              <w:rPr>
                <w:rFonts w:cs="Calibri"/>
                <w:color w:val="000000"/>
                <w:sz w:val="22"/>
                <w:szCs w:val="22"/>
                <w:lang w:val="ga"/>
              </w:rPr>
              <w:t>0</w:t>
            </w:r>
          </w:p>
        </w:tc>
        <w:tc>
          <w:tcPr>
            <w:tcW w:w="1564" w:type="dxa"/>
          </w:tcPr>
          <w:p w14:paraId="7BAA75A6" w14:textId="62A02251" w:rsidR="0069671B" w:rsidRPr="00D51778" w:rsidRDefault="0069671B" w:rsidP="00F22C59">
            <w:pPr>
              <w:jc w:val="right"/>
              <w:rPr>
                <w:sz w:val="22"/>
                <w:szCs w:val="22"/>
              </w:rPr>
            </w:pPr>
            <w:r w:rsidRPr="00D51778">
              <w:rPr>
                <w:rFonts w:cs="Calibri"/>
                <w:color w:val="000000"/>
                <w:sz w:val="22"/>
                <w:szCs w:val="22"/>
                <w:lang w:val="ga"/>
              </w:rPr>
              <w:t>0.0%</w:t>
            </w:r>
          </w:p>
        </w:tc>
        <w:tc>
          <w:tcPr>
            <w:tcW w:w="1418" w:type="dxa"/>
          </w:tcPr>
          <w:p w14:paraId="557068B3" w14:textId="18ACF339" w:rsidR="0069671B" w:rsidRPr="00D51778" w:rsidRDefault="0069671B" w:rsidP="00F22C59">
            <w:pPr>
              <w:jc w:val="right"/>
              <w:rPr>
                <w:sz w:val="22"/>
                <w:szCs w:val="22"/>
              </w:rPr>
            </w:pPr>
            <w:r w:rsidRPr="00D51778">
              <w:rPr>
                <w:rFonts w:cs="Calibri"/>
                <w:color w:val="000000"/>
                <w:sz w:val="22"/>
                <w:szCs w:val="22"/>
                <w:lang w:val="ga"/>
              </w:rPr>
              <w:t>15</w:t>
            </w:r>
          </w:p>
        </w:tc>
        <w:tc>
          <w:tcPr>
            <w:tcW w:w="1559" w:type="dxa"/>
          </w:tcPr>
          <w:p w14:paraId="546D7D8F" w14:textId="35A0291F" w:rsidR="0069671B" w:rsidRPr="00D51778" w:rsidRDefault="0069671B" w:rsidP="00F22C59">
            <w:pPr>
              <w:jc w:val="right"/>
              <w:rPr>
                <w:sz w:val="22"/>
                <w:szCs w:val="22"/>
              </w:rPr>
            </w:pPr>
            <w:r w:rsidRPr="00D51778">
              <w:rPr>
                <w:rFonts w:cs="Calibri"/>
                <w:color w:val="000000"/>
                <w:sz w:val="22"/>
                <w:szCs w:val="22"/>
                <w:lang w:val="ga"/>
              </w:rPr>
              <w:t>0</w:t>
            </w:r>
          </w:p>
        </w:tc>
        <w:tc>
          <w:tcPr>
            <w:tcW w:w="1574" w:type="dxa"/>
          </w:tcPr>
          <w:p w14:paraId="0776AB52" w14:textId="03BBCC80" w:rsidR="0069671B" w:rsidRPr="00D51778" w:rsidRDefault="0069671B" w:rsidP="00F22C59">
            <w:pPr>
              <w:jc w:val="right"/>
              <w:rPr>
                <w:sz w:val="22"/>
                <w:szCs w:val="22"/>
              </w:rPr>
            </w:pPr>
            <w:r w:rsidRPr="00D51778">
              <w:rPr>
                <w:rFonts w:cs="Calibri"/>
                <w:color w:val="000000"/>
                <w:sz w:val="22"/>
                <w:szCs w:val="22"/>
                <w:lang w:val="ga"/>
              </w:rPr>
              <w:t>0.0%</w:t>
            </w:r>
          </w:p>
        </w:tc>
      </w:tr>
      <w:tr w:rsidR="0069671B" w:rsidRPr="00D51778" w14:paraId="605E1353" w14:textId="77777777" w:rsidTr="00C75B07">
        <w:trPr>
          <w:jc w:val="center"/>
        </w:trPr>
        <w:tc>
          <w:tcPr>
            <w:tcW w:w="2283" w:type="dxa"/>
          </w:tcPr>
          <w:p w14:paraId="3B339CD3" w14:textId="73148534" w:rsidR="0069671B" w:rsidRPr="00D51778" w:rsidRDefault="0069671B" w:rsidP="00F22C59">
            <w:pPr>
              <w:rPr>
                <w:sz w:val="22"/>
                <w:szCs w:val="22"/>
              </w:rPr>
            </w:pPr>
            <w:r w:rsidRPr="00D51778">
              <w:rPr>
                <w:rFonts w:cs="Calibri"/>
                <w:color w:val="000000"/>
                <w:sz w:val="22"/>
                <w:szCs w:val="22"/>
                <w:lang w:val="ga"/>
              </w:rPr>
              <w:t>Uisce Éireann</w:t>
            </w:r>
          </w:p>
        </w:tc>
        <w:tc>
          <w:tcPr>
            <w:tcW w:w="1403" w:type="dxa"/>
          </w:tcPr>
          <w:p w14:paraId="4614126F" w14:textId="1E19D789" w:rsidR="0069671B" w:rsidRPr="00D51778" w:rsidRDefault="0069671B" w:rsidP="00F22C59">
            <w:pPr>
              <w:jc w:val="right"/>
              <w:rPr>
                <w:sz w:val="22"/>
                <w:szCs w:val="22"/>
              </w:rPr>
            </w:pPr>
            <w:r w:rsidRPr="00D51778">
              <w:rPr>
                <w:rFonts w:cs="Calibri"/>
                <w:color w:val="000000"/>
                <w:sz w:val="22"/>
                <w:szCs w:val="22"/>
                <w:lang w:val="ga"/>
              </w:rPr>
              <w:t>754</w:t>
            </w:r>
          </w:p>
        </w:tc>
        <w:tc>
          <w:tcPr>
            <w:tcW w:w="1412" w:type="dxa"/>
          </w:tcPr>
          <w:p w14:paraId="0B14069E" w14:textId="1E03BAB2" w:rsidR="0069671B" w:rsidRPr="00D51778" w:rsidRDefault="0069671B" w:rsidP="00F22C59">
            <w:pPr>
              <w:jc w:val="right"/>
              <w:rPr>
                <w:sz w:val="22"/>
                <w:szCs w:val="22"/>
              </w:rPr>
            </w:pPr>
            <w:r w:rsidRPr="00D51778">
              <w:rPr>
                <w:rFonts w:cs="Calibri"/>
                <w:color w:val="000000"/>
                <w:sz w:val="22"/>
                <w:szCs w:val="22"/>
                <w:lang w:val="ga"/>
              </w:rPr>
              <w:t>58</w:t>
            </w:r>
          </w:p>
        </w:tc>
        <w:tc>
          <w:tcPr>
            <w:tcW w:w="1564" w:type="dxa"/>
          </w:tcPr>
          <w:p w14:paraId="1A4E8A28" w14:textId="345161E8" w:rsidR="0069671B" w:rsidRPr="00D51778" w:rsidRDefault="0069671B" w:rsidP="00F22C59">
            <w:pPr>
              <w:jc w:val="right"/>
              <w:rPr>
                <w:sz w:val="22"/>
                <w:szCs w:val="22"/>
              </w:rPr>
            </w:pPr>
            <w:r w:rsidRPr="00D51778">
              <w:rPr>
                <w:rFonts w:cs="Calibri"/>
                <w:color w:val="000000"/>
                <w:sz w:val="22"/>
                <w:szCs w:val="22"/>
                <w:lang w:val="ga"/>
              </w:rPr>
              <w:t>7.7%</w:t>
            </w:r>
          </w:p>
        </w:tc>
        <w:tc>
          <w:tcPr>
            <w:tcW w:w="1418" w:type="dxa"/>
          </w:tcPr>
          <w:p w14:paraId="5216E132" w14:textId="4F15A259" w:rsidR="0069671B" w:rsidRPr="00D51778" w:rsidRDefault="0069671B" w:rsidP="00F22C59">
            <w:pPr>
              <w:jc w:val="right"/>
              <w:rPr>
                <w:sz w:val="22"/>
                <w:szCs w:val="22"/>
              </w:rPr>
            </w:pPr>
            <w:r w:rsidRPr="00D51778">
              <w:rPr>
                <w:rFonts w:cs="Calibri"/>
                <w:color w:val="000000"/>
                <w:sz w:val="22"/>
                <w:szCs w:val="22"/>
                <w:lang w:val="ga"/>
              </w:rPr>
              <w:t>1,176</w:t>
            </w:r>
          </w:p>
        </w:tc>
        <w:tc>
          <w:tcPr>
            <w:tcW w:w="1559" w:type="dxa"/>
          </w:tcPr>
          <w:p w14:paraId="52CA0BA3" w14:textId="5C56533E" w:rsidR="0069671B" w:rsidRPr="00D51778" w:rsidRDefault="0069671B" w:rsidP="00F22C59">
            <w:pPr>
              <w:jc w:val="right"/>
              <w:rPr>
                <w:sz w:val="22"/>
                <w:szCs w:val="22"/>
              </w:rPr>
            </w:pPr>
            <w:r w:rsidRPr="00D51778">
              <w:rPr>
                <w:rFonts w:cs="Calibri"/>
                <w:color w:val="000000"/>
                <w:sz w:val="22"/>
                <w:szCs w:val="22"/>
                <w:lang w:val="ga"/>
              </w:rPr>
              <w:t>37</w:t>
            </w:r>
          </w:p>
        </w:tc>
        <w:tc>
          <w:tcPr>
            <w:tcW w:w="1574" w:type="dxa"/>
          </w:tcPr>
          <w:p w14:paraId="2C2D4934" w14:textId="3E9F6170" w:rsidR="0069671B" w:rsidRPr="00D51778" w:rsidRDefault="007E7CE3" w:rsidP="00F22C59">
            <w:pPr>
              <w:jc w:val="right"/>
              <w:rPr>
                <w:sz w:val="22"/>
                <w:szCs w:val="22"/>
              </w:rPr>
            </w:pPr>
            <w:r w:rsidRPr="00D51778">
              <w:rPr>
                <w:rFonts w:cs="Calibri"/>
                <w:color w:val="000000"/>
                <w:sz w:val="22"/>
                <w:szCs w:val="22"/>
                <w:lang w:val="ga"/>
              </w:rPr>
              <w:t>3.1%</w:t>
            </w:r>
          </w:p>
        </w:tc>
      </w:tr>
      <w:tr w:rsidR="0069671B" w:rsidRPr="00D51778" w14:paraId="31EC9FE3" w14:textId="77777777" w:rsidTr="00C75B07">
        <w:trPr>
          <w:jc w:val="center"/>
        </w:trPr>
        <w:tc>
          <w:tcPr>
            <w:tcW w:w="2283" w:type="dxa"/>
          </w:tcPr>
          <w:p w14:paraId="6BD142F6" w14:textId="75470550" w:rsidR="0069671B" w:rsidRPr="00D51778" w:rsidRDefault="0069671B" w:rsidP="00F22C59">
            <w:pPr>
              <w:rPr>
                <w:sz w:val="22"/>
                <w:szCs w:val="22"/>
              </w:rPr>
            </w:pPr>
            <w:r w:rsidRPr="00D51778">
              <w:rPr>
                <w:rFonts w:cs="Calibri"/>
                <w:color w:val="000000"/>
                <w:sz w:val="22"/>
                <w:szCs w:val="22"/>
                <w:lang w:val="ga"/>
              </w:rPr>
              <w:t>Comhairle Contae Chiarraí</w:t>
            </w:r>
          </w:p>
        </w:tc>
        <w:tc>
          <w:tcPr>
            <w:tcW w:w="1403" w:type="dxa"/>
          </w:tcPr>
          <w:p w14:paraId="5602B759" w14:textId="418F8ADA" w:rsidR="0069671B" w:rsidRPr="00D51778" w:rsidRDefault="0069671B" w:rsidP="00F22C59">
            <w:pPr>
              <w:jc w:val="right"/>
              <w:rPr>
                <w:sz w:val="22"/>
                <w:szCs w:val="22"/>
              </w:rPr>
            </w:pPr>
            <w:r w:rsidRPr="00D51778">
              <w:rPr>
                <w:rFonts w:cs="Calibri"/>
                <w:color w:val="000000"/>
                <w:sz w:val="22"/>
                <w:szCs w:val="22"/>
                <w:lang w:val="ga"/>
              </w:rPr>
              <w:t>1,468</w:t>
            </w:r>
          </w:p>
        </w:tc>
        <w:tc>
          <w:tcPr>
            <w:tcW w:w="1412" w:type="dxa"/>
          </w:tcPr>
          <w:p w14:paraId="4140C565" w14:textId="101E0D1E" w:rsidR="0069671B" w:rsidRPr="00D51778" w:rsidRDefault="0069671B" w:rsidP="00F22C59">
            <w:pPr>
              <w:jc w:val="right"/>
              <w:rPr>
                <w:sz w:val="22"/>
                <w:szCs w:val="22"/>
              </w:rPr>
            </w:pPr>
            <w:r w:rsidRPr="00D51778">
              <w:rPr>
                <w:rFonts w:cs="Calibri"/>
                <w:color w:val="000000"/>
                <w:sz w:val="22"/>
                <w:szCs w:val="22"/>
                <w:lang w:val="ga"/>
              </w:rPr>
              <w:t>73</w:t>
            </w:r>
          </w:p>
        </w:tc>
        <w:tc>
          <w:tcPr>
            <w:tcW w:w="1564" w:type="dxa"/>
          </w:tcPr>
          <w:p w14:paraId="6CE19B64" w14:textId="3125CB03" w:rsidR="0069671B" w:rsidRPr="00D51778" w:rsidRDefault="0069671B" w:rsidP="00F22C59">
            <w:pPr>
              <w:jc w:val="right"/>
              <w:rPr>
                <w:sz w:val="22"/>
                <w:szCs w:val="22"/>
              </w:rPr>
            </w:pPr>
            <w:r w:rsidRPr="00D51778">
              <w:rPr>
                <w:rFonts w:cs="Calibri"/>
                <w:color w:val="000000"/>
                <w:sz w:val="22"/>
                <w:szCs w:val="22"/>
                <w:lang w:val="ga"/>
              </w:rPr>
              <w:t>5.0%</w:t>
            </w:r>
          </w:p>
        </w:tc>
        <w:tc>
          <w:tcPr>
            <w:tcW w:w="1418" w:type="dxa"/>
          </w:tcPr>
          <w:p w14:paraId="26133428" w14:textId="7DE82D99" w:rsidR="0069671B" w:rsidRPr="00D51778" w:rsidRDefault="0069671B" w:rsidP="00F22C59">
            <w:pPr>
              <w:jc w:val="right"/>
              <w:rPr>
                <w:sz w:val="22"/>
                <w:szCs w:val="22"/>
              </w:rPr>
            </w:pPr>
            <w:r w:rsidRPr="00D51778">
              <w:rPr>
                <w:rFonts w:cs="Calibri"/>
                <w:color w:val="000000"/>
                <w:sz w:val="22"/>
                <w:szCs w:val="22"/>
                <w:lang w:val="ga"/>
              </w:rPr>
              <w:t>1,497</w:t>
            </w:r>
          </w:p>
        </w:tc>
        <w:tc>
          <w:tcPr>
            <w:tcW w:w="1559" w:type="dxa"/>
          </w:tcPr>
          <w:p w14:paraId="49C49A81" w14:textId="76C44836" w:rsidR="0069671B" w:rsidRPr="00D51778" w:rsidRDefault="0069671B" w:rsidP="00F22C59">
            <w:pPr>
              <w:jc w:val="right"/>
              <w:rPr>
                <w:sz w:val="22"/>
                <w:szCs w:val="22"/>
              </w:rPr>
            </w:pPr>
            <w:r w:rsidRPr="00D51778">
              <w:rPr>
                <w:rFonts w:cs="Calibri"/>
                <w:color w:val="000000"/>
                <w:sz w:val="22"/>
                <w:szCs w:val="22"/>
                <w:lang w:val="ga"/>
              </w:rPr>
              <w:t>77</w:t>
            </w:r>
          </w:p>
        </w:tc>
        <w:tc>
          <w:tcPr>
            <w:tcW w:w="1574" w:type="dxa"/>
          </w:tcPr>
          <w:p w14:paraId="166814A4" w14:textId="7805BF75" w:rsidR="0069671B" w:rsidRPr="00D51778" w:rsidRDefault="0069671B" w:rsidP="00F22C59">
            <w:pPr>
              <w:jc w:val="right"/>
              <w:rPr>
                <w:sz w:val="22"/>
                <w:szCs w:val="22"/>
              </w:rPr>
            </w:pPr>
            <w:r w:rsidRPr="00D51778">
              <w:rPr>
                <w:rFonts w:cs="Calibri"/>
                <w:color w:val="000000"/>
                <w:sz w:val="22"/>
                <w:szCs w:val="22"/>
                <w:lang w:val="ga"/>
              </w:rPr>
              <w:t>5.1%</w:t>
            </w:r>
          </w:p>
        </w:tc>
      </w:tr>
      <w:tr w:rsidR="0069671B" w:rsidRPr="00D51778" w14:paraId="5F13BAEF" w14:textId="77777777" w:rsidTr="00C75B07">
        <w:trPr>
          <w:jc w:val="center"/>
        </w:trPr>
        <w:tc>
          <w:tcPr>
            <w:tcW w:w="2283" w:type="dxa"/>
          </w:tcPr>
          <w:p w14:paraId="2A6A8BDD" w14:textId="40A3BDC8" w:rsidR="0069671B" w:rsidRPr="00D51778" w:rsidRDefault="0069671B" w:rsidP="00F22C59">
            <w:pPr>
              <w:rPr>
                <w:sz w:val="22"/>
                <w:szCs w:val="22"/>
              </w:rPr>
            </w:pPr>
            <w:r w:rsidRPr="00D51778">
              <w:rPr>
                <w:rFonts w:cs="Calibri"/>
                <w:color w:val="000000"/>
                <w:sz w:val="22"/>
                <w:szCs w:val="22"/>
                <w:lang w:val="ga"/>
              </w:rPr>
              <w:t>Comhairle Contae Chill Dara</w:t>
            </w:r>
          </w:p>
        </w:tc>
        <w:tc>
          <w:tcPr>
            <w:tcW w:w="1403" w:type="dxa"/>
          </w:tcPr>
          <w:p w14:paraId="54845841" w14:textId="22B92FEE" w:rsidR="0069671B" w:rsidRPr="00D51778" w:rsidRDefault="0069671B" w:rsidP="00F22C59">
            <w:pPr>
              <w:jc w:val="right"/>
              <w:rPr>
                <w:sz w:val="22"/>
                <w:szCs w:val="22"/>
              </w:rPr>
            </w:pPr>
            <w:r w:rsidRPr="00D51778">
              <w:rPr>
                <w:rFonts w:cs="Calibri"/>
                <w:color w:val="000000"/>
                <w:sz w:val="22"/>
                <w:szCs w:val="22"/>
                <w:lang w:val="ga"/>
              </w:rPr>
              <w:t>1,073</w:t>
            </w:r>
          </w:p>
        </w:tc>
        <w:tc>
          <w:tcPr>
            <w:tcW w:w="1412" w:type="dxa"/>
          </w:tcPr>
          <w:p w14:paraId="743A8D94" w14:textId="6BE9F231" w:rsidR="0069671B" w:rsidRPr="00D51778" w:rsidRDefault="0069671B" w:rsidP="00F22C59">
            <w:pPr>
              <w:jc w:val="right"/>
              <w:rPr>
                <w:sz w:val="22"/>
                <w:szCs w:val="22"/>
              </w:rPr>
            </w:pPr>
            <w:r w:rsidRPr="00D51778">
              <w:rPr>
                <w:rFonts w:cs="Calibri"/>
                <w:color w:val="000000"/>
                <w:sz w:val="22"/>
                <w:szCs w:val="22"/>
                <w:lang w:val="ga"/>
              </w:rPr>
              <w:t>37</w:t>
            </w:r>
          </w:p>
        </w:tc>
        <w:tc>
          <w:tcPr>
            <w:tcW w:w="1564" w:type="dxa"/>
          </w:tcPr>
          <w:p w14:paraId="05564A0D" w14:textId="11EA01BE" w:rsidR="0069671B" w:rsidRPr="00D51778" w:rsidRDefault="0069671B" w:rsidP="00F22C59">
            <w:pPr>
              <w:jc w:val="right"/>
              <w:rPr>
                <w:sz w:val="22"/>
                <w:szCs w:val="22"/>
              </w:rPr>
            </w:pPr>
            <w:r w:rsidRPr="00D51778">
              <w:rPr>
                <w:rFonts w:cs="Calibri"/>
                <w:color w:val="000000"/>
                <w:sz w:val="22"/>
                <w:szCs w:val="22"/>
                <w:lang w:val="ga"/>
              </w:rPr>
              <w:t>3.4%</w:t>
            </w:r>
          </w:p>
        </w:tc>
        <w:tc>
          <w:tcPr>
            <w:tcW w:w="1418" w:type="dxa"/>
          </w:tcPr>
          <w:p w14:paraId="5A637BC2" w14:textId="7C1F4169" w:rsidR="0069671B" w:rsidRPr="00D51778" w:rsidRDefault="0069671B" w:rsidP="00F22C59">
            <w:pPr>
              <w:jc w:val="right"/>
              <w:rPr>
                <w:sz w:val="22"/>
                <w:szCs w:val="22"/>
              </w:rPr>
            </w:pPr>
            <w:r w:rsidRPr="00D51778">
              <w:rPr>
                <w:rFonts w:cs="Calibri"/>
                <w:color w:val="000000"/>
                <w:sz w:val="22"/>
                <w:szCs w:val="22"/>
                <w:lang w:val="ga"/>
              </w:rPr>
              <w:t>998</w:t>
            </w:r>
          </w:p>
        </w:tc>
        <w:tc>
          <w:tcPr>
            <w:tcW w:w="1559" w:type="dxa"/>
          </w:tcPr>
          <w:p w14:paraId="358FB3AB" w14:textId="631345E3" w:rsidR="0069671B" w:rsidRPr="00D51778" w:rsidRDefault="0069671B" w:rsidP="00F22C59">
            <w:pPr>
              <w:jc w:val="right"/>
              <w:rPr>
                <w:sz w:val="22"/>
                <w:szCs w:val="22"/>
              </w:rPr>
            </w:pPr>
            <w:r w:rsidRPr="00D51778">
              <w:rPr>
                <w:rFonts w:cs="Calibri"/>
                <w:color w:val="000000"/>
                <w:sz w:val="22"/>
                <w:szCs w:val="22"/>
                <w:lang w:val="ga"/>
              </w:rPr>
              <w:t>30</w:t>
            </w:r>
          </w:p>
        </w:tc>
        <w:tc>
          <w:tcPr>
            <w:tcW w:w="1574" w:type="dxa"/>
          </w:tcPr>
          <w:p w14:paraId="64EC7A11" w14:textId="0F8EDBF9" w:rsidR="0069671B" w:rsidRPr="00D51778" w:rsidRDefault="0069671B" w:rsidP="00F22C59">
            <w:pPr>
              <w:jc w:val="right"/>
              <w:rPr>
                <w:sz w:val="22"/>
                <w:szCs w:val="22"/>
              </w:rPr>
            </w:pPr>
            <w:r w:rsidRPr="00D51778">
              <w:rPr>
                <w:rFonts w:cs="Calibri"/>
                <w:color w:val="000000"/>
                <w:sz w:val="22"/>
                <w:szCs w:val="22"/>
                <w:lang w:val="ga"/>
              </w:rPr>
              <w:t>3.0%</w:t>
            </w:r>
          </w:p>
        </w:tc>
      </w:tr>
      <w:tr w:rsidR="0069671B" w:rsidRPr="00D51778" w14:paraId="62B6B57B" w14:textId="77777777" w:rsidTr="00C75B07">
        <w:trPr>
          <w:jc w:val="center"/>
        </w:trPr>
        <w:tc>
          <w:tcPr>
            <w:tcW w:w="2283" w:type="dxa"/>
          </w:tcPr>
          <w:p w14:paraId="74567D6A" w14:textId="64B474E6" w:rsidR="0069671B" w:rsidRPr="00D51778" w:rsidRDefault="0069671B" w:rsidP="00F22C59">
            <w:pPr>
              <w:rPr>
                <w:sz w:val="22"/>
                <w:szCs w:val="22"/>
              </w:rPr>
            </w:pPr>
            <w:r w:rsidRPr="00D51778">
              <w:rPr>
                <w:rFonts w:cs="Calibri"/>
                <w:color w:val="000000"/>
                <w:sz w:val="22"/>
                <w:szCs w:val="22"/>
                <w:lang w:val="ga"/>
              </w:rPr>
              <w:t>Comhairle Contae Chill Chainnigh</w:t>
            </w:r>
          </w:p>
        </w:tc>
        <w:tc>
          <w:tcPr>
            <w:tcW w:w="1403" w:type="dxa"/>
          </w:tcPr>
          <w:p w14:paraId="35163EF9" w14:textId="37147DF6" w:rsidR="0069671B" w:rsidRPr="00D51778" w:rsidRDefault="0069671B" w:rsidP="00F22C59">
            <w:pPr>
              <w:jc w:val="right"/>
              <w:rPr>
                <w:sz w:val="22"/>
                <w:szCs w:val="22"/>
              </w:rPr>
            </w:pPr>
            <w:r w:rsidRPr="00D51778">
              <w:rPr>
                <w:rFonts w:cs="Calibri"/>
                <w:color w:val="000000"/>
                <w:sz w:val="22"/>
                <w:szCs w:val="22"/>
                <w:lang w:val="ga"/>
              </w:rPr>
              <w:t>601</w:t>
            </w:r>
          </w:p>
        </w:tc>
        <w:tc>
          <w:tcPr>
            <w:tcW w:w="1412" w:type="dxa"/>
          </w:tcPr>
          <w:p w14:paraId="317AACDA" w14:textId="08FD27C8" w:rsidR="0069671B" w:rsidRPr="00D51778" w:rsidRDefault="0069671B" w:rsidP="00F22C59">
            <w:pPr>
              <w:jc w:val="right"/>
              <w:rPr>
                <w:sz w:val="22"/>
                <w:szCs w:val="22"/>
              </w:rPr>
            </w:pPr>
            <w:r w:rsidRPr="00D51778">
              <w:rPr>
                <w:rFonts w:cs="Calibri"/>
                <w:color w:val="000000"/>
                <w:sz w:val="22"/>
                <w:szCs w:val="22"/>
                <w:lang w:val="ga"/>
              </w:rPr>
              <w:t>22</w:t>
            </w:r>
          </w:p>
        </w:tc>
        <w:tc>
          <w:tcPr>
            <w:tcW w:w="1564" w:type="dxa"/>
          </w:tcPr>
          <w:p w14:paraId="4A45EB3B" w14:textId="59518CB8" w:rsidR="0069671B" w:rsidRPr="00D51778" w:rsidRDefault="0069671B" w:rsidP="00F22C59">
            <w:pPr>
              <w:jc w:val="right"/>
              <w:rPr>
                <w:sz w:val="22"/>
                <w:szCs w:val="22"/>
              </w:rPr>
            </w:pPr>
            <w:r w:rsidRPr="00D51778">
              <w:rPr>
                <w:rFonts w:cs="Calibri"/>
                <w:color w:val="000000"/>
                <w:sz w:val="22"/>
                <w:szCs w:val="22"/>
                <w:lang w:val="ga"/>
              </w:rPr>
              <w:t>3.7%</w:t>
            </w:r>
          </w:p>
        </w:tc>
        <w:tc>
          <w:tcPr>
            <w:tcW w:w="1418" w:type="dxa"/>
          </w:tcPr>
          <w:p w14:paraId="775E0D92" w14:textId="561D499C" w:rsidR="0069671B" w:rsidRPr="00D51778" w:rsidRDefault="0069671B" w:rsidP="00F22C59">
            <w:pPr>
              <w:jc w:val="right"/>
              <w:rPr>
                <w:sz w:val="22"/>
                <w:szCs w:val="22"/>
              </w:rPr>
            </w:pPr>
            <w:r w:rsidRPr="00D51778">
              <w:rPr>
                <w:rFonts w:cs="Calibri"/>
                <w:color w:val="000000"/>
                <w:sz w:val="22"/>
                <w:szCs w:val="22"/>
                <w:lang w:val="ga"/>
              </w:rPr>
              <w:t>604</w:t>
            </w:r>
          </w:p>
        </w:tc>
        <w:tc>
          <w:tcPr>
            <w:tcW w:w="1559" w:type="dxa"/>
          </w:tcPr>
          <w:p w14:paraId="6E3BA3C1" w14:textId="756D027C" w:rsidR="0069671B" w:rsidRPr="00D51778" w:rsidRDefault="0069671B" w:rsidP="00F22C59">
            <w:pPr>
              <w:jc w:val="right"/>
              <w:rPr>
                <w:sz w:val="22"/>
                <w:szCs w:val="22"/>
              </w:rPr>
            </w:pPr>
            <w:r w:rsidRPr="00D51778">
              <w:rPr>
                <w:rFonts w:cs="Calibri"/>
                <w:color w:val="000000"/>
                <w:sz w:val="22"/>
                <w:szCs w:val="22"/>
                <w:lang w:val="ga"/>
              </w:rPr>
              <w:t>22</w:t>
            </w:r>
          </w:p>
        </w:tc>
        <w:tc>
          <w:tcPr>
            <w:tcW w:w="1574" w:type="dxa"/>
          </w:tcPr>
          <w:p w14:paraId="01061DED" w14:textId="7699ABA8" w:rsidR="0069671B" w:rsidRPr="00D51778" w:rsidRDefault="0069671B" w:rsidP="00F22C59">
            <w:pPr>
              <w:jc w:val="right"/>
              <w:rPr>
                <w:sz w:val="22"/>
                <w:szCs w:val="22"/>
              </w:rPr>
            </w:pPr>
            <w:r w:rsidRPr="00D51778">
              <w:rPr>
                <w:rFonts w:cs="Calibri"/>
                <w:color w:val="000000"/>
                <w:sz w:val="22"/>
                <w:szCs w:val="22"/>
                <w:lang w:val="ga"/>
              </w:rPr>
              <w:t>3.6%</w:t>
            </w:r>
          </w:p>
        </w:tc>
      </w:tr>
      <w:tr w:rsidR="0069671B" w:rsidRPr="00D51778" w14:paraId="66DD5AD2" w14:textId="77777777" w:rsidTr="00C75B07">
        <w:trPr>
          <w:jc w:val="center"/>
        </w:trPr>
        <w:tc>
          <w:tcPr>
            <w:tcW w:w="2283" w:type="dxa"/>
          </w:tcPr>
          <w:p w14:paraId="07F84FA0" w14:textId="79F59430" w:rsidR="0069671B" w:rsidRPr="00D51778" w:rsidRDefault="0069671B" w:rsidP="00F22C59">
            <w:pPr>
              <w:rPr>
                <w:sz w:val="22"/>
                <w:szCs w:val="22"/>
              </w:rPr>
            </w:pPr>
            <w:r w:rsidRPr="00D51778">
              <w:rPr>
                <w:rFonts w:cs="Calibri"/>
                <w:color w:val="000000"/>
                <w:sz w:val="22"/>
                <w:szCs w:val="22"/>
                <w:lang w:val="ga"/>
              </w:rPr>
              <w:t>An Ghníomhaireacht um Fhorbairt Talún</w:t>
            </w:r>
          </w:p>
        </w:tc>
        <w:tc>
          <w:tcPr>
            <w:tcW w:w="1403" w:type="dxa"/>
          </w:tcPr>
          <w:p w14:paraId="5C135A75" w14:textId="28310D07" w:rsidR="0069671B" w:rsidRPr="00D51778" w:rsidRDefault="0069671B" w:rsidP="00F22C59">
            <w:pPr>
              <w:jc w:val="right"/>
              <w:rPr>
                <w:sz w:val="22"/>
                <w:szCs w:val="22"/>
              </w:rPr>
            </w:pPr>
            <w:r w:rsidRPr="00D51778">
              <w:rPr>
                <w:rFonts w:cs="Calibri"/>
                <w:color w:val="000000"/>
                <w:sz w:val="22"/>
                <w:szCs w:val="22"/>
                <w:lang w:val="ga"/>
              </w:rPr>
              <w:t>39</w:t>
            </w:r>
          </w:p>
        </w:tc>
        <w:tc>
          <w:tcPr>
            <w:tcW w:w="1412" w:type="dxa"/>
          </w:tcPr>
          <w:p w14:paraId="6D821038" w14:textId="72EBDF5F" w:rsidR="0069671B" w:rsidRPr="00D51778" w:rsidRDefault="0069671B" w:rsidP="00F22C59">
            <w:pPr>
              <w:jc w:val="right"/>
              <w:rPr>
                <w:sz w:val="22"/>
                <w:szCs w:val="22"/>
              </w:rPr>
            </w:pPr>
            <w:r w:rsidRPr="00D51778">
              <w:rPr>
                <w:rFonts w:cs="Calibri"/>
                <w:color w:val="000000"/>
                <w:sz w:val="22"/>
                <w:szCs w:val="22"/>
                <w:lang w:val="ga"/>
              </w:rPr>
              <w:t>0</w:t>
            </w:r>
          </w:p>
        </w:tc>
        <w:tc>
          <w:tcPr>
            <w:tcW w:w="1564" w:type="dxa"/>
          </w:tcPr>
          <w:p w14:paraId="31B52CC1" w14:textId="28905F9D" w:rsidR="0069671B" w:rsidRPr="00D51778" w:rsidRDefault="0069671B" w:rsidP="00F22C59">
            <w:pPr>
              <w:jc w:val="right"/>
              <w:rPr>
                <w:sz w:val="22"/>
                <w:szCs w:val="22"/>
              </w:rPr>
            </w:pPr>
            <w:r w:rsidRPr="00D51778">
              <w:rPr>
                <w:rFonts w:cs="Calibri"/>
                <w:color w:val="000000"/>
                <w:sz w:val="22"/>
                <w:szCs w:val="22"/>
                <w:lang w:val="ga"/>
              </w:rPr>
              <w:t>0.0%</w:t>
            </w:r>
          </w:p>
        </w:tc>
        <w:tc>
          <w:tcPr>
            <w:tcW w:w="1418" w:type="dxa"/>
          </w:tcPr>
          <w:p w14:paraId="0E82BE0F" w14:textId="3C9DD83D" w:rsidR="0069671B" w:rsidRPr="00D51778" w:rsidRDefault="0069671B" w:rsidP="00F22C59">
            <w:pPr>
              <w:jc w:val="right"/>
              <w:rPr>
                <w:sz w:val="22"/>
                <w:szCs w:val="22"/>
              </w:rPr>
            </w:pPr>
            <w:r w:rsidRPr="00D51778">
              <w:rPr>
                <w:rFonts w:cs="Calibri"/>
                <w:color w:val="000000"/>
                <w:sz w:val="22"/>
                <w:szCs w:val="22"/>
                <w:lang w:val="ga"/>
              </w:rPr>
              <w:t>50</w:t>
            </w:r>
          </w:p>
        </w:tc>
        <w:tc>
          <w:tcPr>
            <w:tcW w:w="1559" w:type="dxa"/>
          </w:tcPr>
          <w:p w14:paraId="48C2060A" w14:textId="720533E6" w:rsidR="0069671B" w:rsidRPr="00D51778" w:rsidRDefault="0069671B" w:rsidP="00F22C59">
            <w:pPr>
              <w:jc w:val="right"/>
              <w:rPr>
                <w:sz w:val="22"/>
                <w:szCs w:val="22"/>
              </w:rPr>
            </w:pPr>
            <w:r w:rsidRPr="00D51778">
              <w:rPr>
                <w:rFonts w:cs="Calibri"/>
                <w:color w:val="000000"/>
                <w:sz w:val="22"/>
                <w:szCs w:val="22"/>
                <w:lang w:val="ga"/>
              </w:rPr>
              <w:t>1</w:t>
            </w:r>
          </w:p>
        </w:tc>
        <w:tc>
          <w:tcPr>
            <w:tcW w:w="1574" w:type="dxa"/>
          </w:tcPr>
          <w:p w14:paraId="566E7723" w14:textId="005B41D3" w:rsidR="0069671B" w:rsidRPr="00D51778" w:rsidRDefault="0069671B" w:rsidP="00F22C59">
            <w:pPr>
              <w:jc w:val="right"/>
              <w:rPr>
                <w:sz w:val="22"/>
                <w:szCs w:val="22"/>
              </w:rPr>
            </w:pPr>
            <w:r w:rsidRPr="00D51778">
              <w:rPr>
                <w:rFonts w:cs="Calibri"/>
                <w:color w:val="000000"/>
                <w:sz w:val="22"/>
                <w:szCs w:val="22"/>
                <w:lang w:val="ga"/>
              </w:rPr>
              <w:t>2.0%</w:t>
            </w:r>
          </w:p>
        </w:tc>
      </w:tr>
      <w:tr w:rsidR="0069671B" w:rsidRPr="00D51778" w14:paraId="314843DA" w14:textId="77777777" w:rsidTr="00C75B07">
        <w:trPr>
          <w:jc w:val="center"/>
        </w:trPr>
        <w:tc>
          <w:tcPr>
            <w:tcW w:w="2283" w:type="dxa"/>
          </w:tcPr>
          <w:p w14:paraId="1947D1D1" w14:textId="5D42E035" w:rsidR="0069671B" w:rsidRPr="00D51778" w:rsidRDefault="0069671B" w:rsidP="00F22C59">
            <w:pPr>
              <w:rPr>
                <w:sz w:val="22"/>
                <w:szCs w:val="22"/>
              </w:rPr>
            </w:pPr>
            <w:r w:rsidRPr="00D51778">
              <w:rPr>
                <w:rFonts w:cs="Calibri"/>
                <w:color w:val="000000"/>
                <w:sz w:val="22"/>
                <w:szCs w:val="22"/>
                <w:lang w:val="ga"/>
              </w:rPr>
              <w:lastRenderedPageBreak/>
              <w:t>Comhairle Contae Laoise</w:t>
            </w:r>
          </w:p>
        </w:tc>
        <w:tc>
          <w:tcPr>
            <w:tcW w:w="1403" w:type="dxa"/>
          </w:tcPr>
          <w:p w14:paraId="73490A13" w14:textId="7CCD8408" w:rsidR="0069671B" w:rsidRPr="00D51778" w:rsidRDefault="0069671B" w:rsidP="00F22C59">
            <w:pPr>
              <w:jc w:val="right"/>
              <w:rPr>
                <w:sz w:val="22"/>
                <w:szCs w:val="22"/>
              </w:rPr>
            </w:pPr>
            <w:r w:rsidRPr="00D51778">
              <w:rPr>
                <w:rFonts w:cs="Calibri"/>
                <w:color w:val="000000"/>
                <w:sz w:val="22"/>
                <w:szCs w:val="22"/>
                <w:lang w:val="ga"/>
              </w:rPr>
              <w:t>471</w:t>
            </w:r>
          </w:p>
        </w:tc>
        <w:tc>
          <w:tcPr>
            <w:tcW w:w="1412" w:type="dxa"/>
          </w:tcPr>
          <w:p w14:paraId="54148239" w14:textId="5DE536CC" w:rsidR="0069671B" w:rsidRPr="00D51778" w:rsidRDefault="0069671B" w:rsidP="00F22C59">
            <w:pPr>
              <w:jc w:val="right"/>
              <w:rPr>
                <w:sz w:val="22"/>
                <w:szCs w:val="22"/>
              </w:rPr>
            </w:pPr>
            <w:r w:rsidRPr="00D51778">
              <w:rPr>
                <w:rFonts w:cs="Calibri"/>
                <w:color w:val="000000"/>
                <w:sz w:val="22"/>
                <w:szCs w:val="22"/>
                <w:lang w:val="ga"/>
              </w:rPr>
              <w:t>26</w:t>
            </w:r>
          </w:p>
        </w:tc>
        <w:tc>
          <w:tcPr>
            <w:tcW w:w="1564" w:type="dxa"/>
          </w:tcPr>
          <w:p w14:paraId="31D4A058" w14:textId="45B0CBAC" w:rsidR="0069671B" w:rsidRPr="00D51778" w:rsidRDefault="0069671B" w:rsidP="00F22C59">
            <w:pPr>
              <w:jc w:val="right"/>
              <w:rPr>
                <w:sz w:val="22"/>
                <w:szCs w:val="22"/>
              </w:rPr>
            </w:pPr>
            <w:r w:rsidRPr="00D51778">
              <w:rPr>
                <w:rFonts w:cs="Calibri"/>
                <w:color w:val="000000"/>
                <w:sz w:val="22"/>
                <w:szCs w:val="22"/>
                <w:lang w:val="ga"/>
              </w:rPr>
              <w:t>5.5%</w:t>
            </w:r>
          </w:p>
        </w:tc>
        <w:tc>
          <w:tcPr>
            <w:tcW w:w="1418" w:type="dxa"/>
          </w:tcPr>
          <w:p w14:paraId="45182F6D" w14:textId="0E7D6B96" w:rsidR="0069671B" w:rsidRPr="00D51778" w:rsidRDefault="0069671B" w:rsidP="00F22C59">
            <w:pPr>
              <w:jc w:val="right"/>
              <w:rPr>
                <w:sz w:val="22"/>
                <w:szCs w:val="22"/>
              </w:rPr>
            </w:pPr>
            <w:r w:rsidRPr="00D51778">
              <w:rPr>
                <w:rFonts w:cs="Calibri"/>
                <w:color w:val="000000"/>
                <w:sz w:val="22"/>
                <w:szCs w:val="22"/>
                <w:lang w:val="ga"/>
              </w:rPr>
              <w:t>471</w:t>
            </w:r>
          </w:p>
        </w:tc>
        <w:tc>
          <w:tcPr>
            <w:tcW w:w="1559" w:type="dxa"/>
          </w:tcPr>
          <w:p w14:paraId="4BE0522C" w14:textId="4CA4EB46" w:rsidR="0069671B" w:rsidRPr="00D51778" w:rsidRDefault="0069671B" w:rsidP="00F22C59">
            <w:pPr>
              <w:jc w:val="right"/>
              <w:rPr>
                <w:sz w:val="22"/>
                <w:szCs w:val="22"/>
              </w:rPr>
            </w:pPr>
            <w:r w:rsidRPr="00D51778">
              <w:rPr>
                <w:rFonts w:cs="Calibri"/>
                <w:color w:val="000000"/>
                <w:sz w:val="22"/>
                <w:szCs w:val="22"/>
                <w:lang w:val="ga"/>
              </w:rPr>
              <w:t>21</w:t>
            </w:r>
          </w:p>
        </w:tc>
        <w:tc>
          <w:tcPr>
            <w:tcW w:w="1574" w:type="dxa"/>
          </w:tcPr>
          <w:p w14:paraId="77BD3933" w14:textId="47F8DD72" w:rsidR="0069671B" w:rsidRPr="00D51778" w:rsidRDefault="0069671B" w:rsidP="00F22C59">
            <w:pPr>
              <w:jc w:val="right"/>
              <w:rPr>
                <w:sz w:val="22"/>
                <w:szCs w:val="22"/>
              </w:rPr>
            </w:pPr>
            <w:r w:rsidRPr="00D51778">
              <w:rPr>
                <w:rFonts w:cs="Calibri"/>
                <w:color w:val="000000"/>
                <w:sz w:val="22"/>
                <w:szCs w:val="22"/>
                <w:lang w:val="ga"/>
              </w:rPr>
              <w:t>4.5%</w:t>
            </w:r>
          </w:p>
        </w:tc>
      </w:tr>
      <w:tr w:rsidR="0069671B" w:rsidRPr="00D51778" w14:paraId="04BD3ECD" w14:textId="77777777" w:rsidTr="00C75B07">
        <w:trPr>
          <w:jc w:val="center"/>
        </w:trPr>
        <w:tc>
          <w:tcPr>
            <w:tcW w:w="2283" w:type="dxa"/>
          </w:tcPr>
          <w:p w14:paraId="63F15A13" w14:textId="69A04B4F" w:rsidR="0069671B" w:rsidRPr="00D51778" w:rsidRDefault="0069671B" w:rsidP="00F22C59">
            <w:pPr>
              <w:rPr>
                <w:sz w:val="22"/>
                <w:szCs w:val="22"/>
              </w:rPr>
            </w:pPr>
            <w:r w:rsidRPr="00D51778">
              <w:rPr>
                <w:rFonts w:cs="Calibri"/>
                <w:color w:val="000000"/>
                <w:sz w:val="22"/>
                <w:szCs w:val="22"/>
                <w:lang w:val="ga"/>
              </w:rPr>
              <w:t>Comhairle Contae Liatroma</w:t>
            </w:r>
          </w:p>
        </w:tc>
        <w:tc>
          <w:tcPr>
            <w:tcW w:w="1403" w:type="dxa"/>
          </w:tcPr>
          <w:p w14:paraId="3D197454" w14:textId="734F1379" w:rsidR="0069671B" w:rsidRPr="00D51778" w:rsidRDefault="0069671B" w:rsidP="00F22C59">
            <w:pPr>
              <w:jc w:val="right"/>
              <w:rPr>
                <w:sz w:val="22"/>
                <w:szCs w:val="22"/>
              </w:rPr>
            </w:pPr>
            <w:r w:rsidRPr="00D51778">
              <w:rPr>
                <w:rFonts w:cs="Calibri"/>
                <w:color w:val="000000"/>
                <w:sz w:val="22"/>
                <w:szCs w:val="22"/>
                <w:lang w:val="ga"/>
              </w:rPr>
              <w:t>361</w:t>
            </w:r>
          </w:p>
        </w:tc>
        <w:tc>
          <w:tcPr>
            <w:tcW w:w="1412" w:type="dxa"/>
          </w:tcPr>
          <w:p w14:paraId="149083CC" w14:textId="3D74108B" w:rsidR="0069671B" w:rsidRPr="00D51778" w:rsidRDefault="0069671B" w:rsidP="00F22C59">
            <w:pPr>
              <w:jc w:val="right"/>
              <w:rPr>
                <w:sz w:val="22"/>
                <w:szCs w:val="22"/>
              </w:rPr>
            </w:pPr>
            <w:r w:rsidRPr="00D51778">
              <w:rPr>
                <w:rFonts w:cs="Calibri"/>
                <w:color w:val="000000"/>
                <w:sz w:val="22"/>
                <w:szCs w:val="22"/>
                <w:lang w:val="ga"/>
              </w:rPr>
              <w:t>14</w:t>
            </w:r>
          </w:p>
        </w:tc>
        <w:tc>
          <w:tcPr>
            <w:tcW w:w="1564" w:type="dxa"/>
          </w:tcPr>
          <w:p w14:paraId="071CF551" w14:textId="2A8263D2" w:rsidR="0069671B" w:rsidRPr="00D51778" w:rsidRDefault="0069671B" w:rsidP="00F22C59">
            <w:pPr>
              <w:jc w:val="right"/>
              <w:rPr>
                <w:sz w:val="22"/>
                <w:szCs w:val="22"/>
              </w:rPr>
            </w:pPr>
            <w:r w:rsidRPr="00D51778">
              <w:rPr>
                <w:rFonts w:cs="Calibri"/>
                <w:color w:val="000000"/>
                <w:sz w:val="22"/>
                <w:szCs w:val="22"/>
                <w:lang w:val="ga"/>
              </w:rPr>
              <w:t>3.9%</w:t>
            </w:r>
          </w:p>
        </w:tc>
        <w:tc>
          <w:tcPr>
            <w:tcW w:w="1418" w:type="dxa"/>
          </w:tcPr>
          <w:p w14:paraId="7CFBCD7C" w14:textId="7C9521A5" w:rsidR="0069671B" w:rsidRPr="00D51778" w:rsidRDefault="0069671B" w:rsidP="00F22C59">
            <w:pPr>
              <w:jc w:val="right"/>
              <w:rPr>
                <w:sz w:val="22"/>
                <w:szCs w:val="22"/>
              </w:rPr>
            </w:pPr>
            <w:r w:rsidRPr="00D51778">
              <w:rPr>
                <w:rFonts w:cs="Calibri"/>
                <w:color w:val="000000"/>
                <w:sz w:val="22"/>
                <w:szCs w:val="22"/>
                <w:lang w:val="ga"/>
              </w:rPr>
              <w:t>379</w:t>
            </w:r>
          </w:p>
        </w:tc>
        <w:tc>
          <w:tcPr>
            <w:tcW w:w="1559" w:type="dxa"/>
          </w:tcPr>
          <w:p w14:paraId="6306FC90" w14:textId="6DE2CBD8" w:rsidR="0069671B" w:rsidRPr="00D51778" w:rsidRDefault="0069671B" w:rsidP="00F22C59">
            <w:pPr>
              <w:jc w:val="right"/>
              <w:rPr>
                <w:sz w:val="22"/>
                <w:szCs w:val="22"/>
              </w:rPr>
            </w:pPr>
            <w:r w:rsidRPr="00D51778">
              <w:rPr>
                <w:rFonts w:cs="Calibri"/>
                <w:color w:val="000000"/>
                <w:sz w:val="22"/>
                <w:szCs w:val="22"/>
                <w:lang w:val="ga"/>
              </w:rPr>
              <w:t>14</w:t>
            </w:r>
          </w:p>
        </w:tc>
        <w:tc>
          <w:tcPr>
            <w:tcW w:w="1574" w:type="dxa"/>
          </w:tcPr>
          <w:p w14:paraId="1E141D85" w14:textId="3154352F" w:rsidR="0069671B" w:rsidRPr="00D51778" w:rsidRDefault="0069671B" w:rsidP="00F22C59">
            <w:pPr>
              <w:jc w:val="right"/>
              <w:rPr>
                <w:sz w:val="22"/>
                <w:szCs w:val="22"/>
              </w:rPr>
            </w:pPr>
            <w:r w:rsidRPr="00D51778">
              <w:rPr>
                <w:rFonts w:cs="Calibri"/>
                <w:color w:val="000000"/>
                <w:sz w:val="22"/>
                <w:szCs w:val="22"/>
                <w:lang w:val="ga"/>
              </w:rPr>
              <w:t>3.7%</w:t>
            </w:r>
          </w:p>
        </w:tc>
      </w:tr>
      <w:tr w:rsidR="0069671B" w:rsidRPr="00D51778" w14:paraId="37D098E1" w14:textId="77777777" w:rsidTr="00C75B07">
        <w:trPr>
          <w:jc w:val="center"/>
        </w:trPr>
        <w:tc>
          <w:tcPr>
            <w:tcW w:w="2283" w:type="dxa"/>
          </w:tcPr>
          <w:p w14:paraId="720941B6" w14:textId="457611C8" w:rsidR="0069671B" w:rsidRPr="00D51778" w:rsidRDefault="0069671B" w:rsidP="00F22C59">
            <w:pPr>
              <w:rPr>
                <w:sz w:val="22"/>
                <w:szCs w:val="22"/>
              </w:rPr>
            </w:pPr>
            <w:r w:rsidRPr="00D51778">
              <w:rPr>
                <w:rFonts w:cs="Calibri"/>
                <w:color w:val="000000"/>
                <w:sz w:val="22"/>
                <w:szCs w:val="22"/>
                <w:lang w:val="ga"/>
              </w:rPr>
              <w:t>Comhairle Cathrach agus Contae Luimnigh</w:t>
            </w:r>
          </w:p>
        </w:tc>
        <w:tc>
          <w:tcPr>
            <w:tcW w:w="1403" w:type="dxa"/>
          </w:tcPr>
          <w:p w14:paraId="682ADF59" w14:textId="34C85AFC" w:rsidR="0069671B" w:rsidRPr="00D51778" w:rsidRDefault="0069671B" w:rsidP="00F22C59">
            <w:pPr>
              <w:jc w:val="right"/>
              <w:rPr>
                <w:sz w:val="22"/>
                <w:szCs w:val="22"/>
              </w:rPr>
            </w:pPr>
            <w:r w:rsidRPr="00D51778">
              <w:rPr>
                <w:rFonts w:cs="Calibri"/>
                <w:color w:val="000000"/>
                <w:sz w:val="22"/>
                <w:szCs w:val="22"/>
                <w:lang w:val="ga"/>
              </w:rPr>
              <w:t>1,407</w:t>
            </w:r>
          </w:p>
        </w:tc>
        <w:tc>
          <w:tcPr>
            <w:tcW w:w="1412" w:type="dxa"/>
          </w:tcPr>
          <w:p w14:paraId="4FC73977" w14:textId="28AB7592" w:rsidR="0069671B" w:rsidRPr="00D51778" w:rsidRDefault="0069671B" w:rsidP="00F22C59">
            <w:pPr>
              <w:jc w:val="right"/>
              <w:rPr>
                <w:sz w:val="22"/>
                <w:szCs w:val="22"/>
              </w:rPr>
            </w:pPr>
            <w:r w:rsidRPr="00D51778">
              <w:rPr>
                <w:rFonts w:cs="Calibri"/>
                <w:color w:val="000000"/>
                <w:sz w:val="22"/>
                <w:szCs w:val="22"/>
                <w:lang w:val="ga"/>
              </w:rPr>
              <w:t>33</w:t>
            </w:r>
          </w:p>
        </w:tc>
        <w:tc>
          <w:tcPr>
            <w:tcW w:w="1564" w:type="dxa"/>
          </w:tcPr>
          <w:p w14:paraId="28F465CB" w14:textId="673C3D10" w:rsidR="0069671B" w:rsidRPr="00D51778" w:rsidRDefault="0069671B" w:rsidP="00F22C59">
            <w:pPr>
              <w:jc w:val="right"/>
              <w:rPr>
                <w:sz w:val="22"/>
                <w:szCs w:val="22"/>
              </w:rPr>
            </w:pPr>
            <w:r w:rsidRPr="00D51778">
              <w:rPr>
                <w:rFonts w:cs="Calibri"/>
                <w:color w:val="000000"/>
                <w:sz w:val="22"/>
                <w:szCs w:val="22"/>
                <w:lang w:val="ga"/>
              </w:rPr>
              <w:t>2.3%</w:t>
            </w:r>
          </w:p>
        </w:tc>
        <w:tc>
          <w:tcPr>
            <w:tcW w:w="1418" w:type="dxa"/>
          </w:tcPr>
          <w:p w14:paraId="42F1F53D" w14:textId="2E772919" w:rsidR="0069671B" w:rsidRPr="00D51778" w:rsidRDefault="0069671B" w:rsidP="00F22C59">
            <w:pPr>
              <w:jc w:val="right"/>
              <w:rPr>
                <w:sz w:val="22"/>
                <w:szCs w:val="22"/>
              </w:rPr>
            </w:pPr>
            <w:r w:rsidRPr="00D51778">
              <w:rPr>
                <w:rFonts w:cs="Calibri"/>
                <w:color w:val="000000"/>
                <w:sz w:val="22"/>
                <w:szCs w:val="22"/>
                <w:lang w:val="ga"/>
              </w:rPr>
              <w:t>1,457</w:t>
            </w:r>
          </w:p>
        </w:tc>
        <w:tc>
          <w:tcPr>
            <w:tcW w:w="1559" w:type="dxa"/>
          </w:tcPr>
          <w:p w14:paraId="5759EC7E" w14:textId="30B3217E" w:rsidR="0069671B" w:rsidRPr="00D51778" w:rsidRDefault="0069671B" w:rsidP="00F22C59">
            <w:pPr>
              <w:jc w:val="right"/>
              <w:rPr>
                <w:sz w:val="22"/>
                <w:szCs w:val="22"/>
              </w:rPr>
            </w:pPr>
            <w:r w:rsidRPr="00D51778">
              <w:rPr>
                <w:rFonts w:cs="Calibri"/>
                <w:color w:val="000000"/>
                <w:sz w:val="22"/>
                <w:szCs w:val="22"/>
                <w:lang w:val="ga"/>
              </w:rPr>
              <w:t>95</w:t>
            </w:r>
          </w:p>
        </w:tc>
        <w:tc>
          <w:tcPr>
            <w:tcW w:w="1574" w:type="dxa"/>
          </w:tcPr>
          <w:p w14:paraId="2FD2749E" w14:textId="06891AFA" w:rsidR="0069671B" w:rsidRPr="00D51778" w:rsidRDefault="0069671B" w:rsidP="00F22C59">
            <w:pPr>
              <w:jc w:val="right"/>
              <w:rPr>
                <w:sz w:val="22"/>
                <w:szCs w:val="22"/>
              </w:rPr>
            </w:pPr>
            <w:r w:rsidRPr="00D51778">
              <w:rPr>
                <w:rFonts w:cs="Calibri"/>
                <w:color w:val="000000"/>
                <w:sz w:val="22"/>
                <w:szCs w:val="22"/>
                <w:lang w:val="ga"/>
              </w:rPr>
              <w:t>6.5%</w:t>
            </w:r>
          </w:p>
        </w:tc>
      </w:tr>
      <w:tr w:rsidR="0069671B" w:rsidRPr="00D51778" w14:paraId="7960BAD0" w14:textId="77777777" w:rsidTr="00C75B07">
        <w:trPr>
          <w:jc w:val="center"/>
        </w:trPr>
        <w:tc>
          <w:tcPr>
            <w:tcW w:w="2283" w:type="dxa"/>
          </w:tcPr>
          <w:p w14:paraId="441211B3" w14:textId="5D94F7B4" w:rsidR="0069671B" w:rsidRPr="00D51778" w:rsidRDefault="0069671B" w:rsidP="00F22C59">
            <w:pPr>
              <w:rPr>
                <w:sz w:val="22"/>
                <w:szCs w:val="22"/>
              </w:rPr>
            </w:pPr>
            <w:r w:rsidRPr="00D51778">
              <w:rPr>
                <w:rFonts w:cs="Calibri"/>
                <w:color w:val="000000"/>
                <w:sz w:val="22"/>
                <w:szCs w:val="22"/>
                <w:lang w:val="ga"/>
              </w:rPr>
              <w:t>An Ghníomhaireacht Bainistíochta Rialtais Áitiúil</w:t>
            </w:r>
          </w:p>
        </w:tc>
        <w:tc>
          <w:tcPr>
            <w:tcW w:w="1403" w:type="dxa"/>
          </w:tcPr>
          <w:p w14:paraId="043DDF91" w14:textId="2CB06E74" w:rsidR="0069671B" w:rsidRPr="00D51778" w:rsidRDefault="0069671B" w:rsidP="00F22C59">
            <w:pPr>
              <w:jc w:val="right"/>
              <w:rPr>
                <w:sz w:val="22"/>
                <w:szCs w:val="22"/>
              </w:rPr>
            </w:pPr>
            <w:r w:rsidRPr="00D51778">
              <w:rPr>
                <w:rFonts w:cs="Calibri"/>
                <w:color w:val="000000"/>
                <w:sz w:val="22"/>
                <w:szCs w:val="22"/>
                <w:lang w:val="ga"/>
              </w:rPr>
              <w:t>111</w:t>
            </w:r>
          </w:p>
        </w:tc>
        <w:tc>
          <w:tcPr>
            <w:tcW w:w="1412" w:type="dxa"/>
          </w:tcPr>
          <w:p w14:paraId="54B6617E" w14:textId="54CA2A0B" w:rsidR="0069671B" w:rsidRPr="00D51778" w:rsidRDefault="0069671B" w:rsidP="00F22C59">
            <w:pPr>
              <w:jc w:val="right"/>
              <w:rPr>
                <w:sz w:val="22"/>
                <w:szCs w:val="22"/>
              </w:rPr>
            </w:pPr>
            <w:r w:rsidRPr="00D51778">
              <w:rPr>
                <w:rFonts w:cs="Calibri"/>
                <w:color w:val="000000"/>
                <w:sz w:val="22"/>
                <w:szCs w:val="22"/>
                <w:lang w:val="ga"/>
              </w:rPr>
              <w:t>9</w:t>
            </w:r>
          </w:p>
        </w:tc>
        <w:tc>
          <w:tcPr>
            <w:tcW w:w="1564" w:type="dxa"/>
          </w:tcPr>
          <w:p w14:paraId="73C6F1DE" w14:textId="0CFF7D7C" w:rsidR="0069671B" w:rsidRPr="00D51778" w:rsidRDefault="0069671B" w:rsidP="00F22C59">
            <w:pPr>
              <w:jc w:val="right"/>
              <w:rPr>
                <w:sz w:val="22"/>
                <w:szCs w:val="22"/>
              </w:rPr>
            </w:pPr>
            <w:r w:rsidRPr="00D51778">
              <w:rPr>
                <w:rFonts w:cs="Calibri"/>
                <w:color w:val="000000"/>
                <w:sz w:val="22"/>
                <w:szCs w:val="22"/>
                <w:lang w:val="ga"/>
              </w:rPr>
              <w:t>8.1%</w:t>
            </w:r>
          </w:p>
        </w:tc>
        <w:tc>
          <w:tcPr>
            <w:tcW w:w="1418" w:type="dxa"/>
          </w:tcPr>
          <w:p w14:paraId="3239BC59" w14:textId="1A60FD91" w:rsidR="0069671B" w:rsidRPr="00D51778" w:rsidRDefault="0069671B" w:rsidP="00F22C59">
            <w:pPr>
              <w:jc w:val="right"/>
              <w:rPr>
                <w:sz w:val="22"/>
                <w:szCs w:val="22"/>
              </w:rPr>
            </w:pPr>
            <w:r w:rsidRPr="00D51778">
              <w:rPr>
                <w:rFonts w:cs="Calibri"/>
                <w:color w:val="000000"/>
                <w:sz w:val="22"/>
                <w:szCs w:val="22"/>
                <w:lang w:val="ga"/>
              </w:rPr>
              <w:t>107</w:t>
            </w:r>
          </w:p>
        </w:tc>
        <w:tc>
          <w:tcPr>
            <w:tcW w:w="1559" w:type="dxa"/>
          </w:tcPr>
          <w:p w14:paraId="6BFB6EFB" w14:textId="6318BAB5" w:rsidR="0069671B" w:rsidRPr="00D51778" w:rsidRDefault="0069671B" w:rsidP="00F22C59">
            <w:pPr>
              <w:jc w:val="right"/>
              <w:rPr>
                <w:sz w:val="22"/>
                <w:szCs w:val="22"/>
              </w:rPr>
            </w:pPr>
            <w:r w:rsidRPr="00D51778">
              <w:rPr>
                <w:rFonts w:cs="Calibri"/>
                <w:color w:val="000000"/>
                <w:sz w:val="22"/>
                <w:szCs w:val="22"/>
                <w:lang w:val="ga"/>
              </w:rPr>
              <w:t>9</w:t>
            </w:r>
          </w:p>
        </w:tc>
        <w:tc>
          <w:tcPr>
            <w:tcW w:w="1574" w:type="dxa"/>
          </w:tcPr>
          <w:p w14:paraId="27DD8C6B" w14:textId="54DCA68F" w:rsidR="0069671B" w:rsidRPr="00D51778" w:rsidRDefault="0069671B" w:rsidP="00F22C59">
            <w:pPr>
              <w:jc w:val="right"/>
              <w:rPr>
                <w:sz w:val="22"/>
                <w:szCs w:val="22"/>
              </w:rPr>
            </w:pPr>
            <w:r w:rsidRPr="00D51778">
              <w:rPr>
                <w:rFonts w:cs="Calibri"/>
                <w:color w:val="000000"/>
                <w:sz w:val="22"/>
                <w:szCs w:val="22"/>
                <w:lang w:val="ga"/>
              </w:rPr>
              <w:t>8.4%</w:t>
            </w:r>
          </w:p>
        </w:tc>
      </w:tr>
      <w:tr w:rsidR="0069671B" w:rsidRPr="00D51778" w14:paraId="21972252" w14:textId="77777777" w:rsidTr="00C75B07">
        <w:trPr>
          <w:jc w:val="center"/>
        </w:trPr>
        <w:tc>
          <w:tcPr>
            <w:tcW w:w="2283" w:type="dxa"/>
          </w:tcPr>
          <w:p w14:paraId="0BB2AE8B" w14:textId="36EF8A42" w:rsidR="0069671B" w:rsidRPr="00D51778" w:rsidRDefault="0069671B" w:rsidP="00F22C59">
            <w:pPr>
              <w:rPr>
                <w:sz w:val="22"/>
                <w:szCs w:val="22"/>
              </w:rPr>
            </w:pPr>
            <w:r w:rsidRPr="00D51778">
              <w:rPr>
                <w:rFonts w:cs="Calibri"/>
                <w:color w:val="000000"/>
                <w:sz w:val="22"/>
                <w:szCs w:val="22"/>
                <w:lang w:val="ga"/>
              </w:rPr>
              <w:t>Comhairle Contae an Longfoirt</w:t>
            </w:r>
          </w:p>
        </w:tc>
        <w:tc>
          <w:tcPr>
            <w:tcW w:w="1403" w:type="dxa"/>
          </w:tcPr>
          <w:p w14:paraId="60DEBC66" w14:textId="078A13CA" w:rsidR="0069671B" w:rsidRPr="00D51778" w:rsidRDefault="0069671B" w:rsidP="00F22C59">
            <w:pPr>
              <w:jc w:val="right"/>
              <w:rPr>
                <w:sz w:val="22"/>
                <w:szCs w:val="22"/>
              </w:rPr>
            </w:pPr>
            <w:r w:rsidRPr="00D51778">
              <w:rPr>
                <w:rFonts w:cs="Calibri"/>
                <w:color w:val="000000"/>
                <w:sz w:val="22"/>
                <w:szCs w:val="22"/>
                <w:lang w:val="ga"/>
              </w:rPr>
              <w:t>394</w:t>
            </w:r>
          </w:p>
        </w:tc>
        <w:tc>
          <w:tcPr>
            <w:tcW w:w="1412" w:type="dxa"/>
          </w:tcPr>
          <w:p w14:paraId="5BEE6DD8" w14:textId="6ABBD730" w:rsidR="0069671B" w:rsidRPr="00D51778" w:rsidRDefault="0069671B" w:rsidP="00F22C59">
            <w:pPr>
              <w:jc w:val="right"/>
              <w:rPr>
                <w:sz w:val="22"/>
                <w:szCs w:val="22"/>
              </w:rPr>
            </w:pPr>
            <w:r w:rsidRPr="00D51778">
              <w:rPr>
                <w:rFonts w:cs="Calibri"/>
                <w:color w:val="000000"/>
                <w:sz w:val="22"/>
                <w:szCs w:val="22"/>
                <w:lang w:val="ga"/>
              </w:rPr>
              <w:t>21</w:t>
            </w:r>
          </w:p>
        </w:tc>
        <w:tc>
          <w:tcPr>
            <w:tcW w:w="1564" w:type="dxa"/>
          </w:tcPr>
          <w:p w14:paraId="64F8DAAC" w14:textId="407DBC63" w:rsidR="0069671B" w:rsidRPr="00D51778" w:rsidRDefault="0069671B" w:rsidP="00F22C59">
            <w:pPr>
              <w:jc w:val="right"/>
              <w:rPr>
                <w:sz w:val="22"/>
                <w:szCs w:val="22"/>
              </w:rPr>
            </w:pPr>
            <w:r w:rsidRPr="00D51778">
              <w:rPr>
                <w:rFonts w:cs="Calibri"/>
                <w:color w:val="000000"/>
                <w:sz w:val="22"/>
                <w:szCs w:val="22"/>
                <w:lang w:val="ga"/>
              </w:rPr>
              <w:t>5.3%</w:t>
            </w:r>
          </w:p>
        </w:tc>
        <w:tc>
          <w:tcPr>
            <w:tcW w:w="1418" w:type="dxa"/>
          </w:tcPr>
          <w:p w14:paraId="39E9E535" w14:textId="15EC7427" w:rsidR="0069671B" w:rsidRPr="00D51778" w:rsidRDefault="0069671B" w:rsidP="00F22C59">
            <w:pPr>
              <w:jc w:val="right"/>
              <w:rPr>
                <w:sz w:val="22"/>
                <w:szCs w:val="22"/>
              </w:rPr>
            </w:pPr>
            <w:r w:rsidRPr="00D51778">
              <w:rPr>
                <w:rFonts w:cs="Calibri"/>
                <w:color w:val="000000"/>
                <w:sz w:val="22"/>
                <w:szCs w:val="22"/>
                <w:lang w:val="ga"/>
              </w:rPr>
              <w:t>403</w:t>
            </w:r>
          </w:p>
        </w:tc>
        <w:tc>
          <w:tcPr>
            <w:tcW w:w="1559" w:type="dxa"/>
          </w:tcPr>
          <w:p w14:paraId="5D0AEB3C" w14:textId="46BFAD16" w:rsidR="0069671B" w:rsidRPr="00D51778" w:rsidRDefault="0069671B" w:rsidP="00F22C59">
            <w:pPr>
              <w:jc w:val="right"/>
              <w:rPr>
                <w:sz w:val="22"/>
                <w:szCs w:val="22"/>
              </w:rPr>
            </w:pPr>
            <w:r w:rsidRPr="00D51778">
              <w:rPr>
                <w:rFonts w:cs="Calibri"/>
                <w:color w:val="000000"/>
                <w:sz w:val="22"/>
                <w:szCs w:val="22"/>
                <w:lang w:val="ga"/>
              </w:rPr>
              <w:t>34</w:t>
            </w:r>
          </w:p>
        </w:tc>
        <w:tc>
          <w:tcPr>
            <w:tcW w:w="1574" w:type="dxa"/>
          </w:tcPr>
          <w:p w14:paraId="06EF337E" w14:textId="2FEEAF91" w:rsidR="0069671B" w:rsidRPr="00D51778" w:rsidRDefault="0069671B" w:rsidP="00F22C59">
            <w:pPr>
              <w:jc w:val="right"/>
              <w:rPr>
                <w:sz w:val="22"/>
                <w:szCs w:val="22"/>
              </w:rPr>
            </w:pPr>
            <w:r w:rsidRPr="00D51778">
              <w:rPr>
                <w:rFonts w:cs="Calibri"/>
                <w:color w:val="000000"/>
                <w:sz w:val="22"/>
                <w:szCs w:val="22"/>
                <w:lang w:val="ga"/>
              </w:rPr>
              <w:t>8.4%</w:t>
            </w:r>
          </w:p>
        </w:tc>
      </w:tr>
      <w:tr w:rsidR="0069671B" w:rsidRPr="00D51778" w14:paraId="5E76FE64" w14:textId="77777777" w:rsidTr="00C75B07">
        <w:trPr>
          <w:jc w:val="center"/>
        </w:trPr>
        <w:tc>
          <w:tcPr>
            <w:tcW w:w="2283" w:type="dxa"/>
          </w:tcPr>
          <w:p w14:paraId="14301CE0" w14:textId="1E97E5F6" w:rsidR="0069671B" w:rsidRPr="00D51778" w:rsidRDefault="0069671B" w:rsidP="00F22C59">
            <w:pPr>
              <w:rPr>
                <w:sz w:val="22"/>
                <w:szCs w:val="22"/>
              </w:rPr>
            </w:pPr>
            <w:r w:rsidRPr="00D51778">
              <w:rPr>
                <w:rFonts w:cs="Calibri"/>
                <w:color w:val="000000"/>
                <w:sz w:val="22"/>
                <w:szCs w:val="22"/>
                <w:lang w:val="ga"/>
              </w:rPr>
              <w:t>Comhairle Contae Lú</w:t>
            </w:r>
          </w:p>
        </w:tc>
        <w:tc>
          <w:tcPr>
            <w:tcW w:w="1403" w:type="dxa"/>
          </w:tcPr>
          <w:p w14:paraId="14D07CC4" w14:textId="5725CFF9" w:rsidR="0069671B" w:rsidRPr="00D51778" w:rsidRDefault="0069671B" w:rsidP="00F22C59">
            <w:pPr>
              <w:jc w:val="right"/>
              <w:rPr>
                <w:sz w:val="22"/>
                <w:szCs w:val="22"/>
              </w:rPr>
            </w:pPr>
            <w:r w:rsidRPr="00D51778">
              <w:rPr>
                <w:rFonts w:cs="Calibri"/>
                <w:color w:val="000000"/>
                <w:sz w:val="22"/>
                <w:szCs w:val="22"/>
                <w:lang w:val="ga"/>
              </w:rPr>
              <w:t>772</w:t>
            </w:r>
          </w:p>
        </w:tc>
        <w:tc>
          <w:tcPr>
            <w:tcW w:w="1412" w:type="dxa"/>
          </w:tcPr>
          <w:p w14:paraId="1D4F384F" w14:textId="433B3B8E" w:rsidR="0069671B" w:rsidRPr="00D51778" w:rsidRDefault="0069671B" w:rsidP="00F22C59">
            <w:pPr>
              <w:jc w:val="right"/>
              <w:rPr>
                <w:sz w:val="22"/>
                <w:szCs w:val="22"/>
              </w:rPr>
            </w:pPr>
            <w:r w:rsidRPr="00D51778">
              <w:rPr>
                <w:rFonts w:cs="Calibri"/>
                <w:color w:val="000000"/>
                <w:sz w:val="22"/>
                <w:szCs w:val="22"/>
                <w:lang w:val="ga"/>
              </w:rPr>
              <w:t>26</w:t>
            </w:r>
          </w:p>
        </w:tc>
        <w:tc>
          <w:tcPr>
            <w:tcW w:w="1564" w:type="dxa"/>
          </w:tcPr>
          <w:p w14:paraId="032FDEA8" w14:textId="32B1009A" w:rsidR="0069671B" w:rsidRPr="00D51778" w:rsidRDefault="0069671B" w:rsidP="00F22C59">
            <w:pPr>
              <w:jc w:val="right"/>
              <w:rPr>
                <w:sz w:val="22"/>
                <w:szCs w:val="22"/>
              </w:rPr>
            </w:pPr>
            <w:r w:rsidRPr="00D51778">
              <w:rPr>
                <w:rFonts w:cs="Calibri"/>
                <w:color w:val="000000"/>
                <w:sz w:val="22"/>
                <w:szCs w:val="22"/>
                <w:lang w:val="ga"/>
              </w:rPr>
              <w:t>3.4%</w:t>
            </w:r>
          </w:p>
        </w:tc>
        <w:tc>
          <w:tcPr>
            <w:tcW w:w="1418" w:type="dxa"/>
          </w:tcPr>
          <w:p w14:paraId="5E7D9019" w14:textId="2B30C129" w:rsidR="0069671B" w:rsidRPr="00D51778" w:rsidRDefault="0069671B" w:rsidP="00F22C59">
            <w:pPr>
              <w:jc w:val="right"/>
              <w:rPr>
                <w:sz w:val="22"/>
                <w:szCs w:val="22"/>
              </w:rPr>
            </w:pPr>
            <w:r w:rsidRPr="00D51778">
              <w:rPr>
                <w:rFonts w:cs="Calibri"/>
                <w:color w:val="000000"/>
                <w:sz w:val="22"/>
                <w:szCs w:val="22"/>
                <w:lang w:val="ga"/>
              </w:rPr>
              <w:t>740</w:t>
            </w:r>
          </w:p>
        </w:tc>
        <w:tc>
          <w:tcPr>
            <w:tcW w:w="1559" w:type="dxa"/>
          </w:tcPr>
          <w:p w14:paraId="120DEA5A" w14:textId="425FFE15" w:rsidR="0069671B" w:rsidRPr="00D51778" w:rsidRDefault="0069671B" w:rsidP="00F22C59">
            <w:pPr>
              <w:jc w:val="right"/>
              <w:rPr>
                <w:sz w:val="22"/>
                <w:szCs w:val="22"/>
              </w:rPr>
            </w:pPr>
            <w:r w:rsidRPr="00D51778">
              <w:rPr>
                <w:rFonts w:cs="Calibri"/>
                <w:color w:val="000000"/>
                <w:sz w:val="22"/>
                <w:szCs w:val="22"/>
                <w:lang w:val="ga"/>
              </w:rPr>
              <w:t>25</w:t>
            </w:r>
          </w:p>
        </w:tc>
        <w:tc>
          <w:tcPr>
            <w:tcW w:w="1574" w:type="dxa"/>
          </w:tcPr>
          <w:p w14:paraId="3AE42BF4" w14:textId="72D20B90" w:rsidR="0069671B" w:rsidRPr="00D51778" w:rsidRDefault="0069671B" w:rsidP="00F22C59">
            <w:pPr>
              <w:jc w:val="right"/>
              <w:rPr>
                <w:sz w:val="22"/>
                <w:szCs w:val="22"/>
              </w:rPr>
            </w:pPr>
            <w:r w:rsidRPr="00D51778">
              <w:rPr>
                <w:rFonts w:cs="Calibri"/>
                <w:color w:val="000000"/>
                <w:sz w:val="22"/>
                <w:szCs w:val="22"/>
                <w:lang w:val="ga"/>
              </w:rPr>
              <w:t>3.4%</w:t>
            </w:r>
          </w:p>
        </w:tc>
      </w:tr>
      <w:tr w:rsidR="0069671B" w:rsidRPr="00D51778" w14:paraId="1328177E" w14:textId="77777777" w:rsidTr="00C75B07">
        <w:trPr>
          <w:jc w:val="center"/>
        </w:trPr>
        <w:tc>
          <w:tcPr>
            <w:tcW w:w="2283" w:type="dxa"/>
          </w:tcPr>
          <w:p w14:paraId="67B20342" w14:textId="445DDBFE" w:rsidR="0069671B" w:rsidRPr="00D51778" w:rsidRDefault="0069671B" w:rsidP="00F22C59">
            <w:pPr>
              <w:rPr>
                <w:sz w:val="22"/>
                <w:szCs w:val="22"/>
              </w:rPr>
            </w:pPr>
            <w:r w:rsidRPr="00D51778">
              <w:rPr>
                <w:rFonts w:cs="Calibri"/>
                <w:color w:val="000000"/>
                <w:sz w:val="22"/>
                <w:szCs w:val="22"/>
                <w:lang w:val="ga"/>
              </w:rPr>
              <w:t>Comhairle Contae Mhaigh Eo</w:t>
            </w:r>
          </w:p>
        </w:tc>
        <w:tc>
          <w:tcPr>
            <w:tcW w:w="1403" w:type="dxa"/>
          </w:tcPr>
          <w:p w14:paraId="3333EF6B" w14:textId="02C11744" w:rsidR="0069671B" w:rsidRPr="00D51778" w:rsidRDefault="0069671B" w:rsidP="00F22C59">
            <w:pPr>
              <w:jc w:val="right"/>
              <w:rPr>
                <w:sz w:val="22"/>
                <w:szCs w:val="22"/>
              </w:rPr>
            </w:pPr>
            <w:r w:rsidRPr="00D51778">
              <w:rPr>
                <w:rFonts w:cs="Calibri"/>
                <w:color w:val="000000"/>
                <w:sz w:val="22"/>
                <w:szCs w:val="22"/>
                <w:lang w:val="ga"/>
              </w:rPr>
              <w:t>1,267</w:t>
            </w:r>
          </w:p>
        </w:tc>
        <w:tc>
          <w:tcPr>
            <w:tcW w:w="1412" w:type="dxa"/>
          </w:tcPr>
          <w:p w14:paraId="6A7499AF" w14:textId="52689EBC" w:rsidR="0069671B" w:rsidRPr="00D51778" w:rsidRDefault="0069671B" w:rsidP="00F22C59">
            <w:pPr>
              <w:jc w:val="right"/>
              <w:rPr>
                <w:sz w:val="22"/>
                <w:szCs w:val="22"/>
              </w:rPr>
            </w:pPr>
            <w:r w:rsidRPr="00D51778">
              <w:rPr>
                <w:rFonts w:cs="Calibri"/>
                <w:color w:val="000000"/>
                <w:sz w:val="22"/>
                <w:szCs w:val="22"/>
                <w:lang w:val="ga"/>
              </w:rPr>
              <w:t>39</w:t>
            </w:r>
          </w:p>
        </w:tc>
        <w:tc>
          <w:tcPr>
            <w:tcW w:w="1564" w:type="dxa"/>
          </w:tcPr>
          <w:p w14:paraId="1638C929" w14:textId="4B70D73B" w:rsidR="0069671B" w:rsidRPr="00D51778" w:rsidRDefault="0069671B" w:rsidP="00F22C59">
            <w:pPr>
              <w:jc w:val="right"/>
              <w:rPr>
                <w:sz w:val="22"/>
                <w:szCs w:val="22"/>
              </w:rPr>
            </w:pPr>
            <w:r w:rsidRPr="00D51778">
              <w:rPr>
                <w:rFonts w:cs="Calibri"/>
                <w:color w:val="000000"/>
                <w:sz w:val="22"/>
                <w:szCs w:val="22"/>
                <w:lang w:val="ga"/>
              </w:rPr>
              <w:t>3.1%</w:t>
            </w:r>
          </w:p>
        </w:tc>
        <w:tc>
          <w:tcPr>
            <w:tcW w:w="1418" w:type="dxa"/>
          </w:tcPr>
          <w:p w14:paraId="1B89E3AB" w14:textId="10085458" w:rsidR="0069671B" w:rsidRPr="00D51778" w:rsidRDefault="0069671B" w:rsidP="00F22C59">
            <w:pPr>
              <w:jc w:val="right"/>
              <w:rPr>
                <w:sz w:val="22"/>
                <w:szCs w:val="22"/>
              </w:rPr>
            </w:pPr>
            <w:r w:rsidRPr="00D51778">
              <w:rPr>
                <w:rFonts w:cs="Calibri"/>
                <w:color w:val="000000"/>
                <w:sz w:val="22"/>
                <w:szCs w:val="22"/>
                <w:lang w:val="ga"/>
              </w:rPr>
              <w:t>1,317</w:t>
            </w:r>
          </w:p>
        </w:tc>
        <w:tc>
          <w:tcPr>
            <w:tcW w:w="1559" w:type="dxa"/>
          </w:tcPr>
          <w:p w14:paraId="13EFCC53" w14:textId="77A34457" w:rsidR="0069671B" w:rsidRPr="00D51778" w:rsidRDefault="0069671B" w:rsidP="00F22C59">
            <w:pPr>
              <w:jc w:val="right"/>
              <w:rPr>
                <w:sz w:val="22"/>
                <w:szCs w:val="22"/>
              </w:rPr>
            </w:pPr>
            <w:r w:rsidRPr="00D51778">
              <w:rPr>
                <w:rFonts w:cs="Calibri"/>
                <w:color w:val="000000"/>
                <w:sz w:val="22"/>
                <w:szCs w:val="22"/>
                <w:lang w:val="ga"/>
              </w:rPr>
              <w:t>59</w:t>
            </w:r>
          </w:p>
        </w:tc>
        <w:tc>
          <w:tcPr>
            <w:tcW w:w="1574" w:type="dxa"/>
          </w:tcPr>
          <w:p w14:paraId="717E3E47" w14:textId="7F1294DC" w:rsidR="0069671B" w:rsidRPr="00D51778" w:rsidRDefault="0069671B" w:rsidP="00F22C59">
            <w:pPr>
              <w:jc w:val="right"/>
              <w:rPr>
                <w:sz w:val="22"/>
                <w:szCs w:val="22"/>
              </w:rPr>
            </w:pPr>
            <w:r w:rsidRPr="00D51778">
              <w:rPr>
                <w:rFonts w:cs="Calibri"/>
                <w:color w:val="000000"/>
                <w:sz w:val="22"/>
                <w:szCs w:val="22"/>
                <w:lang w:val="ga"/>
              </w:rPr>
              <w:t>4.5%</w:t>
            </w:r>
          </w:p>
        </w:tc>
      </w:tr>
      <w:tr w:rsidR="0069671B" w:rsidRPr="00D51778" w14:paraId="2F945A25" w14:textId="77777777" w:rsidTr="00C75B07">
        <w:trPr>
          <w:jc w:val="center"/>
        </w:trPr>
        <w:tc>
          <w:tcPr>
            <w:tcW w:w="2283" w:type="dxa"/>
          </w:tcPr>
          <w:p w14:paraId="38995EF9" w14:textId="5FCD8001" w:rsidR="0069671B" w:rsidRPr="00D51778" w:rsidRDefault="0069671B" w:rsidP="00F22C59">
            <w:pPr>
              <w:rPr>
                <w:sz w:val="22"/>
                <w:szCs w:val="22"/>
              </w:rPr>
            </w:pPr>
            <w:r w:rsidRPr="00D51778">
              <w:rPr>
                <w:rFonts w:cs="Calibri"/>
                <w:color w:val="000000"/>
                <w:sz w:val="22"/>
                <w:szCs w:val="22"/>
                <w:lang w:val="ga"/>
              </w:rPr>
              <w:t>Comhairle Contae na Mí</w:t>
            </w:r>
          </w:p>
        </w:tc>
        <w:tc>
          <w:tcPr>
            <w:tcW w:w="1403" w:type="dxa"/>
          </w:tcPr>
          <w:p w14:paraId="6EDD55FD" w14:textId="37AB0BCA" w:rsidR="0069671B" w:rsidRPr="00D51778" w:rsidRDefault="0069671B" w:rsidP="00F22C59">
            <w:pPr>
              <w:jc w:val="right"/>
              <w:rPr>
                <w:sz w:val="22"/>
                <w:szCs w:val="22"/>
              </w:rPr>
            </w:pPr>
            <w:r w:rsidRPr="00D51778">
              <w:rPr>
                <w:rFonts w:cs="Calibri"/>
                <w:color w:val="000000"/>
                <w:sz w:val="22"/>
                <w:szCs w:val="22"/>
                <w:lang w:val="ga"/>
              </w:rPr>
              <w:t>778</w:t>
            </w:r>
          </w:p>
        </w:tc>
        <w:tc>
          <w:tcPr>
            <w:tcW w:w="1412" w:type="dxa"/>
          </w:tcPr>
          <w:p w14:paraId="3C38BB74" w14:textId="129E7E92" w:rsidR="0069671B" w:rsidRPr="00D51778" w:rsidRDefault="0069671B" w:rsidP="00F22C59">
            <w:pPr>
              <w:jc w:val="right"/>
              <w:rPr>
                <w:sz w:val="22"/>
                <w:szCs w:val="22"/>
              </w:rPr>
            </w:pPr>
            <w:r w:rsidRPr="00D51778">
              <w:rPr>
                <w:rFonts w:cs="Calibri"/>
                <w:color w:val="000000"/>
                <w:sz w:val="22"/>
                <w:szCs w:val="22"/>
                <w:lang w:val="ga"/>
              </w:rPr>
              <w:t>31</w:t>
            </w:r>
          </w:p>
        </w:tc>
        <w:tc>
          <w:tcPr>
            <w:tcW w:w="1564" w:type="dxa"/>
          </w:tcPr>
          <w:p w14:paraId="677C2462" w14:textId="42FDD09E" w:rsidR="0069671B" w:rsidRPr="00D51778" w:rsidRDefault="0069671B" w:rsidP="00F22C59">
            <w:pPr>
              <w:jc w:val="right"/>
              <w:rPr>
                <w:sz w:val="22"/>
                <w:szCs w:val="22"/>
              </w:rPr>
            </w:pPr>
            <w:r w:rsidRPr="00D51778">
              <w:rPr>
                <w:rFonts w:cs="Calibri"/>
                <w:color w:val="000000"/>
                <w:sz w:val="22"/>
                <w:szCs w:val="22"/>
                <w:lang w:val="ga"/>
              </w:rPr>
              <w:t>4.0%</w:t>
            </w:r>
          </w:p>
        </w:tc>
        <w:tc>
          <w:tcPr>
            <w:tcW w:w="1418" w:type="dxa"/>
          </w:tcPr>
          <w:p w14:paraId="208CBC3D" w14:textId="26A17663" w:rsidR="0069671B" w:rsidRPr="00D51778" w:rsidRDefault="0069671B" w:rsidP="00F22C59">
            <w:pPr>
              <w:jc w:val="right"/>
              <w:rPr>
                <w:sz w:val="22"/>
                <w:szCs w:val="22"/>
              </w:rPr>
            </w:pPr>
            <w:r w:rsidRPr="00D51778">
              <w:rPr>
                <w:rFonts w:cs="Calibri"/>
                <w:color w:val="000000"/>
                <w:sz w:val="22"/>
                <w:szCs w:val="22"/>
                <w:lang w:val="ga"/>
              </w:rPr>
              <w:t>802</w:t>
            </w:r>
          </w:p>
        </w:tc>
        <w:tc>
          <w:tcPr>
            <w:tcW w:w="1559" w:type="dxa"/>
          </w:tcPr>
          <w:p w14:paraId="521E3492" w14:textId="4D81C034" w:rsidR="0069671B" w:rsidRPr="00D51778" w:rsidRDefault="0069671B" w:rsidP="00F22C59">
            <w:pPr>
              <w:jc w:val="right"/>
              <w:rPr>
                <w:sz w:val="22"/>
                <w:szCs w:val="22"/>
              </w:rPr>
            </w:pPr>
            <w:r w:rsidRPr="00D51778">
              <w:rPr>
                <w:rFonts w:cs="Calibri"/>
                <w:color w:val="000000"/>
                <w:sz w:val="22"/>
                <w:szCs w:val="22"/>
                <w:lang w:val="ga"/>
              </w:rPr>
              <w:t>37</w:t>
            </w:r>
          </w:p>
        </w:tc>
        <w:tc>
          <w:tcPr>
            <w:tcW w:w="1574" w:type="dxa"/>
          </w:tcPr>
          <w:p w14:paraId="6BD398A8" w14:textId="06E5BE60" w:rsidR="0069671B" w:rsidRPr="00D51778" w:rsidRDefault="0069671B" w:rsidP="00F22C59">
            <w:pPr>
              <w:jc w:val="right"/>
              <w:rPr>
                <w:sz w:val="22"/>
                <w:szCs w:val="22"/>
              </w:rPr>
            </w:pPr>
            <w:r w:rsidRPr="00D51778">
              <w:rPr>
                <w:rFonts w:cs="Calibri"/>
                <w:color w:val="000000"/>
                <w:sz w:val="22"/>
                <w:szCs w:val="22"/>
                <w:lang w:val="ga"/>
              </w:rPr>
              <w:t>4.6%</w:t>
            </w:r>
          </w:p>
        </w:tc>
      </w:tr>
      <w:tr w:rsidR="0069671B" w:rsidRPr="00D51778" w14:paraId="34AA1325" w14:textId="77777777" w:rsidTr="00C75B07">
        <w:trPr>
          <w:jc w:val="center"/>
        </w:trPr>
        <w:tc>
          <w:tcPr>
            <w:tcW w:w="2283" w:type="dxa"/>
          </w:tcPr>
          <w:p w14:paraId="77B3DA82" w14:textId="69B4934F" w:rsidR="0069671B" w:rsidRPr="00D51778" w:rsidRDefault="0069671B" w:rsidP="00F22C59">
            <w:pPr>
              <w:rPr>
                <w:sz w:val="22"/>
                <w:szCs w:val="22"/>
              </w:rPr>
            </w:pPr>
            <w:r w:rsidRPr="00D51778">
              <w:rPr>
                <w:rFonts w:cs="Calibri"/>
                <w:color w:val="000000"/>
                <w:sz w:val="22"/>
                <w:szCs w:val="22"/>
                <w:lang w:val="ga"/>
              </w:rPr>
              <w:t>Comhairle Contae Mhuineacháin</w:t>
            </w:r>
          </w:p>
        </w:tc>
        <w:tc>
          <w:tcPr>
            <w:tcW w:w="1403" w:type="dxa"/>
          </w:tcPr>
          <w:p w14:paraId="49D2A842" w14:textId="37F00FE9" w:rsidR="0069671B" w:rsidRPr="00D51778" w:rsidRDefault="0069671B" w:rsidP="00F22C59">
            <w:pPr>
              <w:jc w:val="right"/>
              <w:rPr>
                <w:sz w:val="22"/>
                <w:szCs w:val="22"/>
              </w:rPr>
            </w:pPr>
            <w:r w:rsidRPr="00D51778">
              <w:rPr>
                <w:rFonts w:cs="Calibri"/>
                <w:color w:val="000000"/>
                <w:sz w:val="22"/>
                <w:szCs w:val="22"/>
                <w:lang w:val="ga"/>
              </w:rPr>
              <w:t>470</w:t>
            </w:r>
          </w:p>
        </w:tc>
        <w:tc>
          <w:tcPr>
            <w:tcW w:w="1412" w:type="dxa"/>
          </w:tcPr>
          <w:p w14:paraId="318DCFB5" w14:textId="656A6C92" w:rsidR="0069671B" w:rsidRPr="00D51778" w:rsidRDefault="0069671B" w:rsidP="00F22C59">
            <w:pPr>
              <w:jc w:val="right"/>
              <w:rPr>
                <w:sz w:val="22"/>
                <w:szCs w:val="22"/>
              </w:rPr>
            </w:pPr>
            <w:r w:rsidRPr="00D51778">
              <w:rPr>
                <w:rFonts w:cs="Calibri"/>
                <w:color w:val="000000"/>
                <w:sz w:val="22"/>
                <w:szCs w:val="22"/>
                <w:lang w:val="ga"/>
              </w:rPr>
              <w:t>34</w:t>
            </w:r>
          </w:p>
        </w:tc>
        <w:tc>
          <w:tcPr>
            <w:tcW w:w="1564" w:type="dxa"/>
          </w:tcPr>
          <w:p w14:paraId="28662387" w14:textId="1E39239A" w:rsidR="0069671B" w:rsidRPr="00D51778" w:rsidRDefault="0069671B" w:rsidP="00F22C59">
            <w:pPr>
              <w:jc w:val="right"/>
              <w:rPr>
                <w:sz w:val="22"/>
                <w:szCs w:val="22"/>
              </w:rPr>
            </w:pPr>
            <w:r w:rsidRPr="00D51778">
              <w:rPr>
                <w:rFonts w:cs="Calibri"/>
                <w:color w:val="000000"/>
                <w:sz w:val="22"/>
                <w:szCs w:val="22"/>
                <w:lang w:val="ga"/>
              </w:rPr>
              <w:t>7.2%</w:t>
            </w:r>
          </w:p>
        </w:tc>
        <w:tc>
          <w:tcPr>
            <w:tcW w:w="1418" w:type="dxa"/>
          </w:tcPr>
          <w:p w14:paraId="716DC489" w14:textId="1B478531" w:rsidR="0069671B" w:rsidRPr="00D51778" w:rsidRDefault="0069671B" w:rsidP="00F22C59">
            <w:pPr>
              <w:jc w:val="right"/>
              <w:rPr>
                <w:sz w:val="22"/>
                <w:szCs w:val="22"/>
              </w:rPr>
            </w:pPr>
            <w:r w:rsidRPr="00D51778">
              <w:rPr>
                <w:rFonts w:cs="Calibri"/>
                <w:color w:val="000000"/>
                <w:sz w:val="22"/>
                <w:szCs w:val="22"/>
                <w:lang w:val="ga"/>
              </w:rPr>
              <w:t>462</w:t>
            </w:r>
          </w:p>
        </w:tc>
        <w:tc>
          <w:tcPr>
            <w:tcW w:w="1559" w:type="dxa"/>
          </w:tcPr>
          <w:p w14:paraId="1B19BB73" w14:textId="05B77BD0" w:rsidR="0069671B" w:rsidRPr="00D51778" w:rsidRDefault="0069671B" w:rsidP="00F22C59">
            <w:pPr>
              <w:jc w:val="right"/>
              <w:rPr>
                <w:sz w:val="22"/>
                <w:szCs w:val="22"/>
              </w:rPr>
            </w:pPr>
            <w:r w:rsidRPr="00D51778">
              <w:rPr>
                <w:rFonts w:cs="Calibri"/>
                <w:color w:val="000000"/>
                <w:sz w:val="22"/>
                <w:szCs w:val="22"/>
                <w:lang w:val="ga"/>
              </w:rPr>
              <w:t>35</w:t>
            </w:r>
          </w:p>
        </w:tc>
        <w:tc>
          <w:tcPr>
            <w:tcW w:w="1574" w:type="dxa"/>
          </w:tcPr>
          <w:p w14:paraId="4538F209" w14:textId="36C5257E" w:rsidR="0069671B" w:rsidRPr="00D51778" w:rsidRDefault="0069671B" w:rsidP="00F22C59">
            <w:pPr>
              <w:jc w:val="right"/>
              <w:rPr>
                <w:sz w:val="22"/>
                <w:szCs w:val="22"/>
              </w:rPr>
            </w:pPr>
            <w:r w:rsidRPr="00D51778">
              <w:rPr>
                <w:rFonts w:cs="Calibri"/>
                <w:color w:val="000000"/>
                <w:sz w:val="22"/>
                <w:szCs w:val="22"/>
                <w:lang w:val="ga"/>
              </w:rPr>
              <w:t>7.6%</w:t>
            </w:r>
          </w:p>
        </w:tc>
      </w:tr>
      <w:tr w:rsidR="0069671B" w:rsidRPr="00D51778" w14:paraId="72920AA2" w14:textId="77777777" w:rsidTr="00C75B07">
        <w:trPr>
          <w:jc w:val="center"/>
        </w:trPr>
        <w:tc>
          <w:tcPr>
            <w:tcW w:w="2283" w:type="dxa"/>
          </w:tcPr>
          <w:p w14:paraId="0972C496" w14:textId="4F841B95" w:rsidR="0069671B" w:rsidRPr="00D51778" w:rsidRDefault="0069671B" w:rsidP="00F22C59">
            <w:pPr>
              <w:rPr>
                <w:sz w:val="22"/>
                <w:szCs w:val="22"/>
              </w:rPr>
            </w:pPr>
            <w:r w:rsidRPr="00D51778">
              <w:rPr>
                <w:rFonts w:cs="Calibri"/>
                <w:color w:val="000000"/>
                <w:sz w:val="22"/>
                <w:szCs w:val="22"/>
                <w:lang w:val="ga"/>
              </w:rPr>
              <w:t>Tionól Réigiúnach an Tuaiscirt agus an Iarthair</w:t>
            </w:r>
          </w:p>
        </w:tc>
        <w:tc>
          <w:tcPr>
            <w:tcW w:w="1403" w:type="dxa"/>
          </w:tcPr>
          <w:p w14:paraId="12EC5AC7" w14:textId="0F9F3B15" w:rsidR="0069671B" w:rsidRPr="00D51778" w:rsidRDefault="0069671B" w:rsidP="00F22C59">
            <w:pPr>
              <w:jc w:val="right"/>
              <w:rPr>
                <w:sz w:val="22"/>
                <w:szCs w:val="22"/>
              </w:rPr>
            </w:pPr>
            <w:r w:rsidRPr="00D51778">
              <w:rPr>
                <w:rFonts w:cs="Calibri"/>
                <w:color w:val="000000"/>
                <w:sz w:val="22"/>
                <w:szCs w:val="22"/>
                <w:lang w:val="ga"/>
              </w:rPr>
              <w:t>18</w:t>
            </w:r>
          </w:p>
        </w:tc>
        <w:tc>
          <w:tcPr>
            <w:tcW w:w="1412" w:type="dxa"/>
          </w:tcPr>
          <w:p w14:paraId="1063452F" w14:textId="3ED40C75" w:rsidR="0069671B" w:rsidRPr="00D51778" w:rsidRDefault="0069671B" w:rsidP="00F22C59">
            <w:pPr>
              <w:jc w:val="right"/>
              <w:rPr>
                <w:sz w:val="22"/>
                <w:szCs w:val="22"/>
              </w:rPr>
            </w:pPr>
            <w:r w:rsidRPr="00D51778">
              <w:rPr>
                <w:rFonts w:cs="Calibri"/>
                <w:color w:val="000000"/>
                <w:sz w:val="22"/>
                <w:szCs w:val="22"/>
                <w:lang w:val="ga"/>
              </w:rPr>
              <w:t>0</w:t>
            </w:r>
          </w:p>
        </w:tc>
        <w:tc>
          <w:tcPr>
            <w:tcW w:w="1564" w:type="dxa"/>
          </w:tcPr>
          <w:p w14:paraId="4B61DB17" w14:textId="11179B7F" w:rsidR="0069671B" w:rsidRPr="00D51778" w:rsidRDefault="0069671B" w:rsidP="00F22C59">
            <w:pPr>
              <w:jc w:val="right"/>
              <w:rPr>
                <w:sz w:val="22"/>
                <w:szCs w:val="22"/>
              </w:rPr>
            </w:pPr>
            <w:r w:rsidRPr="00D51778">
              <w:rPr>
                <w:rFonts w:cs="Calibri"/>
                <w:color w:val="000000"/>
                <w:sz w:val="22"/>
                <w:szCs w:val="22"/>
                <w:lang w:val="ga"/>
              </w:rPr>
              <w:t>0.0%</w:t>
            </w:r>
          </w:p>
        </w:tc>
        <w:tc>
          <w:tcPr>
            <w:tcW w:w="1418" w:type="dxa"/>
          </w:tcPr>
          <w:p w14:paraId="041ED1FB" w14:textId="21CD5862" w:rsidR="0069671B" w:rsidRPr="00D51778" w:rsidRDefault="0069671B" w:rsidP="00F22C59">
            <w:pPr>
              <w:jc w:val="right"/>
              <w:rPr>
                <w:sz w:val="22"/>
                <w:szCs w:val="22"/>
              </w:rPr>
            </w:pPr>
            <w:r w:rsidRPr="00D51778">
              <w:rPr>
                <w:rFonts w:cs="Calibri"/>
                <w:color w:val="000000"/>
                <w:sz w:val="22"/>
                <w:szCs w:val="22"/>
                <w:lang w:val="ga"/>
              </w:rPr>
              <w:t>19</w:t>
            </w:r>
          </w:p>
        </w:tc>
        <w:tc>
          <w:tcPr>
            <w:tcW w:w="1559" w:type="dxa"/>
          </w:tcPr>
          <w:p w14:paraId="2D6A4EBF" w14:textId="6B1583C5" w:rsidR="0069671B" w:rsidRPr="00D51778" w:rsidRDefault="0069671B" w:rsidP="00F22C59">
            <w:pPr>
              <w:jc w:val="right"/>
              <w:rPr>
                <w:sz w:val="22"/>
                <w:szCs w:val="22"/>
              </w:rPr>
            </w:pPr>
            <w:r w:rsidRPr="00D51778">
              <w:rPr>
                <w:rFonts w:cs="Calibri"/>
                <w:color w:val="000000"/>
                <w:sz w:val="22"/>
                <w:szCs w:val="22"/>
                <w:lang w:val="ga"/>
              </w:rPr>
              <w:t>0</w:t>
            </w:r>
          </w:p>
        </w:tc>
        <w:tc>
          <w:tcPr>
            <w:tcW w:w="1574" w:type="dxa"/>
          </w:tcPr>
          <w:p w14:paraId="625BB094" w14:textId="443C2A97" w:rsidR="0069671B" w:rsidRPr="00D51778" w:rsidRDefault="0069671B" w:rsidP="00F22C59">
            <w:pPr>
              <w:jc w:val="right"/>
              <w:rPr>
                <w:sz w:val="22"/>
                <w:szCs w:val="22"/>
              </w:rPr>
            </w:pPr>
            <w:r w:rsidRPr="00D51778">
              <w:rPr>
                <w:rFonts w:cs="Calibri"/>
                <w:color w:val="000000"/>
                <w:sz w:val="22"/>
                <w:szCs w:val="22"/>
                <w:lang w:val="ga"/>
              </w:rPr>
              <w:t>0.0%</w:t>
            </w:r>
          </w:p>
        </w:tc>
      </w:tr>
      <w:tr w:rsidR="0069671B" w:rsidRPr="00D51778" w14:paraId="5F485423" w14:textId="77777777" w:rsidTr="00C75B07">
        <w:trPr>
          <w:jc w:val="center"/>
        </w:trPr>
        <w:tc>
          <w:tcPr>
            <w:tcW w:w="2283" w:type="dxa"/>
          </w:tcPr>
          <w:p w14:paraId="3218F958" w14:textId="1A2313D3" w:rsidR="0069671B" w:rsidRPr="00D51778" w:rsidRDefault="0069671B" w:rsidP="00F22C59">
            <w:pPr>
              <w:rPr>
                <w:sz w:val="22"/>
                <w:szCs w:val="22"/>
              </w:rPr>
            </w:pPr>
            <w:r w:rsidRPr="00D51778">
              <w:rPr>
                <w:rFonts w:cs="Calibri"/>
                <w:color w:val="000000"/>
                <w:sz w:val="22"/>
                <w:szCs w:val="22"/>
                <w:lang w:val="ga"/>
              </w:rPr>
              <w:t>Comhairle Contae Uíbh Fhailí</w:t>
            </w:r>
          </w:p>
        </w:tc>
        <w:tc>
          <w:tcPr>
            <w:tcW w:w="1403" w:type="dxa"/>
          </w:tcPr>
          <w:p w14:paraId="0322845B" w14:textId="6AAA5B82" w:rsidR="0069671B" w:rsidRPr="00D51778" w:rsidRDefault="0069671B" w:rsidP="00F22C59">
            <w:pPr>
              <w:jc w:val="right"/>
              <w:rPr>
                <w:sz w:val="22"/>
                <w:szCs w:val="22"/>
              </w:rPr>
            </w:pPr>
            <w:r w:rsidRPr="00D51778">
              <w:rPr>
                <w:rFonts w:cs="Calibri"/>
                <w:color w:val="000000"/>
                <w:sz w:val="22"/>
                <w:szCs w:val="22"/>
                <w:lang w:val="ga"/>
              </w:rPr>
              <w:t>434</w:t>
            </w:r>
          </w:p>
        </w:tc>
        <w:tc>
          <w:tcPr>
            <w:tcW w:w="1412" w:type="dxa"/>
          </w:tcPr>
          <w:p w14:paraId="5E3C534D" w14:textId="67EEC22A" w:rsidR="0069671B" w:rsidRPr="00D51778" w:rsidRDefault="0069671B" w:rsidP="00F22C59">
            <w:pPr>
              <w:jc w:val="right"/>
              <w:rPr>
                <w:sz w:val="22"/>
                <w:szCs w:val="22"/>
              </w:rPr>
            </w:pPr>
            <w:r w:rsidRPr="00D51778">
              <w:rPr>
                <w:rFonts w:cs="Calibri"/>
                <w:color w:val="000000"/>
                <w:sz w:val="22"/>
                <w:szCs w:val="22"/>
                <w:lang w:val="ga"/>
              </w:rPr>
              <w:t>27</w:t>
            </w:r>
          </w:p>
        </w:tc>
        <w:tc>
          <w:tcPr>
            <w:tcW w:w="1564" w:type="dxa"/>
          </w:tcPr>
          <w:p w14:paraId="4B548C50" w14:textId="51B514BA" w:rsidR="0069671B" w:rsidRPr="00D51778" w:rsidRDefault="0069671B" w:rsidP="00F22C59">
            <w:pPr>
              <w:jc w:val="right"/>
              <w:rPr>
                <w:sz w:val="22"/>
                <w:szCs w:val="22"/>
              </w:rPr>
            </w:pPr>
            <w:r w:rsidRPr="00D51778">
              <w:rPr>
                <w:rFonts w:cs="Calibri"/>
                <w:color w:val="000000"/>
                <w:sz w:val="22"/>
                <w:szCs w:val="22"/>
                <w:lang w:val="ga"/>
              </w:rPr>
              <w:t>6.2%</w:t>
            </w:r>
          </w:p>
        </w:tc>
        <w:tc>
          <w:tcPr>
            <w:tcW w:w="1418" w:type="dxa"/>
          </w:tcPr>
          <w:p w14:paraId="0597B3A8" w14:textId="5DC46830" w:rsidR="0069671B" w:rsidRPr="00D51778" w:rsidRDefault="0069671B" w:rsidP="00F22C59">
            <w:pPr>
              <w:jc w:val="right"/>
              <w:rPr>
                <w:sz w:val="22"/>
                <w:szCs w:val="22"/>
              </w:rPr>
            </w:pPr>
            <w:r w:rsidRPr="00D51778">
              <w:rPr>
                <w:rFonts w:cs="Calibri"/>
                <w:color w:val="000000"/>
                <w:sz w:val="22"/>
                <w:szCs w:val="22"/>
                <w:lang w:val="ga"/>
              </w:rPr>
              <w:t>430</w:t>
            </w:r>
          </w:p>
        </w:tc>
        <w:tc>
          <w:tcPr>
            <w:tcW w:w="1559" w:type="dxa"/>
          </w:tcPr>
          <w:p w14:paraId="27D3D84C" w14:textId="336D1906" w:rsidR="0069671B" w:rsidRPr="00D51778" w:rsidRDefault="0069671B" w:rsidP="00F22C59">
            <w:pPr>
              <w:jc w:val="right"/>
              <w:rPr>
                <w:sz w:val="22"/>
                <w:szCs w:val="22"/>
              </w:rPr>
            </w:pPr>
            <w:r w:rsidRPr="00D51778">
              <w:rPr>
                <w:rFonts w:cs="Calibri"/>
                <w:color w:val="000000"/>
                <w:sz w:val="22"/>
                <w:szCs w:val="22"/>
                <w:lang w:val="ga"/>
              </w:rPr>
              <w:t>24</w:t>
            </w:r>
          </w:p>
        </w:tc>
        <w:tc>
          <w:tcPr>
            <w:tcW w:w="1574" w:type="dxa"/>
          </w:tcPr>
          <w:p w14:paraId="051DB228" w14:textId="533AB833" w:rsidR="0069671B" w:rsidRPr="00D51778" w:rsidRDefault="0069671B" w:rsidP="00F22C59">
            <w:pPr>
              <w:jc w:val="right"/>
              <w:rPr>
                <w:sz w:val="22"/>
                <w:szCs w:val="22"/>
              </w:rPr>
            </w:pPr>
            <w:r w:rsidRPr="00D51778">
              <w:rPr>
                <w:rFonts w:cs="Calibri"/>
                <w:color w:val="000000"/>
                <w:sz w:val="22"/>
                <w:szCs w:val="22"/>
                <w:lang w:val="ga"/>
              </w:rPr>
              <w:t>5.6%</w:t>
            </w:r>
          </w:p>
        </w:tc>
      </w:tr>
      <w:tr w:rsidR="0069671B" w:rsidRPr="00D51778" w14:paraId="7A718AF0" w14:textId="77777777" w:rsidTr="00C75B07">
        <w:trPr>
          <w:jc w:val="center"/>
        </w:trPr>
        <w:tc>
          <w:tcPr>
            <w:tcW w:w="2283" w:type="dxa"/>
          </w:tcPr>
          <w:p w14:paraId="7A6C87F4" w14:textId="4EBC4052" w:rsidR="0069671B" w:rsidRPr="00D51778" w:rsidRDefault="0069671B" w:rsidP="00F22C59">
            <w:pPr>
              <w:rPr>
                <w:sz w:val="22"/>
                <w:szCs w:val="22"/>
              </w:rPr>
            </w:pPr>
            <w:r w:rsidRPr="00D51778">
              <w:rPr>
                <w:rFonts w:cs="Calibri"/>
                <w:color w:val="000000"/>
                <w:sz w:val="22"/>
                <w:szCs w:val="22"/>
                <w:lang w:val="ga"/>
              </w:rPr>
              <w:t>Suirbhéireacht Ordanáis Éireann (OSI)</w:t>
            </w:r>
          </w:p>
        </w:tc>
        <w:tc>
          <w:tcPr>
            <w:tcW w:w="1403" w:type="dxa"/>
          </w:tcPr>
          <w:p w14:paraId="30A89E2B" w14:textId="248583FD" w:rsidR="0069671B" w:rsidRPr="00D51778" w:rsidRDefault="0069671B" w:rsidP="00F22C59">
            <w:pPr>
              <w:jc w:val="right"/>
              <w:rPr>
                <w:sz w:val="22"/>
                <w:szCs w:val="22"/>
              </w:rPr>
            </w:pPr>
            <w:r w:rsidRPr="00D51778">
              <w:rPr>
                <w:rFonts w:cs="Calibri"/>
                <w:color w:val="000000"/>
                <w:sz w:val="22"/>
                <w:szCs w:val="22"/>
                <w:lang w:val="ga"/>
              </w:rPr>
              <w:t>225</w:t>
            </w:r>
          </w:p>
        </w:tc>
        <w:tc>
          <w:tcPr>
            <w:tcW w:w="1412" w:type="dxa"/>
          </w:tcPr>
          <w:p w14:paraId="4FC89B48" w14:textId="4D9BA10B" w:rsidR="0069671B" w:rsidRPr="00D51778" w:rsidRDefault="0069671B" w:rsidP="00F22C59">
            <w:pPr>
              <w:jc w:val="right"/>
              <w:rPr>
                <w:sz w:val="22"/>
                <w:szCs w:val="22"/>
              </w:rPr>
            </w:pPr>
            <w:r w:rsidRPr="00D51778">
              <w:rPr>
                <w:rFonts w:cs="Calibri"/>
                <w:color w:val="000000"/>
                <w:sz w:val="22"/>
                <w:szCs w:val="22"/>
                <w:lang w:val="ga"/>
              </w:rPr>
              <w:t>10</w:t>
            </w:r>
          </w:p>
        </w:tc>
        <w:tc>
          <w:tcPr>
            <w:tcW w:w="1564" w:type="dxa"/>
          </w:tcPr>
          <w:p w14:paraId="5DF9F3D1" w14:textId="2AE90940" w:rsidR="0069671B" w:rsidRPr="00D51778" w:rsidRDefault="0069671B" w:rsidP="00F22C59">
            <w:pPr>
              <w:jc w:val="right"/>
              <w:rPr>
                <w:sz w:val="22"/>
                <w:szCs w:val="22"/>
              </w:rPr>
            </w:pPr>
            <w:r w:rsidRPr="00D51778">
              <w:rPr>
                <w:rFonts w:cs="Calibri"/>
                <w:color w:val="000000"/>
                <w:sz w:val="22"/>
                <w:szCs w:val="22"/>
                <w:lang w:val="ga"/>
              </w:rPr>
              <w:t>4.4%</w:t>
            </w:r>
          </w:p>
        </w:tc>
        <w:tc>
          <w:tcPr>
            <w:tcW w:w="1418" w:type="dxa"/>
          </w:tcPr>
          <w:p w14:paraId="590B90E3" w14:textId="52DDE94E" w:rsidR="0069671B" w:rsidRPr="00D51778" w:rsidRDefault="0069671B" w:rsidP="00F22C59">
            <w:pPr>
              <w:jc w:val="right"/>
              <w:rPr>
                <w:sz w:val="22"/>
                <w:szCs w:val="22"/>
              </w:rPr>
            </w:pPr>
            <w:r w:rsidRPr="00D51778">
              <w:rPr>
                <w:rFonts w:cs="Calibri"/>
                <w:color w:val="000000"/>
                <w:sz w:val="22"/>
                <w:szCs w:val="22"/>
                <w:lang w:val="ga"/>
              </w:rPr>
              <w:t>218</w:t>
            </w:r>
          </w:p>
        </w:tc>
        <w:tc>
          <w:tcPr>
            <w:tcW w:w="1559" w:type="dxa"/>
          </w:tcPr>
          <w:p w14:paraId="2BC226E3" w14:textId="7B65C9C7" w:rsidR="0069671B" w:rsidRPr="00D51778" w:rsidRDefault="0069671B" w:rsidP="00F22C59">
            <w:pPr>
              <w:jc w:val="right"/>
              <w:rPr>
                <w:sz w:val="22"/>
                <w:szCs w:val="22"/>
              </w:rPr>
            </w:pPr>
            <w:r w:rsidRPr="00D51778">
              <w:rPr>
                <w:rFonts w:cs="Calibri"/>
                <w:color w:val="000000"/>
                <w:sz w:val="22"/>
                <w:szCs w:val="22"/>
                <w:lang w:val="ga"/>
              </w:rPr>
              <w:t>16</w:t>
            </w:r>
          </w:p>
        </w:tc>
        <w:tc>
          <w:tcPr>
            <w:tcW w:w="1574" w:type="dxa"/>
          </w:tcPr>
          <w:p w14:paraId="525AA4CF" w14:textId="0EB95219" w:rsidR="0069671B" w:rsidRPr="00D51778" w:rsidRDefault="0069671B" w:rsidP="00F22C59">
            <w:pPr>
              <w:jc w:val="right"/>
              <w:rPr>
                <w:sz w:val="22"/>
                <w:szCs w:val="22"/>
              </w:rPr>
            </w:pPr>
            <w:r w:rsidRPr="00D51778">
              <w:rPr>
                <w:rFonts w:cs="Calibri"/>
                <w:color w:val="000000"/>
                <w:sz w:val="22"/>
                <w:szCs w:val="22"/>
                <w:lang w:val="ga"/>
              </w:rPr>
              <w:t>7.3%</w:t>
            </w:r>
          </w:p>
        </w:tc>
      </w:tr>
      <w:tr w:rsidR="0069671B" w:rsidRPr="00D51778" w14:paraId="7C93B559" w14:textId="77777777" w:rsidTr="00C75B07">
        <w:trPr>
          <w:jc w:val="center"/>
        </w:trPr>
        <w:tc>
          <w:tcPr>
            <w:tcW w:w="2283" w:type="dxa"/>
          </w:tcPr>
          <w:p w14:paraId="25FEA318" w14:textId="26FC6C3F" w:rsidR="0069671B" w:rsidRPr="00D51778" w:rsidRDefault="0069671B" w:rsidP="00F22C59">
            <w:pPr>
              <w:rPr>
                <w:sz w:val="22"/>
                <w:szCs w:val="22"/>
              </w:rPr>
            </w:pPr>
            <w:r w:rsidRPr="00D51778">
              <w:rPr>
                <w:rFonts w:cs="Calibri"/>
                <w:color w:val="000000"/>
                <w:sz w:val="22"/>
                <w:szCs w:val="22"/>
                <w:lang w:val="ga"/>
              </w:rPr>
              <w:t>An Bord um Thionóntachtaí Cónaithe</w:t>
            </w:r>
          </w:p>
        </w:tc>
        <w:tc>
          <w:tcPr>
            <w:tcW w:w="1403" w:type="dxa"/>
          </w:tcPr>
          <w:p w14:paraId="34C3A909" w14:textId="31253AC2" w:rsidR="0069671B" w:rsidRPr="00D51778" w:rsidRDefault="0069671B" w:rsidP="00F22C59">
            <w:pPr>
              <w:jc w:val="right"/>
              <w:rPr>
                <w:sz w:val="22"/>
                <w:szCs w:val="22"/>
              </w:rPr>
            </w:pPr>
            <w:r w:rsidRPr="00D51778">
              <w:rPr>
                <w:rFonts w:cs="Calibri"/>
                <w:color w:val="000000"/>
                <w:sz w:val="22"/>
                <w:szCs w:val="22"/>
                <w:lang w:val="ga"/>
              </w:rPr>
              <w:t>90</w:t>
            </w:r>
          </w:p>
        </w:tc>
        <w:tc>
          <w:tcPr>
            <w:tcW w:w="1412" w:type="dxa"/>
          </w:tcPr>
          <w:p w14:paraId="51388587" w14:textId="667E1064" w:rsidR="0069671B" w:rsidRPr="00D51778" w:rsidRDefault="0069671B" w:rsidP="00F22C59">
            <w:pPr>
              <w:jc w:val="right"/>
              <w:rPr>
                <w:sz w:val="22"/>
                <w:szCs w:val="22"/>
              </w:rPr>
            </w:pPr>
            <w:r w:rsidRPr="00D51778">
              <w:rPr>
                <w:rFonts w:cs="Calibri"/>
                <w:color w:val="000000"/>
                <w:sz w:val="22"/>
                <w:szCs w:val="22"/>
                <w:lang w:val="ga"/>
              </w:rPr>
              <w:t>3</w:t>
            </w:r>
          </w:p>
        </w:tc>
        <w:tc>
          <w:tcPr>
            <w:tcW w:w="1564" w:type="dxa"/>
          </w:tcPr>
          <w:p w14:paraId="00675BEC" w14:textId="4914A262" w:rsidR="0069671B" w:rsidRPr="00D51778" w:rsidRDefault="0069671B" w:rsidP="00F22C59">
            <w:pPr>
              <w:jc w:val="right"/>
              <w:rPr>
                <w:sz w:val="22"/>
                <w:szCs w:val="22"/>
              </w:rPr>
            </w:pPr>
            <w:r w:rsidRPr="00D51778">
              <w:rPr>
                <w:rFonts w:cs="Calibri"/>
                <w:color w:val="000000"/>
                <w:sz w:val="22"/>
                <w:szCs w:val="22"/>
                <w:lang w:val="ga"/>
              </w:rPr>
              <w:t>3.3%</w:t>
            </w:r>
          </w:p>
        </w:tc>
        <w:tc>
          <w:tcPr>
            <w:tcW w:w="1418" w:type="dxa"/>
          </w:tcPr>
          <w:p w14:paraId="183E11FA" w14:textId="264C3672" w:rsidR="0069671B" w:rsidRPr="00D51778" w:rsidRDefault="0069671B" w:rsidP="00F22C59">
            <w:pPr>
              <w:jc w:val="right"/>
              <w:rPr>
                <w:sz w:val="22"/>
                <w:szCs w:val="22"/>
              </w:rPr>
            </w:pPr>
            <w:r w:rsidRPr="00D51778">
              <w:rPr>
                <w:rFonts w:cs="Calibri"/>
                <w:color w:val="000000"/>
                <w:sz w:val="22"/>
                <w:szCs w:val="22"/>
                <w:lang w:val="ga"/>
              </w:rPr>
              <w:t>96</w:t>
            </w:r>
          </w:p>
        </w:tc>
        <w:tc>
          <w:tcPr>
            <w:tcW w:w="1559" w:type="dxa"/>
          </w:tcPr>
          <w:p w14:paraId="204461DD" w14:textId="0AFAC5E4" w:rsidR="0069671B" w:rsidRPr="00D51778" w:rsidRDefault="0069671B" w:rsidP="00F22C59">
            <w:pPr>
              <w:jc w:val="right"/>
              <w:rPr>
                <w:sz w:val="22"/>
                <w:szCs w:val="22"/>
              </w:rPr>
            </w:pPr>
            <w:r w:rsidRPr="00D51778">
              <w:rPr>
                <w:rFonts w:cs="Calibri"/>
                <w:color w:val="000000"/>
                <w:sz w:val="22"/>
                <w:szCs w:val="22"/>
                <w:lang w:val="ga"/>
              </w:rPr>
              <w:t>12</w:t>
            </w:r>
          </w:p>
        </w:tc>
        <w:tc>
          <w:tcPr>
            <w:tcW w:w="1574" w:type="dxa"/>
          </w:tcPr>
          <w:p w14:paraId="7A6B2C69" w14:textId="768F4D30" w:rsidR="0069671B" w:rsidRPr="00D51778" w:rsidRDefault="0069671B" w:rsidP="00F22C59">
            <w:pPr>
              <w:jc w:val="right"/>
              <w:rPr>
                <w:sz w:val="22"/>
                <w:szCs w:val="22"/>
              </w:rPr>
            </w:pPr>
            <w:r w:rsidRPr="00D51778">
              <w:rPr>
                <w:rFonts w:cs="Calibri"/>
                <w:color w:val="000000"/>
                <w:sz w:val="22"/>
                <w:szCs w:val="22"/>
                <w:lang w:val="ga"/>
              </w:rPr>
              <w:t>12.5%</w:t>
            </w:r>
          </w:p>
        </w:tc>
      </w:tr>
      <w:tr w:rsidR="0069671B" w:rsidRPr="00D51778" w14:paraId="18565C8C" w14:textId="77777777" w:rsidTr="00C75B07">
        <w:trPr>
          <w:jc w:val="center"/>
        </w:trPr>
        <w:tc>
          <w:tcPr>
            <w:tcW w:w="2283" w:type="dxa"/>
          </w:tcPr>
          <w:p w14:paraId="6E3A5A95" w14:textId="3CD17A4A" w:rsidR="0069671B" w:rsidRPr="00D51778" w:rsidRDefault="0069671B" w:rsidP="00F22C59">
            <w:pPr>
              <w:rPr>
                <w:sz w:val="22"/>
                <w:szCs w:val="22"/>
              </w:rPr>
            </w:pPr>
            <w:r w:rsidRPr="00D51778">
              <w:rPr>
                <w:rFonts w:cs="Calibri"/>
                <w:color w:val="000000"/>
                <w:sz w:val="22"/>
                <w:szCs w:val="22"/>
                <w:lang w:val="ga"/>
              </w:rPr>
              <w:t>Comhairle Contae Ros Comáin</w:t>
            </w:r>
          </w:p>
        </w:tc>
        <w:tc>
          <w:tcPr>
            <w:tcW w:w="1403" w:type="dxa"/>
          </w:tcPr>
          <w:p w14:paraId="4FB1F4B9" w14:textId="7C4BE0A4" w:rsidR="0069671B" w:rsidRPr="00D51778" w:rsidRDefault="0069671B" w:rsidP="00F22C59">
            <w:pPr>
              <w:jc w:val="right"/>
              <w:rPr>
                <w:sz w:val="22"/>
                <w:szCs w:val="22"/>
              </w:rPr>
            </w:pPr>
            <w:r w:rsidRPr="00D51778">
              <w:rPr>
                <w:rFonts w:cs="Calibri"/>
                <w:color w:val="000000"/>
                <w:sz w:val="22"/>
                <w:szCs w:val="22"/>
                <w:lang w:val="ga"/>
              </w:rPr>
              <w:t>410</w:t>
            </w:r>
          </w:p>
        </w:tc>
        <w:tc>
          <w:tcPr>
            <w:tcW w:w="1412" w:type="dxa"/>
          </w:tcPr>
          <w:p w14:paraId="79063AF0" w14:textId="0D47ADAA" w:rsidR="0069671B" w:rsidRPr="00D51778" w:rsidRDefault="0069671B" w:rsidP="00F22C59">
            <w:pPr>
              <w:jc w:val="right"/>
              <w:rPr>
                <w:sz w:val="22"/>
                <w:szCs w:val="22"/>
              </w:rPr>
            </w:pPr>
            <w:r w:rsidRPr="00D51778">
              <w:rPr>
                <w:rFonts w:cs="Calibri"/>
                <w:color w:val="000000"/>
                <w:sz w:val="22"/>
                <w:szCs w:val="22"/>
                <w:lang w:val="ga"/>
              </w:rPr>
              <w:t>21</w:t>
            </w:r>
          </w:p>
        </w:tc>
        <w:tc>
          <w:tcPr>
            <w:tcW w:w="1564" w:type="dxa"/>
          </w:tcPr>
          <w:p w14:paraId="7F10124E" w14:textId="37A6640A" w:rsidR="0069671B" w:rsidRPr="00D51778" w:rsidRDefault="0069671B" w:rsidP="00F22C59">
            <w:pPr>
              <w:jc w:val="right"/>
              <w:rPr>
                <w:sz w:val="22"/>
                <w:szCs w:val="22"/>
              </w:rPr>
            </w:pPr>
            <w:r w:rsidRPr="00D51778">
              <w:rPr>
                <w:rFonts w:cs="Calibri"/>
                <w:color w:val="000000"/>
                <w:sz w:val="22"/>
                <w:szCs w:val="22"/>
                <w:lang w:val="ga"/>
              </w:rPr>
              <w:t>5.1%</w:t>
            </w:r>
          </w:p>
        </w:tc>
        <w:tc>
          <w:tcPr>
            <w:tcW w:w="1418" w:type="dxa"/>
          </w:tcPr>
          <w:p w14:paraId="269B23C3" w14:textId="54D17679" w:rsidR="0069671B" w:rsidRPr="00D51778" w:rsidRDefault="0069671B" w:rsidP="00F22C59">
            <w:pPr>
              <w:jc w:val="right"/>
              <w:rPr>
                <w:sz w:val="22"/>
                <w:szCs w:val="22"/>
              </w:rPr>
            </w:pPr>
            <w:r w:rsidRPr="00D51778">
              <w:rPr>
                <w:rFonts w:cs="Calibri"/>
                <w:color w:val="000000"/>
                <w:sz w:val="22"/>
                <w:szCs w:val="22"/>
                <w:lang w:val="ga"/>
              </w:rPr>
              <w:t>412</w:t>
            </w:r>
          </w:p>
        </w:tc>
        <w:tc>
          <w:tcPr>
            <w:tcW w:w="1559" w:type="dxa"/>
          </w:tcPr>
          <w:p w14:paraId="28B7B932" w14:textId="51867333" w:rsidR="0069671B" w:rsidRPr="00D51778" w:rsidRDefault="0069671B" w:rsidP="00F22C59">
            <w:pPr>
              <w:jc w:val="right"/>
              <w:rPr>
                <w:sz w:val="22"/>
                <w:szCs w:val="22"/>
              </w:rPr>
            </w:pPr>
            <w:r w:rsidRPr="00D51778">
              <w:rPr>
                <w:rFonts w:cs="Calibri"/>
                <w:color w:val="000000"/>
                <w:sz w:val="22"/>
                <w:szCs w:val="22"/>
                <w:lang w:val="ga"/>
              </w:rPr>
              <w:t>20</w:t>
            </w:r>
          </w:p>
        </w:tc>
        <w:tc>
          <w:tcPr>
            <w:tcW w:w="1574" w:type="dxa"/>
          </w:tcPr>
          <w:p w14:paraId="2B488656" w14:textId="72912EE8" w:rsidR="0069671B" w:rsidRPr="00D51778" w:rsidRDefault="0069671B" w:rsidP="00F22C59">
            <w:pPr>
              <w:jc w:val="right"/>
              <w:rPr>
                <w:sz w:val="22"/>
                <w:szCs w:val="22"/>
              </w:rPr>
            </w:pPr>
            <w:r w:rsidRPr="00D51778">
              <w:rPr>
                <w:rFonts w:cs="Calibri"/>
                <w:color w:val="000000"/>
                <w:sz w:val="22"/>
                <w:szCs w:val="22"/>
                <w:lang w:val="ga"/>
              </w:rPr>
              <w:t>4.9%</w:t>
            </w:r>
          </w:p>
        </w:tc>
      </w:tr>
      <w:tr w:rsidR="0069671B" w:rsidRPr="00D51778" w14:paraId="67F087E9" w14:textId="77777777" w:rsidTr="00C75B07">
        <w:trPr>
          <w:jc w:val="center"/>
        </w:trPr>
        <w:tc>
          <w:tcPr>
            <w:tcW w:w="2283" w:type="dxa"/>
          </w:tcPr>
          <w:p w14:paraId="3175F434" w14:textId="4B4D34B6" w:rsidR="0069671B" w:rsidRPr="00D51778" w:rsidRDefault="0069671B" w:rsidP="00F22C59">
            <w:pPr>
              <w:rPr>
                <w:sz w:val="22"/>
                <w:szCs w:val="22"/>
              </w:rPr>
            </w:pPr>
            <w:r w:rsidRPr="00D51778">
              <w:rPr>
                <w:rFonts w:cs="Calibri"/>
                <w:color w:val="000000"/>
                <w:sz w:val="22"/>
                <w:szCs w:val="22"/>
                <w:lang w:val="ga"/>
              </w:rPr>
              <w:lastRenderedPageBreak/>
              <w:t>Comhairle Contae Shligigh</w:t>
            </w:r>
          </w:p>
        </w:tc>
        <w:tc>
          <w:tcPr>
            <w:tcW w:w="1403" w:type="dxa"/>
          </w:tcPr>
          <w:p w14:paraId="15264091" w14:textId="05F5EE51" w:rsidR="0069671B" w:rsidRPr="00D51778" w:rsidRDefault="0069671B" w:rsidP="00F22C59">
            <w:pPr>
              <w:jc w:val="right"/>
              <w:rPr>
                <w:sz w:val="22"/>
                <w:szCs w:val="22"/>
              </w:rPr>
            </w:pPr>
            <w:r w:rsidRPr="00D51778">
              <w:rPr>
                <w:rFonts w:cs="Calibri"/>
                <w:color w:val="000000"/>
                <w:sz w:val="22"/>
                <w:szCs w:val="22"/>
                <w:lang w:val="ga"/>
              </w:rPr>
              <w:t>460</w:t>
            </w:r>
          </w:p>
        </w:tc>
        <w:tc>
          <w:tcPr>
            <w:tcW w:w="1412" w:type="dxa"/>
          </w:tcPr>
          <w:p w14:paraId="7787B933" w14:textId="11DE045D" w:rsidR="0069671B" w:rsidRPr="00D51778" w:rsidRDefault="0069671B" w:rsidP="00F22C59">
            <w:pPr>
              <w:jc w:val="right"/>
              <w:rPr>
                <w:sz w:val="22"/>
                <w:szCs w:val="22"/>
              </w:rPr>
            </w:pPr>
            <w:r w:rsidRPr="00D51778">
              <w:rPr>
                <w:rFonts w:cs="Calibri"/>
                <w:color w:val="000000"/>
                <w:sz w:val="22"/>
                <w:szCs w:val="22"/>
                <w:lang w:val="ga"/>
              </w:rPr>
              <w:t>21</w:t>
            </w:r>
          </w:p>
        </w:tc>
        <w:tc>
          <w:tcPr>
            <w:tcW w:w="1564" w:type="dxa"/>
          </w:tcPr>
          <w:p w14:paraId="2CD8DCC4" w14:textId="0558B6B1" w:rsidR="0069671B" w:rsidRPr="00D51778" w:rsidRDefault="0069671B" w:rsidP="00F22C59">
            <w:pPr>
              <w:jc w:val="right"/>
              <w:rPr>
                <w:sz w:val="22"/>
                <w:szCs w:val="22"/>
              </w:rPr>
            </w:pPr>
            <w:r w:rsidRPr="00D51778">
              <w:rPr>
                <w:rFonts w:cs="Calibri"/>
                <w:color w:val="000000"/>
                <w:sz w:val="22"/>
                <w:szCs w:val="22"/>
                <w:lang w:val="ga"/>
              </w:rPr>
              <w:t>4.6%</w:t>
            </w:r>
          </w:p>
        </w:tc>
        <w:tc>
          <w:tcPr>
            <w:tcW w:w="1418" w:type="dxa"/>
          </w:tcPr>
          <w:p w14:paraId="169A1768" w14:textId="02BAEF9B" w:rsidR="0069671B" w:rsidRPr="00D51778" w:rsidRDefault="0069671B" w:rsidP="00F22C59">
            <w:pPr>
              <w:jc w:val="right"/>
              <w:rPr>
                <w:sz w:val="22"/>
                <w:szCs w:val="22"/>
              </w:rPr>
            </w:pPr>
            <w:r w:rsidRPr="00D51778">
              <w:rPr>
                <w:rFonts w:cs="Calibri"/>
                <w:color w:val="000000"/>
                <w:sz w:val="22"/>
                <w:szCs w:val="22"/>
                <w:lang w:val="ga"/>
              </w:rPr>
              <w:t>468</w:t>
            </w:r>
          </w:p>
        </w:tc>
        <w:tc>
          <w:tcPr>
            <w:tcW w:w="1559" w:type="dxa"/>
          </w:tcPr>
          <w:p w14:paraId="3080C035" w14:textId="2DFE4E49" w:rsidR="0069671B" w:rsidRPr="00D51778" w:rsidRDefault="0069671B" w:rsidP="00F22C59">
            <w:pPr>
              <w:jc w:val="right"/>
              <w:rPr>
                <w:sz w:val="22"/>
                <w:szCs w:val="22"/>
              </w:rPr>
            </w:pPr>
            <w:r w:rsidRPr="00D51778">
              <w:rPr>
                <w:rFonts w:cs="Calibri"/>
                <w:color w:val="000000"/>
                <w:sz w:val="22"/>
                <w:szCs w:val="22"/>
                <w:lang w:val="ga"/>
              </w:rPr>
              <w:t>22</w:t>
            </w:r>
          </w:p>
        </w:tc>
        <w:tc>
          <w:tcPr>
            <w:tcW w:w="1574" w:type="dxa"/>
          </w:tcPr>
          <w:p w14:paraId="565A7969" w14:textId="46C17FE1" w:rsidR="0069671B" w:rsidRPr="00D51778" w:rsidRDefault="0069671B" w:rsidP="00F22C59">
            <w:pPr>
              <w:jc w:val="right"/>
              <w:rPr>
                <w:sz w:val="22"/>
                <w:szCs w:val="22"/>
              </w:rPr>
            </w:pPr>
            <w:r w:rsidRPr="00D51778">
              <w:rPr>
                <w:rFonts w:cs="Calibri"/>
                <w:color w:val="000000"/>
                <w:sz w:val="22"/>
                <w:szCs w:val="22"/>
                <w:lang w:val="ga"/>
              </w:rPr>
              <w:t>4.7%</w:t>
            </w:r>
          </w:p>
        </w:tc>
      </w:tr>
      <w:tr w:rsidR="0069671B" w:rsidRPr="00D51778" w14:paraId="5D78A9D3" w14:textId="77777777" w:rsidTr="00C75B07">
        <w:trPr>
          <w:jc w:val="center"/>
        </w:trPr>
        <w:tc>
          <w:tcPr>
            <w:tcW w:w="2283" w:type="dxa"/>
          </w:tcPr>
          <w:p w14:paraId="4B07CB93" w14:textId="6BEBFD0F" w:rsidR="0069671B" w:rsidRPr="00D51778" w:rsidRDefault="0069671B" w:rsidP="00F22C59">
            <w:pPr>
              <w:rPr>
                <w:sz w:val="22"/>
                <w:szCs w:val="22"/>
              </w:rPr>
            </w:pPr>
            <w:r w:rsidRPr="00D51778">
              <w:rPr>
                <w:rFonts w:cs="Calibri"/>
                <w:color w:val="000000"/>
                <w:sz w:val="22"/>
                <w:szCs w:val="22"/>
                <w:lang w:val="ga"/>
              </w:rPr>
              <w:t>Comhairle Contae Átha Cliath Theas</w:t>
            </w:r>
          </w:p>
        </w:tc>
        <w:tc>
          <w:tcPr>
            <w:tcW w:w="1403" w:type="dxa"/>
          </w:tcPr>
          <w:p w14:paraId="05199947" w14:textId="18830D21" w:rsidR="0069671B" w:rsidRPr="00D51778" w:rsidRDefault="0069671B" w:rsidP="00F22C59">
            <w:pPr>
              <w:jc w:val="right"/>
              <w:rPr>
                <w:sz w:val="22"/>
                <w:szCs w:val="22"/>
              </w:rPr>
            </w:pPr>
            <w:r w:rsidRPr="00D51778">
              <w:rPr>
                <w:rFonts w:cs="Calibri"/>
                <w:color w:val="000000"/>
                <w:sz w:val="22"/>
                <w:szCs w:val="22"/>
                <w:lang w:val="ga"/>
              </w:rPr>
              <w:t>1,258</w:t>
            </w:r>
          </w:p>
        </w:tc>
        <w:tc>
          <w:tcPr>
            <w:tcW w:w="1412" w:type="dxa"/>
          </w:tcPr>
          <w:p w14:paraId="4219E839" w14:textId="0D5A20B5" w:rsidR="0069671B" w:rsidRPr="00D51778" w:rsidRDefault="0069671B" w:rsidP="00F22C59">
            <w:pPr>
              <w:jc w:val="right"/>
              <w:rPr>
                <w:sz w:val="22"/>
                <w:szCs w:val="22"/>
              </w:rPr>
            </w:pPr>
            <w:r w:rsidRPr="00D51778">
              <w:rPr>
                <w:rFonts w:cs="Calibri"/>
                <w:color w:val="000000"/>
                <w:sz w:val="22"/>
                <w:szCs w:val="22"/>
                <w:lang w:val="ga"/>
              </w:rPr>
              <w:t>41</w:t>
            </w:r>
          </w:p>
        </w:tc>
        <w:tc>
          <w:tcPr>
            <w:tcW w:w="1564" w:type="dxa"/>
          </w:tcPr>
          <w:p w14:paraId="76EEABB8" w14:textId="37655CB9" w:rsidR="0069671B" w:rsidRPr="00D51778" w:rsidRDefault="0069671B" w:rsidP="00F22C59">
            <w:pPr>
              <w:jc w:val="right"/>
              <w:rPr>
                <w:sz w:val="22"/>
                <w:szCs w:val="22"/>
              </w:rPr>
            </w:pPr>
            <w:r w:rsidRPr="00D51778">
              <w:rPr>
                <w:rFonts w:cs="Calibri"/>
                <w:color w:val="000000"/>
                <w:sz w:val="22"/>
                <w:szCs w:val="22"/>
                <w:lang w:val="ga"/>
              </w:rPr>
              <w:t>3.3%</w:t>
            </w:r>
          </w:p>
        </w:tc>
        <w:tc>
          <w:tcPr>
            <w:tcW w:w="1418" w:type="dxa"/>
          </w:tcPr>
          <w:p w14:paraId="3D3EA9F4" w14:textId="1B1B2CB1" w:rsidR="0069671B" w:rsidRPr="00D51778" w:rsidRDefault="0069671B" w:rsidP="00F22C59">
            <w:pPr>
              <w:jc w:val="right"/>
              <w:rPr>
                <w:sz w:val="22"/>
                <w:szCs w:val="22"/>
              </w:rPr>
            </w:pPr>
            <w:r w:rsidRPr="00D51778">
              <w:rPr>
                <w:rFonts w:cs="Calibri"/>
                <w:color w:val="000000"/>
                <w:sz w:val="22"/>
                <w:szCs w:val="22"/>
                <w:lang w:val="ga"/>
              </w:rPr>
              <w:t>1,315</w:t>
            </w:r>
          </w:p>
        </w:tc>
        <w:tc>
          <w:tcPr>
            <w:tcW w:w="1559" w:type="dxa"/>
          </w:tcPr>
          <w:p w14:paraId="280AD613" w14:textId="100E096F" w:rsidR="0069671B" w:rsidRPr="00D51778" w:rsidRDefault="0069671B" w:rsidP="00F22C59">
            <w:pPr>
              <w:jc w:val="right"/>
              <w:rPr>
                <w:sz w:val="22"/>
                <w:szCs w:val="22"/>
              </w:rPr>
            </w:pPr>
            <w:r w:rsidRPr="00D51778">
              <w:rPr>
                <w:rFonts w:cs="Calibri"/>
                <w:color w:val="000000"/>
                <w:sz w:val="22"/>
                <w:szCs w:val="22"/>
                <w:lang w:val="ga"/>
              </w:rPr>
              <w:t>46</w:t>
            </w:r>
          </w:p>
        </w:tc>
        <w:tc>
          <w:tcPr>
            <w:tcW w:w="1574" w:type="dxa"/>
          </w:tcPr>
          <w:p w14:paraId="42C367FA" w14:textId="0853AF7C" w:rsidR="0069671B" w:rsidRPr="00D51778" w:rsidRDefault="0069671B" w:rsidP="00F22C59">
            <w:pPr>
              <w:jc w:val="right"/>
              <w:rPr>
                <w:sz w:val="22"/>
                <w:szCs w:val="22"/>
              </w:rPr>
            </w:pPr>
            <w:r w:rsidRPr="00D51778">
              <w:rPr>
                <w:rFonts w:cs="Calibri"/>
                <w:color w:val="000000"/>
                <w:sz w:val="22"/>
                <w:szCs w:val="22"/>
                <w:lang w:val="ga"/>
              </w:rPr>
              <w:t>3.5%</w:t>
            </w:r>
          </w:p>
        </w:tc>
      </w:tr>
      <w:tr w:rsidR="0069671B" w:rsidRPr="00D51778" w14:paraId="0651C725" w14:textId="77777777" w:rsidTr="00C75B07">
        <w:trPr>
          <w:jc w:val="center"/>
        </w:trPr>
        <w:tc>
          <w:tcPr>
            <w:tcW w:w="2283" w:type="dxa"/>
          </w:tcPr>
          <w:p w14:paraId="15334D50" w14:textId="57582B93" w:rsidR="0069671B" w:rsidRPr="00D51778" w:rsidRDefault="0069671B" w:rsidP="00F22C59">
            <w:pPr>
              <w:rPr>
                <w:sz w:val="22"/>
                <w:szCs w:val="22"/>
              </w:rPr>
            </w:pPr>
            <w:r w:rsidRPr="00D51778">
              <w:rPr>
                <w:rFonts w:cs="Calibri"/>
                <w:color w:val="000000"/>
                <w:sz w:val="22"/>
                <w:szCs w:val="22"/>
                <w:lang w:val="ga"/>
              </w:rPr>
              <w:t>Tionól Réigiúnach an Deiscirt</w:t>
            </w:r>
          </w:p>
        </w:tc>
        <w:tc>
          <w:tcPr>
            <w:tcW w:w="1403" w:type="dxa"/>
          </w:tcPr>
          <w:p w14:paraId="6C29A62A" w14:textId="71152AA0" w:rsidR="0069671B" w:rsidRPr="00D51778" w:rsidRDefault="0069671B" w:rsidP="00F22C59">
            <w:pPr>
              <w:jc w:val="right"/>
              <w:rPr>
                <w:sz w:val="22"/>
                <w:szCs w:val="22"/>
              </w:rPr>
            </w:pPr>
            <w:r w:rsidRPr="00D51778">
              <w:rPr>
                <w:rFonts w:cs="Calibri"/>
                <w:color w:val="000000"/>
                <w:sz w:val="22"/>
                <w:szCs w:val="22"/>
                <w:lang w:val="ga"/>
              </w:rPr>
              <w:t>27</w:t>
            </w:r>
          </w:p>
        </w:tc>
        <w:tc>
          <w:tcPr>
            <w:tcW w:w="1412" w:type="dxa"/>
          </w:tcPr>
          <w:p w14:paraId="14D88AA1" w14:textId="55A566B7" w:rsidR="0069671B" w:rsidRPr="00D51778" w:rsidRDefault="0069671B" w:rsidP="00F22C59">
            <w:pPr>
              <w:jc w:val="right"/>
              <w:rPr>
                <w:sz w:val="22"/>
                <w:szCs w:val="22"/>
              </w:rPr>
            </w:pPr>
            <w:r w:rsidRPr="00D51778">
              <w:rPr>
                <w:rFonts w:cs="Calibri"/>
                <w:color w:val="000000"/>
                <w:sz w:val="22"/>
                <w:szCs w:val="22"/>
                <w:lang w:val="ga"/>
              </w:rPr>
              <w:t>2</w:t>
            </w:r>
          </w:p>
        </w:tc>
        <w:tc>
          <w:tcPr>
            <w:tcW w:w="1564" w:type="dxa"/>
          </w:tcPr>
          <w:p w14:paraId="524AEF38" w14:textId="46A2F66E" w:rsidR="0069671B" w:rsidRPr="00D51778" w:rsidRDefault="0069671B" w:rsidP="00F22C59">
            <w:pPr>
              <w:jc w:val="right"/>
              <w:rPr>
                <w:sz w:val="22"/>
                <w:szCs w:val="22"/>
              </w:rPr>
            </w:pPr>
            <w:r w:rsidRPr="00D51778">
              <w:rPr>
                <w:rFonts w:cs="Calibri"/>
                <w:color w:val="000000"/>
                <w:sz w:val="22"/>
                <w:szCs w:val="22"/>
                <w:lang w:val="ga"/>
              </w:rPr>
              <w:t>7.4%</w:t>
            </w:r>
          </w:p>
        </w:tc>
        <w:tc>
          <w:tcPr>
            <w:tcW w:w="1418" w:type="dxa"/>
          </w:tcPr>
          <w:p w14:paraId="1FC8220B" w14:textId="4293883B" w:rsidR="0069671B" w:rsidRPr="00D51778" w:rsidRDefault="0069671B" w:rsidP="00F22C59">
            <w:pPr>
              <w:jc w:val="right"/>
              <w:rPr>
                <w:sz w:val="22"/>
                <w:szCs w:val="22"/>
              </w:rPr>
            </w:pPr>
            <w:r w:rsidRPr="00D51778">
              <w:rPr>
                <w:rFonts w:cs="Calibri"/>
                <w:color w:val="000000"/>
                <w:sz w:val="22"/>
                <w:szCs w:val="22"/>
                <w:lang w:val="ga"/>
              </w:rPr>
              <w:t>27</w:t>
            </w:r>
          </w:p>
        </w:tc>
        <w:tc>
          <w:tcPr>
            <w:tcW w:w="1559" w:type="dxa"/>
          </w:tcPr>
          <w:p w14:paraId="5BCECCA5" w14:textId="058CA2AC" w:rsidR="0069671B" w:rsidRPr="00D51778" w:rsidRDefault="0069671B" w:rsidP="00F22C59">
            <w:pPr>
              <w:jc w:val="right"/>
              <w:rPr>
                <w:sz w:val="22"/>
                <w:szCs w:val="22"/>
              </w:rPr>
            </w:pPr>
            <w:r w:rsidRPr="00D51778">
              <w:rPr>
                <w:rFonts w:cs="Calibri"/>
                <w:color w:val="000000"/>
                <w:sz w:val="22"/>
                <w:szCs w:val="22"/>
                <w:lang w:val="ga"/>
              </w:rPr>
              <w:t>2</w:t>
            </w:r>
          </w:p>
        </w:tc>
        <w:tc>
          <w:tcPr>
            <w:tcW w:w="1574" w:type="dxa"/>
          </w:tcPr>
          <w:p w14:paraId="278DCF2D" w14:textId="0D7FEC3C" w:rsidR="0069671B" w:rsidRPr="00D51778" w:rsidRDefault="0069671B" w:rsidP="00F22C59">
            <w:pPr>
              <w:jc w:val="right"/>
              <w:rPr>
                <w:sz w:val="22"/>
                <w:szCs w:val="22"/>
              </w:rPr>
            </w:pPr>
            <w:r w:rsidRPr="00D51778">
              <w:rPr>
                <w:rFonts w:cs="Calibri"/>
                <w:color w:val="000000"/>
                <w:sz w:val="22"/>
                <w:szCs w:val="22"/>
                <w:lang w:val="ga"/>
              </w:rPr>
              <w:t>7.4%</w:t>
            </w:r>
          </w:p>
        </w:tc>
      </w:tr>
      <w:tr w:rsidR="0069671B" w:rsidRPr="00D51778" w14:paraId="7DA98944" w14:textId="77777777" w:rsidTr="00C75B07">
        <w:trPr>
          <w:jc w:val="center"/>
        </w:trPr>
        <w:tc>
          <w:tcPr>
            <w:tcW w:w="2283" w:type="dxa"/>
          </w:tcPr>
          <w:p w14:paraId="12530C01" w14:textId="6C8C7B72" w:rsidR="0069671B" w:rsidRPr="00D51778" w:rsidRDefault="0069671B" w:rsidP="00F22C59">
            <w:pPr>
              <w:rPr>
                <w:sz w:val="22"/>
                <w:szCs w:val="22"/>
              </w:rPr>
            </w:pPr>
            <w:r w:rsidRPr="00D51778">
              <w:rPr>
                <w:rFonts w:cs="Calibri"/>
                <w:color w:val="000000"/>
                <w:sz w:val="22"/>
                <w:szCs w:val="22"/>
                <w:lang w:val="ga"/>
              </w:rPr>
              <w:t>Comhairle Contae Thiobraid Árann</w:t>
            </w:r>
          </w:p>
        </w:tc>
        <w:tc>
          <w:tcPr>
            <w:tcW w:w="1403" w:type="dxa"/>
          </w:tcPr>
          <w:p w14:paraId="1700323F" w14:textId="069806F7" w:rsidR="0069671B" w:rsidRPr="00D51778" w:rsidRDefault="0069671B" w:rsidP="00F22C59">
            <w:pPr>
              <w:jc w:val="right"/>
              <w:rPr>
                <w:sz w:val="22"/>
                <w:szCs w:val="22"/>
              </w:rPr>
            </w:pPr>
            <w:r w:rsidRPr="00D51778">
              <w:rPr>
                <w:rFonts w:cs="Calibri"/>
                <w:color w:val="000000"/>
                <w:sz w:val="22"/>
                <w:szCs w:val="22"/>
                <w:lang w:val="ga"/>
              </w:rPr>
              <w:t>1,135</w:t>
            </w:r>
          </w:p>
        </w:tc>
        <w:tc>
          <w:tcPr>
            <w:tcW w:w="1412" w:type="dxa"/>
          </w:tcPr>
          <w:p w14:paraId="7D945C7C" w14:textId="456265B4" w:rsidR="0069671B" w:rsidRPr="00D51778" w:rsidRDefault="0069671B" w:rsidP="00F22C59">
            <w:pPr>
              <w:jc w:val="right"/>
              <w:rPr>
                <w:sz w:val="22"/>
                <w:szCs w:val="22"/>
              </w:rPr>
            </w:pPr>
            <w:r w:rsidRPr="00D51778">
              <w:rPr>
                <w:rFonts w:cs="Calibri"/>
                <w:color w:val="000000"/>
                <w:sz w:val="22"/>
                <w:szCs w:val="22"/>
                <w:lang w:val="ga"/>
              </w:rPr>
              <w:t>37</w:t>
            </w:r>
          </w:p>
        </w:tc>
        <w:tc>
          <w:tcPr>
            <w:tcW w:w="1564" w:type="dxa"/>
          </w:tcPr>
          <w:p w14:paraId="3FACEF14" w14:textId="74D4AFE7" w:rsidR="0069671B" w:rsidRPr="00D51778" w:rsidRDefault="0069671B" w:rsidP="00F22C59">
            <w:pPr>
              <w:jc w:val="right"/>
              <w:rPr>
                <w:sz w:val="22"/>
                <w:szCs w:val="22"/>
              </w:rPr>
            </w:pPr>
            <w:r w:rsidRPr="00D51778">
              <w:rPr>
                <w:rFonts w:cs="Calibri"/>
                <w:color w:val="000000"/>
                <w:sz w:val="22"/>
                <w:szCs w:val="22"/>
                <w:lang w:val="ga"/>
              </w:rPr>
              <w:t>3.3%</w:t>
            </w:r>
          </w:p>
        </w:tc>
        <w:tc>
          <w:tcPr>
            <w:tcW w:w="1418" w:type="dxa"/>
          </w:tcPr>
          <w:p w14:paraId="685CB565" w14:textId="381DDE36" w:rsidR="0069671B" w:rsidRPr="00D51778" w:rsidRDefault="0069671B" w:rsidP="00F22C59">
            <w:pPr>
              <w:jc w:val="right"/>
              <w:rPr>
                <w:sz w:val="22"/>
                <w:szCs w:val="22"/>
              </w:rPr>
            </w:pPr>
            <w:r w:rsidRPr="00D51778">
              <w:rPr>
                <w:rFonts w:cs="Calibri"/>
                <w:color w:val="000000"/>
                <w:sz w:val="22"/>
                <w:szCs w:val="22"/>
                <w:lang w:val="ga"/>
              </w:rPr>
              <w:t>1,103</w:t>
            </w:r>
          </w:p>
        </w:tc>
        <w:tc>
          <w:tcPr>
            <w:tcW w:w="1559" w:type="dxa"/>
          </w:tcPr>
          <w:p w14:paraId="47A7C972" w14:textId="7F494E90" w:rsidR="0069671B" w:rsidRPr="00D51778" w:rsidRDefault="0069671B" w:rsidP="00F22C59">
            <w:pPr>
              <w:jc w:val="right"/>
              <w:rPr>
                <w:sz w:val="22"/>
                <w:szCs w:val="22"/>
              </w:rPr>
            </w:pPr>
            <w:r w:rsidRPr="00D51778">
              <w:rPr>
                <w:rFonts w:cs="Calibri"/>
                <w:color w:val="000000"/>
                <w:sz w:val="22"/>
                <w:szCs w:val="22"/>
                <w:lang w:val="ga"/>
              </w:rPr>
              <w:t>35</w:t>
            </w:r>
          </w:p>
        </w:tc>
        <w:tc>
          <w:tcPr>
            <w:tcW w:w="1574" w:type="dxa"/>
          </w:tcPr>
          <w:p w14:paraId="0AE7E785" w14:textId="7F967882" w:rsidR="0069671B" w:rsidRPr="00D51778" w:rsidRDefault="0069671B" w:rsidP="00F22C59">
            <w:pPr>
              <w:jc w:val="right"/>
              <w:rPr>
                <w:sz w:val="22"/>
                <w:szCs w:val="22"/>
              </w:rPr>
            </w:pPr>
            <w:r w:rsidRPr="00D51778">
              <w:rPr>
                <w:rFonts w:cs="Calibri"/>
                <w:color w:val="000000"/>
                <w:sz w:val="22"/>
                <w:szCs w:val="22"/>
                <w:lang w:val="ga"/>
              </w:rPr>
              <w:t>3.2%</w:t>
            </w:r>
          </w:p>
        </w:tc>
      </w:tr>
      <w:tr w:rsidR="0069671B" w:rsidRPr="00D51778" w14:paraId="5B648C7E" w14:textId="77777777" w:rsidTr="00C75B07">
        <w:trPr>
          <w:jc w:val="center"/>
        </w:trPr>
        <w:tc>
          <w:tcPr>
            <w:tcW w:w="2283" w:type="dxa"/>
          </w:tcPr>
          <w:p w14:paraId="2CB6C603" w14:textId="6468A478" w:rsidR="0069671B" w:rsidRPr="00D51778" w:rsidRDefault="0069671B" w:rsidP="00F22C59">
            <w:pPr>
              <w:rPr>
                <w:sz w:val="22"/>
                <w:szCs w:val="22"/>
              </w:rPr>
            </w:pPr>
            <w:r w:rsidRPr="00D51778">
              <w:rPr>
                <w:rFonts w:cs="Calibri"/>
                <w:color w:val="000000"/>
                <w:sz w:val="22"/>
                <w:szCs w:val="22"/>
                <w:lang w:val="ga"/>
              </w:rPr>
              <w:t>Comhairle Cathrach agus Contae Phort Láirge</w:t>
            </w:r>
          </w:p>
        </w:tc>
        <w:tc>
          <w:tcPr>
            <w:tcW w:w="1403" w:type="dxa"/>
          </w:tcPr>
          <w:p w14:paraId="7AD7311C" w14:textId="33E45E68" w:rsidR="0069671B" w:rsidRPr="00D51778" w:rsidRDefault="0069671B" w:rsidP="00F22C59">
            <w:pPr>
              <w:pStyle w:val="TableHead"/>
              <w:jc w:val="right"/>
              <w:rPr>
                <w:b w:val="0"/>
                <w:sz w:val="22"/>
                <w:szCs w:val="22"/>
              </w:rPr>
            </w:pPr>
            <w:r w:rsidRPr="00D51778">
              <w:rPr>
                <w:rFonts w:cs="Calibri"/>
                <w:b w:val="0"/>
                <w:color w:val="000000"/>
                <w:sz w:val="22"/>
                <w:szCs w:val="22"/>
                <w:lang w:val="ga"/>
              </w:rPr>
              <w:t>1,007</w:t>
            </w:r>
          </w:p>
        </w:tc>
        <w:tc>
          <w:tcPr>
            <w:tcW w:w="1412" w:type="dxa"/>
          </w:tcPr>
          <w:p w14:paraId="2C83FF13" w14:textId="6AE48174" w:rsidR="0069671B" w:rsidRPr="00D51778" w:rsidRDefault="0069671B" w:rsidP="00F22C59">
            <w:pPr>
              <w:jc w:val="right"/>
              <w:rPr>
                <w:sz w:val="22"/>
                <w:szCs w:val="22"/>
              </w:rPr>
            </w:pPr>
            <w:r w:rsidRPr="00D51778">
              <w:rPr>
                <w:rFonts w:cs="Calibri"/>
                <w:color w:val="000000"/>
                <w:sz w:val="22"/>
                <w:szCs w:val="22"/>
                <w:lang w:val="ga"/>
              </w:rPr>
              <w:t>47</w:t>
            </w:r>
          </w:p>
        </w:tc>
        <w:tc>
          <w:tcPr>
            <w:tcW w:w="1564" w:type="dxa"/>
          </w:tcPr>
          <w:p w14:paraId="5EDD5823" w14:textId="1E6D17DF" w:rsidR="0069671B" w:rsidRPr="00D51778" w:rsidRDefault="0069671B" w:rsidP="00F22C59">
            <w:pPr>
              <w:pStyle w:val="TableHead"/>
              <w:jc w:val="right"/>
              <w:rPr>
                <w:b w:val="0"/>
                <w:sz w:val="22"/>
                <w:szCs w:val="22"/>
              </w:rPr>
            </w:pPr>
            <w:r w:rsidRPr="00D51778">
              <w:rPr>
                <w:rFonts w:cs="Calibri"/>
                <w:b w:val="0"/>
                <w:color w:val="000000"/>
                <w:sz w:val="22"/>
                <w:szCs w:val="22"/>
                <w:lang w:val="ga"/>
              </w:rPr>
              <w:t>4.7%</w:t>
            </w:r>
          </w:p>
        </w:tc>
        <w:tc>
          <w:tcPr>
            <w:tcW w:w="1418" w:type="dxa"/>
          </w:tcPr>
          <w:p w14:paraId="6C8B278E" w14:textId="54487AEB" w:rsidR="0069671B" w:rsidRPr="00D51778" w:rsidRDefault="0069671B" w:rsidP="00F22C59">
            <w:pPr>
              <w:jc w:val="right"/>
              <w:rPr>
                <w:sz w:val="22"/>
                <w:szCs w:val="22"/>
              </w:rPr>
            </w:pPr>
            <w:r w:rsidRPr="00D51778">
              <w:rPr>
                <w:rFonts w:cs="Calibri"/>
                <w:color w:val="000000"/>
                <w:sz w:val="22"/>
                <w:szCs w:val="22"/>
                <w:lang w:val="ga"/>
              </w:rPr>
              <w:t>937</w:t>
            </w:r>
          </w:p>
        </w:tc>
        <w:tc>
          <w:tcPr>
            <w:tcW w:w="1559" w:type="dxa"/>
          </w:tcPr>
          <w:p w14:paraId="3179618E" w14:textId="3A57DF5A" w:rsidR="0069671B" w:rsidRPr="00D51778" w:rsidRDefault="0069671B" w:rsidP="00F22C59">
            <w:pPr>
              <w:jc w:val="right"/>
              <w:rPr>
                <w:sz w:val="22"/>
                <w:szCs w:val="22"/>
              </w:rPr>
            </w:pPr>
            <w:r w:rsidRPr="00D51778">
              <w:rPr>
                <w:rFonts w:cs="Calibri"/>
                <w:color w:val="000000"/>
                <w:sz w:val="22"/>
                <w:szCs w:val="22"/>
                <w:lang w:val="ga"/>
              </w:rPr>
              <w:t>47</w:t>
            </w:r>
          </w:p>
        </w:tc>
        <w:tc>
          <w:tcPr>
            <w:tcW w:w="1574" w:type="dxa"/>
          </w:tcPr>
          <w:p w14:paraId="18A05EE1" w14:textId="4A9A14B4" w:rsidR="0069671B" w:rsidRPr="00D51778" w:rsidRDefault="0069671B" w:rsidP="00F22C59">
            <w:pPr>
              <w:jc w:val="right"/>
              <w:rPr>
                <w:sz w:val="22"/>
                <w:szCs w:val="22"/>
              </w:rPr>
            </w:pPr>
            <w:r w:rsidRPr="00D51778">
              <w:rPr>
                <w:rFonts w:cs="Calibri"/>
                <w:color w:val="000000"/>
                <w:sz w:val="22"/>
                <w:szCs w:val="22"/>
                <w:lang w:val="ga"/>
              </w:rPr>
              <w:t>5.0%</w:t>
            </w:r>
          </w:p>
        </w:tc>
      </w:tr>
      <w:tr w:rsidR="0069671B" w:rsidRPr="00D51778" w14:paraId="0B7D70A6" w14:textId="77777777" w:rsidTr="00C75B07">
        <w:trPr>
          <w:jc w:val="center"/>
        </w:trPr>
        <w:tc>
          <w:tcPr>
            <w:tcW w:w="2283" w:type="dxa"/>
          </w:tcPr>
          <w:p w14:paraId="0E97011A" w14:textId="1D7A8AB4" w:rsidR="0069671B" w:rsidRPr="00D51778" w:rsidRDefault="0069671B" w:rsidP="00F22C59">
            <w:pPr>
              <w:rPr>
                <w:sz w:val="22"/>
                <w:szCs w:val="22"/>
              </w:rPr>
            </w:pPr>
            <w:r w:rsidRPr="00D51778">
              <w:rPr>
                <w:rFonts w:cs="Calibri"/>
                <w:color w:val="000000"/>
                <w:sz w:val="22"/>
                <w:szCs w:val="22"/>
                <w:lang w:val="ga"/>
              </w:rPr>
              <w:t>Uiscebhealaí Éireann</w:t>
            </w:r>
          </w:p>
        </w:tc>
        <w:tc>
          <w:tcPr>
            <w:tcW w:w="1403" w:type="dxa"/>
          </w:tcPr>
          <w:p w14:paraId="5211E882" w14:textId="6320FF99" w:rsidR="0069671B" w:rsidRPr="00D51778" w:rsidRDefault="0069671B" w:rsidP="00F22C59">
            <w:pPr>
              <w:jc w:val="right"/>
              <w:rPr>
                <w:sz w:val="22"/>
                <w:szCs w:val="22"/>
              </w:rPr>
            </w:pPr>
            <w:r w:rsidRPr="00D51778">
              <w:rPr>
                <w:rFonts w:cs="Calibri"/>
                <w:color w:val="000000"/>
                <w:sz w:val="22"/>
                <w:szCs w:val="22"/>
                <w:lang w:val="ga"/>
              </w:rPr>
              <w:t>245</w:t>
            </w:r>
          </w:p>
        </w:tc>
        <w:tc>
          <w:tcPr>
            <w:tcW w:w="1412" w:type="dxa"/>
          </w:tcPr>
          <w:p w14:paraId="1411A78F" w14:textId="5B4741E4" w:rsidR="0069671B" w:rsidRPr="00D51778" w:rsidRDefault="0069671B" w:rsidP="00F22C59">
            <w:pPr>
              <w:jc w:val="right"/>
              <w:rPr>
                <w:sz w:val="22"/>
                <w:szCs w:val="22"/>
              </w:rPr>
            </w:pPr>
            <w:r w:rsidRPr="00D51778">
              <w:rPr>
                <w:rFonts w:cs="Calibri"/>
                <w:color w:val="000000"/>
                <w:sz w:val="22"/>
                <w:szCs w:val="22"/>
                <w:lang w:val="ga"/>
              </w:rPr>
              <w:t>7</w:t>
            </w:r>
          </w:p>
        </w:tc>
        <w:tc>
          <w:tcPr>
            <w:tcW w:w="1564" w:type="dxa"/>
          </w:tcPr>
          <w:p w14:paraId="0455D4BF" w14:textId="5A398FAA" w:rsidR="0069671B" w:rsidRPr="00D51778" w:rsidRDefault="0069671B" w:rsidP="00F22C59">
            <w:pPr>
              <w:jc w:val="right"/>
              <w:rPr>
                <w:sz w:val="22"/>
                <w:szCs w:val="22"/>
              </w:rPr>
            </w:pPr>
            <w:r w:rsidRPr="00D51778">
              <w:rPr>
                <w:rFonts w:cs="Calibri"/>
                <w:color w:val="000000"/>
                <w:sz w:val="22"/>
                <w:szCs w:val="22"/>
                <w:lang w:val="ga"/>
              </w:rPr>
              <w:t>2.9%</w:t>
            </w:r>
          </w:p>
        </w:tc>
        <w:tc>
          <w:tcPr>
            <w:tcW w:w="1418" w:type="dxa"/>
          </w:tcPr>
          <w:p w14:paraId="6BCF54E9" w14:textId="7BA07112" w:rsidR="0069671B" w:rsidRPr="00D51778" w:rsidRDefault="0069671B" w:rsidP="00F22C59">
            <w:pPr>
              <w:jc w:val="right"/>
              <w:rPr>
                <w:sz w:val="22"/>
                <w:szCs w:val="22"/>
              </w:rPr>
            </w:pPr>
            <w:r w:rsidRPr="00D51778">
              <w:rPr>
                <w:rFonts w:cs="Calibri"/>
                <w:color w:val="000000"/>
                <w:sz w:val="22"/>
                <w:szCs w:val="22"/>
                <w:lang w:val="ga"/>
              </w:rPr>
              <w:t>259</w:t>
            </w:r>
          </w:p>
        </w:tc>
        <w:tc>
          <w:tcPr>
            <w:tcW w:w="1559" w:type="dxa"/>
          </w:tcPr>
          <w:p w14:paraId="0BF97153" w14:textId="58204F0B" w:rsidR="0069671B" w:rsidRPr="00D51778" w:rsidRDefault="0069671B" w:rsidP="00F22C59">
            <w:pPr>
              <w:jc w:val="right"/>
              <w:rPr>
                <w:sz w:val="22"/>
                <w:szCs w:val="22"/>
              </w:rPr>
            </w:pPr>
            <w:r w:rsidRPr="00D51778">
              <w:rPr>
                <w:rFonts w:cs="Calibri"/>
                <w:color w:val="000000"/>
                <w:sz w:val="22"/>
                <w:szCs w:val="22"/>
                <w:lang w:val="ga"/>
              </w:rPr>
              <w:t>9</w:t>
            </w:r>
          </w:p>
        </w:tc>
        <w:tc>
          <w:tcPr>
            <w:tcW w:w="1574" w:type="dxa"/>
          </w:tcPr>
          <w:p w14:paraId="7B7D283C" w14:textId="14191270" w:rsidR="0069671B" w:rsidRPr="00D51778" w:rsidRDefault="0069671B" w:rsidP="00F22C59">
            <w:pPr>
              <w:jc w:val="right"/>
              <w:rPr>
                <w:sz w:val="22"/>
                <w:szCs w:val="22"/>
              </w:rPr>
            </w:pPr>
            <w:r w:rsidRPr="00D51778">
              <w:rPr>
                <w:rFonts w:cs="Calibri"/>
                <w:color w:val="000000"/>
                <w:sz w:val="22"/>
                <w:szCs w:val="22"/>
                <w:lang w:val="ga"/>
              </w:rPr>
              <w:t>3.5%</w:t>
            </w:r>
          </w:p>
        </w:tc>
      </w:tr>
      <w:tr w:rsidR="0069671B" w:rsidRPr="00D51778" w14:paraId="2908B5AD" w14:textId="77777777" w:rsidTr="00C75B07">
        <w:trPr>
          <w:jc w:val="center"/>
        </w:trPr>
        <w:tc>
          <w:tcPr>
            <w:tcW w:w="2283" w:type="dxa"/>
          </w:tcPr>
          <w:p w14:paraId="61A5AD40" w14:textId="0127DF94" w:rsidR="0069671B" w:rsidRPr="00D51778" w:rsidRDefault="0069671B" w:rsidP="00F22C59">
            <w:pPr>
              <w:rPr>
                <w:sz w:val="22"/>
                <w:szCs w:val="22"/>
              </w:rPr>
            </w:pPr>
            <w:r w:rsidRPr="00D51778">
              <w:rPr>
                <w:rFonts w:cs="Calibri"/>
                <w:color w:val="000000"/>
                <w:sz w:val="22"/>
                <w:szCs w:val="22"/>
                <w:lang w:val="ga"/>
              </w:rPr>
              <w:t>Comhairle Contae na hIarmhí</w:t>
            </w:r>
          </w:p>
        </w:tc>
        <w:tc>
          <w:tcPr>
            <w:tcW w:w="1403" w:type="dxa"/>
          </w:tcPr>
          <w:p w14:paraId="2BF469B6" w14:textId="03FA7B35" w:rsidR="0069671B" w:rsidRPr="00D51778" w:rsidRDefault="0069671B" w:rsidP="00F22C59">
            <w:pPr>
              <w:jc w:val="right"/>
              <w:rPr>
                <w:sz w:val="22"/>
                <w:szCs w:val="22"/>
              </w:rPr>
            </w:pPr>
            <w:r w:rsidRPr="00D51778">
              <w:rPr>
                <w:rFonts w:cs="Calibri"/>
                <w:color w:val="000000"/>
                <w:sz w:val="22"/>
                <w:szCs w:val="22"/>
                <w:lang w:val="ga"/>
              </w:rPr>
              <w:t>496</w:t>
            </w:r>
          </w:p>
        </w:tc>
        <w:tc>
          <w:tcPr>
            <w:tcW w:w="1412" w:type="dxa"/>
          </w:tcPr>
          <w:p w14:paraId="5A882F73" w14:textId="57B7A051" w:rsidR="0069671B" w:rsidRPr="00D51778" w:rsidRDefault="0069671B" w:rsidP="00F22C59">
            <w:pPr>
              <w:jc w:val="right"/>
              <w:rPr>
                <w:sz w:val="22"/>
                <w:szCs w:val="22"/>
              </w:rPr>
            </w:pPr>
            <w:r w:rsidRPr="00D51778">
              <w:rPr>
                <w:rFonts w:cs="Calibri"/>
                <w:color w:val="000000"/>
                <w:sz w:val="22"/>
                <w:szCs w:val="22"/>
                <w:lang w:val="ga"/>
              </w:rPr>
              <w:t>17</w:t>
            </w:r>
          </w:p>
        </w:tc>
        <w:tc>
          <w:tcPr>
            <w:tcW w:w="1564" w:type="dxa"/>
          </w:tcPr>
          <w:p w14:paraId="359141CB" w14:textId="6D495BCD" w:rsidR="0069671B" w:rsidRPr="00D51778" w:rsidRDefault="0069671B" w:rsidP="00F22C59">
            <w:pPr>
              <w:jc w:val="right"/>
              <w:rPr>
                <w:sz w:val="22"/>
                <w:szCs w:val="22"/>
              </w:rPr>
            </w:pPr>
            <w:r w:rsidRPr="00D51778">
              <w:rPr>
                <w:rFonts w:cs="Calibri"/>
                <w:color w:val="000000"/>
                <w:sz w:val="22"/>
                <w:szCs w:val="22"/>
                <w:lang w:val="ga"/>
              </w:rPr>
              <w:t>3.4%</w:t>
            </w:r>
          </w:p>
        </w:tc>
        <w:tc>
          <w:tcPr>
            <w:tcW w:w="1418" w:type="dxa"/>
          </w:tcPr>
          <w:p w14:paraId="2095DB9E" w14:textId="551EA85D" w:rsidR="0069671B" w:rsidRPr="00D51778" w:rsidRDefault="0069671B" w:rsidP="00F22C59">
            <w:pPr>
              <w:jc w:val="right"/>
              <w:rPr>
                <w:sz w:val="22"/>
                <w:szCs w:val="22"/>
              </w:rPr>
            </w:pPr>
            <w:r w:rsidRPr="00D51778">
              <w:rPr>
                <w:rFonts w:cs="Calibri"/>
                <w:color w:val="000000"/>
                <w:sz w:val="22"/>
                <w:szCs w:val="22"/>
                <w:lang w:val="ga"/>
              </w:rPr>
              <w:t>501</w:t>
            </w:r>
          </w:p>
        </w:tc>
        <w:tc>
          <w:tcPr>
            <w:tcW w:w="1559" w:type="dxa"/>
          </w:tcPr>
          <w:p w14:paraId="30171231" w14:textId="6A85408B" w:rsidR="0069671B" w:rsidRPr="00D51778" w:rsidRDefault="0069671B" w:rsidP="00F22C59">
            <w:pPr>
              <w:jc w:val="right"/>
              <w:rPr>
                <w:sz w:val="22"/>
                <w:szCs w:val="22"/>
              </w:rPr>
            </w:pPr>
            <w:r w:rsidRPr="00D51778">
              <w:rPr>
                <w:rFonts w:cs="Calibri"/>
                <w:color w:val="000000"/>
                <w:sz w:val="22"/>
                <w:szCs w:val="22"/>
                <w:lang w:val="ga"/>
              </w:rPr>
              <w:t>17</w:t>
            </w:r>
          </w:p>
        </w:tc>
        <w:tc>
          <w:tcPr>
            <w:tcW w:w="1574" w:type="dxa"/>
          </w:tcPr>
          <w:p w14:paraId="0021BAD2" w14:textId="20E50C62" w:rsidR="0069671B" w:rsidRPr="00D51778" w:rsidRDefault="0069671B" w:rsidP="00F22C59">
            <w:pPr>
              <w:jc w:val="right"/>
              <w:rPr>
                <w:sz w:val="22"/>
                <w:szCs w:val="22"/>
              </w:rPr>
            </w:pPr>
            <w:r w:rsidRPr="00D51778">
              <w:rPr>
                <w:rFonts w:cs="Calibri"/>
                <w:color w:val="000000"/>
                <w:sz w:val="22"/>
                <w:szCs w:val="22"/>
                <w:lang w:val="ga"/>
              </w:rPr>
              <w:t>3.4%</w:t>
            </w:r>
          </w:p>
        </w:tc>
      </w:tr>
      <w:tr w:rsidR="0069671B" w:rsidRPr="00D51778" w14:paraId="566FB415" w14:textId="77777777" w:rsidTr="00C75B07">
        <w:trPr>
          <w:jc w:val="center"/>
        </w:trPr>
        <w:tc>
          <w:tcPr>
            <w:tcW w:w="2283" w:type="dxa"/>
          </w:tcPr>
          <w:p w14:paraId="151C09FA" w14:textId="71B8EF7A" w:rsidR="0069671B" w:rsidRPr="00D51778" w:rsidRDefault="0069671B" w:rsidP="00F22C59">
            <w:pPr>
              <w:rPr>
                <w:sz w:val="22"/>
                <w:szCs w:val="22"/>
              </w:rPr>
            </w:pPr>
            <w:r w:rsidRPr="00D51778">
              <w:rPr>
                <w:rFonts w:cs="Calibri"/>
                <w:color w:val="000000"/>
                <w:sz w:val="22"/>
                <w:szCs w:val="22"/>
                <w:lang w:val="ga"/>
              </w:rPr>
              <w:t>Comhairle Contae Loch Garman</w:t>
            </w:r>
          </w:p>
        </w:tc>
        <w:tc>
          <w:tcPr>
            <w:tcW w:w="1403" w:type="dxa"/>
          </w:tcPr>
          <w:p w14:paraId="6FB781A7" w14:textId="3B5565F0" w:rsidR="0069671B" w:rsidRPr="00D51778" w:rsidRDefault="0069671B" w:rsidP="00F22C59">
            <w:pPr>
              <w:jc w:val="right"/>
              <w:rPr>
                <w:sz w:val="22"/>
                <w:szCs w:val="22"/>
              </w:rPr>
            </w:pPr>
            <w:r w:rsidRPr="00D51778">
              <w:rPr>
                <w:rFonts w:cs="Calibri"/>
                <w:color w:val="000000"/>
                <w:sz w:val="22"/>
                <w:szCs w:val="22"/>
                <w:lang w:val="ga"/>
              </w:rPr>
              <w:t>841</w:t>
            </w:r>
          </w:p>
        </w:tc>
        <w:tc>
          <w:tcPr>
            <w:tcW w:w="1412" w:type="dxa"/>
          </w:tcPr>
          <w:p w14:paraId="6DF5C898" w14:textId="3A8E311F" w:rsidR="0069671B" w:rsidRPr="00D51778" w:rsidRDefault="0069671B" w:rsidP="00F22C59">
            <w:pPr>
              <w:jc w:val="right"/>
              <w:rPr>
                <w:sz w:val="22"/>
                <w:szCs w:val="22"/>
              </w:rPr>
            </w:pPr>
            <w:r w:rsidRPr="00D51778">
              <w:rPr>
                <w:rFonts w:cs="Calibri"/>
                <w:color w:val="000000"/>
                <w:sz w:val="22"/>
                <w:szCs w:val="22"/>
                <w:lang w:val="ga"/>
              </w:rPr>
              <w:t>47</w:t>
            </w:r>
          </w:p>
        </w:tc>
        <w:tc>
          <w:tcPr>
            <w:tcW w:w="1564" w:type="dxa"/>
          </w:tcPr>
          <w:p w14:paraId="091D62D6" w14:textId="3253A8A8" w:rsidR="0069671B" w:rsidRPr="00D51778" w:rsidRDefault="0069671B" w:rsidP="00F22C59">
            <w:pPr>
              <w:jc w:val="right"/>
              <w:rPr>
                <w:sz w:val="22"/>
                <w:szCs w:val="22"/>
              </w:rPr>
            </w:pPr>
            <w:r w:rsidRPr="00D51778">
              <w:rPr>
                <w:rFonts w:cs="Calibri"/>
                <w:color w:val="000000"/>
                <w:sz w:val="22"/>
                <w:szCs w:val="22"/>
                <w:lang w:val="ga"/>
              </w:rPr>
              <w:t>5.6%</w:t>
            </w:r>
          </w:p>
        </w:tc>
        <w:tc>
          <w:tcPr>
            <w:tcW w:w="1418" w:type="dxa"/>
          </w:tcPr>
          <w:p w14:paraId="476569B5" w14:textId="142DD61F" w:rsidR="0069671B" w:rsidRPr="00D51778" w:rsidRDefault="0069671B" w:rsidP="00F22C59">
            <w:pPr>
              <w:jc w:val="right"/>
              <w:rPr>
                <w:sz w:val="22"/>
                <w:szCs w:val="22"/>
              </w:rPr>
            </w:pPr>
            <w:r w:rsidRPr="00D51778">
              <w:rPr>
                <w:rFonts w:cs="Calibri"/>
                <w:color w:val="000000"/>
                <w:sz w:val="22"/>
                <w:szCs w:val="22"/>
                <w:lang w:val="ga"/>
              </w:rPr>
              <w:t>847</w:t>
            </w:r>
          </w:p>
        </w:tc>
        <w:tc>
          <w:tcPr>
            <w:tcW w:w="1559" w:type="dxa"/>
          </w:tcPr>
          <w:p w14:paraId="189526EA" w14:textId="150A15C0" w:rsidR="0069671B" w:rsidRPr="00D51778" w:rsidRDefault="0069671B" w:rsidP="00F22C59">
            <w:pPr>
              <w:jc w:val="right"/>
              <w:rPr>
                <w:sz w:val="22"/>
                <w:szCs w:val="22"/>
              </w:rPr>
            </w:pPr>
            <w:r w:rsidRPr="00D51778">
              <w:rPr>
                <w:rFonts w:cs="Calibri"/>
                <w:color w:val="000000"/>
                <w:sz w:val="22"/>
                <w:szCs w:val="22"/>
                <w:lang w:val="ga"/>
              </w:rPr>
              <w:t>97</w:t>
            </w:r>
          </w:p>
        </w:tc>
        <w:tc>
          <w:tcPr>
            <w:tcW w:w="1574" w:type="dxa"/>
          </w:tcPr>
          <w:p w14:paraId="2D029089" w14:textId="0E18E033" w:rsidR="0069671B" w:rsidRPr="00D51778" w:rsidRDefault="0069671B" w:rsidP="00F22C59">
            <w:pPr>
              <w:jc w:val="right"/>
              <w:rPr>
                <w:sz w:val="22"/>
                <w:szCs w:val="22"/>
              </w:rPr>
            </w:pPr>
            <w:r w:rsidRPr="00D51778">
              <w:rPr>
                <w:rFonts w:cs="Calibri"/>
                <w:color w:val="000000"/>
                <w:sz w:val="22"/>
                <w:szCs w:val="22"/>
                <w:lang w:val="ga"/>
              </w:rPr>
              <w:t>11.5%</w:t>
            </w:r>
          </w:p>
        </w:tc>
      </w:tr>
      <w:tr w:rsidR="0069671B" w:rsidRPr="00D51778" w14:paraId="7A3EE766" w14:textId="77777777" w:rsidTr="00C75B07">
        <w:trPr>
          <w:jc w:val="center"/>
        </w:trPr>
        <w:tc>
          <w:tcPr>
            <w:tcW w:w="2283" w:type="dxa"/>
          </w:tcPr>
          <w:p w14:paraId="7EE431CB" w14:textId="77777777" w:rsidR="0069671B" w:rsidRPr="00D51778" w:rsidRDefault="0069671B" w:rsidP="00F22C59">
            <w:pPr>
              <w:spacing w:after="0"/>
              <w:rPr>
                <w:rFonts w:cs="Calibri"/>
                <w:color w:val="000000"/>
                <w:sz w:val="22"/>
                <w:szCs w:val="22"/>
              </w:rPr>
            </w:pPr>
            <w:r w:rsidRPr="00D51778">
              <w:rPr>
                <w:rFonts w:cs="Calibri"/>
                <w:color w:val="000000"/>
                <w:sz w:val="22"/>
                <w:szCs w:val="22"/>
                <w:lang w:val="ga"/>
              </w:rPr>
              <w:t>Comhairle Contae Chill Mhantáin</w:t>
            </w:r>
          </w:p>
          <w:p w14:paraId="76C6C59B" w14:textId="2E953C18" w:rsidR="0069671B" w:rsidRPr="00D51778" w:rsidRDefault="0069671B" w:rsidP="00F22C59">
            <w:pPr>
              <w:pStyle w:val="TableHead"/>
              <w:rPr>
                <w:sz w:val="22"/>
                <w:szCs w:val="22"/>
              </w:rPr>
            </w:pPr>
          </w:p>
        </w:tc>
        <w:tc>
          <w:tcPr>
            <w:tcW w:w="1403" w:type="dxa"/>
          </w:tcPr>
          <w:p w14:paraId="4297B110" w14:textId="56347F2E" w:rsidR="0069671B" w:rsidRPr="00D51778" w:rsidRDefault="0069671B" w:rsidP="00F22C59">
            <w:pPr>
              <w:pStyle w:val="TableHead"/>
              <w:jc w:val="right"/>
              <w:rPr>
                <w:b w:val="0"/>
                <w:sz w:val="22"/>
                <w:szCs w:val="22"/>
              </w:rPr>
            </w:pPr>
            <w:r w:rsidRPr="00D51778">
              <w:rPr>
                <w:rFonts w:cs="Calibri"/>
                <w:b w:val="0"/>
                <w:color w:val="000000"/>
                <w:sz w:val="22"/>
                <w:szCs w:val="22"/>
                <w:lang w:val="ga"/>
              </w:rPr>
              <w:t>782</w:t>
            </w:r>
          </w:p>
        </w:tc>
        <w:tc>
          <w:tcPr>
            <w:tcW w:w="1412" w:type="dxa"/>
          </w:tcPr>
          <w:p w14:paraId="50708010" w14:textId="7BFF491A" w:rsidR="0069671B" w:rsidRPr="00D51778" w:rsidRDefault="0069671B" w:rsidP="00F22C59">
            <w:pPr>
              <w:pStyle w:val="TableHead"/>
              <w:jc w:val="right"/>
              <w:rPr>
                <w:b w:val="0"/>
                <w:sz w:val="22"/>
                <w:szCs w:val="22"/>
              </w:rPr>
            </w:pPr>
            <w:r w:rsidRPr="00D51778">
              <w:rPr>
                <w:rFonts w:cs="Calibri"/>
                <w:b w:val="0"/>
                <w:color w:val="000000"/>
                <w:sz w:val="22"/>
                <w:szCs w:val="22"/>
                <w:lang w:val="ga"/>
              </w:rPr>
              <w:t>52</w:t>
            </w:r>
          </w:p>
        </w:tc>
        <w:tc>
          <w:tcPr>
            <w:tcW w:w="1564" w:type="dxa"/>
          </w:tcPr>
          <w:p w14:paraId="06EDCA12" w14:textId="4E79FF23" w:rsidR="0069671B" w:rsidRPr="00D51778" w:rsidRDefault="0069671B" w:rsidP="00F22C59">
            <w:pPr>
              <w:pStyle w:val="TableHead"/>
              <w:jc w:val="right"/>
              <w:rPr>
                <w:b w:val="0"/>
                <w:sz w:val="22"/>
                <w:szCs w:val="22"/>
              </w:rPr>
            </w:pPr>
            <w:r w:rsidRPr="00D51778">
              <w:rPr>
                <w:rFonts w:cs="Calibri"/>
                <w:b w:val="0"/>
                <w:color w:val="000000"/>
                <w:sz w:val="22"/>
                <w:szCs w:val="22"/>
                <w:lang w:val="ga"/>
              </w:rPr>
              <w:t>6.6%</w:t>
            </w:r>
          </w:p>
        </w:tc>
        <w:tc>
          <w:tcPr>
            <w:tcW w:w="1418" w:type="dxa"/>
          </w:tcPr>
          <w:p w14:paraId="6B6DC95C" w14:textId="3D7C310A" w:rsidR="0069671B" w:rsidRPr="00D51778" w:rsidRDefault="0069671B" w:rsidP="00F22C59">
            <w:pPr>
              <w:pStyle w:val="TableHead"/>
              <w:jc w:val="right"/>
              <w:rPr>
                <w:b w:val="0"/>
                <w:sz w:val="22"/>
                <w:szCs w:val="22"/>
              </w:rPr>
            </w:pPr>
            <w:r w:rsidRPr="00D51778">
              <w:rPr>
                <w:rFonts w:cs="Calibri"/>
                <w:b w:val="0"/>
                <w:color w:val="000000"/>
                <w:sz w:val="22"/>
                <w:szCs w:val="22"/>
                <w:lang w:val="ga"/>
              </w:rPr>
              <w:t>746</w:t>
            </w:r>
          </w:p>
        </w:tc>
        <w:tc>
          <w:tcPr>
            <w:tcW w:w="1559" w:type="dxa"/>
          </w:tcPr>
          <w:p w14:paraId="6DD2D0CB" w14:textId="3EF126E4" w:rsidR="0069671B" w:rsidRPr="00D51778" w:rsidRDefault="0069671B" w:rsidP="00F22C59">
            <w:pPr>
              <w:pStyle w:val="TableHead"/>
              <w:jc w:val="right"/>
              <w:rPr>
                <w:b w:val="0"/>
                <w:sz w:val="22"/>
                <w:szCs w:val="22"/>
              </w:rPr>
            </w:pPr>
            <w:r w:rsidRPr="00D51778">
              <w:rPr>
                <w:rFonts w:cs="Calibri"/>
                <w:b w:val="0"/>
                <w:color w:val="000000"/>
                <w:sz w:val="22"/>
                <w:szCs w:val="22"/>
                <w:lang w:val="ga"/>
              </w:rPr>
              <w:t>49</w:t>
            </w:r>
          </w:p>
        </w:tc>
        <w:tc>
          <w:tcPr>
            <w:tcW w:w="1574" w:type="dxa"/>
          </w:tcPr>
          <w:p w14:paraId="4BA0FE0C" w14:textId="6B5DBAC6" w:rsidR="0069671B" w:rsidRPr="00D51778" w:rsidRDefault="0069671B" w:rsidP="00F22C59">
            <w:pPr>
              <w:pStyle w:val="TableHead"/>
              <w:jc w:val="right"/>
              <w:rPr>
                <w:b w:val="0"/>
                <w:sz w:val="22"/>
                <w:szCs w:val="22"/>
              </w:rPr>
            </w:pPr>
            <w:r w:rsidRPr="00D51778">
              <w:rPr>
                <w:rFonts w:cs="Calibri"/>
                <w:b w:val="0"/>
                <w:color w:val="000000"/>
                <w:sz w:val="22"/>
                <w:szCs w:val="22"/>
                <w:lang w:val="ga"/>
              </w:rPr>
              <w:t>6.6%</w:t>
            </w:r>
          </w:p>
        </w:tc>
      </w:tr>
      <w:tr w:rsidR="00E65B66" w:rsidRPr="00D51778" w14:paraId="21C325E7" w14:textId="77777777" w:rsidTr="00C75B07">
        <w:trPr>
          <w:jc w:val="center"/>
        </w:trPr>
        <w:tc>
          <w:tcPr>
            <w:tcW w:w="2283" w:type="dxa"/>
          </w:tcPr>
          <w:p w14:paraId="0A413B03" w14:textId="665B3A7D" w:rsidR="00E65B66" w:rsidRPr="00D51778" w:rsidRDefault="00E65B66" w:rsidP="00B7124E">
            <w:pPr>
              <w:pStyle w:val="TableHead"/>
              <w:rPr>
                <w:sz w:val="22"/>
                <w:szCs w:val="22"/>
              </w:rPr>
            </w:pPr>
            <w:r w:rsidRPr="00D51778">
              <w:rPr>
                <w:bCs/>
                <w:sz w:val="22"/>
                <w:szCs w:val="22"/>
                <w:lang w:val="ga"/>
              </w:rPr>
              <w:t xml:space="preserve">Mór-Iomlán </w:t>
            </w:r>
          </w:p>
        </w:tc>
        <w:tc>
          <w:tcPr>
            <w:tcW w:w="1403" w:type="dxa"/>
          </w:tcPr>
          <w:p w14:paraId="2CA4A822" w14:textId="6869DCA5"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35,788</w:t>
            </w:r>
          </w:p>
          <w:p w14:paraId="0381A2E8" w14:textId="77777777" w:rsidR="00E65B66" w:rsidRPr="00D51778" w:rsidRDefault="00E65B66" w:rsidP="00F22C59">
            <w:pPr>
              <w:pStyle w:val="TableHead"/>
              <w:jc w:val="right"/>
              <w:rPr>
                <w:sz w:val="22"/>
                <w:szCs w:val="22"/>
              </w:rPr>
            </w:pPr>
          </w:p>
        </w:tc>
        <w:tc>
          <w:tcPr>
            <w:tcW w:w="1412" w:type="dxa"/>
          </w:tcPr>
          <w:p w14:paraId="4D69C481" w14:textId="7A576477"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1,466</w:t>
            </w:r>
          </w:p>
          <w:p w14:paraId="1F535654" w14:textId="77777777" w:rsidR="00E65B66" w:rsidRPr="00D51778" w:rsidRDefault="00E65B66" w:rsidP="00F22C59">
            <w:pPr>
              <w:pStyle w:val="TableHead"/>
              <w:jc w:val="right"/>
              <w:rPr>
                <w:sz w:val="22"/>
                <w:szCs w:val="22"/>
              </w:rPr>
            </w:pPr>
          </w:p>
        </w:tc>
        <w:tc>
          <w:tcPr>
            <w:tcW w:w="1564" w:type="dxa"/>
          </w:tcPr>
          <w:p w14:paraId="5B23A942" w14:textId="4FCE2A3E" w:rsidR="00E65B66" w:rsidRPr="00D51778" w:rsidRDefault="00B137F2" w:rsidP="00F22C59">
            <w:pPr>
              <w:pStyle w:val="TableHead"/>
              <w:jc w:val="right"/>
              <w:rPr>
                <w:sz w:val="22"/>
                <w:szCs w:val="22"/>
              </w:rPr>
            </w:pPr>
            <w:r w:rsidRPr="00D51778">
              <w:rPr>
                <w:bCs/>
                <w:sz w:val="22"/>
                <w:szCs w:val="22"/>
                <w:lang w:val="ga"/>
              </w:rPr>
              <w:t>4.1%</w:t>
            </w:r>
          </w:p>
        </w:tc>
        <w:tc>
          <w:tcPr>
            <w:tcW w:w="1418" w:type="dxa"/>
          </w:tcPr>
          <w:p w14:paraId="4525FDFC" w14:textId="58FF0EF5"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35,991</w:t>
            </w:r>
          </w:p>
          <w:p w14:paraId="02213387" w14:textId="77777777" w:rsidR="00E65B66" w:rsidRPr="00D51778" w:rsidRDefault="00E65B66" w:rsidP="00F22C59">
            <w:pPr>
              <w:pStyle w:val="TableHead"/>
              <w:jc w:val="right"/>
              <w:rPr>
                <w:sz w:val="22"/>
                <w:szCs w:val="22"/>
              </w:rPr>
            </w:pPr>
          </w:p>
        </w:tc>
        <w:tc>
          <w:tcPr>
            <w:tcW w:w="1559" w:type="dxa"/>
          </w:tcPr>
          <w:p w14:paraId="0883C08A" w14:textId="775C1B93" w:rsidR="003F2D20" w:rsidRPr="00D51778" w:rsidRDefault="003F2D20" w:rsidP="00F22C59">
            <w:pPr>
              <w:spacing w:after="0"/>
              <w:jc w:val="right"/>
              <w:rPr>
                <w:rFonts w:cs="Calibri"/>
                <w:b/>
                <w:bCs/>
                <w:color w:val="000000"/>
                <w:sz w:val="22"/>
                <w:szCs w:val="22"/>
              </w:rPr>
            </w:pPr>
            <w:r w:rsidRPr="00D51778">
              <w:rPr>
                <w:rFonts w:cs="Calibri"/>
                <w:b/>
                <w:bCs/>
                <w:color w:val="000000"/>
                <w:sz w:val="22"/>
                <w:szCs w:val="22"/>
                <w:lang w:val="ga"/>
              </w:rPr>
              <w:t>1,620</w:t>
            </w:r>
          </w:p>
          <w:p w14:paraId="4EC280C2" w14:textId="77777777" w:rsidR="00E65B66" w:rsidRPr="00D51778" w:rsidRDefault="00E65B66" w:rsidP="00F22C59">
            <w:pPr>
              <w:pStyle w:val="TableHead"/>
              <w:jc w:val="right"/>
              <w:rPr>
                <w:sz w:val="22"/>
                <w:szCs w:val="22"/>
              </w:rPr>
            </w:pPr>
          </w:p>
        </w:tc>
        <w:tc>
          <w:tcPr>
            <w:tcW w:w="1574" w:type="dxa"/>
          </w:tcPr>
          <w:p w14:paraId="16D26D98" w14:textId="5A0790AE" w:rsidR="00E65B66" w:rsidRPr="00D51778" w:rsidRDefault="00B137F2" w:rsidP="00F22C59">
            <w:pPr>
              <w:pStyle w:val="TableHead"/>
              <w:jc w:val="right"/>
              <w:rPr>
                <w:sz w:val="22"/>
                <w:szCs w:val="22"/>
              </w:rPr>
            </w:pPr>
            <w:r w:rsidRPr="00D51778">
              <w:rPr>
                <w:bCs/>
                <w:sz w:val="22"/>
                <w:szCs w:val="22"/>
                <w:lang w:val="ga"/>
              </w:rPr>
              <w:t>4.5%</w:t>
            </w:r>
          </w:p>
        </w:tc>
      </w:tr>
    </w:tbl>
    <w:p w14:paraId="0EBB2C94" w14:textId="77777777" w:rsidR="001624B2" w:rsidRPr="00D51778" w:rsidRDefault="001624B2" w:rsidP="001624B2">
      <w:pPr>
        <w:pStyle w:val="Heading2"/>
      </w:pPr>
    </w:p>
    <w:p w14:paraId="4B0237EB" w14:textId="0E25B6A3" w:rsidR="00E33123" w:rsidRDefault="00E33123">
      <w:pPr>
        <w:spacing w:after="0"/>
        <w:rPr>
          <w:rFonts w:ascii="Rockwell" w:hAnsi="Rockwell"/>
          <w:b/>
          <w:color w:val="000000" w:themeColor="text1"/>
          <w:sz w:val="32"/>
          <w:szCs w:val="32"/>
        </w:rPr>
      </w:pPr>
      <w:r>
        <w:rPr>
          <w:color w:val="000000" w:themeColor="text1"/>
        </w:rPr>
        <w:br w:type="page"/>
      </w:r>
    </w:p>
    <w:p w14:paraId="57DC3BD8" w14:textId="77777777" w:rsidR="00031890" w:rsidRPr="00D51778" w:rsidRDefault="00031890" w:rsidP="00B12C05">
      <w:pPr>
        <w:pStyle w:val="Heading2"/>
        <w:jc w:val="center"/>
        <w:rPr>
          <w:color w:val="000000" w:themeColor="text1"/>
        </w:rPr>
      </w:pPr>
    </w:p>
    <w:p w14:paraId="2199CE2E" w14:textId="327198DE" w:rsidR="000D5C5D" w:rsidRPr="00D51778" w:rsidRDefault="00624403" w:rsidP="00B12C05">
      <w:pPr>
        <w:pStyle w:val="Heading2"/>
        <w:jc w:val="center"/>
        <w:rPr>
          <w:color w:val="000000" w:themeColor="text1"/>
        </w:rPr>
      </w:pPr>
      <w:bookmarkStart w:id="76" w:name="_Toc124367424"/>
      <w:r w:rsidRPr="00D51778">
        <w:rPr>
          <w:bCs/>
          <w:color w:val="000000" w:themeColor="text1"/>
          <w:lang w:val="ga"/>
        </w:rPr>
        <w:t>An Roinn Caiteachais Phoiblí agus Athchóirithe</w:t>
      </w:r>
      <w:bookmarkEnd w:id="76"/>
    </w:p>
    <w:p w14:paraId="3FE4EFA8" w14:textId="31C525D7" w:rsidR="00B12C05" w:rsidRPr="00D51778" w:rsidRDefault="00B12C05" w:rsidP="00B12C05">
      <w:pPr>
        <w:rPr>
          <w:b/>
          <w:sz w:val="22"/>
          <w:szCs w:val="22"/>
        </w:rPr>
      </w:pPr>
      <w:r w:rsidRPr="00D51778">
        <w:rPr>
          <w:b/>
          <w:bCs/>
          <w:lang w:val="ga"/>
        </w:rPr>
        <w:t>*</w:t>
      </w:r>
      <w:r w:rsidRPr="00D51778">
        <w:rPr>
          <w:b/>
          <w:bCs/>
          <w:sz w:val="22"/>
          <w:szCs w:val="22"/>
          <w:lang w:val="ga"/>
        </w:rPr>
        <w:t>Maidir le comhlachtaí poiblí iomchuí sa Roinn Dlí agus Cirt a thuairiscíonn chun críocha Chuid 5, tuairiscíonn siad faoin Roinn Caiteachais Phoiblí agus Athchóirithe</w:t>
      </w:r>
    </w:p>
    <w:tbl>
      <w:tblPr>
        <w:tblStyle w:val="TableGrid"/>
        <w:tblW w:w="11198" w:type="dxa"/>
        <w:jc w:val="center"/>
        <w:tblLayout w:type="fixed"/>
        <w:tblLook w:val="04A0" w:firstRow="1" w:lastRow="0" w:firstColumn="1" w:lastColumn="0" w:noHBand="0" w:noVBand="1"/>
        <w:tblCaption w:val="Department of Public Expenditure &amp; Reform"/>
      </w:tblPr>
      <w:tblGrid>
        <w:gridCol w:w="1711"/>
        <w:gridCol w:w="1701"/>
        <w:gridCol w:w="1418"/>
        <w:gridCol w:w="1559"/>
        <w:gridCol w:w="1701"/>
        <w:gridCol w:w="1559"/>
        <w:gridCol w:w="1549"/>
      </w:tblGrid>
      <w:tr w:rsidR="00107D01" w:rsidRPr="00D51778" w14:paraId="465B19A8" w14:textId="77777777" w:rsidTr="0022342F">
        <w:trPr>
          <w:tblHeader/>
          <w:jc w:val="center"/>
        </w:trPr>
        <w:tc>
          <w:tcPr>
            <w:tcW w:w="1711" w:type="dxa"/>
          </w:tcPr>
          <w:p w14:paraId="2C95791F" w14:textId="77777777" w:rsidR="00107D01" w:rsidRPr="00B14E6C" w:rsidRDefault="00107D01" w:rsidP="00812E67">
            <w:pPr>
              <w:pStyle w:val="TableHead"/>
              <w:rPr>
                <w:sz w:val="22"/>
                <w:szCs w:val="22"/>
              </w:rPr>
            </w:pPr>
            <w:r w:rsidRPr="00B14E6C">
              <w:rPr>
                <w:bCs/>
                <w:sz w:val="22"/>
                <w:szCs w:val="22"/>
                <w:lang w:val="ga"/>
              </w:rPr>
              <w:t>Comhlacht Poiblí</w:t>
            </w:r>
          </w:p>
        </w:tc>
        <w:tc>
          <w:tcPr>
            <w:tcW w:w="1701" w:type="dxa"/>
          </w:tcPr>
          <w:p w14:paraId="5492C744" w14:textId="77777777" w:rsidR="00145C2D" w:rsidRPr="00B14E6C" w:rsidRDefault="00FA0390" w:rsidP="00812E67">
            <w:pPr>
              <w:pStyle w:val="TableHead"/>
              <w:rPr>
                <w:bCs/>
                <w:sz w:val="22"/>
                <w:szCs w:val="22"/>
                <w:lang w:val="ga"/>
              </w:rPr>
            </w:pPr>
            <w:r w:rsidRPr="00B14E6C">
              <w:rPr>
                <w:bCs/>
                <w:sz w:val="22"/>
                <w:szCs w:val="22"/>
                <w:lang w:val="ga"/>
              </w:rPr>
              <w:t xml:space="preserve">An líon iomlán fostaithe </w:t>
            </w:r>
          </w:p>
          <w:p w14:paraId="7D54687C" w14:textId="6E3724FC" w:rsidR="00107D01" w:rsidRPr="00B14E6C" w:rsidRDefault="00FA0390" w:rsidP="00812E67">
            <w:pPr>
              <w:pStyle w:val="TableHead"/>
              <w:rPr>
                <w:sz w:val="22"/>
                <w:szCs w:val="22"/>
              </w:rPr>
            </w:pPr>
            <w:r w:rsidRPr="00B14E6C">
              <w:rPr>
                <w:bCs/>
                <w:sz w:val="22"/>
                <w:szCs w:val="22"/>
                <w:lang w:val="ga"/>
              </w:rPr>
              <w:t>2020</w:t>
            </w:r>
          </w:p>
        </w:tc>
        <w:tc>
          <w:tcPr>
            <w:tcW w:w="1418" w:type="dxa"/>
          </w:tcPr>
          <w:p w14:paraId="2A394F2A" w14:textId="05C2DE46" w:rsidR="00107D01" w:rsidRPr="00B14E6C" w:rsidRDefault="00107D01" w:rsidP="00812E67">
            <w:pPr>
              <w:pStyle w:val="TableHead"/>
              <w:rPr>
                <w:sz w:val="22"/>
                <w:szCs w:val="22"/>
              </w:rPr>
            </w:pPr>
            <w:r w:rsidRPr="00B14E6C">
              <w:rPr>
                <w:bCs/>
                <w:sz w:val="22"/>
                <w:szCs w:val="22"/>
                <w:lang w:val="ga"/>
              </w:rPr>
              <w:t xml:space="preserve">An líon fostaithe a thuairiscigh míchumas </w:t>
            </w:r>
          </w:p>
          <w:p w14:paraId="739ECA4F" w14:textId="3A04FDC5" w:rsidR="00107D01" w:rsidRPr="00B14E6C" w:rsidRDefault="00F1261F" w:rsidP="00812E67">
            <w:pPr>
              <w:pStyle w:val="TableHead"/>
              <w:rPr>
                <w:sz w:val="22"/>
                <w:szCs w:val="22"/>
              </w:rPr>
            </w:pPr>
            <w:r w:rsidRPr="00B14E6C">
              <w:rPr>
                <w:bCs/>
                <w:sz w:val="22"/>
                <w:szCs w:val="22"/>
                <w:lang w:val="ga"/>
              </w:rPr>
              <w:t>2020</w:t>
            </w:r>
          </w:p>
        </w:tc>
        <w:tc>
          <w:tcPr>
            <w:tcW w:w="1559" w:type="dxa"/>
          </w:tcPr>
          <w:p w14:paraId="2DC4208D" w14:textId="07266BB7" w:rsidR="00107D01" w:rsidRPr="00B14E6C" w:rsidRDefault="00107D01" w:rsidP="00812E67">
            <w:pPr>
              <w:pStyle w:val="TableHead"/>
              <w:rPr>
                <w:sz w:val="22"/>
                <w:szCs w:val="22"/>
              </w:rPr>
            </w:pPr>
            <w:r w:rsidRPr="00B14E6C">
              <w:rPr>
                <w:bCs/>
                <w:sz w:val="22"/>
                <w:szCs w:val="22"/>
                <w:lang w:val="ga"/>
              </w:rPr>
              <w:t>An % d’fhostaithe a thuairiscigh</w:t>
            </w:r>
          </w:p>
          <w:p w14:paraId="582191C5" w14:textId="38331164" w:rsidR="00107D01" w:rsidRPr="00B14E6C" w:rsidRDefault="004B379F" w:rsidP="00812E67">
            <w:pPr>
              <w:pStyle w:val="TableHead"/>
              <w:rPr>
                <w:sz w:val="22"/>
                <w:szCs w:val="22"/>
              </w:rPr>
            </w:pPr>
            <w:r w:rsidRPr="00B14E6C">
              <w:rPr>
                <w:bCs/>
                <w:sz w:val="22"/>
                <w:szCs w:val="22"/>
                <w:lang w:val="ga"/>
              </w:rPr>
              <w:t>míchumas 2020</w:t>
            </w:r>
          </w:p>
        </w:tc>
        <w:tc>
          <w:tcPr>
            <w:tcW w:w="1701" w:type="dxa"/>
          </w:tcPr>
          <w:p w14:paraId="2E054E01" w14:textId="77777777" w:rsidR="00145C2D" w:rsidRPr="00B14E6C" w:rsidRDefault="00F1261F" w:rsidP="00812E67">
            <w:pPr>
              <w:pStyle w:val="TableHead"/>
              <w:rPr>
                <w:bCs/>
                <w:sz w:val="22"/>
                <w:szCs w:val="22"/>
                <w:lang w:val="ga"/>
              </w:rPr>
            </w:pPr>
            <w:r w:rsidRPr="00B14E6C">
              <w:rPr>
                <w:bCs/>
                <w:sz w:val="22"/>
                <w:szCs w:val="22"/>
                <w:lang w:val="ga"/>
              </w:rPr>
              <w:t xml:space="preserve">An líon iomlán fostaithe </w:t>
            </w:r>
          </w:p>
          <w:p w14:paraId="1AE21686" w14:textId="4B559A17" w:rsidR="00107D01" w:rsidRPr="00B14E6C" w:rsidRDefault="00F1261F" w:rsidP="00812E67">
            <w:pPr>
              <w:pStyle w:val="TableHead"/>
              <w:rPr>
                <w:sz w:val="22"/>
                <w:szCs w:val="22"/>
              </w:rPr>
            </w:pPr>
            <w:r w:rsidRPr="00B14E6C">
              <w:rPr>
                <w:bCs/>
                <w:sz w:val="22"/>
                <w:szCs w:val="22"/>
                <w:lang w:val="ga"/>
              </w:rPr>
              <w:t>2021</w:t>
            </w:r>
          </w:p>
        </w:tc>
        <w:tc>
          <w:tcPr>
            <w:tcW w:w="1559" w:type="dxa"/>
          </w:tcPr>
          <w:p w14:paraId="6E86D1FE" w14:textId="77777777" w:rsidR="00107D01" w:rsidRPr="00B14E6C" w:rsidRDefault="00107D01" w:rsidP="00812E67">
            <w:pPr>
              <w:pStyle w:val="TableHead"/>
              <w:rPr>
                <w:sz w:val="22"/>
                <w:szCs w:val="22"/>
              </w:rPr>
            </w:pPr>
            <w:r w:rsidRPr="00B14E6C">
              <w:rPr>
                <w:bCs/>
                <w:sz w:val="22"/>
                <w:szCs w:val="22"/>
                <w:lang w:val="ga"/>
              </w:rPr>
              <w:t xml:space="preserve">An líon fostaithe a thuairiscigh míchumas </w:t>
            </w:r>
          </w:p>
          <w:p w14:paraId="4532E9C5" w14:textId="58818363" w:rsidR="00107D01" w:rsidRPr="00B14E6C" w:rsidRDefault="00F1261F" w:rsidP="00812E67">
            <w:pPr>
              <w:pStyle w:val="TableHead"/>
              <w:rPr>
                <w:sz w:val="22"/>
                <w:szCs w:val="22"/>
              </w:rPr>
            </w:pPr>
            <w:r w:rsidRPr="00B14E6C">
              <w:rPr>
                <w:bCs/>
                <w:sz w:val="22"/>
                <w:szCs w:val="22"/>
                <w:lang w:val="ga"/>
              </w:rPr>
              <w:t>2021</w:t>
            </w:r>
          </w:p>
        </w:tc>
        <w:tc>
          <w:tcPr>
            <w:tcW w:w="1549" w:type="dxa"/>
          </w:tcPr>
          <w:p w14:paraId="4D3F0501" w14:textId="04DC661C" w:rsidR="00107D01" w:rsidRPr="00B14E6C" w:rsidRDefault="00107D01" w:rsidP="00812E67">
            <w:pPr>
              <w:pStyle w:val="TableHead"/>
              <w:rPr>
                <w:sz w:val="22"/>
                <w:szCs w:val="22"/>
              </w:rPr>
            </w:pPr>
            <w:r w:rsidRPr="00B14E6C">
              <w:rPr>
                <w:bCs/>
                <w:sz w:val="22"/>
                <w:szCs w:val="22"/>
                <w:lang w:val="ga"/>
              </w:rPr>
              <w:t>An % d’fhostaithe a thuairiscigh</w:t>
            </w:r>
          </w:p>
          <w:p w14:paraId="15607CE1" w14:textId="06D300D0" w:rsidR="004B379F" w:rsidRPr="00B14E6C" w:rsidRDefault="004B379F" w:rsidP="00812E67">
            <w:pPr>
              <w:pStyle w:val="TableHead"/>
              <w:rPr>
                <w:sz w:val="22"/>
                <w:szCs w:val="22"/>
              </w:rPr>
            </w:pPr>
            <w:r w:rsidRPr="00B14E6C">
              <w:rPr>
                <w:bCs/>
                <w:sz w:val="22"/>
                <w:szCs w:val="22"/>
                <w:lang w:val="ga"/>
              </w:rPr>
              <w:t>míchumas</w:t>
            </w:r>
          </w:p>
          <w:p w14:paraId="05AFDA6C" w14:textId="1EA32CA4" w:rsidR="00107D01" w:rsidRPr="00B14E6C" w:rsidRDefault="00F1261F" w:rsidP="00812E67">
            <w:pPr>
              <w:pStyle w:val="TableHead"/>
              <w:rPr>
                <w:sz w:val="22"/>
                <w:szCs w:val="22"/>
              </w:rPr>
            </w:pPr>
            <w:r w:rsidRPr="00B14E6C">
              <w:rPr>
                <w:bCs/>
                <w:sz w:val="22"/>
                <w:szCs w:val="22"/>
                <w:lang w:val="ga"/>
              </w:rPr>
              <w:t xml:space="preserve"> 2021</w:t>
            </w:r>
          </w:p>
        </w:tc>
      </w:tr>
      <w:tr w:rsidR="00F03F9F" w:rsidRPr="00D51778" w14:paraId="35B2CD4B" w14:textId="77777777" w:rsidTr="0022342F">
        <w:trPr>
          <w:jc w:val="center"/>
        </w:trPr>
        <w:tc>
          <w:tcPr>
            <w:tcW w:w="1711" w:type="dxa"/>
          </w:tcPr>
          <w:p w14:paraId="5A33C3F4" w14:textId="000D2585" w:rsidR="00F03F9F" w:rsidRPr="00D51778" w:rsidRDefault="00F03F9F" w:rsidP="00F22C59">
            <w:pPr>
              <w:rPr>
                <w:sz w:val="22"/>
                <w:szCs w:val="22"/>
              </w:rPr>
            </w:pPr>
            <w:r w:rsidRPr="00D51778">
              <w:rPr>
                <w:rFonts w:cs="Calibri"/>
                <w:color w:val="000000"/>
                <w:sz w:val="22"/>
                <w:szCs w:val="22"/>
                <w:lang w:val="ga"/>
              </w:rPr>
              <w:t>An Chomhairle um Oideachas Gaeltachta agus Gaelscolaíochta</w:t>
            </w:r>
          </w:p>
        </w:tc>
        <w:tc>
          <w:tcPr>
            <w:tcW w:w="1701" w:type="dxa"/>
          </w:tcPr>
          <w:p w14:paraId="0EF158C9" w14:textId="06869B7D" w:rsidR="00F03F9F" w:rsidRPr="00D51778" w:rsidRDefault="00F03F9F" w:rsidP="00F22C59">
            <w:pPr>
              <w:jc w:val="right"/>
              <w:rPr>
                <w:sz w:val="22"/>
                <w:szCs w:val="22"/>
              </w:rPr>
            </w:pPr>
            <w:r w:rsidRPr="00D51778">
              <w:rPr>
                <w:rFonts w:cs="Calibri"/>
                <w:color w:val="000000"/>
                <w:sz w:val="22"/>
                <w:szCs w:val="22"/>
                <w:lang w:val="ga"/>
              </w:rPr>
              <w:t>9</w:t>
            </w:r>
          </w:p>
        </w:tc>
        <w:tc>
          <w:tcPr>
            <w:tcW w:w="1418" w:type="dxa"/>
          </w:tcPr>
          <w:p w14:paraId="5BE7D522" w14:textId="774B00F9" w:rsidR="00F03F9F" w:rsidRPr="00D51778" w:rsidRDefault="00F03F9F" w:rsidP="00F22C59">
            <w:pPr>
              <w:jc w:val="right"/>
              <w:rPr>
                <w:sz w:val="22"/>
                <w:szCs w:val="22"/>
              </w:rPr>
            </w:pPr>
            <w:r w:rsidRPr="00D51778">
              <w:rPr>
                <w:rFonts w:cs="Calibri"/>
                <w:color w:val="000000"/>
                <w:sz w:val="22"/>
                <w:szCs w:val="22"/>
                <w:lang w:val="ga"/>
              </w:rPr>
              <w:t>0</w:t>
            </w:r>
          </w:p>
        </w:tc>
        <w:tc>
          <w:tcPr>
            <w:tcW w:w="1559" w:type="dxa"/>
          </w:tcPr>
          <w:p w14:paraId="67E86971" w14:textId="06C420BC" w:rsidR="00F03F9F" w:rsidRPr="00D51778" w:rsidRDefault="00F03F9F" w:rsidP="00F22C59">
            <w:pPr>
              <w:jc w:val="right"/>
              <w:rPr>
                <w:sz w:val="22"/>
                <w:szCs w:val="22"/>
              </w:rPr>
            </w:pPr>
            <w:r w:rsidRPr="00D51778">
              <w:rPr>
                <w:rFonts w:cs="Calibri"/>
                <w:color w:val="000000"/>
                <w:sz w:val="22"/>
                <w:szCs w:val="22"/>
                <w:lang w:val="ga"/>
              </w:rPr>
              <w:t>0.0%</w:t>
            </w:r>
          </w:p>
        </w:tc>
        <w:tc>
          <w:tcPr>
            <w:tcW w:w="1701" w:type="dxa"/>
          </w:tcPr>
          <w:p w14:paraId="5A220A10" w14:textId="52C594F5" w:rsidR="00F03F9F" w:rsidRPr="00D51778" w:rsidRDefault="00F03F9F" w:rsidP="00F22C59">
            <w:pPr>
              <w:jc w:val="right"/>
              <w:rPr>
                <w:sz w:val="22"/>
                <w:szCs w:val="22"/>
              </w:rPr>
            </w:pPr>
            <w:r w:rsidRPr="00D51778">
              <w:rPr>
                <w:rFonts w:cs="Calibri"/>
                <w:color w:val="000000"/>
                <w:sz w:val="22"/>
                <w:szCs w:val="22"/>
                <w:lang w:val="ga"/>
              </w:rPr>
              <w:t>9</w:t>
            </w:r>
          </w:p>
        </w:tc>
        <w:tc>
          <w:tcPr>
            <w:tcW w:w="1559" w:type="dxa"/>
          </w:tcPr>
          <w:p w14:paraId="66E8E4DF" w14:textId="06D20D1E" w:rsidR="00F03F9F" w:rsidRPr="00D51778" w:rsidRDefault="00F03F9F" w:rsidP="00F22C59">
            <w:pPr>
              <w:jc w:val="right"/>
              <w:rPr>
                <w:sz w:val="22"/>
                <w:szCs w:val="22"/>
              </w:rPr>
            </w:pPr>
            <w:r w:rsidRPr="00D51778">
              <w:rPr>
                <w:rFonts w:cs="Calibri"/>
                <w:color w:val="000000"/>
                <w:sz w:val="22"/>
                <w:szCs w:val="22"/>
                <w:lang w:val="ga"/>
              </w:rPr>
              <w:t>0</w:t>
            </w:r>
          </w:p>
        </w:tc>
        <w:tc>
          <w:tcPr>
            <w:tcW w:w="1549" w:type="dxa"/>
          </w:tcPr>
          <w:p w14:paraId="0FA12FC8" w14:textId="22391927" w:rsidR="00F03F9F" w:rsidRPr="00D51778" w:rsidRDefault="00F03F9F" w:rsidP="00F22C59">
            <w:pPr>
              <w:jc w:val="right"/>
              <w:rPr>
                <w:sz w:val="22"/>
                <w:szCs w:val="22"/>
              </w:rPr>
            </w:pPr>
            <w:r w:rsidRPr="00D51778">
              <w:rPr>
                <w:rFonts w:cs="Calibri"/>
                <w:color w:val="000000"/>
                <w:sz w:val="22"/>
                <w:szCs w:val="22"/>
                <w:lang w:val="ga"/>
              </w:rPr>
              <w:t>0.0%</w:t>
            </w:r>
          </w:p>
        </w:tc>
      </w:tr>
      <w:tr w:rsidR="00F03F9F" w:rsidRPr="00D51778" w14:paraId="7EEDD7E7" w14:textId="77777777" w:rsidTr="0022342F">
        <w:trPr>
          <w:jc w:val="center"/>
        </w:trPr>
        <w:tc>
          <w:tcPr>
            <w:tcW w:w="1711" w:type="dxa"/>
          </w:tcPr>
          <w:p w14:paraId="4FA30E46" w14:textId="13650C5A" w:rsidR="00F03F9F" w:rsidRPr="00D51778" w:rsidRDefault="00F03F9F" w:rsidP="00F22C59">
            <w:pPr>
              <w:rPr>
                <w:sz w:val="22"/>
                <w:szCs w:val="22"/>
              </w:rPr>
            </w:pPr>
            <w:r w:rsidRPr="00D51778">
              <w:rPr>
                <w:rFonts w:cs="Calibri"/>
                <w:color w:val="000000"/>
                <w:sz w:val="22"/>
                <w:szCs w:val="22"/>
                <w:lang w:val="ga"/>
              </w:rPr>
              <w:t>An Coimisinéir Teanga</w:t>
            </w:r>
          </w:p>
        </w:tc>
        <w:tc>
          <w:tcPr>
            <w:tcW w:w="1701" w:type="dxa"/>
          </w:tcPr>
          <w:p w14:paraId="3D6776DC" w14:textId="7507AEAC" w:rsidR="00F03F9F" w:rsidRPr="00D51778" w:rsidRDefault="00F03F9F" w:rsidP="00F22C59">
            <w:pPr>
              <w:jc w:val="right"/>
              <w:rPr>
                <w:sz w:val="22"/>
                <w:szCs w:val="22"/>
              </w:rPr>
            </w:pPr>
            <w:r w:rsidRPr="00D51778">
              <w:rPr>
                <w:rFonts w:cs="Calibri"/>
                <w:color w:val="000000"/>
                <w:sz w:val="22"/>
                <w:szCs w:val="22"/>
                <w:lang w:val="ga"/>
              </w:rPr>
              <w:t>8</w:t>
            </w:r>
          </w:p>
        </w:tc>
        <w:tc>
          <w:tcPr>
            <w:tcW w:w="1418" w:type="dxa"/>
          </w:tcPr>
          <w:p w14:paraId="4547B12F" w14:textId="13713D55" w:rsidR="00F03F9F" w:rsidRPr="00D51778" w:rsidRDefault="00F03F9F" w:rsidP="00F22C59">
            <w:pPr>
              <w:jc w:val="right"/>
              <w:rPr>
                <w:sz w:val="22"/>
                <w:szCs w:val="22"/>
              </w:rPr>
            </w:pPr>
            <w:r w:rsidRPr="00D51778">
              <w:rPr>
                <w:rFonts w:cs="Calibri"/>
                <w:color w:val="000000"/>
                <w:sz w:val="22"/>
                <w:szCs w:val="22"/>
                <w:lang w:val="ga"/>
              </w:rPr>
              <w:t>0</w:t>
            </w:r>
          </w:p>
        </w:tc>
        <w:tc>
          <w:tcPr>
            <w:tcW w:w="1559" w:type="dxa"/>
          </w:tcPr>
          <w:p w14:paraId="6A653B0D" w14:textId="2D287476" w:rsidR="00F03F9F" w:rsidRPr="00D51778" w:rsidRDefault="00F03F9F" w:rsidP="00F22C59">
            <w:pPr>
              <w:jc w:val="right"/>
              <w:rPr>
                <w:sz w:val="22"/>
                <w:szCs w:val="22"/>
              </w:rPr>
            </w:pPr>
            <w:r w:rsidRPr="00D51778">
              <w:rPr>
                <w:rFonts w:cs="Calibri"/>
                <w:color w:val="000000"/>
                <w:sz w:val="22"/>
                <w:szCs w:val="22"/>
                <w:lang w:val="ga"/>
              </w:rPr>
              <w:t>0.0%</w:t>
            </w:r>
          </w:p>
        </w:tc>
        <w:tc>
          <w:tcPr>
            <w:tcW w:w="1701" w:type="dxa"/>
          </w:tcPr>
          <w:p w14:paraId="48975FE7" w14:textId="00F06F5F" w:rsidR="00F03F9F" w:rsidRPr="00D51778" w:rsidRDefault="00F03F9F" w:rsidP="00F22C59">
            <w:pPr>
              <w:jc w:val="right"/>
              <w:rPr>
                <w:sz w:val="22"/>
                <w:szCs w:val="22"/>
              </w:rPr>
            </w:pPr>
            <w:r w:rsidRPr="00D51778">
              <w:rPr>
                <w:rFonts w:cs="Calibri"/>
                <w:color w:val="000000"/>
                <w:sz w:val="22"/>
                <w:szCs w:val="22"/>
                <w:lang w:val="ga"/>
              </w:rPr>
              <w:t>8</w:t>
            </w:r>
          </w:p>
        </w:tc>
        <w:tc>
          <w:tcPr>
            <w:tcW w:w="1559" w:type="dxa"/>
          </w:tcPr>
          <w:p w14:paraId="7246F642" w14:textId="434DF2DE" w:rsidR="00F03F9F" w:rsidRPr="00D51778" w:rsidRDefault="00F03F9F" w:rsidP="00F22C59">
            <w:pPr>
              <w:jc w:val="right"/>
              <w:rPr>
                <w:sz w:val="22"/>
                <w:szCs w:val="22"/>
              </w:rPr>
            </w:pPr>
            <w:r w:rsidRPr="00D51778">
              <w:rPr>
                <w:rFonts w:cs="Calibri"/>
                <w:color w:val="000000"/>
                <w:sz w:val="22"/>
                <w:szCs w:val="22"/>
                <w:lang w:val="ga"/>
              </w:rPr>
              <w:t>0</w:t>
            </w:r>
          </w:p>
        </w:tc>
        <w:tc>
          <w:tcPr>
            <w:tcW w:w="1549" w:type="dxa"/>
          </w:tcPr>
          <w:p w14:paraId="27623DE9" w14:textId="0386B328" w:rsidR="00F03F9F" w:rsidRPr="00D51778" w:rsidRDefault="00F03F9F" w:rsidP="00F22C59">
            <w:pPr>
              <w:jc w:val="right"/>
              <w:rPr>
                <w:sz w:val="22"/>
                <w:szCs w:val="22"/>
              </w:rPr>
            </w:pPr>
            <w:r w:rsidRPr="00D51778">
              <w:rPr>
                <w:rFonts w:cs="Calibri"/>
                <w:color w:val="000000"/>
                <w:sz w:val="22"/>
                <w:szCs w:val="22"/>
                <w:lang w:val="ga"/>
              </w:rPr>
              <w:t>0.0%</w:t>
            </w:r>
          </w:p>
        </w:tc>
      </w:tr>
      <w:tr w:rsidR="00F03F9F" w:rsidRPr="00D51778" w14:paraId="1A3E97CD" w14:textId="77777777" w:rsidTr="0022342F">
        <w:trPr>
          <w:jc w:val="center"/>
        </w:trPr>
        <w:tc>
          <w:tcPr>
            <w:tcW w:w="1711" w:type="dxa"/>
          </w:tcPr>
          <w:p w14:paraId="41CFC7E8" w14:textId="2697928B" w:rsidR="00F03F9F" w:rsidRPr="00D51778" w:rsidRDefault="00F03F9F" w:rsidP="00F22C59">
            <w:pPr>
              <w:rPr>
                <w:sz w:val="22"/>
                <w:szCs w:val="22"/>
              </w:rPr>
            </w:pPr>
            <w:r w:rsidRPr="00D51778">
              <w:rPr>
                <w:rFonts w:cs="Calibri"/>
                <w:color w:val="000000"/>
                <w:sz w:val="22"/>
                <w:szCs w:val="22"/>
                <w:lang w:val="ga"/>
              </w:rPr>
              <w:t>An Phríomh-Oifig Staidrimh</w:t>
            </w:r>
          </w:p>
        </w:tc>
        <w:tc>
          <w:tcPr>
            <w:tcW w:w="1701" w:type="dxa"/>
          </w:tcPr>
          <w:p w14:paraId="5B34E227" w14:textId="42C4F964" w:rsidR="00F03F9F" w:rsidRPr="00D51778" w:rsidRDefault="00F03F9F" w:rsidP="00F22C59">
            <w:pPr>
              <w:jc w:val="right"/>
              <w:rPr>
                <w:sz w:val="22"/>
                <w:szCs w:val="22"/>
              </w:rPr>
            </w:pPr>
            <w:r w:rsidRPr="00D51778">
              <w:rPr>
                <w:rFonts w:cs="Calibri"/>
                <w:color w:val="000000"/>
                <w:sz w:val="22"/>
                <w:szCs w:val="22"/>
                <w:lang w:val="ga"/>
              </w:rPr>
              <w:t>938</w:t>
            </w:r>
          </w:p>
        </w:tc>
        <w:tc>
          <w:tcPr>
            <w:tcW w:w="1418" w:type="dxa"/>
          </w:tcPr>
          <w:p w14:paraId="16D4C7F7" w14:textId="7A4A9681" w:rsidR="00F03F9F" w:rsidRPr="00D51778" w:rsidRDefault="00F03F9F" w:rsidP="00F22C59">
            <w:pPr>
              <w:jc w:val="right"/>
              <w:rPr>
                <w:sz w:val="22"/>
                <w:szCs w:val="22"/>
              </w:rPr>
            </w:pPr>
            <w:r w:rsidRPr="00D51778">
              <w:rPr>
                <w:rFonts w:cs="Calibri"/>
                <w:color w:val="000000"/>
                <w:sz w:val="22"/>
                <w:szCs w:val="22"/>
                <w:lang w:val="ga"/>
              </w:rPr>
              <w:t>68</w:t>
            </w:r>
          </w:p>
        </w:tc>
        <w:tc>
          <w:tcPr>
            <w:tcW w:w="1559" w:type="dxa"/>
          </w:tcPr>
          <w:p w14:paraId="7C080161" w14:textId="04089422" w:rsidR="00F03F9F" w:rsidRPr="00D51778" w:rsidRDefault="00F03F9F" w:rsidP="00F22C59">
            <w:pPr>
              <w:jc w:val="right"/>
              <w:rPr>
                <w:sz w:val="22"/>
                <w:szCs w:val="22"/>
              </w:rPr>
            </w:pPr>
            <w:r w:rsidRPr="00D51778">
              <w:rPr>
                <w:rFonts w:cs="Calibri"/>
                <w:color w:val="000000"/>
                <w:sz w:val="22"/>
                <w:szCs w:val="22"/>
                <w:lang w:val="ga"/>
              </w:rPr>
              <w:t>7.2%</w:t>
            </w:r>
          </w:p>
        </w:tc>
        <w:tc>
          <w:tcPr>
            <w:tcW w:w="1701" w:type="dxa"/>
          </w:tcPr>
          <w:p w14:paraId="5A29DE59" w14:textId="22ED465D" w:rsidR="00F03F9F" w:rsidRPr="00D51778" w:rsidRDefault="00F03F9F" w:rsidP="00F22C59">
            <w:pPr>
              <w:jc w:val="right"/>
              <w:rPr>
                <w:sz w:val="22"/>
                <w:szCs w:val="22"/>
              </w:rPr>
            </w:pPr>
            <w:r w:rsidRPr="00D51778">
              <w:rPr>
                <w:rFonts w:cs="Calibri"/>
                <w:color w:val="000000"/>
                <w:sz w:val="22"/>
                <w:szCs w:val="22"/>
                <w:lang w:val="ga"/>
              </w:rPr>
              <w:t>971</w:t>
            </w:r>
          </w:p>
        </w:tc>
        <w:tc>
          <w:tcPr>
            <w:tcW w:w="1559" w:type="dxa"/>
          </w:tcPr>
          <w:p w14:paraId="1343DCC5" w14:textId="206B069E" w:rsidR="00F03F9F" w:rsidRPr="00D51778" w:rsidRDefault="00F03F9F" w:rsidP="00F22C59">
            <w:pPr>
              <w:jc w:val="right"/>
              <w:rPr>
                <w:sz w:val="22"/>
                <w:szCs w:val="22"/>
              </w:rPr>
            </w:pPr>
            <w:r w:rsidRPr="00D51778">
              <w:rPr>
                <w:rFonts w:cs="Calibri"/>
                <w:color w:val="000000"/>
                <w:sz w:val="22"/>
                <w:szCs w:val="22"/>
                <w:lang w:val="ga"/>
              </w:rPr>
              <w:t>54</w:t>
            </w:r>
          </w:p>
        </w:tc>
        <w:tc>
          <w:tcPr>
            <w:tcW w:w="1549" w:type="dxa"/>
          </w:tcPr>
          <w:p w14:paraId="2D791C47" w14:textId="6193ABAB" w:rsidR="00F03F9F" w:rsidRPr="00D51778" w:rsidRDefault="00F03F9F" w:rsidP="00F22C59">
            <w:pPr>
              <w:jc w:val="right"/>
              <w:rPr>
                <w:sz w:val="22"/>
                <w:szCs w:val="22"/>
              </w:rPr>
            </w:pPr>
            <w:r w:rsidRPr="00D51778">
              <w:rPr>
                <w:rFonts w:cs="Calibri"/>
                <w:color w:val="000000"/>
                <w:sz w:val="22"/>
                <w:szCs w:val="22"/>
                <w:lang w:val="ga"/>
              </w:rPr>
              <w:t>5.6%</w:t>
            </w:r>
          </w:p>
        </w:tc>
      </w:tr>
      <w:tr w:rsidR="00F03F9F" w:rsidRPr="00D51778" w14:paraId="16B1BDE9" w14:textId="77777777" w:rsidTr="0022342F">
        <w:trPr>
          <w:jc w:val="center"/>
        </w:trPr>
        <w:tc>
          <w:tcPr>
            <w:tcW w:w="1711" w:type="dxa"/>
          </w:tcPr>
          <w:p w14:paraId="765AC1AF" w14:textId="1FDDA852" w:rsidR="00F03F9F" w:rsidRPr="00D51778" w:rsidRDefault="00F03F9F" w:rsidP="00F22C59">
            <w:pPr>
              <w:rPr>
                <w:sz w:val="22"/>
                <w:szCs w:val="22"/>
              </w:rPr>
            </w:pPr>
            <w:r w:rsidRPr="00D51778">
              <w:rPr>
                <w:rFonts w:cs="Calibri"/>
                <w:color w:val="000000"/>
                <w:sz w:val="22"/>
                <w:szCs w:val="22"/>
                <w:lang w:val="ga"/>
              </w:rPr>
              <w:t>An tÚdarás Rialála Carthanas</w:t>
            </w:r>
          </w:p>
        </w:tc>
        <w:tc>
          <w:tcPr>
            <w:tcW w:w="1701" w:type="dxa"/>
          </w:tcPr>
          <w:p w14:paraId="12C53C41" w14:textId="19A04361" w:rsidR="00F03F9F" w:rsidRPr="00D51778" w:rsidRDefault="00F03F9F" w:rsidP="00F22C59">
            <w:pPr>
              <w:jc w:val="right"/>
              <w:rPr>
                <w:sz w:val="22"/>
                <w:szCs w:val="22"/>
              </w:rPr>
            </w:pPr>
            <w:r w:rsidRPr="00D51778">
              <w:rPr>
                <w:rFonts w:cs="Calibri"/>
                <w:color w:val="000000"/>
                <w:sz w:val="22"/>
                <w:szCs w:val="22"/>
                <w:lang w:val="ga"/>
              </w:rPr>
              <w:t>40</w:t>
            </w:r>
          </w:p>
        </w:tc>
        <w:tc>
          <w:tcPr>
            <w:tcW w:w="1418" w:type="dxa"/>
          </w:tcPr>
          <w:p w14:paraId="33A54FD2" w14:textId="1A7CCEA6" w:rsidR="00F03F9F" w:rsidRPr="00D51778" w:rsidRDefault="00F03F9F" w:rsidP="00F22C59">
            <w:pPr>
              <w:jc w:val="right"/>
              <w:rPr>
                <w:sz w:val="22"/>
                <w:szCs w:val="22"/>
              </w:rPr>
            </w:pPr>
            <w:r w:rsidRPr="00D51778">
              <w:rPr>
                <w:rFonts w:cs="Calibri"/>
                <w:color w:val="000000"/>
                <w:sz w:val="22"/>
                <w:szCs w:val="22"/>
                <w:lang w:val="ga"/>
              </w:rPr>
              <w:t>5</w:t>
            </w:r>
          </w:p>
        </w:tc>
        <w:tc>
          <w:tcPr>
            <w:tcW w:w="1559" w:type="dxa"/>
          </w:tcPr>
          <w:p w14:paraId="67F40CB2" w14:textId="582797D8" w:rsidR="00F03F9F" w:rsidRPr="00D51778" w:rsidRDefault="00F03F9F" w:rsidP="00F22C59">
            <w:pPr>
              <w:jc w:val="right"/>
              <w:rPr>
                <w:sz w:val="22"/>
                <w:szCs w:val="22"/>
              </w:rPr>
            </w:pPr>
            <w:r w:rsidRPr="00D51778">
              <w:rPr>
                <w:rFonts w:cs="Calibri"/>
                <w:color w:val="000000"/>
                <w:sz w:val="22"/>
                <w:szCs w:val="22"/>
                <w:lang w:val="ga"/>
              </w:rPr>
              <w:t>12.5%</w:t>
            </w:r>
          </w:p>
        </w:tc>
        <w:tc>
          <w:tcPr>
            <w:tcW w:w="1701" w:type="dxa"/>
          </w:tcPr>
          <w:p w14:paraId="1897E79A" w14:textId="03B10FC4" w:rsidR="00F03F9F" w:rsidRPr="00D51778" w:rsidRDefault="00F03F9F" w:rsidP="00F22C59">
            <w:pPr>
              <w:jc w:val="right"/>
              <w:rPr>
                <w:sz w:val="22"/>
                <w:szCs w:val="22"/>
              </w:rPr>
            </w:pPr>
            <w:r w:rsidRPr="00D51778">
              <w:rPr>
                <w:rFonts w:cs="Calibri"/>
                <w:color w:val="000000"/>
                <w:sz w:val="22"/>
                <w:szCs w:val="22"/>
                <w:lang w:val="ga"/>
              </w:rPr>
              <w:t>41</w:t>
            </w:r>
          </w:p>
        </w:tc>
        <w:tc>
          <w:tcPr>
            <w:tcW w:w="1559" w:type="dxa"/>
          </w:tcPr>
          <w:p w14:paraId="169CB7BE" w14:textId="44E99851" w:rsidR="00F03F9F" w:rsidRPr="00D51778" w:rsidRDefault="00F03F9F" w:rsidP="00F22C59">
            <w:pPr>
              <w:jc w:val="right"/>
              <w:rPr>
                <w:sz w:val="22"/>
                <w:szCs w:val="22"/>
              </w:rPr>
            </w:pPr>
            <w:r w:rsidRPr="00D51778">
              <w:rPr>
                <w:rFonts w:cs="Calibri"/>
                <w:color w:val="000000"/>
                <w:sz w:val="22"/>
                <w:szCs w:val="22"/>
                <w:lang w:val="ga"/>
              </w:rPr>
              <w:t>1</w:t>
            </w:r>
          </w:p>
        </w:tc>
        <w:tc>
          <w:tcPr>
            <w:tcW w:w="1549" w:type="dxa"/>
          </w:tcPr>
          <w:p w14:paraId="1541C1BA" w14:textId="792DAA6A" w:rsidR="00F03F9F" w:rsidRPr="00D51778" w:rsidRDefault="00F03F9F" w:rsidP="00F22C59">
            <w:pPr>
              <w:jc w:val="right"/>
              <w:rPr>
                <w:sz w:val="22"/>
                <w:szCs w:val="22"/>
              </w:rPr>
            </w:pPr>
            <w:r w:rsidRPr="00D51778">
              <w:rPr>
                <w:rFonts w:cs="Calibri"/>
                <w:color w:val="000000"/>
                <w:sz w:val="22"/>
                <w:szCs w:val="22"/>
                <w:lang w:val="ga"/>
              </w:rPr>
              <w:t>2.4%</w:t>
            </w:r>
          </w:p>
        </w:tc>
      </w:tr>
      <w:tr w:rsidR="00F03F9F" w:rsidRPr="00D51778" w14:paraId="3C537720" w14:textId="77777777" w:rsidTr="0022342F">
        <w:trPr>
          <w:jc w:val="center"/>
        </w:trPr>
        <w:tc>
          <w:tcPr>
            <w:tcW w:w="1711" w:type="dxa"/>
          </w:tcPr>
          <w:p w14:paraId="6EE1F876" w14:textId="158F208B" w:rsidR="00F03F9F" w:rsidRPr="00D51778" w:rsidRDefault="00F03F9F" w:rsidP="00F22C59">
            <w:pPr>
              <w:rPr>
                <w:sz w:val="22"/>
                <w:szCs w:val="22"/>
              </w:rPr>
            </w:pPr>
            <w:r w:rsidRPr="00D51778">
              <w:rPr>
                <w:rFonts w:cs="Calibri"/>
                <w:color w:val="000000"/>
                <w:sz w:val="22"/>
                <w:szCs w:val="22"/>
                <w:lang w:val="ga"/>
              </w:rPr>
              <w:t>Oifig an Phríomh-Aturnae Stáit</w:t>
            </w:r>
          </w:p>
        </w:tc>
        <w:tc>
          <w:tcPr>
            <w:tcW w:w="1701" w:type="dxa"/>
          </w:tcPr>
          <w:p w14:paraId="6E05C113" w14:textId="34458FBE" w:rsidR="00F03F9F" w:rsidRPr="00D51778" w:rsidRDefault="00F03F9F" w:rsidP="00F22C59">
            <w:pPr>
              <w:jc w:val="right"/>
              <w:rPr>
                <w:sz w:val="22"/>
                <w:szCs w:val="22"/>
              </w:rPr>
            </w:pPr>
            <w:r w:rsidRPr="00D51778">
              <w:rPr>
                <w:rFonts w:cs="Calibri"/>
                <w:color w:val="000000"/>
                <w:sz w:val="22"/>
                <w:szCs w:val="22"/>
                <w:lang w:val="ga"/>
              </w:rPr>
              <w:t>281</w:t>
            </w:r>
          </w:p>
        </w:tc>
        <w:tc>
          <w:tcPr>
            <w:tcW w:w="1418" w:type="dxa"/>
          </w:tcPr>
          <w:p w14:paraId="6DCCD9A1" w14:textId="41106C7A" w:rsidR="00F03F9F" w:rsidRPr="00D51778" w:rsidRDefault="00F03F9F" w:rsidP="00F22C59">
            <w:pPr>
              <w:jc w:val="right"/>
              <w:rPr>
                <w:sz w:val="22"/>
                <w:szCs w:val="22"/>
              </w:rPr>
            </w:pPr>
            <w:r w:rsidRPr="00D51778">
              <w:rPr>
                <w:rFonts w:cs="Calibri"/>
                <w:color w:val="000000"/>
                <w:sz w:val="22"/>
                <w:szCs w:val="22"/>
                <w:lang w:val="ga"/>
              </w:rPr>
              <w:t>22</w:t>
            </w:r>
          </w:p>
        </w:tc>
        <w:tc>
          <w:tcPr>
            <w:tcW w:w="1559" w:type="dxa"/>
          </w:tcPr>
          <w:p w14:paraId="66C5ECB2" w14:textId="01F91BDB" w:rsidR="00F03F9F" w:rsidRPr="00D51778" w:rsidRDefault="00F03F9F" w:rsidP="00F22C59">
            <w:pPr>
              <w:jc w:val="right"/>
              <w:rPr>
                <w:sz w:val="22"/>
                <w:szCs w:val="22"/>
              </w:rPr>
            </w:pPr>
            <w:r w:rsidRPr="00D51778">
              <w:rPr>
                <w:rFonts w:cs="Calibri"/>
                <w:color w:val="000000"/>
                <w:sz w:val="22"/>
                <w:szCs w:val="22"/>
                <w:lang w:val="ga"/>
              </w:rPr>
              <w:t>7.8%</w:t>
            </w:r>
          </w:p>
        </w:tc>
        <w:tc>
          <w:tcPr>
            <w:tcW w:w="1701" w:type="dxa"/>
          </w:tcPr>
          <w:p w14:paraId="52166891" w14:textId="3AB6971A" w:rsidR="00F03F9F" w:rsidRPr="00D51778" w:rsidRDefault="00F03F9F" w:rsidP="00F22C59">
            <w:pPr>
              <w:jc w:val="right"/>
              <w:rPr>
                <w:sz w:val="22"/>
                <w:szCs w:val="22"/>
              </w:rPr>
            </w:pPr>
            <w:r w:rsidRPr="00D51778">
              <w:rPr>
                <w:rFonts w:cs="Calibri"/>
                <w:color w:val="000000"/>
                <w:sz w:val="22"/>
                <w:szCs w:val="22"/>
                <w:lang w:val="ga"/>
              </w:rPr>
              <w:t>316</w:t>
            </w:r>
          </w:p>
        </w:tc>
        <w:tc>
          <w:tcPr>
            <w:tcW w:w="1559" w:type="dxa"/>
          </w:tcPr>
          <w:p w14:paraId="40B65ED6" w14:textId="508528C0" w:rsidR="00F03F9F" w:rsidRPr="00D51778" w:rsidRDefault="00F03F9F" w:rsidP="00F22C59">
            <w:pPr>
              <w:jc w:val="right"/>
              <w:rPr>
                <w:sz w:val="22"/>
                <w:szCs w:val="22"/>
              </w:rPr>
            </w:pPr>
            <w:r w:rsidRPr="00D51778">
              <w:rPr>
                <w:rFonts w:cs="Calibri"/>
                <w:color w:val="000000"/>
                <w:sz w:val="22"/>
                <w:szCs w:val="22"/>
                <w:lang w:val="ga"/>
              </w:rPr>
              <w:t>19</w:t>
            </w:r>
          </w:p>
        </w:tc>
        <w:tc>
          <w:tcPr>
            <w:tcW w:w="1549" w:type="dxa"/>
          </w:tcPr>
          <w:p w14:paraId="2F61219E" w14:textId="67EFA8E7" w:rsidR="00F03F9F" w:rsidRPr="00D51778" w:rsidRDefault="00F03F9F" w:rsidP="00F22C59">
            <w:pPr>
              <w:jc w:val="right"/>
              <w:rPr>
                <w:sz w:val="22"/>
                <w:szCs w:val="22"/>
              </w:rPr>
            </w:pPr>
            <w:r w:rsidRPr="00D51778">
              <w:rPr>
                <w:rFonts w:cs="Calibri"/>
                <w:color w:val="000000"/>
                <w:sz w:val="22"/>
                <w:szCs w:val="22"/>
                <w:lang w:val="ga"/>
              </w:rPr>
              <w:t>6.0%</w:t>
            </w:r>
          </w:p>
        </w:tc>
      </w:tr>
      <w:tr w:rsidR="00F03F9F" w:rsidRPr="00D51778" w14:paraId="66035E00" w14:textId="77777777" w:rsidTr="0022342F">
        <w:trPr>
          <w:jc w:val="center"/>
        </w:trPr>
        <w:tc>
          <w:tcPr>
            <w:tcW w:w="1711" w:type="dxa"/>
          </w:tcPr>
          <w:p w14:paraId="1A006FD3" w14:textId="3A573426" w:rsidR="00F03F9F" w:rsidRPr="00D51778" w:rsidRDefault="00B12C05" w:rsidP="00F27AFB">
            <w:pPr>
              <w:rPr>
                <w:sz w:val="22"/>
                <w:szCs w:val="22"/>
              </w:rPr>
            </w:pPr>
            <w:r w:rsidRPr="00D51778">
              <w:rPr>
                <w:b/>
                <w:bCs/>
                <w:color w:val="000000"/>
                <w:sz w:val="22"/>
                <w:szCs w:val="22"/>
                <w:lang w:val="ga"/>
              </w:rPr>
              <w:t>*</w:t>
            </w:r>
            <w:r w:rsidRPr="00D51778">
              <w:rPr>
                <w:color w:val="000000"/>
                <w:sz w:val="22"/>
                <w:szCs w:val="22"/>
                <w:lang w:val="ga"/>
              </w:rPr>
              <w:t xml:space="preserve">Seirbhís Chúirteanna na hÉireann </w:t>
            </w:r>
            <w:r w:rsidRPr="00D51778">
              <w:rPr>
                <w:b/>
                <w:bCs/>
                <w:sz w:val="22"/>
                <w:szCs w:val="22"/>
                <w:lang w:val="ga"/>
              </w:rPr>
              <w:t>(D’iarr ÚNM soiléiriú go ngairtear Seirbhís Chúirteanna na hÉireann den tSeirbhís Chúirteanna agus fuair sé an soiléiriú sin)</w:t>
            </w:r>
          </w:p>
        </w:tc>
        <w:tc>
          <w:tcPr>
            <w:tcW w:w="1701" w:type="dxa"/>
          </w:tcPr>
          <w:p w14:paraId="1DCEB757" w14:textId="516441FC" w:rsidR="00F03F9F" w:rsidRPr="00D51778" w:rsidRDefault="00F03F9F" w:rsidP="00F22C59">
            <w:pPr>
              <w:jc w:val="right"/>
              <w:rPr>
                <w:sz w:val="22"/>
                <w:szCs w:val="22"/>
              </w:rPr>
            </w:pPr>
            <w:r w:rsidRPr="00D51778">
              <w:rPr>
                <w:rFonts w:cs="Calibri"/>
                <w:color w:val="000000"/>
                <w:sz w:val="22"/>
                <w:szCs w:val="22"/>
                <w:lang w:val="ga"/>
              </w:rPr>
              <w:t>1,100</w:t>
            </w:r>
          </w:p>
        </w:tc>
        <w:tc>
          <w:tcPr>
            <w:tcW w:w="1418" w:type="dxa"/>
          </w:tcPr>
          <w:p w14:paraId="1E5C353C" w14:textId="2E1E6AAC" w:rsidR="00F03F9F" w:rsidRPr="00D51778" w:rsidRDefault="00F03F9F" w:rsidP="00F22C59">
            <w:pPr>
              <w:jc w:val="right"/>
              <w:rPr>
                <w:sz w:val="22"/>
                <w:szCs w:val="22"/>
              </w:rPr>
            </w:pPr>
            <w:r w:rsidRPr="00D51778">
              <w:rPr>
                <w:rFonts w:cs="Calibri"/>
                <w:color w:val="000000"/>
                <w:sz w:val="22"/>
                <w:szCs w:val="22"/>
                <w:lang w:val="ga"/>
              </w:rPr>
              <w:t>61</w:t>
            </w:r>
          </w:p>
        </w:tc>
        <w:tc>
          <w:tcPr>
            <w:tcW w:w="1559" w:type="dxa"/>
          </w:tcPr>
          <w:p w14:paraId="52731437" w14:textId="4CAE40A1" w:rsidR="00F03F9F" w:rsidRPr="00D51778" w:rsidRDefault="00F03F9F" w:rsidP="00F22C59">
            <w:pPr>
              <w:jc w:val="right"/>
              <w:rPr>
                <w:sz w:val="22"/>
                <w:szCs w:val="22"/>
              </w:rPr>
            </w:pPr>
            <w:r w:rsidRPr="00D51778">
              <w:rPr>
                <w:rFonts w:cs="Calibri"/>
                <w:color w:val="000000"/>
                <w:sz w:val="22"/>
                <w:szCs w:val="22"/>
                <w:lang w:val="ga"/>
              </w:rPr>
              <w:t>5.5%</w:t>
            </w:r>
          </w:p>
        </w:tc>
        <w:tc>
          <w:tcPr>
            <w:tcW w:w="1701" w:type="dxa"/>
          </w:tcPr>
          <w:p w14:paraId="23DB5E85" w14:textId="3D994FC3" w:rsidR="00F03F9F" w:rsidRPr="00D51778" w:rsidRDefault="00F03F9F" w:rsidP="00F22C59">
            <w:pPr>
              <w:jc w:val="right"/>
              <w:rPr>
                <w:sz w:val="22"/>
                <w:szCs w:val="22"/>
              </w:rPr>
            </w:pPr>
            <w:r w:rsidRPr="00D51778">
              <w:rPr>
                <w:rFonts w:cs="Calibri"/>
                <w:color w:val="000000"/>
                <w:sz w:val="22"/>
                <w:szCs w:val="22"/>
                <w:lang w:val="ga"/>
              </w:rPr>
              <w:t>1,153</w:t>
            </w:r>
          </w:p>
        </w:tc>
        <w:tc>
          <w:tcPr>
            <w:tcW w:w="1559" w:type="dxa"/>
          </w:tcPr>
          <w:p w14:paraId="31C5D44E" w14:textId="1F7938FA" w:rsidR="00F03F9F" w:rsidRPr="00D51778" w:rsidRDefault="00F03F9F" w:rsidP="00F22C59">
            <w:pPr>
              <w:jc w:val="right"/>
              <w:rPr>
                <w:sz w:val="22"/>
                <w:szCs w:val="22"/>
              </w:rPr>
            </w:pPr>
            <w:r w:rsidRPr="00D51778">
              <w:rPr>
                <w:rFonts w:cs="Calibri"/>
                <w:color w:val="000000"/>
                <w:sz w:val="22"/>
                <w:szCs w:val="22"/>
                <w:lang w:val="ga"/>
              </w:rPr>
              <w:t>28</w:t>
            </w:r>
          </w:p>
        </w:tc>
        <w:tc>
          <w:tcPr>
            <w:tcW w:w="1549" w:type="dxa"/>
          </w:tcPr>
          <w:p w14:paraId="0D6E92D3" w14:textId="702FA49E" w:rsidR="00F03F9F" w:rsidRPr="00D51778" w:rsidRDefault="00F03F9F" w:rsidP="00F22C59">
            <w:pPr>
              <w:jc w:val="right"/>
              <w:rPr>
                <w:sz w:val="22"/>
                <w:szCs w:val="22"/>
              </w:rPr>
            </w:pPr>
            <w:r w:rsidRPr="00D51778">
              <w:rPr>
                <w:rFonts w:cs="Calibri"/>
                <w:color w:val="000000"/>
                <w:sz w:val="22"/>
                <w:szCs w:val="22"/>
                <w:lang w:val="ga"/>
              </w:rPr>
              <w:t>2.4%</w:t>
            </w:r>
          </w:p>
        </w:tc>
      </w:tr>
      <w:tr w:rsidR="00F03F9F" w:rsidRPr="00D51778" w14:paraId="7B66E743" w14:textId="77777777" w:rsidTr="0022342F">
        <w:trPr>
          <w:jc w:val="center"/>
        </w:trPr>
        <w:tc>
          <w:tcPr>
            <w:tcW w:w="1711" w:type="dxa"/>
            <w:vAlign w:val="bottom"/>
          </w:tcPr>
          <w:p w14:paraId="44DFF06C" w14:textId="5380BC12" w:rsidR="00F03F9F" w:rsidRPr="00D51778" w:rsidRDefault="00B12C05" w:rsidP="004B3F62">
            <w:pPr>
              <w:spacing w:after="0"/>
              <w:rPr>
                <w:sz w:val="22"/>
                <w:szCs w:val="22"/>
              </w:rPr>
            </w:pPr>
            <w:r w:rsidRPr="00D51778">
              <w:rPr>
                <w:b/>
                <w:bCs/>
                <w:color w:val="000000"/>
                <w:sz w:val="22"/>
                <w:szCs w:val="22"/>
                <w:lang w:val="ga"/>
              </w:rPr>
              <w:t>*</w:t>
            </w:r>
            <w:r w:rsidRPr="00D51778">
              <w:rPr>
                <w:color w:val="000000"/>
                <w:sz w:val="22"/>
                <w:szCs w:val="22"/>
                <w:lang w:val="ga"/>
              </w:rPr>
              <w:t>Cigireacht na nGardaí</w:t>
            </w:r>
            <w:r w:rsidRPr="00D51778">
              <w:rPr>
                <w:b/>
                <w:bCs/>
                <w:color w:val="000000"/>
                <w:sz w:val="22"/>
                <w:szCs w:val="22"/>
                <w:lang w:val="ga"/>
              </w:rPr>
              <w:t xml:space="preserve"> (Sa bhliain 2021, d’athraigh </w:t>
            </w:r>
            <w:r w:rsidRPr="00D51778">
              <w:rPr>
                <w:b/>
                <w:bCs/>
                <w:color w:val="000000"/>
                <w:sz w:val="22"/>
                <w:szCs w:val="22"/>
                <w:lang w:val="ga"/>
              </w:rPr>
              <w:lastRenderedPageBreak/>
              <w:t>Cigireacht na nGardaí a hainm go Cigireacht an Gharda Síochána)</w:t>
            </w:r>
          </w:p>
        </w:tc>
        <w:tc>
          <w:tcPr>
            <w:tcW w:w="1701" w:type="dxa"/>
          </w:tcPr>
          <w:p w14:paraId="5E173746" w14:textId="10BCB22E" w:rsidR="00F03F9F" w:rsidRPr="00D51778" w:rsidRDefault="00F03F9F" w:rsidP="00F22C59">
            <w:pPr>
              <w:jc w:val="right"/>
              <w:rPr>
                <w:rFonts w:cs="Arial"/>
                <w:sz w:val="22"/>
                <w:szCs w:val="22"/>
              </w:rPr>
            </w:pPr>
            <w:r w:rsidRPr="00D51778">
              <w:rPr>
                <w:rFonts w:cs="Calibri"/>
                <w:color w:val="000000"/>
                <w:sz w:val="22"/>
                <w:szCs w:val="22"/>
                <w:lang w:val="ga"/>
              </w:rPr>
              <w:lastRenderedPageBreak/>
              <w:t>12</w:t>
            </w:r>
          </w:p>
        </w:tc>
        <w:tc>
          <w:tcPr>
            <w:tcW w:w="1418" w:type="dxa"/>
          </w:tcPr>
          <w:p w14:paraId="3BB062AE" w14:textId="188322A6" w:rsidR="00F03F9F" w:rsidRPr="00D51778" w:rsidRDefault="00F03F9F" w:rsidP="00F22C59">
            <w:pPr>
              <w:spacing w:after="0"/>
              <w:jc w:val="right"/>
              <w:rPr>
                <w:rFonts w:cs="Arial"/>
                <w:sz w:val="22"/>
                <w:szCs w:val="22"/>
              </w:rPr>
            </w:pPr>
            <w:r w:rsidRPr="00D51778">
              <w:rPr>
                <w:rFonts w:cs="Calibri"/>
                <w:color w:val="000000"/>
                <w:sz w:val="22"/>
                <w:szCs w:val="22"/>
                <w:lang w:val="ga"/>
              </w:rPr>
              <w:t>0</w:t>
            </w:r>
          </w:p>
        </w:tc>
        <w:tc>
          <w:tcPr>
            <w:tcW w:w="1559" w:type="dxa"/>
          </w:tcPr>
          <w:p w14:paraId="78C6766A" w14:textId="3960EF45" w:rsidR="00F03F9F" w:rsidRPr="00D51778" w:rsidRDefault="00F03F9F" w:rsidP="00F22C59">
            <w:pPr>
              <w:jc w:val="right"/>
              <w:rPr>
                <w:rFonts w:cs="Arial"/>
                <w:sz w:val="22"/>
                <w:szCs w:val="22"/>
              </w:rPr>
            </w:pPr>
            <w:r w:rsidRPr="00D51778">
              <w:rPr>
                <w:rFonts w:cs="Calibri"/>
                <w:color w:val="000000"/>
                <w:sz w:val="22"/>
                <w:szCs w:val="22"/>
                <w:lang w:val="ga"/>
              </w:rPr>
              <w:t>0.0%</w:t>
            </w:r>
          </w:p>
        </w:tc>
        <w:tc>
          <w:tcPr>
            <w:tcW w:w="1701" w:type="dxa"/>
          </w:tcPr>
          <w:p w14:paraId="70B9AC1A" w14:textId="32ED03F8" w:rsidR="00F03F9F" w:rsidRPr="00D51778" w:rsidRDefault="00F03F9F" w:rsidP="00F22C59">
            <w:pPr>
              <w:jc w:val="right"/>
              <w:rPr>
                <w:rFonts w:cs="Arial"/>
                <w:sz w:val="22"/>
                <w:szCs w:val="22"/>
              </w:rPr>
            </w:pPr>
            <w:r w:rsidRPr="00D51778">
              <w:rPr>
                <w:rFonts w:cs="Calibri"/>
                <w:color w:val="000000"/>
                <w:sz w:val="22"/>
                <w:szCs w:val="22"/>
                <w:lang w:val="ga"/>
              </w:rPr>
              <w:t>12</w:t>
            </w:r>
          </w:p>
        </w:tc>
        <w:tc>
          <w:tcPr>
            <w:tcW w:w="1559" w:type="dxa"/>
          </w:tcPr>
          <w:p w14:paraId="1E0C5B5B" w14:textId="3473FC9C" w:rsidR="00F03F9F" w:rsidRPr="00D51778" w:rsidRDefault="00F03F9F" w:rsidP="00F22C59">
            <w:pPr>
              <w:jc w:val="right"/>
              <w:rPr>
                <w:rFonts w:cs="Arial"/>
                <w:sz w:val="22"/>
                <w:szCs w:val="22"/>
              </w:rPr>
            </w:pPr>
            <w:r w:rsidRPr="00D51778">
              <w:rPr>
                <w:rFonts w:cs="Calibri"/>
                <w:color w:val="000000"/>
                <w:sz w:val="22"/>
                <w:szCs w:val="22"/>
                <w:lang w:val="ga"/>
              </w:rPr>
              <w:t>0</w:t>
            </w:r>
          </w:p>
        </w:tc>
        <w:tc>
          <w:tcPr>
            <w:tcW w:w="1549" w:type="dxa"/>
          </w:tcPr>
          <w:p w14:paraId="5B1979EA" w14:textId="7E5E736B" w:rsidR="00F03F9F" w:rsidRPr="00D51778" w:rsidRDefault="00F03F9F" w:rsidP="00F22C59">
            <w:pPr>
              <w:jc w:val="right"/>
              <w:rPr>
                <w:rFonts w:cs="Arial"/>
                <w:sz w:val="22"/>
                <w:szCs w:val="22"/>
              </w:rPr>
            </w:pPr>
            <w:r w:rsidRPr="00D51778">
              <w:rPr>
                <w:rFonts w:cs="Calibri"/>
                <w:color w:val="000000"/>
                <w:sz w:val="22"/>
                <w:szCs w:val="22"/>
                <w:lang w:val="ga"/>
              </w:rPr>
              <w:t>0.0%</w:t>
            </w:r>
          </w:p>
        </w:tc>
      </w:tr>
      <w:tr w:rsidR="00F03F9F" w:rsidRPr="00D51778" w14:paraId="47ADA48D" w14:textId="77777777" w:rsidTr="0022342F">
        <w:trPr>
          <w:jc w:val="center"/>
        </w:trPr>
        <w:tc>
          <w:tcPr>
            <w:tcW w:w="1711" w:type="dxa"/>
            <w:vAlign w:val="bottom"/>
          </w:tcPr>
          <w:p w14:paraId="4CEB9A16" w14:textId="33BE291F" w:rsidR="00F03F9F" w:rsidRPr="00D51778" w:rsidRDefault="00B833E4" w:rsidP="00150F8A">
            <w:pPr>
              <w:spacing w:after="120"/>
              <w:rPr>
                <w:sz w:val="22"/>
                <w:szCs w:val="22"/>
              </w:rPr>
            </w:pPr>
            <w:r w:rsidRPr="00D51778">
              <w:rPr>
                <w:rFonts w:cs="Calibri"/>
                <w:b/>
                <w:bCs/>
                <w:color w:val="000000"/>
                <w:sz w:val="22"/>
                <w:szCs w:val="22"/>
                <w:lang w:val="ga"/>
              </w:rPr>
              <w:t>*</w:t>
            </w:r>
            <w:r w:rsidRPr="00D51778">
              <w:rPr>
                <w:rFonts w:cs="Calibri"/>
                <w:color w:val="000000"/>
                <w:sz w:val="22"/>
                <w:szCs w:val="22"/>
                <w:lang w:val="ga"/>
              </w:rPr>
              <w:t>Coimisiún Ombudsman an Gharda Síochána</w:t>
            </w:r>
          </w:p>
        </w:tc>
        <w:tc>
          <w:tcPr>
            <w:tcW w:w="1701" w:type="dxa"/>
          </w:tcPr>
          <w:p w14:paraId="0583142A" w14:textId="320C4E54" w:rsidR="00F03F9F" w:rsidRPr="00D51778" w:rsidRDefault="00F03F9F" w:rsidP="00F22C59">
            <w:pPr>
              <w:jc w:val="right"/>
              <w:rPr>
                <w:rFonts w:cs="Arial"/>
                <w:sz w:val="22"/>
                <w:szCs w:val="22"/>
              </w:rPr>
            </w:pPr>
            <w:r w:rsidRPr="00D51778">
              <w:rPr>
                <w:rFonts w:cs="Calibri"/>
                <w:color w:val="000000"/>
                <w:sz w:val="22"/>
                <w:szCs w:val="22"/>
                <w:lang w:val="ga"/>
              </w:rPr>
              <w:t>127</w:t>
            </w:r>
          </w:p>
        </w:tc>
        <w:tc>
          <w:tcPr>
            <w:tcW w:w="1418" w:type="dxa"/>
          </w:tcPr>
          <w:p w14:paraId="10A93E64" w14:textId="79D4FDD0" w:rsidR="00F03F9F" w:rsidRPr="00D51778" w:rsidRDefault="00F03F9F" w:rsidP="00F22C59">
            <w:pPr>
              <w:spacing w:after="0"/>
              <w:jc w:val="right"/>
              <w:rPr>
                <w:rFonts w:cs="Arial"/>
                <w:sz w:val="22"/>
                <w:szCs w:val="22"/>
              </w:rPr>
            </w:pPr>
            <w:r w:rsidRPr="00D51778">
              <w:rPr>
                <w:rFonts w:cs="Calibri"/>
                <w:color w:val="000000"/>
                <w:sz w:val="22"/>
                <w:szCs w:val="22"/>
                <w:lang w:val="ga"/>
              </w:rPr>
              <w:t>9</w:t>
            </w:r>
          </w:p>
        </w:tc>
        <w:tc>
          <w:tcPr>
            <w:tcW w:w="1559" w:type="dxa"/>
          </w:tcPr>
          <w:p w14:paraId="47CB3F78" w14:textId="56C7FE0F" w:rsidR="00F03F9F" w:rsidRPr="00D51778" w:rsidRDefault="00F03F9F" w:rsidP="00F22C59">
            <w:pPr>
              <w:jc w:val="right"/>
              <w:rPr>
                <w:rFonts w:cs="Arial"/>
                <w:sz w:val="22"/>
                <w:szCs w:val="22"/>
              </w:rPr>
            </w:pPr>
            <w:r w:rsidRPr="00D51778">
              <w:rPr>
                <w:rFonts w:cs="Calibri"/>
                <w:color w:val="000000"/>
                <w:sz w:val="22"/>
                <w:szCs w:val="22"/>
                <w:lang w:val="ga"/>
              </w:rPr>
              <w:t>7.1%</w:t>
            </w:r>
          </w:p>
        </w:tc>
        <w:tc>
          <w:tcPr>
            <w:tcW w:w="1701" w:type="dxa"/>
          </w:tcPr>
          <w:p w14:paraId="5B4EC0D3" w14:textId="49BE10D1" w:rsidR="00F03F9F" w:rsidRPr="00D51778" w:rsidRDefault="00F03F9F" w:rsidP="00F22C59">
            <w:pPr>
              <w:jc w:val="right"/>
              <w:rPr>
                <w:rFonts w:cs="Arial"/>
                <w:sz w:val="22"/>
                <w:szCs w:val="22"/>
              </w:rPr>
            </w:pPr>
            <w:r w:rsidRPr="00D51778">
              <w:rPr>
                <w:rFonts w:cs="Calibri"/>
                <w:color w:val="000000"/>
                <w:sz w:val="22"/>
                <w:szCs w:val="22"/>
                <w:lang w:val="ga"/>
              </w:rPr>
              <w:t>130</w:t>
            </w:r>
          </w:p>
        </w:tc>
        <w:tc>
          <w:tcPr>
            <w:tcW w:w="1559" w:type="dxa"/>
          </w:tcPr>
          <w:p w14:paraId="77483D82" w14:textId="60AEC0BD" w:rsidR="00F03F9F" w:rsidRPr="00D51778" w:rsidRDefault="00F03F9F" w:rsidP="00F22C59">
            <w:pPr>
              <w:jc w:val="right"/>
              <w:rPr>
                <w:rFonts w:cs="Arial"/>
                <w:sz w:val="22"/>
                <w:szCs w:val="22"/>
              </w:rPr>
            </w:pPr>
            <w:r w:rsidRPr="00D51778">
              <w:rPr>
                <w:rFonts w:cs="Calibri"/>
                <w:color w:val="000000"/>
                <w:sz w:val="22"/>
                <w:szCs w:val="22"/>
                <w:lang w:val="ga"/>
              </w:rPr>
              <w:t>12</w:t>
            </w:r>
          </w:p>
        </w:tc>
        <w:tc>
          <w:tcPr>
            <w:tcW w:w="1549" w:type="dxa"/>
          </w:tcPr>
          <w:p w14:paraId="296CA2C8" w14:textId="087EC4C3" w:rsidR="00F03F9F" w:rsidRPr="00D51778" w:rsidRDefault="00F03F9F" w:rsidP="00F22C59">
            <w:pPr>
              <w:jc w:val="right"/>
              <w:rPr>
                <w:rFonts w:cs="Arial"/>
                <w:sz w:val="22"/>
                <w:szCs w:val="22"/>
              </w:rPr>
            </w:pPr>
            <w:r w:rsidRPr="00D51778">
              <w:rPr>
                <w:rFonts w:cs="Calibri"/>
                <w:color w:val="000000"/>
                <w:sz w:val="22"/>
                <w:szCs w:val="22"/>
                <w:lang w:val="ga"/>
              </w:rPr>
              <w:t>9.2%</w:t>
            </w:r>
          </w:p>
        </w:tc>
      </w:tr>
      <w:tr w:rsidR="00F03F9F" w:rsidRPr="00D51778" w14:paraId="4EBDEAF1" w14:textId="77777777" w:rsidTr="0022342F">
        <w:trPr>
          <w:jc w:val="center"/>
        </w:trPr>
        <w:tc>
          <w:tcPr>
            <w:tcW w:w="1711" w:type="dxa"/>
            <w:vAlign w:val="bottom"/>
          </w:tcPr>
          <w:p w14:paraId="3B5D95E3" w14:textId="229A8DDD" w:rsidR="00F03F9F" w:rsidRPr="00D51778" w:rsidRDefault="00F03F9F" w:rsidP="00150F8A">
            <w:pPr>
              <w:spacing w:after="120"/>
              <w:rPr>
                <w:rFonts w:cs="Arial"/>
                <w:sz w:val="22"/>
                <w:szCs w:val="22"/>
              </w:rPr>
            </w:pPr>
            <w:r w:rsidRPr="00D51778">
              <w:rPr>
                <w:rFonts w:cs="Calibri"/>
                <w:color w:val="000000"/>
                <w:sz w:val="22"/>
                <w:szCs w:val="22"/>
                <w:lang w:val="ga"/>
              </w:rPr>
              <w:t>Tithe an Oireachtais</w:t>
            </w:r>
          </w:p>
        </w:tc>
        <w:tc>
          <w:tcPr>
            <w:tcW w:w="1701" w:type="dxa"/>
          </w:tcPr>
          <w:p w14:paraId="104C090C" w14:textId="1D25A829" w:rsidR="00F03F9F" w:rsidRPr="00D51778" w:rsidRDefault="00F03F9F" w:rsidP="00F22C59">
            <w:pPr>
              <w:jc w:val="right"/>
              <w:rPr>
                <w:rFonts w:cs="Arial"/>
                <w:sz w:val="22"/>
                <w:szCs w:val="22"/>
              </w:rPr>
            </w:pPr>
            <w:r w:rsidRPr="00D51778">
              <w:rPr>
                <w:rFonts w:cs="Calibri"/>
                <w:color w:val="000000"/>
                <w:sz w:val="22"/>
                <w:szCs w:val="22"/>
                <w:lang w:val="ga"/>
              </w:rPr>
              <w:t>615</w:t>
            </w:r>
          </w:p>
        </w:tc>
        <w:tc>
          <w:tcPr>
            <w:tcW w:w="1418" w:type="dxa"/>
          </w:tcPr>
          <w:p w14:paraId="5003D432" w14:textId="7B1A07A6" w:rsidR="00F03F9F" w:rsidRPr="00D51778" w:rsidRDefault="00F03F9F" w:rsidP="00F22C59">
            <w:pPr>
              <w:spacing w:after="0"/>
              <w:jc w:val="right"/>
              <w:rPr>
                <w:rFonts w:cs="Arial"/>
                <w:sz w:val="22"/>
                <w:szCs w:val="22"/>
              </w:rPr>
            </w:pPr>
            <w:r w:rsidRPr="00D51778">
              <w:rPr>
                <w:rFonts w:cs="Calibri"/>
                <w:color w:val="000000"/>
                <w:sz w:val="22"/>
                <w:szCs w:val="22"/>
                <w:lang w:val="ga"/>
              </w:rPr>
              <w:t>26</w:t>
            </w:r>
          </w:p>
        </w:tc>
        <w:tc>
          <w:tcPr>
            <w:tcW w:w="1559" w:type="dxa"/>
          </w:tcPr>
          <w:p w14:paraId="3DF05CE7" w14:textId="516A770A" w:rsidR="00F03F9F" w:rsidRPr="00D51778" w:rsidRDefault="00F03F9F" w:rsidP="00F22C59">
            <w:pPr>
              <w:jc w:val="right"/>
              <w:rPr>
                <w:rFonts w:cs="Arial"/>
                <w:sz w:val="22"/>
                <w:szCs w:val="22"/>
              </w:rPr>
            </w:pPr>
            <w:r w:rsidRPr="00D51778">
              <w:rPr>
                <w:rFonts w:cs="Calibri"/>
                <w:color w:val="000000"/>
                <w:sz w:val="22"/>
                <w:szCs w:val="22"/>
                <w:lang w:val="ga"/>
              </w:rPr>
              <w:t>4.2%</w:t>
            </w:r>
          </w:p>
        </w:tc>
        <w:tc>
          <w:tcPr>
            <w:tcW w:w="1701" w:type="dxa"/>
          </w:tcPr>
          <w:p w14:paraId="4928E27C" w14:textId="1B9805F5" w:rsidR="00F03F9F" w:rsidRPr="00D51778" w:rsidRDefault="00F03F9F" w:rsidP="00F22C59">
            <w:pPr>
              <w:jc w:val="right"/>
              <w:rPr>
                <w:rFonts w:cs="Calibri"/>
                <w:color w:val="000000"/>
                <w:sz w:val="22"/>
                <w:szCs w:val="22"/>
              </w:rPr>
            </w:pPr>
            <w:r w:rsidRPr="00D51778">
              <w:rPr>
                <w:rFonts w:cs="Calibri"/>
                <w:color w:val="000000"/>
                <w:sz w:val="22"/>
                <w:szCs w:val="22"/>
                <w:lang w:val="ga"/>
              </w:rPr>
              <w:t>655</w:t>
            </w:r>
          </w:p>
        </w:tc>
        <w:tc>
          <w:tcPr>
            <w:tcW w:w="1559" w:type="dxa"/>
          </w:tcPr>
          <w:p w14:paraId="40857D59" w14:textId="2B250B39" w:rsidR="00F03F9F" w:rsidRPr="00D51778" w:rsidRDefault="00F03F9F" w:rsidP="00F22C59">
            <w:pPr>
              <w:jc w:val="right"/>
              <w:rPr>
                <w:rFonts w:cs="Calibri"/>
                <w:color w:val="000000"/>
                <w:sz w:val="22"/>
                <w:szCs w:val="22"/>
              </w:rPr>
            </w:pPr>
            <w:r w:rsidRPr="00D51778">
              <w:rPr>
                <w:rFonts w:cs="Calibri"/>
                <w:color w:val="000000"/>
                <w:sz w:val="22"/>
                <w:szCs w:val="22"/>
                <w:lang w:val="ga"/>
              </w:rPr>
              <w:t>36</w:t>
            </w:r>
          </w:p>
        </w:tc>
        <w:tc>
          <w:tcPr>
            <w:tcW w:w="1549" w:type="dxa"/>
          </w:tcPr>
          <w:p w14:paraId="5C26920D" w14:textId="024F2E1B" w:rsidR="00F03F9F" w:rsidRPr="00D51778" w:rsidRDefault="00F03F9F" w:rsidP="00F22C59">
            <w:pPr>
              <w:jc w:val="right"/>
              <w:rPr>
                <w:rFonts w:cs="Calibri"/>
                <w:color w:val="000000"/>
                <w:sz w:val="22"/>
                <w:szCs w:val="22"/>
              </w:rPr>
            </w:pPr>
            <w:r w:rsidRPr="00D51778">
              <w:rPr>
                <w:rFonts w:cs="Calibri"/>
                <w:color w:val="000000"/>
                <w:sz w:val="22"/>
                <w:szCs w:val="22"/>
                <w:lang w:val="ga"/>
              </w:rPr>
              <w:t>5.5%</w:t>
            </w:r>
          </w:p>
        </w:tc>
      </w:tr>
      <w:tr w:rsidR="00F03F9F" w:rsidRPr="00D51778" w14:paraId="778E15AF" w14:textId="77777777" w:rsidTr="0022342F">
        <w:trPr>
          <w:jc w:val="center"/>
        </w:trPr>
        <w:tc>
          <w:tcPr>
            <w:tcW w:w="1711" w:type="dxa"/>
            <w:vAlign w:val="bottom"/>
          </w:tcPr>
          <w:p w14:paraId="455DA611" w14:textId="170320F7" w:rsidR="00F03F9F" w:rsidRPr="00D51778" w:rsidRDefault="00B12C05" w:rsidP="00150F8A">
            <w:pPr>
              <w:spacing w:after="120"/>
              <w:rPr>
                <w:sz w:val="22"/>
                <w:szCs w:val="22"/>
              </w:rPr>
            </w:pPr>
            <w:r w:rsidRPr="00D51778">
              <w:rPr>
                <w:rFonts w:cs="Calibri"/>
                <w:b/>
                <w:bCs/>
                <w:color w:val="000000"/>
                <w:sz w:val="22"/>
                <w:szCs w:val="22"/>
                <w:lang w:val="ga"/>
              </w:rPr>
              <w:t>*</w:t>
            </w:r>
            <w:r w:rsidRPr="00D51778">
              <w:rPr>
                <w:rFonts w:cs="Calibri"/>
                <w:color w:val="000000"/>
                <w:sz w:val="22"/>
                <w:szCs w:val="22"/>
                <w:lang w:val="ga"/>
              </w:rPr>
              <w:t>Seirbhís Dócmhainneachta na hÉireann</w:t>
            </w:r>
          </w:p>
        </w:tc>
        <w:tc>
          <w:tcPr>
            <w:tcW w:w="1701" w:type="dxa"/>
          </w:tcPr>
          <w:p w14:paraId="34B8B0A5" w14:textId="48B0F6D9" w:rsidR="00F03F9F" w:rsidRPr="00D51778" w:rsidRDefault="00F03F9F" w:rsidP="00F22C59">
            <w:pPr>
              <w:jc w:val="right"/>
              <w:rPr>
                <w:sz w:val="22"/>
                <w:szCs w:val="22"/>
              </w:rPr>
            </w:pPr>
            <w:r w:rsidRPr="00D51778">
              <w:rPr>
                <w:rFonts w:cs="Calibri"/>
                <w:color w:val="000000"/>
                <w:sz w:val="22"/>
                <w:szCs w:val="22"/>
                <w:lang w:val="ga"/>
              </w:rPr>
              <w:t>78</w:t>
            </w:r>
          </w:p>
        </w:tc>
        <w:tc>
          <w:tcPr>
            <w:tcW w:w="1418" w:type="dxa"/>
          </w:tcPr>
          <w:p w14:paraId="2C5D74F2" w14:textId="30A46B82" w:rsidR="00F03F9F" w:rsidRPr="00D51778" w:rsidRDefault="00F03F9F" w:rsidP="00F22C59">
            <w:pPr>
              <w:spacing w:after="0"/>
              <w:jc w:val="right"/>
              <w:rPr>
                <w:sz w:val="22"/>
                <w:szCs w:val="22"/>
              </w:rPr>
            </w:pPr>
            <w:r w:rsidRPr="00D51778">
              <w:rPr>
                <w:rFonts w:cs="Calibri"/>
                <w:color w:val="000000"/>
                <w:sz w:val="22"/>
                <w:szCs w:val="22"/>
                <w:lang w:val="ga"/>
              </w:rPr>
              <w:t>4</w:t>
            </w:r>
          </w:p>
        </w:tc>
        <w:tc>
          <w:tcPr>
            <w:tcW w:w="1559" w:type="dxa"/>
          </w:tcPr>
          <w:p w14:paraId="185C3AF0" w14:textId="7C65A28E" w:rsidR="00F03F9F" w:rsidRPr="00D51778" w:rsidRDefault="00F03F9F" w:rsidP="00F22C59">
            <w:pPr>
              <w:jc w:val="right"/>
              <w:rPr>
                <w:sz w:val="22"/>
                <w:szCs w:val="22"/>
              </w:rPr>
            </w:pPr>
            <w:r w:rsidRPr="00D51778">
              <w:rPr>
                <w:rFonts w:cs="Calibri"/>
                <w:color w:val="000000"/>
                <w:sz w:val="22"/>
                <w:szCs w:val="22"/>
                <w:lang w:val="ga"/>
              </w:rPr>
              <w:t>5.1%</w:t>
            </w:r>
          </w:p>
        </w:tc>
        <w:tc>
          <w:tcPr>
            <w:tcW w:w="1701" w:type="dxa"/>
          </w:tcPr>
          <w:p w14:paraId="254DC68E" w14:textId="32294E4A" w:rsidR="00F03F9F" w:rsidRPr="00D51778" w:rsidRDefault="00F03F9F" w:rsidP="00F22C59">
            <w:pPr>
              <w:jc w:val="right"/>
              <w:rPr>
                <w:rFonts w:cs="Calibri"/>
                <w:color w:val="000000"/>
                <w:sz w:val="22"/>
                <w:szCs w:val="22"/>
              </w:rPr>
            </w:pPr>
            <w:r w:rsidRPr="00D51778">
              <w:rPr>
                <w:rFonts w:cs="Calibri"/>
                <w:color w:val="000000"/>
                <w:sz w:val="22"/>
                <w:szCs w:val="22"/>
                <w:lang w:val="ga"/>
              </w:rPr>
              <w:t>80</w:t>
            </w:r>
          </w:p>
        </w:tc>
        <w:tc>
          <w:tcPr>
            <w:tcW w:w="1559" w:type="dxa"/>
          </w:tcPr>
          <w:p w14:paraId="33C7065C" w14:textId="472C4726" w:rsidR="00F03F9F" w:rsidRPr="00D51778" w:rsidRDefault="00F03F9F" w:rsidP="00F22C59">
            <w:pPr>
              <w:jc w:val="right"/>
              <w:rPr>
                <w:rFonts w:cs="Calibri"/>
                <w:color w:val="000000"/>
                <w:sz w:val="22"/>
                <w:szCs w:val="22"/>
              </w:rPr>
            </w:pPr>
            <w:r w:rsidRPr="00D51778">
              <w:rPr>
                <w:rFonts w:cs="Calibri"/>
                <w:color w:val="000000"/>
                <w:sz w:val="22"/>
                <w:szCs w:val="22"/>
                <w:lang w:val="ga"/>
              </w:rPr>
              <w:t>7</w:t>
            </w:r>
          </w:p>
        </w:tc>
        <w:tc>
          <w:tcPr>
            <w:tcW w:w="1549" w:type="dxa"/>
          </w:tcPr>
          <w:p w14:paraId="754BC9EA" w14:textId="32A87D4E" w:rsidR="00F03F9F" w:rsidRPr="00D51778" w:rsidRDefault="00F03F9F" w:rsidP="00F22C59">
            <w:pPr>
              <w:jc w:val="right"/>
              <w:rPr>
                <w:rFonts w:cs="Calibri"/>
                <w:color w:val="000000"/>
                <w:sz w:val="22"/>
                <w:szCs w:val="22"/>
              </w:rPr>
            </w:pPr>
            <w:r w:rsidRPr="00D51778">
              <w:rPr>
                <w:rFonts w:cs="Calibri"/>
                <w:color w:val="000000"/>
                <w:sz w:val="22"/>
                <w:szCs w:val="22"/>
                <w:lang w:val="ga"/>
              </w:rPr>
              <w:t>8.8%</w:t>
            </w:r>
          </w:p>
        </w:tc>
      </w:tr>
      <w:tr w:rsidR="00F03F9F" w:rsidRPr="00D51778" w14:paraId="322BDF43" w14:textId="77777777" w:rsidTr="0022342F">
        <w:trPr>
          <w:jc w:val="center"/>
        </w:trPr>
        <w:tc>
          <w:tcPr>
            <w:tcW w:w="1711" w:type="dxa"/>
            <w:vAlign w:val="bottom"/>
          </w:tcPr>
          <w:p w14:paraId="3CBF19F2" w14:textId="68330858" w:rsidR="00F03F9F" w:rsidRPr="00D51778" w:rsidRDefault="00B12C05" w:rsidP="00150F8A">
            <w:pPr>
              <w:spacing w:after="120"/>
              <w:rPr>
                <w:sz w:val="22"/>
                <w:szCs w:val="22"/>
              </w:rPr>
            </w:pPr>
            <w:r w:rsidRPr="00D51778">
              <w:rPr>
                <w:rFonts w:cs="Calibri"/>
                <w:b/>
                <w:bCs/>
                <w:color w:val="000000"/>
                <w:sz w:val="22"/>
                <w:szCs w:val="22"/>
                <w:lang w:val="ga"/>
              </w:rPr>
              <w:t>*</w:t>
            </w:r>
            <w:r w:rsidRPr="00D51778">
              <w:rPr>
                <w:rFonts w:cs="Calibri"/>
                <w:color w:val="000000"/>
                <w:sz w:val="22"/>
                <w:szCs w:val="22"/>
                <w:lang w:val="ga"/>
              </w:rPr>
              <w:t>An Binse um Achomhairc i dtaobh Cosaint Idirnáisiúnta</w:t>
            </w:r>
          </w:p>
        </w:tc>
        <w:tc>
          <w:tcPr>
            <w:tcW w:w="1701" w:type="dxa"/>
          </w:tcPr>
          <w:p w14:paraId="0A531C0E" w14:textId="47FAC763" w:rsidR="00F03F9F" w:rsidRPr="00D51778" w:rsidRDefault="00F03F9F" w:rsidP="00F22C59">
            <w:pPr>
              <w:jc w:val="right"/>
              <w:rPr>
                <w:sz w:val="22"/>
                <w:szCs w:val="22"/>
              </w:rPr>
            </w:pPr>
            <w:r w:rsidRPr="00D51778">
              <w:rPr>
                <w:rFonts w:cs="Calibri"/>
                <w:color w:val="000000"/>
                <w:sz w:val="22"/>
                <w:szCs w:val="22"/>
                <w:lang w:val="ga"/>
              </w:rPr>
              <w:t>47</w:t>
            </w:r>
          </w:p>
        </w:tc>
        <w:tc>
          <w:tcPr>
            <w:tcW w:w="1418" w:type="dxa"/>
          </w:tcPr>
          <w:p w14:paraId="3167EEF9" w14:textId="2EBD2BFA" w:rsidR="00F03F9F" w:rsidRPr="00D51778" w:rsidRDefault="00F03F9F" w:rsidP="00F22C59">
            <w:pPr>
              <w:spacing w:after="0"/>
              <w:jc w:val="right"/>
              <w:rPr>
                <w:sz w:val="22"/>
                <w:szCs w:val="22"/>
              </w:rPr>
            </w:pPr>
            <w:r w:rsidRPr="00D51778">
              <w:rPr>
                <w:rFonts w:cs="Calibri"/>
                <w:color w:val="000000"/>
                <w:sz w:val="22"/>
                <w:szCs w:val="22"/>
                <w:lang w:val="ga"/>
              </w:rPr>
              <w:t>4</w:t>
            </w:r>
          </w:p>
        </w:tc>
        <w:tc>
          <w:tcPr>
            <w:tcW w:w="1559" w:type="dxa"/>
          </w:tcPr>
          <w:p w14:paraId="7B478E89" w14:textId="621A1F50" w:rsidR="00F03F9F" w:rsidRPr="00D51778" w:rsidRDefault="00F03F9F" w:rsidP="00F22C59">
            <w:pPr>
              <w:jc w:val="right"/>
              <w:rPr>
                <w:sz w:val="22"/>
                <w:szCs w:val="22"/>
              </w:rPr>
            </w:pPr>
            <w:r w:rsidRPr="00D51778">
              <w:rPr>
                <w:rFonts w:cs="Calibri"/>
                <w:color w:val="000000"/>
                <w:sz w:val="22"/>
                <w:szCs w:val="22"/>
                <w:lang w:val="ga"/>
              </w:rPr>
              <w:t>8.5%</w:t>
            </w:r>
          </w:p>
        </w:tc>
        <w:tc>
          <w:tcPr>
            <w:tcW w:w="1701" w:type="dxa"/>
          </w:tcPr>
          <w:p w14:paraId="033413EF" w14:textId="75AD2EE4" w:rsidR="00F03F9F" w:rsidRPr="00D51778" w:rsidRDefault="00F03F9F" w:rsidP="00F22C59">
            <w:pPr>
              <w:jc w:val="right"/>
              <w:rPr>
                <w:rFonts w:cs="Calibri"/>
                <w:color w:val="000000"/>
                <w:sz w:val="22"/>
                <w:szCs w:val="22"/>
              </w:rPr>
            </w:pPr>
            <w:r w:rsidRPr="00D51778">
              <w:rPr>
                <w:rFonts w:cs="Calibri"/>
                <w:color w:val="000000"/>
                <w:sz w:val="22"/>
                <w:szCs w:val="22"/>
                <w:lang w:val="ga"/>
              </w:rPr>
              <w:t>51</w:t>
            </w:r>
          </w:p>
        </w:tc>
        <w:tc>
          <w:tcPr>
            <w:tcW w:w="1559" w:type="dxa"/>
          </w:tcPr>
          <w:p w14:paraId="7FED7C88" w14:textId="08B2548D" w:rsidR="00F03F9F" w:rsidRPr="00D51778" w:rsidRDefault="00F03F9F" w:rsidP="00F22C59">
            <w:pPr>
              <w:jc w:val="right"/>
              <w:rPr>
                <w:rFonts w:cs="Calibri"/>
                <w:color w:val="000000"/>
                <w:sz w:val="22"/>
                <w:szCs w:val="22"/>
              </w:rPr>
            </w:pPr>
            <w:r w:rsidRPr="00D51778">
              <w:rPr>
                <w:rFonts w:cs="Calibri"/>
                <w:color w:val="000000"/>
                <w:sz w:val="22"/>
                <w:szCs w:val="22"/>
                <w:lang w:val="ga"/>
              </w:rPr>
              <w:t>4</w:t>
            </w:r>
          </w:p>
        </w:tc>
        <w:tc>
          <w:tcPr>
            <w:tcW w:w="1549" w:type="dxa"/>
          </w:tcPr>
          <w:p w14:paraId="54CF5CE7" w14:textId="04DBD55C" w:rsidR="00F03F9F" w:rsidRPr="00D51778" w:rsidRDefault="00F03F9F" w:rsidP="00F22C59">
            <w:pPr>
              <w:jc w:val="right"/>
              <w:rPr>
                <w:rFonts w:cs="Calibri"/>
                <w:color w:val="000000"/>
                <w:sz w:val="22"/>
                <w:szCs w:val="22"/>
              </w:rPr>
            </w:pPr>
            <w:r w:rsidRPr="00D51778">
              <w:rPr>
                <w:rFonts w:cs="Calibri"/>
                <w:color w:val="000000"/>
                <w:sz w:val="22"/>
                <w:szCs w:val="22"/>
                <w:lang w:val="ga"/>
              </w:rPr>
              <w:t>7.8%</w:t>
            </w:r>
          </w:p>
        </w:tc>
      </w:tr>
      <w:tr w:rsidR="00F03F9F" w:rsidRPr="00D51778" w14:paraId="4B689FCC" w14:textId="77777777" w:rsidTr="0022342F">
        <w:trPr>
          <w:jc w:val="center"/>
        </w:trPr>
        <w:tc>
          <w:tcPr>
            <w:tcW w:w="1711" w:type="dxa"/>
            <w:vAlign w:val="bottom"/>
          </w:tcPr>
          <w:p w14:paraId="6D75EBD9" w14:textId="351A75A2" w:rsidR="00F03F9F" w:rsidRPr="00D51778" w:rsidRDefault="00B833E4" w:rsidP="00150F8A">
            <w:pPr>
              <w:spacing w:after="120"/>
              <w:rPr>
                <w:sz w:val="22"/>
                <w:szCs w:val="22"/>
              </w:rPr>
            </w:pPr>
            <w:r w:rsidRPr="00D51778">
              <w:rPr>
                <w:rFonts w:cs="Calibri"/>
                <w:b/>
                <w:bCs/>
                <w:color w:val="000000"/>
                <w:sz w:val="22"/>
                <w:szCs w:val="22"/>
                <w:lang w:val="ga"/>
              </w:rPr>
              <w:t>*</w:t>
            </w:r>
            <w:r w:rsidRPr="00D51778">
              <w:rPr>
                <w:rFonts w:cs="Calibri"/>
                <w:color w:val="000000"/>
                <w:sz w:val="22"/>
                <w:szCs w:val="22"/>
                <w:lang w:val="ga"/>
              </w:rPr>
              <w:t>Oifig Aicmithe Scannán na hÉireann</w:t>
            </w:r>
          </w:p>
        </w:tc>
        <w:tc>
          <w:tcPr>
            <w:tcW w:w="1701" w:type="dxa"/>
          </w:tcPr>
          <w:p w14:paraId="5FE5C89C" w14:textId="7ABFF1A9" w:rsidR="00F03F9F" w:rsidRPr="00D51778" w:rsidRDefault="00F03F9F" w:rsidP="00F22C59">
            <w:pPr>
              <w:jc w:val="right"/>
              <w:rPr>
                <w:sz w:val="22"/>
                <w:szCs w:val="22"/>
              </w:rPr>
            </w:pPr>
            <w:r w:rsidRPr="00D51778">
              <w:rPr>
                <w:rFonts w:cs="Calibri"/>
                <w:color w:val="000000"/>
                <w:sz w:val="22"/>
                <w:szCs w:val="22"/>
                <w:lang w:val="ga"/>
              </w:rPr>
              <w:t>7</w:t>
            </w:r>
          </w:p>
        </w:tc>
        <w:tc>
          <w:tcPr>
            <w:tcW w:w="1418" w:type="dxa"/>
          </w:tcPr>
          <w:p w14:paraId="0D4DEE5A" w14:textId="2A4CCFD1" w:rsidR="00F03F9F" w:rsidRPr="00D51778" w:rsidRDefault="00F03F9F" w:rsidP="00F22C59">
            <w:pPr>
              <w:spacing w:after="0"/>
              <w:jc w:val="right"/>
              <w:rPr>
                <w:sz w:val="22"/>
                <w:szCs w:val="22"/>
              </w:rPr>
            </w:pPr>
            <w:r w:rsidRPr="00D51778">
              <w:rPr>
                <w:rFonts w:cs="Calibri"/>
                <w:color w:val="000000"/>
                <w:sz w:val="22"/>
                <w:szCs w:val="22"/>
                <w:lang w:val="ga"/>
              </w:rPr>
              <w:t>0</w:t>
            </w:r>
          </w:p>
        </w:tc>
        <w:tc>
          <w:tcPr>
            <w:tcW w:w="1559" w:type="dxa"/>
          </w:tcPr>
          <w:p w14:paraId="01BDB8D5" w14:textId="1F303879" w:rsidR="00F03F9F" w:rsidRPr="00D51778" w:rsidRDefault="00F03F9F" w:rsidP="00F22C59">
            <w:pPr>
              <w:jc w:val="right"/>
              <w:rPr>
                <w:sz w:val="22"/>
                <w:szCs w:val="22"/>
              </w:rPr>
            </w:pPr>
            <w:r w:rsidRPr="00D51778">
              <w:rPr>
                <w:rFonts w:cs="Calibri"/>
                <w:color w:val="000000"/>
                <w:sz w:val="22"/>
                <w:szCs w:val="22"/>
                <w:lang w:val="ga"/>
              </w:rPr>
              <w:t>0.0%</w:t>
            </w:r>
          </w:p>
        </w:tc>
        <w:tc>
          <w:tcPr>
            <w:tcW w:w="1701" w:type="dxa"/>
          </w:tcPr>
          <w:p w14:paraId="66687774" w14:textId="0FECE202" w:rsidR="00F03F9F" w:rsidRPr="00D51778" w:rsidRDefault="00F03F9F" w:rsidP="00F22C59">
            <w:pPr>
              <w:jc w:val="right"/>
              <w:rPr>
                <w:sz w:val="22"/>
                <w:szCs w:val="22"/>
              </w:rPr>
            </w:pPr>
            <w:r w:rsidRPr="00D51778">
              <w:rPr>
                <w:rFonts w:cs="Calibri"/>
                <w:color w:val="000000"/>
                <w:sz w:val="22"/>
                <w:szCs w:val="22"/>
                <w:lang w:val="ga"/>
              </w:rPr>
              <w:t>4</w:t>
            </w:r>
          </w:p>
        </w:tc>
        <w:tc>
          <w:tcPr>
            <w:tcW w:w="1559" w:type="dxa"/>
          </w:tcPr>
          <w:p w14:paraId="50BB8033" w14:textId="3C624D3C" w:rsidR="00F03F9F" w:rsidRPr="00D51778" w:rsidRDefault="00F03F9F" w:rsidP="00F22C59">
            <w:pPr>
              <w:jc w:val="right"/>
              <w:rPr>
                <w:sz w:val="22"/>
                <w:szCs w:val="22"/>
              </w:rPr>
            </w:pPr>
            <w:r w:rsidRPr="00D51778">
              <w:rPr>
                <w:rFonts w:cs="Calibri"/>
                <w:color w:val="000000"/>
                <w:sz w:val="22"/>
                <w:szCs w:val="22"/>
                <w:lang w:val="ga"/>
              </w:rPr>
              <w:t>0</w:t>
            </w:r>
          </w:p>
        </w:tc>
        <w:tc>
          <w:tcPr>
            <w:tcW w:w="1549" w:type="dxa"/>
          </w:tcPr>
          <w:p w14:paraId="4431F3F4" w14:textId="0094E180" w:rsidR="00F03F9F" w:rsidRPr="00D51778" w:rsidRDefault="00F03F9F" w:rsidP="00F22C59">
            <w:pPr>
              <w:jc w:val="right"/>
              <w:rPr>
                <w:sz w:val="22"/>
                <w:szCs w:val="22"/>
              </w:rPr>
            </w:pPr>
            <w:r w:rsidRPr="00D51778">
              <w:rPr>
                <w:rFonts w:cs="Calibri"/>
                <w:color w:val="000000"/>
                <w:sz w:val="22"/>
                <w:szCs w:val="22"/>
                <w:lang w:val="ga"/>
              </w:rPr>
              <w:t>0.0%</w:t>
            </w:r>
          </w:p>
        </w:tc>
      </w:tr>
      <w:tr w:rsidR="00F03F9F" w:rsidRPr="00D51778" w14:paraId="2D91F4FC" w14:textId="77777777" w:rsidTr="0022342F">
        <w:trPr>
          <w:jc w:val="center"/>
        </w:trPr>
        <w:tc>
          <w:tcPr>
            <w:tcW w:w="1711" w:type="dxa"/>
            <w:vAlign w:val="bottom"/>
          </w:tcPr>
          <w:p w14:paraId="29484E51" w14:textId="4796C871" w:rsidR="00F03F9F" w:rsidRPr="00D51778" w:rsidRDefault="00B833E4" w:rsidP="00F03F9F">
            <w:pPr>
              <w:rPr>
                <w:sz w:val="22"/>
                <w:szCs w:val="22"/>
              </w:rPr>
            </w:pPr>
            <w:r w:rsidRPr="00D51778">
              <w:rPr>
                <w:rFonts w:cs="Calibri"/>
                <w:b/>
                <w:bCs/>
                <w:color w:val="000000"/>
                <w:sz w:val="22"/>
                <w:szCs w:val="22"/>
                <w:lang w:val="ga"/>
              </w:rPr>
              <w:t>*</w:t>
            </w:r>
            <w:r w:rsidRPr="00D51778">
              <w:rPr>
                <w:rFonts w:cs="Calibri"/>
                <w:color w:val="000000"/>
                <w:sz w:val="22"/>
                <w:szCs w:val="22"/>
                <w:lang w:val="ga"/>
              </w:rPr>
              <w:t>Coimisiún na hÉireann um Chearta an Duine agus Comhionannas</w:t>
            </w:r>
          </w:p>
        </w:tc>
        <w:tc>
          <w:tcPr>
            <w:tcW w:w="1701" w:type="dxa"/>
          </w:tcPr>
          <w:p w14:paraId="55F13990" w14:textId="30A6D249" w:rsidR="00F03F9F" w:rsidRPr="00D51778" w:rsidRDefault="00F03F9F" w:rsidP="00F22C59">
            <w:pPr>
              <w:jc w:val="right"/>
              <w:rPr>
                <w:sz w:val="22"/>
                <w:szCs w:val="22"/>
              </w:rPr>
            </w:pPr>
            <w:r w:rsidRPr="00D51778">
              <w:rPr>
                <w:rFonts w:cs="Calibri"/>
                <w:color w:val="000000"/>
                <w:sz w:val="22"/>
                <w:szCs w:val="22"/>
                <w:lang w:val="ga"/>
              </w:rPr>
              <w:t>65</w:t>
            </w:r>
          </w:p>
        </w:tc>
        <w:tc>
          <w:tcPr>
            <w:tcW w:w="1418" w:type="dxa"/>
          </w:tcPr>
          <w:p w14:paraId="223A35BC" w14:textId="5FCD4F07" w:rsidR="00F03F9F" w:rsidRPr="00D51778" w:rsidRDefault="00F03F9F" w:rsidP="00F22C59">
            <w:pPr>
              <w:spacing w:after="0"/>
              <w:jc w:val="right"/>
              <w:rPr>
                <w:sz w:val="22"/>
                <w:szCs w:val="22"/>
              </w:rPr>
            </w:pPr>
            <w:r w:rsidRPr="00D51778">
              <w:rPr>
                <w:rFonts w:cs="Calibri"/>
                <w:color w:val="000000"/>
                <w:sz w:val="22"/>
                <w:szCs w:val="22"/>
                <w:lang w:val="ga"/>
              </w:rPr>
              <w:t>7</w:t>
            </w:r>
          </w:p>
        </w:tc>
        <w:tc>
          <w:tcPr>
            <w:tcW w:w="1559" w:type="dxa"/>
          </w:tcPr>
          <w:p w14:paraId="2E2C40C5" w14:textId="17F34FD4" w:rsidR="00F03F9F" w:rsidRPr="00D51778" w:rsidRDefault="00F03F9F" w:rsidP="00F22C59">
            <w:pPr>
              <w:jc w:val="right"/>
              <w:rPr>
                <w:sz w:val="22"/>
                <w:szCs w:val="22"/>
              </w:rPr>
            </w:pPr>
            <w:r w:rsidRPr="00D51778">
              <w:rPr>
                <w:rFonts w:cs="Calibri"/>
                <w:color w:val="000000"/>
                <w:sz w:val="22"/>
                <w:szCs w:val="22"/>
                <w:lang w:val="ga"/>
              </w:rPr>
              <w:t>10.8%</w:t>
            </w:r>
          </w:p>
        </w:tc>
        <w:tc>
          <w:tcPr>
            <w:tcW w:w="1701" w:type="dxa"/>
          </w:tcPr>
          <w:p w14:paraId="72BD8660" w14:textId="0DA71FE6" w:rsidR="00F03F9F" w:rsidRPr="00D51778" w:rsidRDefault="00F03F9F" w:rsidP="00F22C59">
            <w:pPr>
              <w:jc w:val="right"/>
              <w:rPr>
                <w:sz w:val="22"/>
                <w:szCs w:val="22"/>
              </w:rPr>
            </w:pPr>
            <w:r w:rsidRPr="00D51778">
              <w:rPr>
                <w:rFonts w:cs="Calibri"/>
                <w:color w:val="000000"/>
                <w:sz w:val="22"/>
                <w:szCs w:val="22"/>
                <w:lang w:val="ga"/>
              </w:rPr>
              <w:t>73</w:t>
            </w:r>
          </w:p>
        </w:tc>
        <w:tc>
          <w:tcPr>
            <w:tcW w:w="1559" w:type="dxa"/>
          </w:tcPr>
          <w:p w14:paraId="6BD915A5" w14:textId="2239D07D" w:rsidR="00F03F9F" w:rsidRPr="00D51778" w:rsidRDefault="00F03F9F" w:rsidP="00F22C59">
            <w:pPr>
              <w:jc w:val="right"/>
              <w:rPr>
                <w:sz w:val="22"/>
                <w:szCs w:val="22"/>
              </w:rPr>
            </w:pPr>
            <w:r w:rsidRPr="00D51778">
              <w:rPr>
                <w:rFonts w:cs="Calibri"/>
                <w:color w:val="000000"/>
                <w:sz w:val="22"/>
                <w:szCs w:val="22"/>
                <w:lang w:val="ga"/>
              </w:rPr>
              <w:t>15</w:t>
            </w:r>
          </w:p>
        </w:tc>
        <w:tc>
          <w:tcPr>
            <w:tcW w:w="1549" w:type="dxa"/>
          </w:tcPr>
          <w:p w14:paraId="0220560D" w14:textId="1E816351" w:rsidR="00F03F9F" w:rsidRPr="00D51778" w:rsidRDefault="00446F2A" w:rsidP="00F22C59">
            <w:pPr>
              <w:jc w:val="right"/>
              <w:rPr>
                <w:sz w:val="22"/>
                <w:szCs w:val="22"/>
              </w:rPr>
            </w:pPr>
            <w:r w:rsidRPr="00D51778">
              <w:rPr>
                <w:rFonts w:cs="Calibri"/>
                <w:color w:val="000000"/>
                <w:sz w:val="22"/>
                <w:szCs w:val="22"/>
                <w:lang w:val="ga"/>
              </w:rPr>
              <w:t>20.5%</w:t>
            </w:r>
          </w:p>
        </w:tc>
      </w:tr>
      <w:tr w:rsidR="00F03F9F" w:rsidRPr="00D51778" w14:paraId="3F7FD185" w14:textId="77777777" w:rsidTr="0022342F">
        <w:trPr>
          <w:jc w:val="center"/>
        </w:trPr>
        <w:tc>
          <w:tcPr>
            <w:tcW w:w="1711" w:type="dxa"/>
            <w:vAlign w:val="bottom"/>
          </w:tcPr>
          <w:p w14:paraId="3A7D3CB3" w14:textId="7CF35051" w:rsidR="00F03F9F" w:rsidRPr="00D51778" w:rsidRDefault="00F03F9F" w:rsidP="00F03F9F">
            <w:pPr>
              <w:rPr>
                <w:sz w:val="22"/>
                <w:szCs w:val="22"/>
              </w:rPr>
            </w:pPr>
            <w:r w:rsidRPr="00D51778">
              <w:rPr>
                <w:rFonts w:cs="Calibri"/>
                <w:color w:val="000000"/>
                <w:sz w:val="22"/>
                <w:szCs w:val="22"/>
                <w:lang w:val="ga"/>
              </w:rPr>
              <w:t>An Coimisiún um Athchóiriú an Dlí</w:t>
            </w:r>
          </w:p>
        </w:tc>
        <w:tc>
          <w:tcPr>
            <w:tcW w:w="1701" w:type="dxa"/>
          </w:tcPr>
          <w:p w14:paraId="718E768A" w14:textId="0ADE17F5" w:rsidR="00F03F9F" w:rsidRPr="00D51778" w:rsidRDefault="00F03F9F" w:rsidP="00F22C59">
            <w:pPr>
              <w:jc w:val="right"/>
              <w:rPr>
                <w:sz w:val="22"/>
                <w:szCs w:val="22"/>
              </w:rPr>
            </w:pPr>
            <w:r w:rsidRPr="00D51778">
              <w:rPr>
                <w:rFonts w:cs="Calibri"/>
                <w:color w:val="000000"/>
                <w:sz w:val="22"/>
                <w:szCs w:val="22"/>
                <w:lang w:val="ga"/>
              </w:rPr>
              <w:t>21</w:t>
            </w:r>
          </w:p>
        </w:tc>
        <w:tc>
          <w:tcPr>
            <w:tcW w:w="1418" w:type="dxa"/>
          </w:tcPr>
          <w:p w14:paraId="01669255" w14:textId="625DB208" w:rsidR="00F03F9F" w:rsidRPr="00D51778" w:rsidRDefault="00F03F9F" w:rsidP="00F22C59">
            <w:pPr>
              <w:spacing w:after="0"/>
              <w:jc w:val="right"/>
              <w:rPr>
                <w:sz w:val="22"/>
                <w:szCs w:val="22"/>
              </w:rPr>
            </w:pPr>
            <w:r w:rsidRPr="00D51778">
              <w:rPr>
                <w:rFonts w:cs="Calibri"/>
                <w:color w:val="000000"/>
                <w:sz w:val="22"/>
                <w:szCs w:val="22"/>
                <w:lang w:val="ga"/>
              </w:rPr>
              <w:t>1</w:t>
            </w:r>
          </w:p>
        </w:tc>
        <w:tc>
          <w:tcPr>
            <w:tcW w:w="1559" w:type="dxa"/>
          </w:tcPr>
          <w:p w14:paraId="570886A4" w14:textId="6C4A31A2" w:rsidR="00F03F9F" w:rsidRPr="00D51778" w:rsidRDefault="00F03F9F" w:rsidP="00F22C59">
            <w:pPr>
              <w:jc w:val="right"/>
              <w:rPr>
                <w:sz w:val="22"/>
                <w:szCs w:val="22"/>
              </w:rPr>
            </w:pPr>
            <w:r w:rsidRPr="00D51778">
              <w:rPr>
                <w:rFonts w:cs="Calibri"/>
                <w:color w:val="000000"/>
                <w:sz w:val="22"/>
                <w:szCs w:val="22"/>
                <w:lang w:val="ga"/>
              </w:rPr>
              <w:t>4.8%</w:t>
            </w:r>
          </w:p>
        </w:tc>
        <w:tc>
          <w:tcPr>
            <w:tcW w:w="1701" w:type="dxa"/>
          </w:tcPr>
          <w:p w14:paraId="7D223185" w14:textId="5F7F84BB" w:rsidR="00F03F9F" w:rsidRPr="00D51778" w:rsidRDefault="00F03F9F" w:rsidP="00F22C59">
            <w:pPr>
              <w:jc w:val="right"/>
              <w:rPr>
                <w:sz w:val="22"/>
                <w:szCs w:val="22"/>
              </w:rPr>
            </w:pPr>
            <w:r w:rsidRPr="00D51778">
              <w:rPr>
                <w:rFonts w:cs="Calibri"/>
                <w:color w:val="000000"/>
                <w:sz w:val="22"/>
                <w:szCs w:val="22"/>
                <w:lang w:val="ga"/>
              </w:rPr>
              <w:t>20</w:t>
            </w:r>
          </w:p>
        </w:tc>
        <w:tc>
          <w:tcPr>
            <w:tcW w:w="1559" w:type="dxa"/>
          </w:tcPr>
          <w:p w14:paraId="23D2AEDC" w14:textId="1F000F26" w:rsidR="00F03F9F" w:rsidRPr="00D51778" w:rsidRDefault="00F03F9F" w:rsidP="00F22C59">
            <w:pPr>
              <w:jc w:val="right"/>
              <w:rPr>
                <w:sz w:val="22"/>
                <w:szCs w:val="22"/>
              </w:rPr>
            </w:pPr>
            <w:r w:rsidRPr="00D51778">
              <w:rPr>
                <w:rFonts w:cs="Calibri"/>
                <w:color w:val="000000"/>
                <w:sz w:val="22"/>
                <w:szCs w:val="22"/>
                <w:lang w:val="ga"/>
              </w:rPr>
              <w:t>1</w:t>
            </w:r>
          </w:p>
        </w:tc>
        <w:tc>
          <w:tcPr>
            <w:tcW w:w="1549" w:type="dxa"/>
          </w:tcPr>
          <w:p w14:paraId="648AE4FE" w14:textId="6C576F36" w:rsidR="00F03F9F" w:rsidRPr="00D51778" w:rsidRDefault="00F03F9F" w:rsidP="00F22C59">
            <w:pPr>
              <w:jc w:val="right"/>
              <w:rPr>
                <w:sz w:val="22"/>
                <w:szCs w:val="22"/>
              </w:rPr>
            </w:pPr>
            <w:r w:rsidRPr="00D51778">
              <w:rPr>
                <w:rFonts w:cs="Calibri"/>
                <w:color w:val="000000"/>
                <w:sz w:val="22"/>
                <w:szCs w:val="22"/>
                <w:lang w:val="ga"/>
              </w:rPr>
              <w:t>5.0%</w:t>
            </w:r>
          </w:p>
        </w:tc>
      </w:tr>
      <w:tr w:rsidR="00F03F9F" w:rsidRPr="00D51778" w14:paraId="69355A26" w14:textId="77777777" w:rsidTr="0022342F">
        <w:trPr>
          <w:jc w:val="center"/>
        </w:trPr>
        <w:tc>
          <w:tcPr>
            <w:tcW w:w="1711" w:type="dxa"/>
            <w:vAlign w:val="bottom"/>
          </w:tcPr>
          <w:p w14:paraId="468864A4" w14:textId="0EF48B5E" w:rsidR="00F03F9F" w:rsidRPr="00D51778" w:rsidRDefault="00B833E4" w:rsidP="00F03F9F">
            <w:pPr>
              <w:rPr>
                <w:sz w:val="22"/>
                <w:szCs w:val="22"/>
              </w:rPr>
            </w:pPr>
            <w:r w:rsidRPr="00D51778">
              <w:rPr>
                <w:rFonts w:cs="Calibri"/>
                <w:b/>
                <w:bCs/>
                <w:color w:val="000000"/>
                <w:sz w:val="22"/>
                <w:szCs w:val="22"/>
                <w:lang w:val="ga"/>
              </w:rPr>
              <w:t>*</w:t>
            </w:r>
            <w:r w:rsidRPr="00D51778">
              <w:rPr>
                <w:rFonts w:cs="Calibri"/>
                <w:color w:val="000000"/>
                <w:sz w:val="22"/>
                <w:szCs w:val="22"/>
                <w:lang w:val="ga"/>
              </w:rPr>
              <w:t>An Bord um Chúnamh Dlíthiúil</w:t>
            </w:r>
          </w:p>
        </w:tc>
        <w:tc>
          <w:tcPr>
            <w:tcW w:w="1701" w:type="dxa"/>
          </w:tcPr>
          <w:p w14:paraId="7989C0AA" w14:textId="0549D8E4" w:rsidR="00F03F9F" w:rsidRPr="00D51778" w:rsidRDefault="00F03F9F" w:rsidP="00F22C59">
            <w:pPr>
              <w:jc w:val="right"/>
              <w:rPr>
                <w:sz w:val="22"/>
                <w:szCs w:val="22"/>
              </w:rPr>
            </w:pPr>
            <w:r w:rsidRPr="00D51778">
              <w:rPr>
                <w:rFonts w:cs="Calibri"/>
                <w:color w:val="000000"/>
                <w:sz w:val="22"/>
                <w:szCs w:val="22"/>
                <w:lang w:val="ga"/>
              </w:rPr>
              <w:t>467</w:t>
            </w:r>
          </w:p>
        </w:tc>
        <w:tc>
          <w:tcPr>
            <w:tcW w:w="1418" w:type="dxa"/>
          </w:tcPr>
          <w:p w14:paraId="34B138D6" w14:textId="3F83CBBA" w:rsidR="00F03F9F" w:rsidRPr="00D51778" w:rsidRDefault="00F03F9F" w:rsidP="00F22C59">
            <w:pPr>
              <w:spacing w:after="0"/>
              <w:jc w:val="right"/>
              <w:rPr>
                <w:sz w:val="22"/>
                <w:szCs w:val="22"/>
              </w:rPr>
            </w:pPr>
            <w:r w:rsidRPr="00D51778">
              <w:rPr>
                <w:rFonts w:cs="Calibri"/>
                <w:color w:val="000000"/>
                <w:sz w:val="22"/>
                <w:szCs w:val="22"/>
                <w:lang w:val="ga"/>
              </w:rPr>
              <w:t>28</w:t>
            </w:r>
          </w:p>
        </w:tc>
        <w:tc>
          <w:tcPr>
            <w:tcW w:w="1559" w:type="dxa"/>
          </w:tcPr>
          <w:p w14:paraId="0DDE45FB" w14:textId="755F07D6" w:rsidR="00F03F9F" w:rsidRPr="00D51778" w:rsidRDefault="00F03F9F" w:rsidP="00F22C59">
            <w:pPr>
              <w:jc w:val="right"/>
              <w:rPr>
                <w:sz w:val="22"/>
                <w:szCs w:val="22"/>
              </w:rPr>
            </w:pPr>
            <w:r w:rsidRPr="00D51778">
              <w:rPr>
                <w:rFonts w:cs="Calibri"/>
                <w:color w:val="000000"/>
                <w:sz w:val="22"/>
                <w:szCs w:val="22"/>
                <w:lang w:val="ga"/>
              </w:rPr>
              <w:t>6.0%</w:t>
            </w:r>
          </w:p>
        </w:tc>
        <w:tc>
          <w:tcPr>
            <w:tcW w:w="1701" w:type="dxa"/>
          </w:tcPr>
          <w:p w14:paraId="232F78AA" w14:textId="3A13F365" w:rsidR="00F03F9F" w:rsidRPr="00D51778" w:rsidRDefault="00F03F9F" w:rsidP="00F22C59">
            <w:pPr>
              <w:jc w:val="right"/>
              <w:rPr>
                <w:sz w:val="22"/>
                <w:szCs w:val="22"/>
              </w:rPr>
            </w:pPr>
            <w:r w:rsidRPr="00D51778">
              <w:rPr>
                <w:rFonts w:cs="Calibri"/>
                <w:color w:val="000000"/>
                <w:sz w:val="22"/>
                <w:szCs w:val="22"/>
                <w:lang w:val="ga"/>
              </w:rPr>
              <w:t>483</w:t>
            </w:r>
          </w:p>
        </w:tc>
        <w:tc>
          <w:tcPr>
            <w:tcW w:w="1559" w:type="dxa"/>
          </w:tcPr>
          <w:p w14:paraId="6F34DA5C" w14:textId="6051E012" w:rsidR="00F03F9F" w:rsidRPr="00D51778" w:rsidRDefault="00F03F9F" w:rsidP="00F22C59">
            <w:pPr>
              <w:jc w:val="right"/>
              <w:rPr>
                <w:sz w:val="22"/>
                <w:szCs w:val="22"/>
              </w:rPr>
            </w:pPr>
            <w:r w:rsidRPr="00D51778">
              <w:rPr>
                <w:rFonts w:cs="Calibri"/>
                <w:color w:val="000000"/>
                <w:sz w:val="22"/>
                <w:szCs w:val="22"/>
                <w:lang w:val="ga"/>
              </w:rPr>
              <w:t>18</w:t>
            </w:r>
          </w:p>
        </w:tc>
        <w:tc>
          <w:tcPr>
            <w:tcW w:w="1549" w:type="dxa"/>
          </w:tcPr>
          <w:p w14:paraId="59A9FBFF" w14:textId="71525649" w:rsidR="00F03F9F" w:rsidRPr="00D51778" w:rsidRDefault="00F03F9F" w:rsidP="00F22C59">
            <w:pPr>
              <w:jc w:val="right"/>
              <w:rPr>
                <w:sz w:val="22"/>
                <w:szCs w:val="22"/>
              </w:rPr>
            </w:pPr>
            <w:r w:rsidRPr="00D51778">
              <w:rPr>
                <w:rFonts w:cs="Calibri"/>
                <w:color w:val="000000"/>
                <w:sz w:val="22"/>
                <w:szCs w:val="22"/>
                <w:lang w:val="ga"/>
              </w:rPr>
              <w:t>3.7%</w:t>
            </w:r>
          </w:p>
        </w:tc>
      </w:tr>
      <w:tr w:rsidR="00F03F9F" w:rsidRPr="00D51778" w14:paraId="38676C19" w14:textId="77777777" w:rsidTr="0022342F">
        <w:trPr>
          <w:jc w:val="center"/>
        </w:trPr>
        <w:tc>
          <w:tcPr>
            <w:tcW w:w="1711" w:type="dxa"/>
            <w:vAlign w:val="bottom"/>
          </w:tcPr>
          <w:p w14:paraId="5B94FE88" w14:textId="1C057411" w:rsidR="00F03F9F" w:rsidRPr="00D51778" w:rsidRDefault="00F03F9F" w:rsidP="00F03F9F">
            <w:pPr>
              <w:rPr>
                <w:sz w:val="22"/>
                <w:szCs w:val="22"/>
              </w:rPr>
            </w:pPr>
            <w:r w:rsidRPr="00D51778">
              <w:rPr>
                <w:rFonts w:cs="Calibri"/>
                <w:color w:val="000000"/>
                <w:sz w:val="22"/>
                <w:szCs w:val="22"/>
                <w:lang w:val="ga"/>
              </w:rPr>
              <w:t>An Chomhairle Náisiúnta Curaclaim agus Measúnachta</w:t>
            </w:r>
          </w:p>
        </w:tc>
        <w:tc>
          <w:tcPr>
            <w:tcW w:w="1701" w:type="dxa"/>
          </w:tcPr>
          <w:p w14:paraId="7DF58B48" w14:textId="7D124FDB" w:rsidR="00F03F9F" w:rsidRPr="00D51778" w:rsidRDefault="00F03F9F" w:rsidP="00F22C59">
            <w:pPr>
              <w:jc w:val="right"/>
              <w:rPr>
                <w:sz w:val="22"/>
                <w:szCs w:val="22"/>
              </w:rPr>
            </w:pPr>
            <w:r w:rsidRPr="00D51778">
              <w:rPr>
                <w:rFonts w:cs="Calibri"/>
                <w:color w:val="000000"/>
                <w:sz w:val="22"/>
                <w:szCs w:val="22"/>
                <w:lang w:val="ga"/>
              </w:rPr>
              <w:t>43</w:t>
            </w:r>
          </w:p>
        </w:tc>
        <w:tc>
          <w:tcPr>
            <w:tcW w:w="1418" w:type="dxa"/>
          </w:tcPr>
          <w:p w14:paraId="4FED4E3A" w14:textId="3E2B6AD9" w:rsidR="00F03F9F" w:rsidRPr="00D51778" w:rsidRDefault="00F03F9F" w:rsidP="00F22C59">
            <w:pPr>
              <w:spacing w:after="0"/>
              <w:jc w:val="right"/>
              <w:rPr>
                <w:sz w:val="22"/>
                <w:szCs w:val="22"/>
              </w:rPr>
            </w:pPr>
            <w:r w:rsidRPr="00D51778">
              <w:rPr>
                <w:rFonts w:cs="Calibri"/>
                <w:color w:val="000000"/>
                <w:sz w:val="22"/>
                <w:szCs w:val="22"/>
                <w:lang w:val="ga"/>
              </w:rPr>
              <w:t>3</w:t>
            </w:r>
          </w:p>
        </w:tc>
        <w:tc>
          <w:tcPr>
            <w:tcW w:w="1559" w:type="dxa"/>
          </w:tcPr>
          <w:p w14:paraId="5DDEF7B0" w14:textId="59BCA3D6" w:rsidR="00F03F9F" w:rsidRPr="00D51778" w:rsidRDefault="00F03F9F" w:rsidP="00F22C59">
            <w:pPr>
              <w:jc w:val="right"/>
              <w:rPr>
                <w:sz w:val="22"/>
                <w:szCs w:val="22"/>
              </w:rPr>
            </w:pPr>
            <w:r w:rsidRPr="00D51778">
              <w:rPr>
                <w:rFonts w:cs="Calibri"/>
                <w:color w:val="000000"/>
                <w:sz w:val="22"/>
                <w:szCs w:val="22"/>
                <w:lang w:val="ga"/>
              </w:rPr>
              <w:t>7.0%</w:t>
            </w:r>
          </w:p>
        </w:tc>
        <w:tc>
          <w:tcPr>
            <w:tcW w:w="1701" w:type="dxa"/>
          </w:tcPr>
          <w:p w14:paraId="4DD0F500" w14:textId="2A6D2E07" w:rsidR="00F03F9F" w:rsidRPr="00D51778" w:rsidRDefault="00F03F9F" w:rsidP="00F22C59">
            <w:pPr>
              <w:jc w:val="right"/>
              <w:rPr>
                <w:rFonts w:cs="Calibri"/>
                <w:color w:val="000000"/>
                <w:sz w:val="22"/>
                <w:szCs w:val="22"/>
              </w:rPr>
            </w:pPr>
            <w:r w:rsidRPr="00D51778">
              <w:rPr>
                <w:rFonts w:cs="Calibri"/>
                <w:color w:val="000000"/>
                <w:sz w:val="22"/>
                <w:szCs w:val="22"/>
                <w:lang w:val="ga"/>
              </w:rPr>
              <w:t>45</w:t>
            </w:r>
          </w:p>
        </w:tc>
        <w:tc>
          <w:tcPr>
            <w:tcW w:w="1559" w:type="dxa"/>
          </w:tcPr>
          <w:p w14:paraId="6453E793" w14:textId="400E0661" w:rsidR="00F03F9F" w:rsidRPr="00D51778" w:rsidRDefault="00F03F9F" w:rsidP="00F22C59">
            <w:pPr>
              <w:jc w:val="right"/>
              <w:rPr>
                <w:rFonts w:cs="Calibri"/>
                <w:color w:val="000000"/>
                <w:sz w:val="22"/>
                <w:szCs w:val="22"/>
              </w:rPr>
            </w:pPr>
            <w:r w:rsidRPr="00D51778">
              <w:rPr>
                <w:rFonts w:cs="Calibri"/>
                <w:color w:val="000000"/>
                <w:sz w:val="22"/>
                <w:szCs w:val="22"/>
                <w:lang w:val="ga"/>
              </w:rPr>
              <w:t>3</w:t>
            </w:r>
          </w:p>
        </w:tc>
        <w:tc>
          <w:tcPr>
            <w:tcW w:w="1549" w:type="dxa"/>
          </w:tcPr>
          <w:p w14:paraId="01E7E5CC" w14:textId="7EC52F78" w:rsidR="00F03F9F" w:rsidRPr="00D51778" w:rsidRDefault="00F03F9F" w:rsidP="00F22C59">
            <w:pPr>
              <w:jc w:val="right"/>
              <w:rPr>
                <w:rFonts w:cs="Calibri"/>
                <w:color w:val="000000"/>
                <w:sz w:val="22"/>
                <w:szCs w:val="22"/>
              </w:rPr>
            </w:pPr>
            <w:r w:rsidRPr="00D51778">
              <w:rPr>
                <w:rFonts w:cs="Calibri"/>
                <w:color w:val="000000"/>
                <w:sz w:val="22"/>
                <w:szCs w:val="22"/>
                <w:lang w:val="ga"/>
              </w:rPr>
              <w:t>6.7%</w:t>
            </w:r>
          </w:p>
        </w:tc>
      </w:tr>
      <w:tr w:rsidR="00F03F9F" w:rsidRPr="00D51778" w14:paraId="15A8907D" w14:textId="77777777" w:rsidTr="0022342F">
        <w:trPr>
          <w:jc w:val="center"/>
        </w:trPr>
        <w:tc>
          <w:tcPr>
            <w:tcW w:w="1711" w:type="dxa"/>
            <w:vAlign w:val="bottom"/>
          </w:tcPr>
          <w:p w14:paraId="2424F215" w14:textId="18425EC9" w:rsidR="00F03F9F" w:rsidRPr="00D51778" w:rsidRDefault="00F03F9F" w:rsidP="00AA6DDF">
            <w:pPr>
              <w:spacing w:after="0"/>
              <w:rPr>
                <w:sz w:val="22"/>
                <w:szCs w:val="22"/>
              </w:rPr>
            </w:pPr>
            <w:r w:rsidRPr="00D51778">
              <w:rPr>
                <w:rFonts w:cs="Calibri"/>
                <w:color w:val="000000"/>
                <w:sz w:val="22"/>
                <w:szCs w:val="22"/>
                <w:lang w:val="ga"/>
              </w:rPr>
              <w:lastRenderedPageBreak/>
              <w:t>An Chomhairle Náisiúnta um Oideachas Speisialta</w:t>
            </w:r>
          </w:p>
        </w:tc>
        <w:tc>
          <w:tcPr>
            <w:tcW w:w="1701" w:type="dxa"/>
          </w:tcPr>
          <w:p w14:paraId="3867E74C" w14:textId="428E8B21" w:rsidR="00F03F9F" w:rsidRPr="00D51778" w:rsidRDefault="00F03F9F" w:rsidP="00F22C59">
            <w:pPr>
              <w:spacing w:after="0"/>
              <w:jc w:val="right"/>
              <w:rPr>
                <w:sz w:val="22"/>
                <w:szCs w:val="22"/>
              </w:rPr>
            </w:pPr>
            <w:r w:rsidRPr="00D51778">
              <w:rPr>
                <w:rFonts w:cs="Calibri"/>
                <w:color w:val="000000"/>
                <w:sz w:val="22"/>
                <w:szCs w:val="22"/>
                <w:lang w:val="ga"/>
              </w:rPr>
              <w:t>238</w:t>
            </w:r>
          </w:p>
        </w:tc>
        <w:tc>
          <w:tcPr>
            <w:tcW w:w="1418" w:type="dxa"/>
          </w:tcPr>
          <w:p w14:paraId="05211605" w14:textId="22AEDD3A" w:rsidR="00F03F9F" w:rsidRPr="00D51778" w:rsidRDefault="00F03F9F" w:rsidP="00F22C59">
            <w:pPr>
              <w:spacing w:after="0"/>
              <w:jc w:val="right"/>
              <w:rPr>
                <w:sz w:val="22"/>
                <w:szCs w:val="22"/>
              </w:rPr>
            </w:pPr>
            <w:r w:rsidRPr="00D51778">
              <w:rPr>
                <w:rFonts w:cs="Calibri"/>
                <w:color w:val="000000"/>
                <w:sz w:val="22"/>
                <w:szCs w:val="22"/>
                <w:lang w:val="ga"/>
              </w:rPr>
              <w:t>6</w:t>
            </w:r>
          </w:p>
        </w:tc>
        <w:tc>
          <w:tcPr>
            <w:tcW w:w="1559" w:type="dxa"/>
          </w:tcPr>
          <w:p w14:paraId="61567543" w14:textId="34E635C4" w:rsidR="00F03F9F" w:rsidRPr="00D51778" w:rsidRDefault="00F03F9F" w:rsidP="00F22C59">
            <w:pPr>
              <w:spacing w:after="0"/>
              <w:jc w:val="right"/>
              <w:rPr>
                <w:sz w:val="22"/>
                <w:szCs w:val="22"/>
              </w:rPr>
            </w:pPr>
            <w:r w:rsidRPr="00D51778">
              <w:rPr>
                <w:rFonts w:cs="Calibri"/>
                <w:color w:val="000000"/>
                <w:sz w:val="22"/>
                <w:szCs w:val="22"/>
                <w:lang w:val="ga"/>
              </w:rPr>
              <w:t>2.5%</w:t>
            </w:r>
          </w:p>
        </w:tc>
        <w:tc>
          <w:tcPr>
            <w:tcW w:w="1701" w:type="dxa"/>
          </w:tcPr>
          <w:p w14:paraId="4CDD7510" w14:textId="398B8F32"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239</w:t>
            </w:r>
          </w:p>
        </w:tc>
        <w:tc>
          <w:tcPr>
            <w:tcW w:w="1559" w:type="dxa"/>
          </w:tcPr>
          <w:p w14:paraId="66E0CBF7" w14:textId="75178A08"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6</w:t>
            </w:r>
          </w:p>
        </w:tc>
        <w:tc>
          <w:tcPr>
            <w:tcW w:w="1549" w:type="dxa"/>
          </w:tcPr>
          <w:p w14:paraId="58FDA4CF" w14:textId="6DBAFFA8"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2.5%</w:t>
            </w:r>
          </w:p>
        </w:tc>
      </w:tr>
      <w:tr w:rsidR="00F03F9F" w:rsidRPr="00D51778" w14:paraId="1272A7CC" w14:textId="77777777" w:rsidTr="0022342F">
        <w:trPr>
          <w:jc w:val="center"/>
        </w:trPr>
        <w:tc>
          <w:tcPr>
            <w:tcW w:w="1711" w:type="dxa"/>
            <w:vAlign w:val="bottom"/>
          </w:tcPr>
          <w:p w14:paraId="440F23ED" w14:textId="453AF7BF" w:rsidR="00F03F9F" w:rsidRPr="00D51778" w:rsidRDefault="00F03F9F" w:rsidP="00F03F9F">
            <w:pPr>
              <w:rPr>
                <w:sz w:val="22"/>
                <w:szCs w:val="22"/>
              </w:rPr>
            </w:pPr>
            <w:r w:rsidRPr="00D51778">
              <w:rPr>
                <w:rFonts w:cs="Calibri"/>
                <w:color w:val="000000"/>
                <w:sz w:val="22"/>
                <w:szCs w:val="22"/>
                <w:lang w:val="ga"/>
              </w:rPr>
              <w:t>An Oifig Náisiúnta um Sheirbhísí Comhroinnte</w:t>
            </w:r>
          </w:p>
        </w:tc>
        <w:tc>
          <w:tcPr>
            <w:tcW w:w="1701" w:type="dxa"/>
          </w:tcPr>
          <w:p w14:paraId="13E20A60" w14:textId="717C5384" w:rsidR="00F03F9F" w:rsidRPr="00D51778" w:rsidRDefault="00F03F9F" w:rsidP="00F22C59">
            <w:pPr>
              <w:spacing w:after="0"/>
              <w:jc w:val="right"/>
              <w:rPr>
                <w:sz w:val="22"/>
                <w:szCs w:val="22"/>
              </w:rPr>
            </w:pPr>
            <w:r w:rsidRPr="00D51778">
              <w:rPr>
                <w:rFonts w:cs="Calibri"/>
                <w:color w:val="000000"/>
                <w:sz w:val="22"/>
                <w:szCs w:val="22"/>
                <w:lang w:val="ga"/>
              </w:rPr>
              <w:t>811</w:t>
            </w:r>
          </w:p>
        </w:tc>
        <w:tc>
          <w:tcPr>
            <w:tcW w:w="1418" w:type="dxa"/>
          </w:tcPr>
          <w:p w14:paraId="61B4BF18" w14:textId="2969BE1B" w:rsidR="00F03F9F" w:rsidRPr="00D51778" w:rsidRDefault="00F03F9F" w:rsidP="00F22C59">
            <w:pPr>
              <w:spacing w:after="0"/>
              <w:jc w:val="right"/>
              <w:rPr>
                <w:sz w:val="22"/>
                <w:szCs w:val="22"/>
              </w:rPr>
            </w:pPr>
            <w:r w:rsidRPr="00D51778">
              <w:rPr>
                <w:rFonts w:cs="Calibri"/>
                <w:color w:val="000000"/>
                <w:sz w:val="22"/>
                <w:szCs w:val="22"/>
                <w:lang w:val="ga"/>
              </w:rPr>
              <w:t>32</w:t>
            </w:r>
          </w:p>
        </w:tc>
        <w:tc>
          <w:tcPr>
            <w:tcW w:w="1559" w:type="dxa"/>
          </w:tcPr>
          <w:p w14:paraId="6E13DABA" w14:textId="7EA95EB1" w:rsidR="00F03F9F" w:rsidRPr="00D51778" w:rsidRDefault="00F03F9F" w:rsidP="00F22C59">
            <w:pPr>
              <w:spacing w:after="0"/>
              <w:jc w:val="right"/>
              <w:rPr>
                <w:sz w:val="22"/>
                <w:szCs w:val="22"/>
              </w:rPr>
            </w:pPr>
            <w:r w:rsidRPr="00D51778">
              <w:rPr>
                <w:rFonts w:cs="Calibri"/>
                <w:color w:val="000000"/>
                <w:sz w:val="22"/>
                <w:szCs w:val="22"/>
                <w:lang w:val="ga"/>
              </w:rPr>
              <w:t>3.9%</w:t>
            </w:r>
          </w:p>
        </w:tc>
        <w:tc>
          <w:tcPr>
            <w:tcW w:w="1701" w:type="dxa"/>
          </w:tcPr>
          <w:p w14:paraId="0ABAF7B3" w14:textId="3A014409"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758</w:t>
            </w:r>
          </w:p>
        </w:tc>
        <w:tc>
          <w:tcPr>
            <w:tcW w:w="1559" w:type="dxa"/>
          </w:tcPr>
          <w:p w14:paraId="41BD57AF" w14:textId="23174A19"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34</w:t>
            </w:r>
          </w:p>
        </w:tc>
        <w:tc>
          <w:tcPr>
            <w:tcW w:w="1549" w:type="dxa"/>
          </w:tcPr>
          <w:p w14:paraId="17D99D42" w14:textId="39EED3FB"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4.5%</w:t>
            </w:r>
          </w:p>
        </w:tc>
      </w:tr>
      <w:tr w:rsidR="00F03F9F" w:rsidRPr="00D51778" w14:paraId="52C428F7" w14:textId="77777777" w:rsidTr="0022342F">
        <w:trPr>
          <w:jc w:val="center"/>
        </w:trPr>
        <w:tc>
          <w:tcPr>
            <w:tcW w:w="1711" w:type="dxa"/>
            <w:vAlign w:val="bottom"/>
          </w:tcPr>
          <w:p w14:paraId="447784C7" w14:textId="023F331B" w:rsidR="00F03F9F" w:rsidRPr="00D51778" w:rsidRDefault="00F03F9F" w:rsidP="00AA6DDF">
            <w:pPr>
              <w:spacing w:after="0"/>
              <w:rPr>
                <w:sz w:val="22"/>
                <w:szCs w:val="22"/>
              </w:rPr>
            </w:pPr>
            <w:r w:rsidRPr="00D51778">
              <w:rPr>
                <w:rFonts w:cs="Calibri"/>
                <w:color w:val="000000"/>
                <w:sz w:val="22"/>
                <w:szCs w:val="22"/>
                <w:lang w:val="ga"/>
              </w:rPr>
              <w:t>An Oifig um Sholáthar Rialtais</w:t>
            </w:r>
          </w:p>
        </w:tc>
        <w:tc>
          <w:tcPr>
            <w:tcW w:w="1701" w:type="dxa"/>
          </w:tcPr>
          <w:p w14:paraId="382D9EEF" w14:textId="499CE9AF" w:rsidR="00F03F9F" w:rsidRPr="00D51778" w:rsidRDefault="00F03F9F" w:rsidP="00F22C59">
            <w:pPr>
              <w:spacing w:after="0"/>
              <w:jc w:val="right"/>
              <w:rPr>
                <w:sz w:val="22"/>
                <w:szCs w:val="22"/>
              </w:rPr>
            </w:pPr>
            <w:r w:rsidRPr="00D51778">
              <w:rPr>
                <w:rFonts w:cs="Calibri"/>
                <w:color w:val="000000"/>
                <w:sz w:val="22"/>
                <w:szCs w:val="22"/>
                <w:lang w:val="ga"/>
              </w:rPr>
              <w:t>230</w:t>
            </w:r>
          </w:p>
        </w:tc>
        <w:tc>
          <w:tcPr>
            <w:tcW w:w="1418" w:type="dxa"/>
          </w:tcPr>
          <w:p w14:paraId="49370C18" w14:textId="58AEE8F3" w:rsidR="00F03F9F" w:rsidRPr="00D51778" w:rsidRDefault="00F03F9F" w:rsidP="00F22C59">
            <w:pPr>
              <w:spacing w:after="0"/>
              <w:jc w:val="right"/>
              <w:rPr>
                <w:sz w:val="22"/>
                <w:szCs w:val="22"/>
              </w:rPr>
            </w:pPr>
            <w:r w:rsidRPr="00D51778">
              <w:rPr>
                <w:rFonts w:cs="Calibri"/>
                <w:color w:val="000000"/>
                <w:sz w:val="22"/>
                <w:szCs w:val="22"/>
                <w:lang w:val="ga"/>
              </w:rPr>
              <w:t>14</w:t>
            </w:r>
          </w:p>
        </w:tc>
        <w:tc>
          <w:tcPr>
            <w:tcW w:w="1559" w:type="dxa"/>
          </w:tcPr>
          <w:p w14:paraId="5FD7C351" w14:textId="42A298DF" w:rsidR="00F03F9F" w:rsidRPr="00D51778" w:rsidRDefault="00F03F9F" w:rsidP="00F22C59">
            <w:pPr>
              <w:spacing w:after="0"/>
              <w:jc w:val="right"/>
              <w:rPr>
                <w:sz w:val="22"/>
                <w:szCs w:val="22"/>
              </w:rPr>
            </w:pPr>
            <w:r w:rsidRPr="00D51778">
              <w:rPr>
                <w:rFonts w:cs="Calibri"/>
                <w:color w:val="000000"/>
                <w:sz w:val="22"/>
                <w:szCs w:val="22"/>
                <w:lang w:val="ga"/>
              </w:rPr>
              <w:t>6.1%</w:t>
            </w:r>
          </w:p>
        </w:tc>
        <w:tc>
          <w:tcPr>
            <w:tcW w:w="1701" w:type="dxa"/>
          </w:tcPr>
          <w:p w14:paraId="736CE904" w14:textId="5D9BE310"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243</w:t>
            </w:r>
          </w:p>
        </w:tc>
        <w:tc>
          <w:tcPr>
            <w:tcW w:w="1559" w:type="dxa"/>
          </w:tcPr>
          <w:p w14:paraId="3434428E" w14:textId="4F8257DB"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19</w:t>
            </w:r>
          </w:p>
        </w:tc>
        <w:tc>
          <w:tcPr>
            <w:tcW w:w="1549" w:type="dxa"/>
          </w:tcPr>
          <w:p w14:paraId="53E9FE0D" w14:textId="1A471914"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7.8%</w:t>
            </w:r>
          </w:p>
        </w:tc>
      </w:tr>
      <w:tr w:rsidR="00F03F9F" w:rsidRPr="00D51778" w14:paraId="0C1DECEB" w14:textId="77777777" w:rsidTr="0022342F">
        <w:trPr>
          <w:jc w:val="center"/>
        </w:trPr>
        <w:tc>
          <w:tcPr>
            <w:tcW w:w="1711" w:type="dxa"/>
            <w:vAlign w:val="bottom"/>
          </w:tcPr>
          <w:p w14:paraId="6474DB74" w14:textId="4D9848AE" w:rsidR="00F03F9F" w:rsidRPr="00D51778" w:rsidRDefault="00F03F9F" w:rsidP="00F03F9F">
            <w:pPr>
              <w:rPr>
                <w:sz w:val="22"/>
                <w:szCs w:val="22"/>
              </w:rPr>
            </w:pPr>
            <w:r w:rsidRPr="00D51778">
              <w:rPr>
                <w:rFonts w:cs="Calibri"/>
                <w:color w:val="000000"/>
                <w:sz w:val="22"/>
                <w:szCs w:val="22"/>
                <w:lang w:val="ga"/>
              </w:rPr>
              <w:t>Oifig na nOibreacha Poiblí</w:t>
            </w:r>
          </w:p>
        </w:tc>
        <w:tc>
          <w:tcPr>
            <w:tcW w:w="1701" w:type="dxa"/>
          </w:tcPr>
          <w:p w14:paraId="7213DC10" w14:textId="30B114D8" w:rsidR="00F03F9F" w:rsidRPr="00D51778" w:rsidRDefault="00F03F9F" w:rsidP="00F22C59">
            <w:pPr>
              <w:spacing w:after="0"/>
              <w:jc w:val="right"/>
              <w:rPr>
                <w:sz w:val="22"/>
                <w:szCs w:val="22"/>
              </w:rPr>
            </w:pPr>
            <w:r w:rsidRPr="00D51778">
              <w:rPr>
                <w:rFonts w:cs="Calibri"/>
                <w:color w:val="000000"/>
                <w:sz w:val="22"/>
                <w:szCs w:val="22"/>
                <w:lang w:val="ga"/>
              </w:rPr>
              <w:t>2,132</w:t>
            </w:r>
          </w:p>
        </w:tc>
        <w:tc>
          <w:tcPr>
            <w:tcW w:w="1418" w:type="dxa"/>
          </w:tcPr>
          <w:p w14:paraId="7EEE335E" w14:textId="492B95A2" w:rsidR="00F03F9F" w:rsidRPr="00D51778" w:rsidRDefault="00F03F9F" w:rsidP="00F22C59">
            <w:pPr>
              <w:spacing w:after="0"/>
              <w:jc w:val="right"/>
              <w:rPr>
                <w:sz w:val="22"/>
                <w:szCs w:val="22"/>
              </w:rPr>
            </w:pPr>
            <w:r w:rsidRPr="00D51778">
              <w:rPr>
                <w:rFonts w:cs="Calibri"/>
                <w:color w:val="000000"/>
                <w:sz w:val="22"/>
                <w:szCs w:val="22"/>
                <w:lang w:val="ga"/>
              </w:rPr>
              <w:t>66</w:t>
            </w:r>
          </w:p>
        </w:tc>
        <w:tc>
          <w:tcPr>
            <w:tcW w:w="1559" w:type="dxa"/>
          </w:tcPr>
          <w:p w14:paraId="13358A2C" w14:textId="72CF847E" w:rsidR="00F03F9F" w:rsidRPr="00D51778" w:rsidRDefault="00F03F9F" w:rsidP="00F22C59">
            <w:pPr>
              <w:spacing w:after="0"/>
              <w:jc w:val="right"/>
              <w:rPr>
                <w:sz w:val="22"/>
                <w:szCs w:val="22"/>
              </w:rPr>
            </w:pPr>
            <w:r w:rsidRPr="00D51778">
              <w:rPr>
                <w:rFonts w:cs="Calibri"/>
                <w:color w:val="000000"/>
                <w:sz w:val="22"/>
                <w:szCs w:val="22"/>
                <w:lang w:val="ga"/>
              </w:rPr>
              <w:t>3.1%</w:t>
            </w:r>
          </w:p>
        </w:tc>
        <w:tc>
          <w:tcPr>
            <w:tcW w:w="1701" w:type="dxa"/>
          </w:tcPr>
          <w:p w14:paraId="0802788E" w14:textId="616FA00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2,110</w:t>
            </w:r>
          </w:p>
        </w:tc>
        <w:tc>
          <w:tcPr>
            <w:tcW w:w="1559" w:type="dxa"/>
          </w:tcPr>
          <w:p w14:paraId="61D78666" w14:textId="56713DE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69</w:t>
            </w:r>
          </w:p>
        </w:tc>
        <w:tc>
          <w:tcPr>
            <w:tcW w:w="1549" w:type="dxa"/>
          </w:tcPr>
          <w:p w14:paraId="244BD458" w14:textId="3499E663"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3.3%</w:t>
            </w:r>
          </w:p>
        </w:tc>
      </w:tr>
      <w:tr w:rsidR="00F03F9F" w:rsidRPr="00D51778" w14:paraId="5CBD22B0" w14:textId="77777777" w:rsidTr="0022342F">
        <w:trPr>
          <w:jc w:val="center"/>
        </w:trPr>
        <w:tc>
          <w:tcPr>
            <w:tcW w:w="1711" w:type="dxa"/>
            <w:vAlign w:val="bottom"/>
          </w:tcPr>
          <w:p w14:paraId="6E37116D" w14:textId="66292C0E" w:rsidR="00F03F9F" w:rsidRPr="00D51778" w:rsidRDefault="00F03F9F" w:rsidP="00F03F9F">
            <w:pPr>
              <w:rPr>
                <w:sz w:val="22"/>
                <w:szCs w:val="22"/>
              </w:rPr>
            </w:pPr>
            <w:r w:rsidRPr="00D51778">
              <w:rPr>
                <w:rFonts w:cs="Calibri"/>
                <w:color w:val="000000"/>
                <w:sz w:val="22"/>
                <w:szCs w:val="22"/>
                <w:lang w:val="ga"/>
              </w:rPr>
              <w:t>Oifig an Ard-Aighne</w:t>
            </w:r>
          </w:p>
        </w:tc>
        <w:tc>
          <w:tcPr>
            <w:tcW w:w="1701" w:type="dxa"/>
          </w:tcPr>
          <w:p w14:paraId="51A48220" w14:textId="43666901" w:rsidR="00F03F9F" w:rsidRPr="00D51778" w:rsidRDefault="00F03F9F" w:rsidP="00F22C59">
            <w:pPr>
              <w:spacing w:after="0"/>
              <w:jc w:val="right"/>
              <w:rPr>
                <w:sz w:val="22"/>
                <w:szCs w:val="22"/>
              </w:rPr>
            </w:pPr>
            <w:r w:rsidRPr="00D51778">
              <w:rPr>
                <w:rFonts w:cs="Calibri"/>
                <w:color w:val="000000"/>
                <w:sz w:val="22"/>
                <w:szCs w:val="22"/>
                <w:lang w:val="ga"/>
              </w:rPr>
              <w:t>143</w:t>
            </w:r>
          </w:p>
        </w:tc>
        <w:tc>
          <w:tcPr>
            <w:tcW w:w="1418" w:type="dxa"/>
          </w:tcPr>
          <w:p w14:paraId="2F20E576" w14:textId="28183C26" w:rsidR="00F03F9F" w:rsidRPr="00D51778" w:rsidRDefault="00F03F9F" w:rsidP="00F22C59">
            <w:pPr>
              <w:spacing w:after="0"/>
              <w:jc w:val="right"/>
              <w:rPr>
                <w:sz w:val="22"/>
                <w:szCs w:val="22"/>
              </w:rPr>
            </w:pPr>
            <w:r w:rsidRPr="00D51778">
              <w:rPr>
                <w:rFonts w:cs="Calibri"/>
                <w:color w:val="000000"/>
                <w:sz w:val="22"/>
                <w:szCs w:val="22"/>
                <w:lang w:val="ga"/>
              </w:rPr>
              <w:t>5</w:t>
            </w:r>
          </w:p>
        </w:tc>
        <w:tc>
          <w:tcPr>
            <w:tcW w:w="1559" w:type="dxa"/>
          </w:tcPr>
          <w:p w14:paraId="1C0F9F8F" w14:textId="1E1ABBAE" w:rsidR="00F03F9F" w:rsidRPr="00D51778" w:rsidRDefault="00F03F9F" w:rsidP="00F22C59">
            <w:pPr>
              <w:spacing w:after="0"/>
              <w:jc w:val="right"/>
              <w:rPr>
                <w:sz w:val="22"/>
                <w:szCs w:val="22"/>
              </w:rPr>
            </w:pPr>
            <w:r w:rsidRPr="00D51778">
              <w:rPr>
                <w:rFonts w:cs="Calibri"/>
                <w:color w:val="000000"/>
                <w:sz w:val="22"/>
                <w:szCs w:val="22"/>
                <w:lang w:val="ga"/>
              </w:rPr>
              <w:t>3.5%</w:t>
            </w:r>
          </w:p>
        </w:tc>
        <w:tc>
          <w:tcPr>
            <w:tcW w:w="1701" w:type="dxa"/>
          </w:tcPr>
          <w:p w14:paraId="1E68F390" w14:textId="25E657C4"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148</w:t>
            </w:r>
          </w:p>
        </w:tc>
        <w:tc>
          <w:tcPr>
            <w:tcW w:w="1559" w:type="dxa"/>
          </w:tcPr>
          <w:p w14:paraId="3B54A125" w14:textId="5161B757"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6</w:t>
            </w:r>
          </w:p>
        </w:tc>
        <w:tc>
          <w:tcPr>
            <w:tcW w:w="1549" w:type="dxa"/>
          </w:tcPr>
          <w:p w14:paraId="38B6ED5F" w14:textId="0F2840C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4.1%</w:t>
            </w:r>
          </w:p>
        </w:tc>
      </w:tr>
      <w:tr w:rsidR="00F03F9F" w:rsidRPr="00D51778" w14:paraId="089BD6CB" w14:textId="77777777" w:rsidTr="0022342F">
        <w:trPr>
          <w:jc w:val="center"/>
        </w:trPr>
        <w:tc>
          <w:tcPr>
            <w:tcW w:w="1711" w:type="dxa"/>
            <w:vAlign w:val="bottom"/>
          </w:tcPr>
          <w:p w14:paraId="135B94DE" w14:textId="548BF4B2" w:rsidR="00F03F9F" w:rsidRPr="00D51778" w:rsidRDefault="00F03F9F" w:rsidP="00F03F9F">
            <w:pPr>
              <w:rPr>
                <w:sz w:val="22"/>
                <w:szCs w:val="22"/>
              </w:rPr>
            </w:pPr>
            <w:r w:rsidRPr="00D51778">
              <w:rPr>
                <w:rFonts w:cs="Calibri"/>
                <w:color w:val="000000"/>
                <w:sz w:val="22"/>
                <w:szCs w:val="22"/>
                <w:lang w:val="ga"/>
              </w:rPr>
              <w:t>Oifig an Ard-Reachtaire Cuntas agus Ciste</w:t>
            </w:r>
          </w:p>
        </w:tc>
        <w:tc>
          <w:tcPr>
            <w:tcW w:w="1701" w:type="dxa"/>
          </w:tcPr>
          <w:p w14:paraId="3B6AD321" w14:textId="4AD71C5C" w:rsidR="00F03F9F" w:rsidRPr="00D51778" w:rsidRDefault="00F03F9F" w:rsidP="00F22C59">
            <w:pPr>
              <w:spacing w:after="0"/>
              <w:jc w:val="right"/>
              <w:rPr>
                <w:sz w:val="22"/>
                <w:szCs w:val="22"/>
              </w:rPr>
            </w:pPr>
            <w:r w:rsidRPr="00D51778">
              <w:rPr>
                <w:rFonts w:cs="Calibri"/>
                <w:color w:val="000000"/>
                <w:sz w:val="22"/>
                <w:szCs w:val="22"/>
                <w:lang w:val="ga"/>
              </w:rPr>
              <w:t>181</w:t>
            </w:r>
          </w:p>
        </w:tc>
        <w:tc>
          <w:tcPr>
            <w:tcW w:w="1418" w:type="dxa"/>
          </w:tcPr>
          <w:p w14:paraId="0C326199" w14:textId="44C83E8B" w:rsidR="00F03F9F" w:rsidRPr="00D51778" w:rsidRDefault="00F03F9F" w:rsidP="00F22C59">
            <w:pPr>
              <w:spacing w:after="0"/>
              <w:jc w:val="right"/>
              <w:rPr>
                <w:sz w:val="22"/>
                <w:szCs w:val="22"/>
              </w:rPr>
            </w:pPr>
            <w:r w:rsidRPr="00D51778">
              <w:rPr>
                <w:rFonts w:cs="Calibri"/>
                <w:color w:val="000000"/>
                <w:sz w:val="22"/>
                <w:szCs w:val="22"/>
                <w:lang w:val="ga"/>
              </w:rPr>
              <w:t>14</w:t>
            </w:r>
          </w:p>
        </w:tc>
        <w:tc>
          <w:tcPr>
            <w:tcW w:w="1559" w:type="dxa"/>
          </w:tcPr>
          <w:p w14:paraId="03D6DE70" w14:textId="029EB6E4" w:rsidR="00F03F9F" w:rsidRPr="00D51778" w:rsidRDefault="00F03F9F" w:rsidP="00F22C59">
            <w:pPr>
              <w:spacing w:after="0"/>
              <w:jc w:val="right"/>
              <w:rPr>
                <w:sz w:val="22"/>
                <w:szCs w:val="22"/>
              </w:rPr>
            </w:pPr>
            <w:r w:rsidRPr="00D51778">
              <w:rPr>
                <w:rFonts w:cs="Calibri"/>
                <w:color w:val="000000"/>
                <w:sz w:val="22"/>
                <w:szCs w:val="22"/>
                <w:lang w:val="ga"/>
              </w:rPr>
              <w:t>7.7%</w:t>
            </w:r>
          </w:p>
        </w:tc>
        <w:tc>
          <w:tcPr>
            <w:tcW w:w="1701" w:type="dxa"/>
          </w:tcPr>
          <w:p w14:paraId="65201679" w14:textId="10C1B433"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178</w:t>
            </w:r>
          </w:p>
        </w:tc>
        <w:tc>
          <w:tcPr>
            <w:tcW w:w="1559" w:type="dxa"/>
          </w:tcPr>
          <w:p w14:paraId="1B0B0B1B" w14:textId="2CC36351"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15</w:t>
            </w:r>
          </w:p>
        </w:tc>
        <w:tc>
          <w:tcPr>
            <w:tcW w:w="1549" w:type="dxa"/>
          </w:tcPr>
          <w:p w14:paraId="11B5DAE9" w14:textId="164AD456"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8.4%</w:t>
            </w:r>
          </w:p>
        </w:tc>
      </w:tr>
      <w:tr w:rsidR="00F03F9F" w:rsidRPr="00D51778" w14:paraId="569881A9" w14:textId="77777777" w:rsidTr="0022342F">
        <w:trPr>
          <w:jc w:val="center"/>
        </w:trPr>
        <w:tc>
          <w:tcPr>
            <w:tcW w:w="1711" w:type="dxa"/>
            <w:vAlign w:val="bottom"/>
          </w:tcPr>
          <w:p w14:paraId="0BFADED1" w14:textId="2559A197" w:rsidR="00F03F9F" w:rsidRPr="00D51778" w:rsidRDefault="00B833E4" w:rsidP="00F03F9F">
            <w:pPr>
              <w:rPr>
                <w:sz w:val="22"/>
                <w:szCs w:val="22"/>
              </w:rPr>
            </w:pPr>
            <w:r w:rsidRPr="00D51778">
              <w:rPr>
                <w:b/>
                <w:bCs/>
                <w:color w:val="000000"/>
                <w:sz w:val="22"/>
                <w:szCs w:val="22"/>
                <w:lang w:val="ga"/>
              </w:rPr>
              <w:t>*</w:t>
            </w:r>
            <w:r w:rsidRPr="00D51778">
              <w:rPr>
                <w:color w:val="000000"/>
                <w:sz w:val="22"/>
                <w:szCs w:val="22"/>
                <w:lang w:val="ga"/>
              </w:rPr>
              <w:t xml:space="preserve">Oifig an Choimisinéara Cosanta Sonraí </w:t>
            </w:r>
            <w:r w:rsidRPr="00D51778">
              <w:rPr>
                <w:b/>
                <w:bCs/>
                <w:sz w:val="22"/>
                <w:szCs w:val="22"/>
                <w:lang w:val="ga"/>
              </w:rPr>
              <w:t xml:space="preserve"> (D’iarr ÚNM soiléiriú go ngairtear Oifig an Choimisinéara Cosanta Sonraí den Choimisinéir Cosanta Sonraí agus fuair sé an soiléiriú sin)</w:t>
            </w:r>
          </w:p>
        </w:tc>
        <w:tc>
          <w:tcPr>
            <w:tcW w:w="1701" w:type="dxa"/>
          </w:tcPr>
          <w:p w14:paraId="3242B166" w14:textId="3967DCD3" w:rsidR="00F03F9F" w:rsidRPr="00D51778" w:rsidRDefault="00F03F9F" w:rsidP="00F22C59">
            <w:pPr>
              <w:spacing w:after="0"/>
              <w:jc w:val="right"/>
              <w:rPr>
                <w:sz w:val="22"/>
                <w:szCs w:val="22"/>
              </w:rPr>
            </w:pPr>
            <w:r w:rsidRPr="00D51778">
              <w:rPr>
                <w:rFonts w:cs="Calibri"/>
                <w:color w:val="000000"/>
                <w:sz w:val="22"/>
                <w:szCs w:val="22"/>
                <w:lang w:val="ga"/>
              </w:rPr>
              <w:t>151</w:t>
            </w:r>
          </w:p>
        </w:tc>
        <w:tc>
          <w:tcPr>
            <w:tcW w:w="1418" w:type="dxa"/>
          </w:tcPr>
          <w:p w14:paraId="439C55BE" w14:textId="511431F0" w:rsidR="00F03F9F" w:rsidRPr="00D51778" w:rsidRDefault="00F03F9F" w:rsidP="00F22C59">
            <w:pPr>
              <w:spacing w:after="0"/>
              <w:jc w:val="right"/>
              <w:rPr>
                <w:sz w:val="22"/>
                <w:szCs w:val="22"/>
              </w:rPr>
            </w:pPr>
            <w:r w:rsidRPr="00D51778">
              <w:rPr>
                <w:rFonts w:cs="Calibri"/>
                <w:color w:val="000000"/>
                <w:sz w:val="22"/>
                <w:szCs w:val="22"/>
                <w:lang w:val="ga"/>
              </w:rPr>
              <w:t>6</w:t>
            </w:r>
          </w:p>
        </w:tc>
        <w:tc>
          <w:tcPr>
            <w:tcW w:w="1559" w:type="dxa"/>
          </w:tcPr>
          <w:p w14:paraId="5F9242FF" w14:textId="1DDAF08B" w:rsidR="00F03F9F" w:rsidRPr="00D51778" w:rsidRDefault="00F03F9F" w:rsidP="00F22C59">
            <w:pPr>
              <w:spacing w:after="0"/>
              <w:jc w:val="right"/>
              <w:rPr>
                <w:sz w:val="22"/>
                <w:szCs w:val="22"/>
              </w:rPr>
            </w:pPr>
            <w:r w:rsidRPr="00D51778">
              <w:rPr>
                <w:rFonts w:cs="Calibri"/>
                <w:color w:val="000000"/>
                <w:sz w:val="22"/>
                <w:szCs w:val="22"/>
                <w:lang w:val="ga"/>
              </w:rPr>
              <w:t>4.0%</w:t>
            </w:r>
          </w:p>
        </w:tc>
        <w:tc>
          <w:tcPr>
            <w:tcW w:w="1701" w:type="dxa"/>
          </w:tcPr>
          <w:p w14:paraId="09211CD6" w14:textId="722AD2A1"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190</w:t>
            </w:r>
          </w:p>
        </w:tc>
        <w:tc>
          <w:tcPr>
            <w:tcW w:w="1559" w:type="dxa"/>
          </w:tcPr>
          <w:p w14:paraId="565BFC4E" w14:textId="5EC5E4A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13</w:t>
            </w:r>
          </w:p>
        </w:tc>
        <w:tc>
          <w:tcPr>
            <w:tcW w:w="1549" w:type="dxa"/>
          </w:tcPr>
          <w:p w14:paraId="21EB2FE1" w14:textId="4FC0B53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6.8%</w:t>
            </w:r>
          </w:p>
        </w:tc>
      </w:tr>
      <w:tr w:rsidR="00F03F9F" w:rsidRPr="00D51778" w14:paraId="3FB9DC11" w14:textId="77777777" w:rsidTr="0022342F">
        <w:trPr>
          <w:jc w:val="center"/>
        </w:trPr>
        <w:tc>
          <w:tcPr>
            <w:tcW w:w="1711" w:type="dxa"/>
            <w:vAlign w:val="bottom"/>
          </w:tcPr>
          <w:p w14:paraId="1A91BFD8" w14:textId="1618F78A" w:rsidR="00F03F9F" w:rsidRPr="00D51778" w:rsidRDefault="00F03F9F" w:rsidP="00F03F9F">
            <w:pPr>
              <w:rPr>
                <w:sz w:val="22"/>
                <w:szCs w:val="22"/>
              </w:rPr>
            </w:pPr>
            <w:r w:rsidRPr="00D51778">
              <w:rPr>
                <w:rFonts w:cs="Calibri"/>
                <w:color w:val="000000"/>
                <w:sz w:val="22"/>
                <w:szCs w:val="22"/>
                <w:lang w:val="ga"/>
              </w:rPr>
              <w:t xml:space="preserve">Oifig an Stiúrthóra </w:t>
            </w:r>
            <w:r w:rsidRPr="00D51778">
              <w:rPr>
                <w:rFonts w:cs="Calibri"/>
                <w:color w:val="000000"/>
                <w:sz w:val="22"/>
                <w:szCs w:val="22"/>
                <w:lang w:val="ga"/>
              </w:rPr>
              <w:lastRenderedPageBreak/>
              <w:t>Ionchúiseamh Poiblí</w:t>
            </w:r>
          </w:p>
        </w:tc>
        <w:tc>
          <w:tcPr>
            <w:tcW w:w="1701" w:type="dxa"/>
          </w:tcPr>
          <w:p w14:paraId="647978EA" w14:textId="608F579A" w:rsidR="00F03F9F" w:rsidRPr="00D51778" w:rsidRDefault="00F03F9F" w:rsidP="00F22C59">
            <w:pPr>
              <w:spacing w:after="0"/>
              <w:jc w:val="right"/>
              <w:rPr>
                <w:sz w:val="22"/>
                <w:szCs w:val="22"/>
              </w:rPr>
            </w:pPr>
            <w:r w:rsidRPr="00D51778">
              <w:rPr>
                <w:rFonts w:cs="Calibri"/>
                <w:color w:val="000000"/>
                <w:sz w:val="22"/>
                <w:szCs w:val="22"/>
                <w:lang w:val="ga"/>
              </w:rPr>
              <w:lastRenderedPageBreak/>
              <w:t>221</w:t>
            </w:r>
          </w:p>
        </w:tc>
        <w:tc>
          <w:tcPr>
            <w:tcW w:w="1418" w:type="dxa"/>
          </w:tcPr>
          <w:p w14:paraId="232092BC" w14:textId="0ECC9D0E" w:rsidR="00F03F9F" w:rsidRPr="00D51778" w:rsidRDefault="00F03F9F" w:rsidP="00F22C59">
            <w:pPr>
              <w:spacing w:after="0"/>
              <w:jc w:val="right"/>
              <w:rPr>
                <w:sz w:val="22"/>
                <w:szCs w:val="22"/>
              </w:rPr>
            </w:pPr>
            <w:r w:rsidRPr="00D51778">
              <w:rPr>
                <w:rFonts w:cs="Calibri"/>
                <w:color w:val="000000"/>
                <w:sz w:val="22"/>
                <w:szCs w:val="22"/>
                <w:lang w:val="ga"/>
              </w:rPr>
              <w:t>7</w:t>
            </w:r>
          </w:p>
        </w:tc>
        <w:tc>
          <w:tcPr>
            <w:tcW w:w="1559" w:type="dxa"/>
          </w:tcPr>
          <w:p w14:paraId="33A9F516" w14:textId="734AC250" w:rsidR="00F03F9F" w:rsidRPr="00D51778" w:rsidRDefault="00F03F9F" w:rsidP="00F22C59">
            <w:pPr>
              <w:spacing w:after="0"/>
              <w:jc w:val="right"/>
              <w:rPr>
                <w:sz w:val="22"/>
                <w:szCs w:val="22"/>
              </w:rPr>
            </w:pPr>
            <w:r w:rsidRPr="00D51778">
              <w:rPr>
                <w:rFonts w:cs="Calibri"/>
                <w:color w:val="000000"/>
                <w:sz w:val="22"/>
                <w:szCs w:val="22"/>
                <w:lang w:val="ga"/>
              </w:rPr>
              <w:t>3.2%</w:t>
            </w:r>
          </w:p>
        </w:tc>
        <w:tc>
          <w:tcPr>
            <w:tcW w:w="1701" w:type="dxa"/>
          </w:tcPr>
          <w:p w14:paraId="1A2C2F13" w14:textId="6FDF5CFA"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226</w:t>
            </w:r>
          </w:p>
        </w:tc>
        <w:tc>
          <w:tcPr>
            <w:tcW w:w="1559" w:type="dxa"/>
          </w:tcPr>
          <w:p w14:paraId="2C16BCD4" w14:textId="68E2C146"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7</w:t>
            </w:r>
          </w:p>
        </w:tc>
        <w:tc>
          <w:tcPr>
            <w:tcW w:w="1549" w:type="dxa"/>
          </w:tcPr>
          <w:p w14:paraId="7F56CB15" w14:textId="2EF5E8BC"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3.1%</w:t>
            </w:r>
          </w:p>
        </w:tc>
      </w:tr>
      <w:tr w:rsidR="00F03F9F" w:rsidRPr="00D51778" w14:paraId="73BFE836" w14:textId="77777777" w:rsidTr="0022342F">
        <w:trPr>
          <w:jc w:val="center"/>
        </w:trPr>
        <w:tc>
          <w:tcPr>
            <w:tcW w:w="1711" w:type="dxa"/>
            <w:vAlign w:val="bottom"/>
          </w:tcPr>
          <w:p w14:paraId="6901E4EC" w14:textId="56DD2DD7" w:rsidR="00F03F9F" w:rsidRPr="00D51778" w:rsidRDefault="00F03F9F" w:rsidP="00F03F9F">
            <w:pPr>
              <w:rPr>
                <w:sz w:val="22"/>
                <w:szCs w:val="22"/>
              </w:rPr>
            </w:pPr>
            <w:r w:rsidRPr="00D51778">
              <w:rPr>
                <w:rFonts w:cs="Calibri"/>
                <w:color w:val="000000"/>
                <w:sz w:val="22"/>
                <w:szCs w:val="22"/>
                <w:lang w:val="ga"/>
              </w:rPr>
              <w:t>Oifig an Ombudsman</w:t>
            </w:r>
          </w:p>
        </w:tc>
        <w:tc>
          <w:tcPr>
            <w:tcW w:w="1701" w:type="dxa"/>
          </w:tcPr>
          <w:p w14:paraId="08B831A4" w14:textId="76209DB0" w:rsidR="00F03F9F" w:rsidRPr="00D51778" w:rsidRDefault="00F03F9F" w:rsidP="00F22C59">
            <w:pPr>
              <w:spacing w:after="0"/>
              <w:jc w:val="right"/>
              <w:rPr>
                <w:sz w:val="22"/>
                <w:szCs w:val="22"/>
              </w:rPr>
            </w:pPr>
            <w:r w:rsidRPr="00D51778">
              <w:rPr>
                <w:rFonts w:cs="Calibri"/>
                <w:color w:val="000000"/>
                <w:sz w:val="22"/>
                <w:szCs w:val="22"/>
                <w:lang w:val="ga"/>
              </w:rPr>
              <w:t>138</w:t>
            </w:r>
          </w:p>
        </w:tc>
        <w:tc>
          <w:tcPr>
            <w:tcW w:w="1418" w:type="dxa"/>
          </w:tcPr>
          <w:p w14:paraId="1D551661" w14:textId="5AB1E5E5" w:rsidR="00F03F9F" w:rsidRPr="00D51778" w:rsidRDefault="00F03F9F" w:rsidP="00F22C59">
            <w:pPr>
              <w:spacing w:after="0"/>
              <w:jc w:val="right"/>
              <w:rPr>
                <w:sz w:val="22"/>
                <w:szCs w:val="22"/>
              </w:rPr>
            </w:pPr>
            <w:r w:rsidRPr="00D51778">
              <w:rPr>
                <w:rFonts w:cs="Calibri"/>
                <w:color w:val="000000"/>
                <w:sz w:val="22"/>
                <w:szCs w:val="22"/>
                <w:lang w:val="ga"/>
              </w:rPr>
              <w:t>15</w:t>
            </w:r>
          </w:p>
        </w:tc>
        <w:tc>
          <w:tcPr>
            <w:tcW w:w="1559" w:type="dxa"/>
          </w:tcPr>
          <w:p w14:paraId="64484ABF" w14:textId="160D624A" w:rsidR="00F03F9F" w:rsidRPr="00D51778" w:rsidRDefault="00F03F9F" w:rsidP="00F22C59">
            <w:pPr>
              <w:spacing w:after="0"/>
              <w:jc w:val="right"/>
              <w:rPr>
                <w:sz w:val="22"/>
                <w:szCs w:val="22"/>
              </w:rPr>
            </w:pPr>
            <w:r w:rsidRPr="00D51778">
              <w:rPr>
                <w:rFonts w:cs="Calibri"/>
                <w:color w:val="000000"/>
                <w:sz w:val="22"/>
                <w:szCs w:val="22"/>
                <w:lang w:val="ga"/>
              </w:rPr>
              <w:t>10.9%</w:t>
            </w:r>
          </w:p>
        </w:tc>
        <w:tc>
          <w:tcPr>
            <w:tcW w:w="1701" w:type="dxa"/>
          </w:tcPr>
          <w:p w14:paraId="4468747A" w14:textId="66FED1A3"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140</w:t>
            </w:r>
          </w:p>
        </w:tc>
        <w:tc>
          <w:tcPr>
            <w:tcW w:w="1559" w:type="dxa"/>
          </w:tcPr>
          <w:p w14:paraId="76494628" w14:textId="5E1D8101"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15</w:t>
            </w:r>
          </w:p>
        </w:tc>
        <w:tc>
          <w:tcPr>
            <w:tcW w:w="1549" w:type="dxa"/>
          </w:tcPr>
          <w:p w14:paraId="74156490" w14:textId="2AEE4CA4"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10.7%</w:t>
            </w:r>
          </w:p>
        </w:tc>
      </w:tr>
      <w:tr w:rsidR="00F03F9F" w:rsidRPr="00D51778" w14:paraId="19AEC64C" w14:textId="77777777" w:rsidTr="0022342F">
        <w:trPr>
          <w:jc w:val="center"/>
        </w:trPr>
        <w:tc>
          <w:tcPr>
            <w:tcW w:w="1711" w:type="dxa"/>
            <w:vAlign w:val="bottom"/>
          </w:tcPr>
          <w:p w14:paraId="191DC7EE" w14:textId="7E348098" w:rsidR="00F03F9F" w:rsidRPr="00D51778" w:rsidRDefault="00F03F9F" w:rsidP="00F03F9F">
            <w:pPr>
              <w:rPr>
                <w:sz w:val="22"/>
                <w:szCs w:val="22"/>
              </w:rPr>
            </w:pPr>
            <w:r w:rsidRPr="00D51778">
              <w:rPr>
                <w:rFonts w:cs="Calibri"/>
                <w:color w:val="000000"/>
                <w:sz w:val="22"/>
                <w:szCs w:val="22"/>
                <w:lang w:val="ga"/>
              </w:rPr>
              <w:t>Oifig an Rialálaí Pleanála</w:t>
            </w:r>
          </w:p>
        </w:tc>
        <w:tc>
          <w:tcPr>
            <w:tcW w:w="1701" w:type="dxa"/>
          </w:tcPr>
          <w:p w14:paraId="268BA844" w14:textId="5C4E549C" w:rsidR="00F03F9F" w:rsidRPr="00D51778" w:rsidRDefault="00F03F9F" w:rsidP="00F22C59">
            <w:pPr>
              <w:spacing w:after="0"/>
              <w:jc w:val="right"/>
              <w:rPr>
                <w:sz w:val="22"/>
                <w:szCs w:val="22"/>
              </w:rPr>
            </w:pPr>
            <w:r w:rsidRPr="00D51778">
              <w:rPr>
                <w:rFonts w:cs="Calibri"/>
                <w:color w:val="000000"/>
                <w:sz w:val="22"/>
                <w:szCs w:val="22"/>
                <w:lang w:val="ga"/>
              </w:rPr>
              <w:t>21</w:t>
            </w:r>
          </w:p>
        </w:tc>
        <w:tc>
          <w:tcPr>
            <w:tcW w:w="1418" w:type="dxa"/>
          </w:tcPr>
          <w:p w14:paraId="56C2F206" w14:textId="75CD6ACA" w:rsidR="00F03F9F" w:rsidRPr="00D51778" w:rsidRDefault="00F03F9F" w:rsidP="00F22C59">
            <w:pPr>
              <w:spacing w:after="0"/>
              <w:jc w:val="right"/>
              <w:rPr>
                <w:sz w:val="22"/>
                <w:szCs w:val="22"/>
              </w:rPr>
            </w:pPr>
            <w:r w:rsidRPr="00D51778">
              <w:rPr>
                <w:rFonts w:cs="Calibri"/>
                <w:color w:val="000000"/>
                <w:sz w:val="22"/>
                <w:szCs w:val="22"/>
                <w:lang w:val="ga"/>
              </w:rPr>
              <w:t>1</w:t>
            </w:r>
          </w:p>
        </w:tc>
        <w:tc>
          <w:tcPr>
            <w:tcW w:w="1559" w:type="dxa"/>
          </w:tcPr>
          <w:p w14:paraId="0FCBA84C" w14:textId="1A8061AA" w:rsidR="00F03F9F" w:rsidRPr="00D51778" w:rsidRDefault="00F03F9F" w:rsidP="00F22C59">
            <w:pPr>
              <w:spacing w:after="0"/>
              <w:jc w:val="right"/>
              <w:rPr>
                <w:sz w:val="22"/>
                <w:szCs w:val="22"/>
              </w:rPr>
            </w:pPr>
            <w:r w:rsidRPr="00D51778">
              <w:rPr>
                <w:rFonts w:cs="Calibri"/>
                <w:color w:val="000000"/>
                <w:sz w:val="22"/>
                <w:szCs w:val="22"/>
                <w:lang w:val="ga"/>
              </w:rPr>
              <w:t>4.8%</w:t>
            </w:r>
          </w:p>
        </w:tc>
        <w:tc>
          <w:tcPr>
            <w:tcW w:w="1701" w:type="dxa"/>
          </w:tcPr>
          <w:p w14:paraId="13043677" w14:textId="58BD4CEE"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24</w:t>
            </w:r>
          </w:p>
        </w:tc>
        <w:tc>
          <w:tcPr>
            <w:tcW w:w="1559" w:type="dxa"/>
          </w:tcPr>
          <w:p w14:paraId="23AA3851" w14:textId="2CEAF6C1"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1</w:t>
            </w:r>
          </w:p>
        </w:tc>
        <w:tc>
          <w:tcPr>
            <w:tcW w:w="1549" w:type="dxa"/>
          </w:tcPr>
          <w:p w14:paraId="543F4109" w14:textId="12FEE8FA" w:rsidR="00F03F9F" w:rsidRPr="00D51778" w:rsidRDefault="00F03F9F" w:rsidP="00F22C59">
            <w:pPr>
              <w:spacing w:after="0"/>
              <w:jc w:val="right"/>
              <w:rPr>
                <w:rFonts w:cs="Calibri"/>
                <w:color w:val="000000"/>
                <w:sz w:val="22"/>
                <w:szCs w:val="22"/>
              </w:rPr>
            </w:pPr>
            <w:r w:rsidRPr="00D51778">
              <w:rPr>
                <w:rFonts w:cs="Calibri"/>
                <w:color w:val="000000"/>
                <w:sz w:val="22"/>
                <w:szCs w:val="22"/>
                <w:lang w:val="ga"/>
              </w:rPr>
              <w:t>4.2%</w:t>
            </w:r>
          </w:p>
        </w:tc>
      </w:tr>
      <w:tr w:rsidR="00F03F9F" w:rsidRPr="00D51778" w14:paraId="4D4993B0" w14:textId="77777777" w:rsidTr="0022342F">
        <w:trPr>
          <w:jc w:val="center"/>
        </w:trPr>
        <w:tc>
          <w:tcPr>
            <w:tcW w:w="1711" w:type="dxa"/>
            <w:vAlign w:val="bottom"/>
          </w:tcPr>
          <w:p w14:paraId="3DF8CE6E" w14:textId="45EC8BE8" w:rsidR="00F03F9F" w:rsidRPr="00D51778" w:rsidRDefault="00F03F9F" w:rsidP="004B3F62">
            <w:pPr>
              <w:rPr>
                <w:sz w:val="22"/>
                <w:szCs w:val="22"/>
              </w:rPr>
            </w:pPr>
            <w:r w:rsidRPr="00D51778">
              <w:rPr>
                <w:color w:val="000000"/>
                <w:sz w:val="22"/>
                <w:szCs w:val="22"/>
                <w:lang w:val="ga"/>
              </w:rPr>
              <w:t xml:space="preserve">Oifig na gCoimisinéirí Ioncaim </w:t>
            </w:r>
            <w:r w:rsidRPr="00D51778">
              <w:rPr>
                <w:b/>
                <w:bCs/>
                <w:sz w:val="22"/>
                <w:szCs w:val="22"/>
                <w:lang w:val="ga"/>
              </w:rPr>
              <w:t>(D’iarr ÚNM soiléiriú go ngairtear Oifig na gCoimisinéirí Ioncaim de na Coimisinéirí Ioncaim agus fuair sé an soiléiriú sin)</w:t>
            </w:r>
          </w:p>
        </w:tc>
        <w:tc>
          <w:tcPr>
            <w:tcW w:w="1701" w:type="dxa"/>
          </w:tcPr>
          <w:p w14:paraId="0D143A0A" w14:textId="438949C0" w:rsidR="00F03F9F" w:rsidRPr="00D51778" w:rsidRDefault="00F03F9F" w:rsidP="00F22C59">
            <w:pPr>
              <w:jc w:val="right"/>
              <w:rPr>
                <w:sz w:val="22"/>
                <w:szCs w:val="22"/>
              </w:rPr>
            </w:pPr>
            <w:r w:rsidRPr="00D51778">
              <w:rPr>
                <w:rFonts w:cs="Calibri"/>
                <w:color w:val="000000"/>
                <w:sz w:val="22"/>
                <w:szCs w:val="22"/>
                <w:lang w:val="ga"/>
              </w:rPr>
              <w:t>6,982</w:t>
            </w:r>
          </w:p>
        </w:tc>
        <w:tc>
          <w:tcPr>
            <w:tcW w:w="1418" w:type="dxa"/>
          </w:tcPr>
          <w:p w14:paraId="5C035092" w14:textId="6486B719" w:rsidR="00F03F9F" w:rsidRPr="00D51778" w:rsidRDefault="00F03F9F" w:rsidP="00F22C59">
            <w:pPr>
              <w:spacing w:after="0"/>
              <w:jc w:val="right"/>
              <w:rPr>
                <w:sz w:val="22"/>
                <w:szCs w:val="22"/>
              </w:rPr>
            </w:pPr>
            <w:r w:rsidRPr="00D51778">
              <w:rPr>
                <w:rFonts w:cs="Calibri"/>
                <w:color w:val="000000"/>
                <w:sz w:val="22"/>
                <w:szCs w:val="22"/>
                <w:lang w:val="ga"/>
              </w:rPr>
              <w:t>286</w:t>
            </w:r>
          </w:p>
        </w:tc>
        <w:tc>
          <w:tcPr>
            <w:tcW w:w="1559" w:type="dxa"/>
          </w:tcPr>
          <w:p w14:paraId="0636E110" w14:textId="4A2F73C0" w:rsidR="00F03F9F" w:rsidRPr="00D51778" w:rsidRDefault="00F03F9F" w:rsidP="00F22C59">
            <w:pPr>
              <w:jc w:val="right"/>
              <w:rPr>
                <w:sz w:val="22"/>
                <w:szCs w:val="22"/>
              </w:rPr>
            </w:pPr>
            <w:r w:rsidRPr="00D51778">
              <w:rPr>
                <w:rFonts w:cs="Calibri"/>
                <w:color w:val="000000"/>
                <w:sz w:val="22"/>
                <w:szCs w:val="22"/>
                <w:lang w:val="ga"/>
              </w:rPr>
              <w:t>4.1%</w:t>
            </w:r>
          </w:p>
        </w:tc>
        <w:tc>
          <w:tcPr>
            <w:tcW w:w="1701" w:type="dxa"/>
          </w:tcPr>
          <w:p w14:paraId="0264C522" w14:textId="2E0B3693" w:rsidR="00F03F9F" w:rsidRPr="00D51778" w:rsidRDefault="00F03F9F" w:rsidP="00F22C59">
            <w:pPr>
              <w:jc w:val="right"/>
              <w:rPr>
                <w:sz w:val="22"/>
                <w:szCs w:val="22"/>
              </w:rPr>
            </w:pPr>
            <w:r w:rsidRPr="00D51778">
              <w:rPr>
                <w:rFonts w:cs="Calibri"/>
                <w:color w:val="000000"/>
                <w:sz w:val="22"/>
                <w:szCs w:val="22"/>
                <w:lang w:val="ga"/>
              </w:rPr>
              <w:t>6,783</w:t>
            </w:r>
          </w:p>
        </w:tc>
        <w:tc>
          <w:tcPr>
            <w:tcW w:w="1559" w:type="dxa"/>
          </w:tcPr>
          <w:p w14:paraId="6EEB642B" w14:textId="4D091976" w:rsidR="00F03F9F" w:rsidRPr="00D51778" w:rsidRDefault="00F03F9F" w:rsidP="00F22C59">
            <w:pPr>
              <w:jc w:val="right"/>
              <w:rPr>
                <w:sz w:val="22"/>
                <w:szCs w:val="22"/>
              </w:rPr>
            </w:pPr>
            <w:r w:rsidRPr="00D51778">
              <w:rPr>
                <w:rFonts w:cs="Calibri"/>
                <w:color w:val="000000"/>
                <w:sz w:val="22"/>
                <w:szCs w:val="22"/>
                <w:lang w:val="ga"/>
              </w:rPr>
              <w:t>280</w:t>
            </w:r>
          </w:p>
        </w:tc>
        <w:tc>
          <w:tcPr>
            <w:tcW w:w="1549" w:type="dxa"/>
          </w:tcPr>
          <w:p w14:paraId="576EB604" w14:textId="583C778A" w:rsidR="00F03F9F" w:rsidRPr="00D51778" w:rsidRDefault="00F03F9F" w:rsidP="00F22C59">
            <w:pPr>
              <w:jc w:val="right"/>
              <w:rPr>
                <w:sz w:val="22"/>
                <w:szCs w:val="22"/>
              </w:rPr>
            </w:pPr>
            <w:r w:rsidRPr="00D51778">
              <w:rPr>
                <w:rFonts w:cs="Calibri"/>
                <w:color w:val="000000"/>
                <w:sz w:val="22"/>
                <w:szCs w:val="22"/>
                <w:lang w:val="ga"/>
              </w:rPr>
              <w:t>4.1%</w:t>
            </w:r>
          </w:p>
        </w:tc>
      </w:tr>
      <w:tr w:rsidR="00F03F9F" w:rsidRPr="00D51778" w14:paraId="27466A63" w14:textId="77777777" w:rsidTr="0022342F">
        <w:trPr>
          <w:jc w:val="center"/>
        </w:trPr>
        <w:tc>
          <w:tcPr>
            <w:tcW w:w="1711" w:type="dxa"/>
            <w:vAlign w:val="bottom"/>
          </w:tcPr>
          <w:p w14:paraId="2D6BB2ED" w14:textId="21FCB95C" w:rsidR="00F03F9F" w:rsidRPr="00D51778" w:rsidRDefault="00F03F9F" w:rsidP="00F03F9F">
            <w:pPr>
              <w:rPr>
                <w:sz w:val="22"/>
                <w:szCs w:val="22"/>
              </w:rPr>
            </w:pPr>
            <w:r w:rsidRPr="00D51778">
              <w:rPr>
                <w:rFonts w:cs="Calibri"/>
                <w:color w:val="000000"/>
                <w:sz w:val="22"/>
                <w:szCs w:val="22"/>
                <w:lang w:val="ga"/>
              </w:rPr>
              <w:t>Oifig an Ombudsman do Leanaí</w:t>
            </w:r>
          </w:p>
        </w:tc>
        <w:tc>
          <w:tcPr>
            <w:tcW w:w="1701" w:type="dxa"/>
          </w:tcPr>
          <w:p w14:paraId="17BBF655" w14:textId="518637F8" w:rsidR="00F03F9F" w:rsidRPr="00D51778" w:rsidRDefault="00F03F9F" w:rsidP="00F22C59">
            <w:pPr>
              <w:jc w:val="right"/>
              <w:rPr>
                <w:sz w:val="22"/>
                <w:szCs w:val="22"/>
              </w:rPr>
            </w:pPr>
            <w:r w:rsidRPr="00D51778">
              <w:rPr>
                <w:rFonts w:cs="Calibri"/>
                <w:color w:val="000000"/>
                <w:sz w:val="22"/>
                <w:szCs w:val="22"/>
                <w:lang w:val="ga"/>
              </w:rPr>
              <w:t>27</w:t>
            </w:r>
          </w:p>
        </w:tc>
        <w:tc>
          <w:tcPr>
            <w:tcW w:w="1418" w:type="dxa"/>
          </w:tcPr>
          <w:p w14:paraId="20E5D241" w14:textId="1F2B33B1" w:rsidR="00F03F9F" w:rsidRPr="00D51778" w:rsidRDefault="00F03F9F" w:rsidP="00F22C59">
            <w:pPr>
              <w:spacing w:after="0"/>
              <w:jc w:val="right"/>
              <w:rPr>
                <w:sz w:val="22"/>
                <w:szCs w:val="22"/>
              </w:rPr>
            </w:pPr>
            <w:r w:rsidRPr="00D51778">
              <w:rPr>
                <w:rFonts w:cs="Calibri"/>
                <w:color w:val="000000"/>
                <w:sz w:val="22"/>
                <w:szCs w:val="22"/>
                <w:lang w:val="ga"/>
              </w:rPr>
              <w:t>2</w:t>
            </w:r>
          </w:p>
        </w:tc>
        <w:tc>
          <w:tcPr>
            <w:tcW w:w="1559" w:type="dxa"/>
          </w:tcPr>
          <w:p w14:paraId="2BBFC402" w14:textId="1978610C" w:rsidR="00F03F9F" w:rsidRPr="00D51778" w:rsidRDefault="00F03F9F" w:rsidP="00F22C59">
            <w:pPr>
              <w:jc w:val="right"/>
              <w:rPr>
                <w:sz w:val="22"/>
                <w:szCs w:val="22"/>
              </w:rPr>
            </w:pPr>
            <w:r w:rsidRPr="00D51778">
              <w:rPr>
                <w:rFonts w:cs="Calibri"/>
                <w:color w:val="000000"/>
                <w:sz w:val="22"/>
                <w:szCs w:val="22"/>
                <w:lang w:val="ga"/>
              </w:rPr>
              <w:t>7.4%</w:t>
            </w:r>
          </w:p>
        </w:tc>
        <w:tc>
          <w:tcPr>
            <w:tcW w:w="1701" w:type="dxa"/>
          </w:tcPr>
          <w:p w14:paraId="76CF43A2" w14:textId="51941591" w:rsidR="00F03F9F" w:rsidRPr="00D51778" w:rsidRDefault="00F03F9F" w:rsidP="00F22C59">
            <w:pPr>
              <w:jc w:val="right"/>
              <w:rPr>
                <w:sz w:val="22"/>
                <w:szCs w:val="22"/>
              </w:rPr>
            </w:pPr>
            <w:r w:rsidRPr="00D51778">
              <w:rPr>
                <w:rFonts w:cs="Calibri"/>
                <w:color w:val="000000"/>
                <w:sz w:val="22"/>
                <w:szCs w:val="22"/>
                <w:lang w:val="ga"/>
              </w:rPr>
              <w:t>30</w:t>
            </w:r>
          </w:p>
        </w:tc>
        <w:tc>
          <w:tcPr>
            <w:tcW w:w="1559" w:type="dxa"/>
          </w:tcPr>
          <w:p w14:paraId="0862A5ED" w14:textId="7122AB6A" w:rsidR="00F03F9F" w:rsidRPr="00D51778" w:rsidRDefault="00F03F9F" w:rsidP="00F22C59">
            <w:pPr>
              <w:jc w:val="right"/>
              <w:rPr>
                <w:sz w:val="22"/>
                <w:szCs w:val="22"/>
              </w:rPr>
            </w:pPr>
            <w:r w:rsidRPr="00D51778">
              <w:rPr>
                <w:rFonts w:cs="Calibri"/>
                <w:color w:val="000000"/>
                <w:sz w:val="22"/>
                <w:szCs w:val="22"/>
                <w:lang w:val="ga"/>
              </w:rPr>
              <w:t>2</w:t>
            </w:r>
          </w:p>
        </w:tc>
        <w:tc>
          <w:tcPr>
            <w:tcW w:w="1549" w:type="dxa"/>
          </w:tcPr>
          <w:p w14:paraId="4B84232E" w14:textId="22C2D63B" w:rsidR="00F03F9F" w:rsidRPr="00D51778" w:rsidRDefault="00F03F9F" w:rsidP="00F22C59">
            <w:pPr>
              <w:jc w:val="right"/>
              <w:rPr>
                <w:sz w:val="22"/>
                <w:szCs w:val="22"/>
              </w:rPr>
            </w:pPr>
            <w:r w:rsidRPr="00D51778">
              <w:rPr>
                <w:rFonts w:cs="Calibri"/>
                <w:color w:val="000000"/>
                <w:sz w:val="22"/>
                <w:szCs w:val="22"/>
                <w:lang w:val="ga"/>
              </w:rPr>
              <w:t>6.7%</w:t>
            </w:r>
          </w:p>
        </w:tc>
      </w:tr>
      <w:tr w:rsidR="00F03F9F" w:rsidRPr="00D51778" w14:paraId="010599AB" w14:textId="77777777" w:rsidTr="0022342F">
        <w:trPr>
          <w:jc w:val="center"/>
        </w:trPr>
        <w:tc>
          <w:tcPr>
            <w:tcW w:w="1711" w:type="dxa"/>
            <w:vAlign w:val="bottom"/>
          </w:tcPr>
          <w:p w14:paraId="38A2B03C" w14:textId="35BBD3EC" w:rsidR="00F03F9F" w:rsidRPr="00D51778" w:rsidRDefault="00B833E4" w:rsidP="00F03F9F">
            <w:pPr>
              <w:rPr>
                <w:sz w:val="22"/>
                <w:szCs w:val="22"/>
              </w:rPr>
            </w:pPr>
            <w:r w:rsidRPr="00D51778">
              <w:rPr>
                <w:rFonts w:cs="Calibri"/>
                <w:b/>
                <w:bCs/>
                <w:color w:val="000000"/>
                <w:sz w:val="22"/>
                <w:szCs w:val="22"/>
                <w:lang w:val="ga"/>
              </w:rPr>
              <w:t>*</w:t>
            </w:r>
            <w:r w:rsidRPr="00D51778">
              <w:rPr>
                <w:rFonts w:cs="Calibri"/>
                <w:color w:val="000000"/>
                <w:sz w:val="22"/>
                <w:szCs w:val="22"/>
                <w:lang w:val="ga"/>
              </w:rPr>
              <w:t>An tÚdarás Póilíneachta</w:t>
            </w:r>
          </w:p>
        </w:tc>
        <w:tc>
          <w:tcPr>
            <w:tcW w:w="1701" w:type="dxa"/>
          </w:tcPr>
          <w:p w14:paraId="544FB953" w14:textId="251DFBA3" w:rsidR="00F03F9F" w:rsidRPr="00D51778" w:rsidRDefault="00F03F9F" w:rsidP="00F22C59">
            <w:pPr>
              <w:jc w:val="right"/>
              <w:rPr>
                <w:sz w:val="22"/>
                <w:szCs w:val="22"/>
              </w:rPr>
            </w:pPr>
            <w:r w:rsidRPr="00D51778">
              <w:rPr>
                <w:rFonts w:cs="Calibri"/>
                <w:color w:val="000000"/>
                <w:sz w:val="22"/>
                <w:szCs w:val="22"/>
                <w:lang w:val="ga"/>
              </w:rPr>
              <w:t>36</w:t>
            </w:r>
          </w:p>
        </w:tc>
        <w:tc>
          <w:tcPr>
            <w:tcW w:w="1418" w:type="dxa"/>
          </w:tcPr>
          <w:p w14:paraId="11858297" w14:textId="576ADF92" w:rsidR="00F03F9F" w:rsidRPr="00D51778" w:rsidRDefault="00F03F9F" w:rsidP="00F22C59">
            <w:pPr>
              <w:spacing w:after="0"/>
              <w:jc w:val="right"/>
              <w:rPr>
                <w:sz w:val="22"/>
                <w:szCs w:val="22"/>
              </w:rPr>
            </w:pPr>
            <w:r w:rsidRPr="00D51778">
              <w:rPr>
                <w:rFonts w:cs="Calibri"/>
                <w:color w:val="000000"/>
                <w:sz w:val="22"/>
                <w:szCs w:val="22"/>
                <w:lang w:val="ga"/>
              </w:rPr>
              <w:t>3</w:t>
            </w:r>
          </w:p>
        </w:tc>
        <w:tc>
          <w:tcPr>
            <w:tcW w:w="1559" w:type="dxa"/>
          </w:tcPr>
          <w:p w14:paraId="49EFA1BD" w14:textId="3A2FCA19" w:rsidR="00F03F9F" w:rsidRPr="00D51778" w:rsidRDefault="00F03F9F" w:rsidP="00F22C59">
            <w:pPr>
              <w:jc w:val="right"/>
              <w:rPr>
                <w:sz w:val="22"/>
                <w:szCs w:val="22"/>
              </w:rPr>
            </w:pPr>
            <w:r w:rsidRPr="00D51778">
              <w:rPr>
                <w:rFonts w:cs="Calibri"/>
                <w:color w:val="000000"/>
                <w:sz w:val="22"/>
                <w:szCs w:val="22"/>
                <w:lang w:val="ga"/>
              </w:rPr>
              <w:t>8.3%</w:t>
            </w:r>
          </w:p>
        </w:tc>
        <w:tc>
          <w:tcPr>
            <w:tcW w:w="1701" w:type="dxa"/>
          </w:tcPr>
          <w:p w14:paraId="091CA30F" w14:textId="390C3345" w:rsidR="00F03F9F" w:rsidRPr="00D51778" w:rsidRDefault="00F03F9F" w:rsidP="00F22C59">
            <w:pPr>
              <w:jc w:val="right"/>
              <w:rPr>
                <w:sz w:val="22"/>
                <w:szCs w:val="22"/>
              </w:rPr>
            </w:pPr>
            <w:r w:rsidRPr="00D51778">
              <w:rPr>
                <w:rFonts w:cs="Calibri"/>
                <w:color w:val="000000"/>
                <w:sz w:val="22"/>
                <w:szCs w:val="22"/>
                <w:lang w:val="ga"/>
              </w:rPr>
              <w:t>38</w:t>
            </w:r>
          </w:p>
        </w:tc>
        <w:tc>
          <w:tcPr>
            <w:tcW w:w="1559" w:type="dxa"/>
          </w:tcPr>
          <w:p w14:paraId="2AA8304C" w14:textId="5A1702C2" w:rsidR="00F03F9F" w:rsidRPr="00D51778" w:rsidRDefault="00F03F9F" w:rsidP="00F22C59">
            <w:pPr>
              <w:jc w:val="right"/>
              <w:rPr>
                <w:sz w:val="22"/>
                <w:szCs w:val="22"/>
              </w:rPr>
            </w:pPr>
            <w:r w:rsidRPr="00D51778">
              <w:rPr>
                <w:rFonts w:cs="Calibri"/>
                <w:color w:val="000000"/>
                <w:sz w:val="22"/>
                <w:szCs w:val="22"/>
                <w:lang w:val="ga"/>
              </w:rPr>
              <w:t>3</w:t>
            </w:r>
          </w:p>
        </w:tc>
        <w:tc>
          <w:tcPr>
            <w:tcW w:w="1549" w:type="dxa"/>
          </w:tcPr>
          <w:p w14:paraId="11518FC8" w14:textId="27A15AE5" w:rsidR="00F03F9F" w:rsidRPr="00D51778" w:rsidRDefault="00F03F9F" w:rsidP="00F22C59">
            <w:pPr>
              <w:jc w:val="right"/>
              <w:rPr>
                <w:sz w:val="22"/>
                <w:szCs w:val="22"/>
              </w:rPr>
            </w:pPr>
            <w:r w:rsidRPr="00D51778">
              <w:rPr>
                <w:rFonts w:cs="Calibri"/>
                <w:color w:val="000000"/>
                <w:sz w:val="22"/>
                <w:szCs w:val="22"/>
                <w:lang w:val="ga"/>
              </w:rPr>
              <w:t>7.9%</w:t>
            </w:r>
          </w:p>
        </w:tc>
      </w:tr>
      <w:tr w:rsidR="00F03F9F" w:rsidRPr="00D51778" w14:paraId="1A53B0C7" w14:textId="77777777" w:rsidTr="0022342F">
        <w:trPr>
          <w:jc w:val="center"/>
        </w:trPr>
        <w:tc>
          <w:tcPr>
            <w:tcW w:w="1711" w:type="dxa"/>
            <w:vAlign w:val="bottom"/>
          </w:tcPr>
          <w:p w14:paraId="0E005FC4" w14:textId="371CF100" w:rsidR="00E85957" w:rsidRPr="00D51778" w:rsidRDefault="00F03F9F" w:rsidP="00E85957">
            <w:pPr>
              <w:spacing w:after="0"/>
              <w:rPr>
                <w:b/>
                <w:sz w:val="22"/>
                <w:szCs w:val="22"/>
              </w:rPr>
            </w:pPr>
            <w:r w:rsidRPr="00D51778">
              <w:rPr>
                <w:color w:val="000000"/>
                <w:sz w:val="22"/>
                <w:szCs w:val="22"/>
                <w:lang w:val="ga"/>
              </w:rPr>
              <w:t>Teaghlachas an Uachtaráin</w:t>
            </w:r>
            <w:r w:rsidRPr="00D51778">
              <w:rPr>
                <w:sz w:val="22"/>
                <w:szCs w:val="22"/>
                <w:lang w:val="ga"/>
              </w:rPr>
              <w:t xml:space="preserve"> </w:t>
            </w:r>
            <w:r w:rsidRPr="00D51778">
              <w:rPr>
                <w:b/>
                <w:bCs/>
                <w:sz w:val="22"/>
                <w:szCs w:val="22"/>
                <w:lang w:val="ga"/>
              </w:rPr>
              <w:t>(D’iarr ÚNM soiléiriú go ngairtear Teaghlachas an Uachtaráin d’Oifig an Rúnaí don Uachtarán agus fuair sé an soiléiriú sin)</w:t>
            </w:r>
          </w:p>
          <w:p w14:paraId="14449FE8" w14:textId="096B8C5D" w:rsidR="00F03F9F" w:rsidRPr="00D51778" w:rsidRDefault="00F03F9F" w:rsidP="00E85957">
            <w:pPr>
              <w:rPr>
                <w:sz w:val="22"/>
                <w:szCs w:val="22"/>
              </w:rPr>
            </w:pPr>
          </w:p>
        </w:tc>
        <w:tc>
          <w:tcPr>
            <w:tcW w:w="1701" w:type="dxa"/>
          </w:tcPr>
          <w:p w14:paraId="27B74061" w14:textId="0A4B6E31" w:rsidR="00F03F9F" w:rsidRPr="00D51778" w:rsidRDefault="00F03F9F" w:rsidP="00F22C59">
            <w:pPr>
              <w:jc w:val="right"/>
              <w:rPr>
                <w:sz w:val="22"/>
                <w:szCs w:val="22"/>
              </w:rPr>
            </w:pPr>
            <w:r w:rsidRPr="00D51778">
              <w:rPr>
                <w:rFonts w:cs="Calibri"/>
                <w:color w:val="000000"/>
                <w:sz w:val="22"/>
                <w:szCs w:val="22"/>
                <w:lang w:val="ga"/>
              </w:rPr>
              <w:t>25</w:t>
            </w:r>
          </w:p>
        </w:tc>
        <w:tc>
          <w:tcPr>
            <w:tcW w:w="1418" w:type="dxa"/>
          </w:tcPr>
          <w:p w14:paraId="3C2D8C73" w14:textId="3A0FCED0" w:rsidR="00F03F9F" w:rsidRPr="00D51778" w:rsidRDefault="00F03F9F" w:rsidP="00F22C59">
            <w:pPr>
              <w:spacing w:after="0"/>
              <w:jc w:val="right"/>
              <w:rPr>
                <w:sz w:val="22"/>
                <w:szCs w:val="22"/>
              </w:rPr>
            </w:pPr>
            <w:r w:rsidRPr="00D51778">
              <w:rPr>
                <w:rFonts w:cs="Calibri"/>
                <w:color w:val="000000"/>
                <w:sz w:val="22"/>
                <w:szCs w:val="22"/>
                <w:lang w:val="ga"/>
              </w:rPr>
              <w:t>1</w:t>
            </w:r>
          </w:p>
        </w:tc>
        <w:tc>
          <w:tcPr>
            <w:tcW w:w="1559" w:type="dxa"/>
          </w:tcPr>
          <w:p w14:paraId="3A71EEFF" w14:textId="5668F886" w:rsidR="00F03F9F" w:rsidRPr="00D51778" w:rsidRDefault="00F03F9F" w:rsidP="00F22C59">
            <w:pPr>
              <w:jc w:val="right"/>
              <w:rPr>
                <w:sz w:val="22"/>
                <w:szCs w:val="22"/>
              </w:rPr>
            </w:pPr>
            <w:r w:rsidRPr="00D51778">
              <w:rPr>
                <w:rFonts w:cs="Calibri"/>
                <w:color w:val="000000"/>
                <w:sz w:val="22"/>
                <w:szCs w:val="22"/>
                <w:lang w:val="ga"/>
              </w:rPr>
              <w:t>4.0%</w:t>
            </w:r>
          </w:p>
        </w:tc>
        <w:tc>
          <w:tcPr>
            <w:tcW w:w="1701" w:type="dxa"/>
          </w:tcPr>
          <w:p w14:paraId="3FEA7099" w14:textId="24179E82" w:rsidR="00F03F9F" w:rsidRPr="00D51778" w:rsidRDefault="00F03F9F" w:rsidP="00F22C59">
            <w:pPr>
              <w:jc w:val="right"/>
              <w:rPr>
                <w:sz w:val="22"/>
                <w:szCs w:val="22"/>
              </w:rPr>
            </w:pPr>
            <w:r w:rsidRPr="00D51778">
              <w:rPr>
                <w:rFonts w:cs="Calibri"/>
                <w:color w:val="000000"/>
                <w:sz w:val="22"/>
                <w:szCs w:val="22"/>
                <w:lang w:val="ga"/>
              </w:rPr>
              <w:t>23</w:t>
            </w:r>
          </w:p>
        </w:tc>
        <w:tc>
          <w:tcPr>
            <w:tcW w:w="1559" w:type="dxa"/>
          </w:tcPr>
          <w:p w14:paraId="1FEE6DC2" w14:textId="3FD1B30E" w:rsidR="00F03F9F" w:rsidRPr="00D51778" w:rsidRDefault="00F03F9F" w:rsidP="00F22C59">
            <w:pPr>
              <w:jc w:val="right"/>
              <w:rPr>
                <w:sz w:val="22"/>
                <w:szCs w:val="22"/>
              </w:rPr>
            </w:pPr>
            <w:r w:rsidRPr="00D51778">
              <w:rPr>
                <w:rFonts w:cs="Calibri"/>
                <w:color w:val="000000"/>
                <w:sz w:val="22"/>
                <w:szCs w:val="22"/>
                <w:lang w:val="ga"/>
              </w:rPr>
              <w:t>0</w:t>
            </w:r>
          </w:p>
        </w:tc>
        <w:tc>
          <w:tcPr>
            <w:tcW w:w="1549" w:type="dxa"/>
          </w:tcPr>
          <w:p w14:paraId="18F56C98" w14:textId="7428C546" w:rsidR="00F03F9F" w:rsidRPr="00D51778" w:rsidRDefault="00F03F9F" w:rsidP="00F22C59">
            <w:pPr>
              <w:jc w:val="right"/>
              <w:rPr>
                <w:sz w:val="22"/>
                <w:szCs w:val="22"/>
              </w:rPr>
            </w:pPr>
            <w:r w:rsidRPr="00D51778">
              <w:rPr>
                <w:rFonts w:cs="Calibri"/>
                <w:color w:val="000000"/>
                <w:sz w:val="22"/>
                <w:szCs w:val="22"/>
                <w:lang w:val="ga"/>
              </w:rPr>
              <w:t>0.0%</w:t>
            </w:r>
          </w:p>
        </w:tc>
      </w:tr>
      <w:tr w:rsidR="00F03F9F" w:rsidRPr="00D51778" w14:paraId="51103D26" w14:textId="77777777" w:rsidTr="0022342F">
        <w:trPr>
          <w:jc w:val="center"/>
        </w:trPr>
        <w:tc>
          <w:tcPr>
            <w:tcW w:w="1711" w:type="dxa"/>
            <w:vAlign w:val="bottom"/>
          </w:tcPr>
          <w:p w14:paraId="0C33A855" w14:textId="13A68749" w:rsidR="00F03F9F" w:rsidRPr="00D51778" w:rsidRDefault="00F03F9F" w:rsidP="00F03F9F">
            <w:pPr>
              <w:rPr>
                <w:sz w:val="22"/>
                <w:szCs w:val="22"/>
              </w:rPr>
            </w:pPr>
            <w:r w:rsidRPr="00D51778">
              <w:rPr>
                <w:rFonts w:cs="Calibri"/>
                <w:color w:val="000000"/>
                <w:sz w:val="22"/>
                <w:szCs w:val="22"/>
                <w:lang w:val="ga"/>
              </w:rPr>
              <w:lastRenderedPageBreak/>
              <w:t>An tÚdarás Clárúcháin Maoine</w:t>
            </w:r>
          </w:p>
        </w:tc>
        <w:tc>
          <w:tcPr>
            <w:tcW w:w="1701" w:type="dxa"/>
          </w:tcPr>
          <w:p w14:paraId="34CD7A4E" w14:textId="0ACEF657" w:rsidR="00F03F9F" w:rsidRPr="00D51778" w:rsidRDefault="00F03F9F" w:rsidP="000539E7">
            <w:pPr>
              <w:jc w:val="right"/>
              <w:rPr>
                <w:sz w:val="22"/>
                <w:szCs w:val="22"/>
              </w:rPr>
            </w:pPr>
            <w:r w:rsidRPr="00D51778">
              <w:rPr>
                <w:rFonts w:cs="Calibri"/>
                <w:color w:val="000000"/>
                <w:sz w:val="22"/>
                <w:szCs w:val="22"/>
                <w:lang w:val="ga"/>
              </w:rPr>
              <w:t>571</w:t>
            </w:r>
          </w:p>
        </w:tc>
        <w:tc>
          <w:tcPr>
            <w:tcW w:w="1418" w:type="dxa"/>
          </w:tcPr>
          <w:p w14:paraId="49D9C95E" w14:textId="0B7DD530" w:rsidR="00F03F9F" w:rsidRPr="00D51778" w:rsidRDefault="00F03F9F" w:rsidP="000539E7">
            <w:pPr>
              <w:spacing w:after="0"/>
              <w:jc w:val="right"/>
              <w:rPr>
                <w:sz w:val="22"/>
                <w:szCs w:val="22"/>
              </w:rPr>
            </w:pPr>
            <w:r w:rsidRPr="00D51778">
              <w:rPr>
                <w:rFonts w:cs="Calibri"/>
                <w:color w:val="000000"/>
                <w:sz w:val="22"/>
                <w:szCs w:val="22"/>
                <w:lang w:val="ga"/>
              </w:rPr>
              <w:t>41</w:t>
            </w:r>
          </w:p>
        </w:tc>
        <w:tc>
          <w:tcPr>
            <w:tcW w:w="1559" w:type="dxa"/>
          </w:tcPr>
          <w:p w14:paraId="430EFC7B" w14:textId="1413058C" w:rsidR="00F03F9F" w:rsidRPr="00D51778" w:rsidRDefault="00F03F9F" w:rsidP="000539E7">
            <w:pPr>
              <w:jc w:val="right"/>
              <w:rPr>
                <w:sz w:val="22"/>
                <w:szCs w:val="22"/>
              </w:rPr>
            </w:pPr>
            <w:r w:rsidRPr="00D51778">
              <w:rPr>
                <w:rFonts w:cs="Calibri"/>
                <w:color w:val="000000"/>
                <w:sz w:val="22"/>
                <w:szCs w:val="22"/>
                <w:lang w:val="ga"/>
              </w:rPr>
              <w:t>7.2%</w:t>
            </w:r>
          </w:p>
        </w:tc>
        <w:tc>
          <w:tcPr>
            <w:tcW w:w="1701" w:type="dxa"/>
          </w:tcPr>
          <w:p w14:paraId="30F8D2A7" w14:textId="39289CCC" w:rsidR="00F03F9F" w:rsidRPr="00D51778" w:rsidRDefault="00F03F9F" w:rsidP="000539E7">
            <w:pPr>
              <w:jc w:val="right"/>
              <w:rPr>
                <w:sz w:val="22"/>
                <w:szCs w:val="22"/>
              </w:rPr>
            </w:pPr>
            <w:r w:rsidRPr="00D51778">
              <w:rPr>
                <w:rFonts w:cs="Calibri"/>
                <w:color w:val="000000"/>
                <w:sz w:val="22"/>
                <w:szCs w:val="22"/>
                <w:lang w:val="ga"/>
              </w:rPr>
              <w:t>531</w:t>
            </w:r>
          </w:p>
        </w:tc>
        <w:tc>
          <w:tcPr>
            <w:tcW w:w="1559" w:type="dxa"/>
          </w:tcPr>
          <w:p w14:paraId="54B60D95" w14:textId="6ACEED1C" w:rsidR="00F03F9F" w:rsidRPr="00D51778" w:rsidRDefault="00F03F9F" w:rsidP="000539E7">
            <w:pPr>
              <w:jc w:val="right"/>
              <w:rPr>
                <w:sz w:val="22"/>
                <w:szCs w:val="22"/>
              </w:rPr>
            </w:pPr>
            <w:r w:rsidRPr="00D51778">
              <w:rPr>
                <w:rFonts w:cs="Calibri"/>
                <w:color w:val="000000"/>
                <w:sz w:val="22"/>
                <w:szCs w:val="22"/>
                <w:lang w:val="ga"/>
              </w:rPr>
              <w:t>39</w:t>
            </w:r>
          </w:p>
        </w:tc>
        <w:tc>
          <w:tcPr>
            <w:tcW w:w="1549" w:type="dxa"/>
          </w:tcPr>
          <w:p w14:paraId="673400D1" w14:textId="5B251693" w:rsidR="00F03F9F" w:rsidRPr="00D51778" w:rsidRDefault="00F03F9F" w:rsidP="000539E7">
            <w:pPr>
              <w:jc w:val="right"/>
              <w:rPr>
                <w:sz w:val="22"/>
                <w:szCs w:val="22"/>
              </w:rPr>
            </w:pPr>
            <w:r w:rsidRPr="00D51778">
              <w:rPr>
                <w:rFonts w:cs="Calibri"/>
                <w:color w:val="000000"/>
                <w:sz w:val="22"/>
                <w:szCs w:val="22"/>
                <w:lang w:val="ga"/>
              </w:rPr>
              <w:t>7.3%</w:t>
            </w:r>
          </w:p>
        </w:tc>
      </w:tr>
      <w:tr w:rsidR="00F03F9F" w:rsidRPr="00D51778" w14:paraId="06541099" w14:textId="77777777" w:rsidTr="0022342F">
        <w:trPr>
          <w:jc w:val="center"/>
        </w:trPr>
        <w:tc>
          <w:tcPr>
            <w:tcW w:w="1711" w:type="dxa"/>
            <w:vAlign w:val="bottom"/>
          </w:tcPr>
          <w:p w14:paraId="378D8A02" w14:textId="1224C065" w:rsidR="00F03F9F" w:rsidRPr="00D51778" w:rsidRDefault="00B833E4" w:rsidP="00F03F9F">
            <w:pPr>
              <w:spacing w:after="0"/>
              <w:rPr>
                <w:sz w:val="22"/>
                <w:szCs w:val="22"/>
              </w:rPr>
            </w:pPr>
            <w:r w:rsidRPr="00D51778">
              <w:rPr>
                <w:rFonts w:cs="Calibri"/>
                <w:b/>
                <w:bCs/>
                <w:color w:val="000000"/>
                <w:sz w:val="22"/>
                <w:szCs w:val="22"/>
                <w:lang w:val="ga"/>
              </w:rPr>
              <w:t>*</w:t>
            </w:r>
            <w:r w:rsidRPr="00D51778">
              <w:rPr>
                <w:rFonts w:cs="Calibri"/>
                <w:color w:val="000000"/>
                <w:sz w:val="22"/>
                <w:szCs w:val="22"/>
                <w:lang w:val="ga"/>
              </w:rPr>
              <w:t>An tÚdarás Rialála Seirbhísí Maoine</w:t>
            </w:r>
          </w:p>
        </w:tc>
        <w:tc>
          <w:tcPr>
            <w:tcW w:w="1701" w:type="dxa"/>
          </w:tcPr>
          <w:p w14:paraId="4BF43A1B" w14:textId="40CD2559" w:rsidR="00F03F9F" w:rsidRPr="00D51778" w:rsidRDefault="00F03F9F" w:rsidP="000539E7">
            <w:pPr>
              <w:jc w:val="right"/>
              <w:rPr>
                <w:sz w:val="22"/>
                <w:szCs w:val="22"/>
              </w:rPr>
            </w:pPr>
            <w:r w:rsidRPr="00D51778">
              <w:rPr>
                <w:rFonts w:cs="Calibri"/>
                <w:color w:val="000000"/>
                <w:sz w:val="22"/>
                <w:szCs w:val="22"/>
                <w:lang w:val="ga"/>
              </w:rPr>
              <w:t>32</w:t>
            </w:r>
          </w:p>
        </w:tc>
        <w:tc>
          <w:tcPr>
            <w:tcW w:w="1418" w:type="dxa"/>
          </w:tcPr>
          <w:p w14:paraId="7365ED4E" w14:textId="75683AD2" w:rsidR="00F03F9F" w:rsidRPr="00D51778" w:rsidRDefault="00F03F9F" w:rsidP="000539E7">
            <w:pPr>
              <w:spacing w:after="0"/>
              <w:jc w:val="right"/>
              <w:rPr>
                <w:sz w:val="22"/>
                <w:szCs w:val="22"/>
              </w:rPr>
            </w:pPr>
            <w:r w:rsidRPr="00D51778">
              <w:rPr>
                <w:rFonts w:cs="Calibri"/>
                <w:color w:val="000000"/>
                <w:sz w:val="22"/>
                <w:szCs w:val="22"/>
                <w:lang w:val="ga"/>
              </w:rPr>
              <w:t>2</w:t>
            </w:r>
          </w:p>
        </w:tc>
        <w:tc>
          <w:tcPr>
            <w:tcW w:w="1559" w:type="dxa"/>
          </w:tcPr>
          <w:p w14:paraId="284DBED3" w14:textId="38C88FAC" w:rsidR="00F03F9F" w:rsidRPr="00D51778" w:rsidRDefault="00F03F9F" w:rsidP="000539E7">
            <w:pPr>
              <w:jc w:val="right"/>
              <w:rPr>
                <w:sz w:val="22"/>
                <w:szCs w:val="22"/>
              </w:rPr>
            </w:pPr>
            <w:r w:rsidRPr="00D51778">
              <w:rPr>
                <w:rFonts w:cs="Calibri"/>
                <w:color w:val="000000"/>
                <w:sz w:val="22"/>
                <w:szCs w:val="22"/>
                <w:lang w:val="ga"/>
              </w:rPr>
              <w:t>6.3%</w:t>
            </w:r>
          </w:p>
        </w:tc>
        <w:tc>
          <w:tcPr>
            <w:tcW w:w="1701" w:type="dxa"/>
          </w:tcPr>
          <w:p w14:paraId="499E774C" w14:textId="66140118" w:rsidR="00F03F9F" w:rsidRPr="00D51778" w:rsidRDefault="00F03F9F" w:rsidP="000539E7">
            <w:pPr>
              <w:jc w:val="right"/>
              <w:rPr>
                <w:sz w:val="22"/>
                <w:szCs w:val="22"/>
              </w:rPr>
            </w:pPr>
            <w:r w:rsidRPr="00D51778">
              <w:rPr>
                <w:rFonts w:cs="Calibri"/>
                <w:color w:val="000000"/>
                <w:sz w:val="22"/>
                <w:szCs w:val="22"/>
                <w:lang w:val="ga"/>
              </w:rPr>
              <w:t>38</w:t>
            </w:r>
          </w:p>
        </w:tc>
        <w:tc>
          <w:tcPr>
            <w:tcW w:w="1559" w:type="dxa"/>
          </w:tcPr>
          <w:p w14:paraId="5F5385DC" w14:textId="1F6B40E3" w:rsidR="00F03F9F" w:rsidRPr="00D51778" w:rsidRDefault="00F03F9F" w:rsidP="000539E7">
            <w:pPr>
              <w:jc w:val="right"/>
              <w:rPr>
                <w:sz w:val="22"/>
                <w:szCs w:val="22"/>
              </w:rPr>
            </w:pPr>
            <w:r w:rsidRPr="00D51778">
              <w:rPr>
                <w:rFonts w:cs="Calibri"/>
                <w:color w:val="000000"/>
                <w:sz w:val="22"/>
                <w:szCs w:val="22"/>
                <w:lang w:val="ga"/>
              </w:rPr>
              <w:t>4</w:t>
            </w:r>
          </w:p>
        </w:tc>
        <w:tc>
          <w:tcPr>
            <w:tcW w:w="1549" w:type="dxa"/>
          </w:tcPr>
          <w:p w14:paraId="22432E4D" w14:textId="38DFE0E4" w:rsidR="00F03F9F" w:rsidRPr="00D51778" w:rsidRDefault="00F03F9F" w:rsidP="000539E7">
            <w:pPr>
              <w:jc w:val="right"/>
              <w:rPr>
                <w:sz w:val="22"/>
                <w:szCs w:val="22"/>
              </w:rPr>
            </w:pPr>
            <w:r w:rsidRPr="00D51778">
              <w:rPr>
                <w:rFonts w:cs="Calibri"/>
                <w:color w:val="000000"/>
                <w:sz w:val="22"/>
                <w:szCs w:val="22"/>
                <w:lang w:val="ga"/>
              </w:rPr>
              <w:t>10.5%</w:t>
            </w:r>
          </w:p>
        </w:tc>
      </w:tr>
      <w:tr w:rsidR="00F03F9F" w:rsidRPr="00D51778" w14:paraId="7A61C7A8" w14:textId="77777777" w:rsidTr="0022342F">
        <w:trPr>
          <w:jc w:val="center"/>
        </w:trPr>
        <w:tc>
          <w:tcPr>
            <w:tcW w:w="1711" w:type="dxa"/>
            <w:vAlign w:val="bottom"/>
          </w:tcPr>
          <w:p w14:paraId="72BA67FD" w14:textId="0F9C84D6" w:rsidR="00F03F9F" w:rsidRPr="00D51778" w:rsidRDefault="00F03F9F" w:rsidP="00F03F9F">
            <w:pPr>
              <w:rPr>
                <w:sz w:val="22"/>
                <w:szCs w:val="22"/>
              </w:rPr>
            </w:pPr>
            <w:r w:rsidRPr="00D51778">
              <w:rPr>
                <w:rFonts w:cs="Calibri"/>
                <w:color w:val="000000"/>
                <w:sz w:val="22"/>
                <w:szCs w:val="22"/>
                <w:lang w:val="ga"/>
              </w:rPr>
              <w:t>An tSeirbhís um Cheapacháin Phoiblí</w:t>
            </w:r>
          </w:p>
        </w:tc>
        <w:tc>
          <w:tcPr>
            <w:tcW w:w="1701" w:type="dxa"/>
          </w:tcPr>
          <w:p w14:paraId="743438A3" w14:textId="191E9496" w:rsidR="00F03F9F" w:rsidRPr="00D51778" w:rsidRDefault="00F03F9F" w:rsidP="000539E7">
            <w:pPr>
              <w:jc w:val="right"/>
              <w:rPr>
                <w:sz w:val="22"/>
                <w:szCs w:val="22"/>
              </w:rPr>
            </w:pPr>
            <w:r w:rsidRPr="00D51778">
              <w:rPr>
                <w:rFonts w:cs="Calibri"/>
                <w:color w:val="000000"/>
                <w:sz w:val="22"/>
                <w:szCs w:val="22"/>
                <w:lang w:val="ga"/>
              </w:rPr>
              <w:t>217</w:t>
            </w:r>
          </w:p>
        </w:tc>
        <w:tc>
          <w:tcPr>
            <w:tcW w:w="1418" w:type="dxa"/>
          </w:tcPr>
          <w:p w14:paraId="126DBC6E" w14:textId="3AA586D2" w:rsidR="00F03F9F" w:rsidRPr="00D51778" w:rsidRDefault="00F03F9F" w:rsidP="000539E7">
            <w:pPr>
              <w:spacing w:after="0"/>
              <w:jc w:val="right"/>
              <w:rPr>
                <w:sz w:val="22"/>
                <w:szCs w:val="22"/>
              </w:rPr>
            </w:pPr>
            <w:r w:rsidRPr="00D51778">
              <w:rPr>
                <w:rFonts w:cs="Calibri"/>
                <w:color w:val="000000"/>
                <w:sz w:val="22"/>
                <w:szCs w:val="22"/>
                <w:lang w:val="ga"/>
              </w:rPr>
              <w:t>12</w:t>
            </w:r>
          </w:p>
        </w:tc>
        <w:tc>
          <w:tcPr>
            <w:tcW w:w="1559" w:type="dxa"/>
          </w:tcPr>
          <w:p w14:paraId="16E27B24" w14:textId="013C7BBA" w:rsidR="00F03F9F" w:rsidRPr="00D51778" w:rsidRDefault="00F03F9F" w:rsidP="000539E7">
            <w:pPr>
              <w:jc w:val="right"/>
              <w:rPr>
                <w:sz w:val="22"/>
                <w:szCs w:val="22"/>
              </w:rPr>
            </w:pPr>
            <w:r w:rsidRPr="00D51778">
              <w:rPr>
                <w:rFonts w:cs="Calibri"/>
                <w:color w:val="000000"/>
                <w:sz w:val="22"/>
                <w:szCs w:val="22"/>
                <w:lang w:val="ga"/>
              </w:rPr>
              <w:t>5.5%</w:t>
            </w:r>
          </w:p>
        </w:tc>
        <w:tc>
          <w:tcPr>
            <w:tcW w:w="1701" w:type="dxa"/>
          </w:tcPr>
          <w:p w14:paraId="099AC9E1" w14:textId="287ADE65" w:rsidR="00F03F9F" w:rsidRPr="00D51778" w:rsidRDefault="00F03F9F" w:rsidP="000539E7">
            <w:pPr>
              <w:jc w:val="right"/>
              <w:rPr>
                <w:sz w:val="22"/>
                <w:szCs w:val="22"/>
              </w:rPr>
            </w:pPr>
            <w:r w:rsidRPr="00D51778">
              <w:rPr>
                <w:rFonts w:cs="Calibri"/>
                <w:color w:val="000000"/>
                <w:sz w:val="22"/>
                <w:szCs w:val="22"/>
                <w:lang w:val="ga"/>
              </w:rPr>
              <w:t>225</w:t>
            </w:r>
          </w:p>
        </w:tc>
        <w:tc>
          <w:tcPr>
            <w:tcW w:w="1559" w:type="dxa"/>
          </w:tcPr>
          <w:p w14:paraId="123F8040" w14:textId="70A505BA" w:rsidR="00F03F9F" w:rsidRPr="00D51778" w:rsidRDefault="00F03F9F" w:rsidP="000539E7">
            <w:pPr>
              <w:jc w:val="right"/>
              <w:rPr>
                <w:sz w:val="22"/>
                <w:szCs w:val="22"/>
              </w:rPr>
            </w:pPr>
            <w:r w:rsidRPr="00D51778">
              <w:rPr>
                <w:rFonts w:cs="Calibri"/>
                <w:color w:val="000000"/>
                <w:sz w:val="22"/>
                <w:szCs w:val="22"/>
                <w:lang w:val="ga"/>
              </w:rPr>
              <w:t>16</w:t>
            </w:r>
          </w:p>
        </w:tc>
        <w:tc>
          <w:tcPr>
            <w:tcW w:w="1549" w:type="dxa"/>
          </w:tcPr>
          <w:p w14:paraId="2927E3FA" w14:textId="7FC35C59" w:rsidR="00F03F9F" w:rsidRPr="00D51778" w:rsidRDefault="00F03F9F" w:rsidP="000539E7">
            <w:pPr>
              <w:jc w:val="right"/>
              <w:rPr>
                <w:sz w:val="22"/>
                <w:szCs w:val="22"/>
              </w:rPr>
            </w:pPr>
            <w:r w:rsidRPr="00D51778">
              <w:rPr>
                <w:rFonts w:cs="Calibri"/>
                <w:color w:val="000000"/>
                <w:sz w:val="22"/>
                <w:szCs w:val="22"/>
                <w:lang w:val="ga"/>
              </w:rPr>
              <w:t>7.1%</w:t>
            </w:r>
          </w:p>
        </w:tc>
      </w:tr>
      <w:tr w:rsidR="00F03F9F" w:rsidRPr="00D51778" w14:paraId="1E819B3C" w14:textId="77777777" w:rsidTr="0022342F">
        <w:trPr>
          <w:jc w:val="center"/>
        </w:trPr>
        <w:tc>
          <w:tcPr>
            <w:tcW w:w="1711" w:type="dxa"/>
            <w:vAlign w:val="bottom"/>
          </w:tcPr>
          <w:p w14:paraId="697CD81D" w14:textId="02A0B2A1" w:rsidR="00F03F9F" w:rsidRPr="00D51778" w:rsidRDefault="00F03F9F" w:rsidP="00F03F9F">
            <w:pPr>
              <w:rPr>
                <w:sz w:val="22"/>
                <w:szCs w:val="22"/>
              </w:rPr>
            </w:pPr>
            <w:r w:rsidRPr="00D51778">
              <w:rPr>
                <w:rFonts w:cs="Calibri"/>
                <w:color w:val="000000"/>
                <w:sz w:val="22"/>
                <w:szCs w:val="22"/>
                <w:lang w:val="ga"/>
              </w:rPr>
              <w:t>Coimisiún na Scrúduithe Stáit</w:t>
            </w:r>
          </w:p>
        </w:tc>
        <w:tc>
          <w:tcPr>
            <w:tcW w:w="1701" w:type="dxa"/>
          </w:tcPr>
          <w:p w14:paraId="757BC9D7" w14:textId="4536FC62" w:rsidR="00F03F9F" w:rsidRPr="00D51778" w:rsidRDefault="00F03F9F" w:rsidP="000539E7">
            <w:pPr>
              <w:jc w:val="right"/>
              <w:rPr>
                <w:sz w:val="22"/>
                <w:szCs w:val="22"/>
              </w:rPr>
            </w:pPr>
            <w:r w:rsidRPr="00D51778">
              <w:rPr>
                <w:rFonts w:cs="Calibri"/>
                <w:color w:val="000000"/>
                <w:sz w:val="22"/>
                <w:szCs w:val="22"/>
                <w:lang w:val="ga"/>
              </w:rPr>
              <w:t>199</w:t>
            </w:r>
          </w:p>
        </w:tc>
        <w:tc>
          <w:tcPr>
            <w:tcW w:w="1418" w:type="dxa"/>
          </w:tcPr>
          <w:p w14:paraId="28FB403B" w14:textId="7B31FBEE" w:rsidR="00F03F9F" w:rsidRPr="00D51778" w:rsidRDefault="00F03F9F" w:rsidP="000539E7">
            <w:pPr>
              <w:spacing w:after="0"/>
              <w:jc w:val="right"/>
              <w:rPr>
                <w:sz w:val="22"/>
                <w:szCs w:val="22"/>
              </w:rPr>
            </w:pPr>
            <w:r w:rsidRPr="00D51778">
              <w:rPr>
                <w:rFonts w:cs="Calibri"/>
                <w:color w:val="000000"/>
                <w:sz w:val="22"/>
                <w:szCs w:val="22"/>
                <w:lang w:val="ga"/>
              </w:rPr>
              <w:t>8</w:t>
            </w:r>
          </w:p>
        </w:tc>
        <w:tc>
          <w:tcPr>
            <w:tcW w:w="1559" w:type="dxa"/>
          </w:tcPr>
          <w:p w14:paraId="49DBEC7A" w14:textId="08633191" w:rsidR="00F03F9F" w:rsidRPr="00D51778" w:rsidRDefault="00F03F9F" w:rsidP="000539E7">
            <w:pPr>
              <w:jc w:val="right"/>
              <w:rPr>
                <w:sz w:val="22"/>
                <w:szCs w:val="22"/>
              </w:rPr>
            </w:pPr>
            <w:r w:rsidRPr="00D51778">
              <w:rPr>
                <w:rFonts w:cs="Calibri"/>
                <w:color w:val="000000"/>
                <w:sz w:val="22"/>
                <w:szCs w:val="22"/>
                <w:lang w:val="ga"/>
              </w:rPr>
              <w:t>4.0%</w:t>
            </w:r>
          </w:p>
        </w:tc>
        <w:tc>
          <w:tcPr>
            <w:tcW w:w="1701" w:type="dxa"/>
          </w:tcPr>
          <w:p w14:paraId="150BE462" w14:textId="0CB29905" w:rsidR="00F03F9F" w:rsidRPr="00D51778" w:rsidRDefault="00F03F9F" w:rsidP="000539E7">
            <w:pPr>
              <w:jc w:val="right"/>
              <w:rPr>
                <w:sz w:val="22"/>
                <w:szCs w:val="22"/>
              </w:rPr>
            </w:pPr>
            <w:r w:rsidRPr="00D51778">
              <w:rPr>
                <w:rFonts w:cs="Calibri"/>
                <w:color w:val="000000"/>
                <w:sz w:val="22"/>
                <w:szCs w:val="22"/>
                <w:lang w:val="ga"/>
              </w:rPr>
              <w:t>181</w:t>
            </w:r>
          </w:p>
        </w:tc>
        <w:tc>
          <w:tcPr>
            <w:tcW w:w="1559" w:type="dxa"/>
          </w:tcPr>
          <w:p w14:paraId="044531D6" w14:textId="05D9926E" w:rsidR="00F03F9F" w:rsidRPr="00D51778" w:rsidRDefault="00F03F9F" w:rsidP="000539E7">
            <w:pPr>
              <w:jc w:val="right"/>
              <w:rPr>
                <w:sz w:val="22"/>
                <w:szCs w:val="22"/>
              </w:rPr>
            </w:pPr>
            <w:r w:rsidRPr="00D51778">
              <w:rPr>
                <w:rFonts w:cs="Calibri"/>
                <w:color w:val="000000"/>
                <w:sz w:val="22"/>
                <w:szCs w:val="22"/>
                <w:lang w:val="ga"/>
              </w:rPr>
              <w:t>9</w:t>
            </w:r>
          </w:p>
        </w:tc>
        <w:tc>
          <w:tcPr>
            <w:tcW w:w="1549" w:type="dxa"/>
          </w:tcPr>
          <w:p w14:paraId="6D9594FD" w14:textId="04BAB427" w:rsidR="00F03F9F" w:rsidRPr="00D51778" w:rsidRDefault="00F03F9F" w:rsidP="000539E7">
            <w:pPr>
              <w:jc w:val="right"/>
              <w:rPr>
                <w:sz w:val="22"/>
                <w:szCs w:val="22"/>
              </w:rPr>
            </w:pPr>
            <w:r w:rsidRPr="00D51778">
              <w:rPr>
                <w:rFonts w:cs="Calibri"/>
                <w:color w:val="000000"/>
                <w:sz w:val="22"/>
                <w:szCs w:val="22"/>
                <w:lang w:val="ga"/>
              </w:rPr>
              <w:t>5.0%</w:t>
            </w:r>
          </w:p>
        </w:tc>
      </w:tr>
      <w:tr w:rsidR="00F03F9F" w:rsidRPr="00D51778" w14:paraId="5343307C" w14:textId="77777777" w:rsidTr="0022342F">
        <w:trPr>
          <w:jc w:val="center"/>
        </w:trPr>
        <w:tc>
          <w:tcPr>
            <w:tcW w:w="1711" w:type="dxa"/>
            <w:vAlign w:val="bottom"/>
          </w:tcPr>
          <w:p w14:paraId="3BEA2E84" w14:textId="69F17665" w:rsidR="00F03F9F" w:rsidRPr="00D51778" w:rsidRDefault="00F03F9F" w:rsidP="00F03F9F">
            <w:pPr>
              <w:rPr>
                <w:sz w:val="22"/>
                <w:szCs w:val="22"/>
              </w:rPr>
            </w:pPr>
            <w:r w:rsidRPr="00D51778">
              <w:rPr>
                <w:rFonts w:cs="Calibri"/>
                <w:color w:val="000000"/>
                <w:sz w:val="22"/>
                <w:szCs w:val="22"/>
                <w:lang w:val="ga"/>
              </w:rPr>
              <w:t>An Coimisiún um Achomhairc Chánach</w:t>
            </w:r>
          </w:p>
        </w:tc>
        <w:tc>
          <w:tcPr>
            <w:tcW w:w="1701" w:type="dxa"/>
          </w:tcPr>
          <w:p w14:paraId="2207559F" w14:textId="697D16C9" w:rsidR="00F03F9F" w:rsidRPr="00D51778" w:rsidRDefault="00F03F9F" w:rsidP="000539E7">
            <w:pPr>
              <w:jc w:val="right"/>
              <w:rPr>
                <w:sz w:val="22"/>
                <w:szCs w:val="22"/>
              </w:rPr>
            </w:pPr>
            <w:r w:rsidRPr="00D51778">
              <w:rPr>
                <w:rFonts w:cs="Calibri"/>
                <w:color w:val="000000"/>
                <w:sz w:val="22"/>
                <w:szCs w:val="22"/>
                <w:lang w:val="ga"/>
              </w:rPr>
              <w:t>37</w:t>
            </w:r>
          </w:p>
        </w:tc>
        <w:tc>
          <w:tcPr>
            <w:tcW w:w="1418" w:type="dxa"/>
          </w:tcPr>
          <w:p w14:paraId="0E6C7C2C" w14:textId="479ACAE7" w:rsidR="00F03F9F" w:rsidRPr="00D51778" w:rsidRDefault="00F03F9F" w:rsidP="000539E7">
            <w:pPr>
              <w:spacing w:after="0"/>
              <w:jc w:val="right"/>
              <w:rPr>
                <w:sz w:val="22"/>
                <w:szCs w:val="22"/>
              </w:rPr>
            </w:pPr>
            <w:r w:rsidRPr="00D51778">
              <w:rPr>
                <w:rFonts w:cs="Calibri"/>
                <w:color w:val="000000"/>
                <w:sz w:val="22"/>
                <w:szCs w:val="22"/>
                <w:lang w:val="ga"/>
              </w:rPr>
              <w:t>1</w:t>
            </w:r>
          </w:p>
        </w:tc>
        <w:tc>
          <w:tcPr>
            <w:tcW w:w="1559" w:type="dxa"/>
          </w:tcPr>
          <w:p w14:paraId="72E45B6E" w14:textId="6071347B" w:rsidR="00F03F9F" w:rsidRPr="00D51778" w:rsidRDefault="00F03F9F" w:rsidP="000539E7">
            <w:pPr>
              <w:jc w:val="right"/>
              <w:rPr>
                <w:sz w:val="22"/>
                <w:szCs w:val="22"/>
              </w:rPr>
            </w:pPr>
            <w:r w:rsidRPr="00D51778">
              <w:rPr>
                <w:rFonts w:cs="Calibri"/>
                <w:color w:val="000000"/>
                <w:sz w:val="22"/>
                <w:szCs w:val="22"/>
                <w:lang w:val="ga"/>
              </w:rPr>
              <w:t>2.7%</w:t>
            </w:r>
          </w:p>
        </w:tc>
        <w:tc>
          <w:tcPr>
            <w:tcW w:w="1701" w:type="dxa"/>
          </w:tcPr>
          <w:p w14:paraId="3D9474AF" w14:textId="3AA4FD81" w:rsidR="00F03F9F" w:rsidRPr="00D51778" w:rsidRDefault="00F03F9F" w:rsidP="000539E7">
            <w:pPr>
              <w:jc w:val="right"/>
              <w:rPr>
                <w:sz w:val="22"/>
                <w:szCs w:val="22"/>
              </w:rPr>
            </w:pPr>
            <w:r w:rsidRPr="00D51778">
              <w:rPr>
                <w:rFonts w:cs="Calibri"/>
                <w:color w:val="000000"/>
                <w:sz w:val="22"/>
                <w:szCs w:val="22"/>
                <w:lang w:val="ga"/>
              </w:rPr>
              <w:t>29</w:t>
            </w:r>
          </w:p>
        </w:tc>
        <w:tc>
          <w:tcPr>
            <w:tcW w:w="1559" w:type="dxa"/>
          </w:tcPr>
          <w:p w14:paraId="034D42CE" w14:textId="06D34222" w:rsidR="00F03F9F" w:rsidRPr="00D51778" w:rsidRDefault="00F03F9F" w:rsidP="000539E7">
            <w:pPr>
              <w:jc w:val="right"/>
              <w:rPr>
                <w:sz w:val="22"/>
                <w:szCs w:val="22"/>
              </w:rPr>
            </w:pPr>
            <w:r w:rsidRPr="00D51778">
              <w:rPr>
                <w:rFonts w:cs="Calibri"/>
                <w:color w:val="000000"/>
                <w:sz w:val="22"/>
                <w:szCs w:val="22"/>
                <w:lang w:val="ga"/>
              </w:rPr>
              <w:t>2</w:t>
            </w:r>
          </w:p>
        </w:tc>
        <w:tc>
          <w:tcPr>
            <w:tcW w:w="1549" w:type="dxa"/>
          </w:tcPr>
          <w:p w14:paraId="46089B86" w14:textId="099DEC5A" w:rsidR="00F03F9F" w:rsidRPr="00D51778" w:rsidRDefault="00F03F9F" w:rsidP="000539E7">
            <w:pPr>
              <w:jc w:val="right"/>
              <w:rPr>
                <w:sz w:val="22"/>
                <w:szCs w:val="22"/>
              </w:rPr>
            </w:pPr>
            <w:r w:rsidRPr="00D51778">
              <w:rPr>
                <w:rFonts w:cs="Calibri"/>
                <w:color w:val="000000"/>
                <w:sz w:val="22"/>
                <w:szCs w:val="22"/>
                <w:lang w:val="ga"/>
              </w:rPr>
              <w:t>6.9%</w:t>
            </w:r>
          </w:p>
        </w:tc>
      </w:tr>
      <w:tr w:rsidR="00F03F9F" w:rsidRPr="00D51778" w14:paraId="53E9FDA5" w14:textId="77777777" w:rsidTr="0022342F">
        <w:trPr>
          <w:jc w:val="center"/>
        </w:trPr>
        <w:tc>
          <w:tcPr>
            <w:tcW w:w="1711" w:type="dxa"/>
            <w:vAlign w:val="bottom"/>
          </w:tcPr>
          <w:p w14:paraId="354A72CE" w14:textId="758F4B99" w:rsidR="00F03F9F" w:rsidRPr="00D51778" w:rsidRDefault="00B833E4" w:rsidP="00F03F9F">
            <w:pPr>
              <w:rPr>
                <w:sz w:val="22"/>
                <w:szCs w:val="22"/>
              </w:rPr>
            </w:pPr>
            <w:r w:rsidRPr="00D51778">
              <w:rPr>
                <w:rFonts w:cs="Calibri"/>
                <w:b/>
                <w:bCs/>
                <w:color w:val="000000"/>
                <w:sz w:val="22"/>
                <w:szCs w:val="22"/>
                <w:lang w:val="ga"/>
              </w:rPr>
              <w:t>*</w:t>
            </w:r>
            <w:r w:rsidRPr="00D51778">
              <w:rPr>
                <w:rFonts w:cs="Calibri"/>
                <w:color w:val="000000"/>
                <w:sz w:val="22"/>
                <w:szCs w:val="22"/>
                <w:lang w:val="ga"/>
              </w:rPr>
              <w:t>An tÚdarás Slándála Príobháidí</w:t>
            </w:r>
          </w:p>
        </w:tc>
        <w:tc>
          <w:tcPr>
            <w:tcW w:w="1701" w:type="dxa"/>
          </w:tcPr>
          <w:p w14:paraId="04230F92" w14:textId="7EE01F64" w:rsidR="00F03F9F" w:rsidRPr="00D51778" w:rsidRDefault="00F03F9F" w:rsidP="000539E7">
            <w:pPr>
              <w:jc w:val="right"/>
              <w:rPr>
                <w:sz w:val="22"/>
                <w:szCs w:val="22"/>
              </w:rPr>
            </w:pPr>
            <w:r w:rsidRPr="00D51778">
              <w:rPr>
                <w:rFonts w:cs="Calibri"/>
                <w:color w:val="000000"/>
                <w:sz w:val="22"/>
                <w:szCs w:val="22"/>
                <w:lang w:val="ga"/>
              </w:rPr>
              <w:t>52</w:t>
            </w:r>
          </w:p>
        </w:tc>
        <w:tc>
          <w:tcPr>
            <w:tcW w:w="1418" w:type="dxa"/>
          </w:tcPr>
          <w:p w14:paraId="5019197F" w14:textId="1866DA0F" w:rsidR="00F03F9F" w:rsidRPr="00D51778" w:rsidRDefault="00F03F9F" w:rsidP="000539E7">
            <w:pPr>
              <w:spacing w:after="0"/>
              <w:jc w:val="right"/>
              <w:rPr>
                <w:sz w:val="22"/>
                <w:szCs w:val="22"/>
              </w:rPr>
            </w:pPr>
            <w:r w:rsidRPr="00D51778">
              <w:rPr>
                <w:rFonts w:cs="Calibri"/>
                <w:color w:val="000000"/>
                <w:sz w:val="22"/>
                <w:szCs w:val="22"/>
                <w:lang w:val="ga"/>
              </w:rPr>
              <w:t>2</w:t>
            </w:r>
          </w:p>
        </w:tc>
        <w:tc>
          <w:tcPr>
            <w:tcW w:w="1559" w:type="dxa"/>
          </w:tcPr>
          <w:p w14:paraId="6DF40596" w14:textId="71F74FD9" w:rsidR="00F03F9F" w:rsidRPr="00D51778" w:rsidRDefault="00F03F9F" w:rsidP="000539E7">
            <w:pPr>
              <w:jc w:val="right"/>
              <w:rPr>
                <w:sz w:val="22"/>
                <w:szCs w:val="22"/>
              </w:rPr>
            </w:pPr>
            <w:r w:rsidRPr="00D51778">
              <w:rPr>
                <w:rFonts w:cs="Calibri"/>
                <w:color w:val="000000"/>
                <w:sz w:val="22"/>
                <w:szCs w:val="22"/>
                <w:lang w:val="ga"/>
              </w:rPr>
              <w:t>3.8%</w:t>
            </w:r>
          </w:p>
        </w:tc>
        <w:tc>
          <w:tcPr>
            <w:tcW w:w="1701" w:type="dxa"/>
          </w:tcPr>
          <w:p w14:paraId="45872D46" w14:textId="669E098A" w:rsidR="00F03F9F" w:rsidRPr="00D51778" w:rsidRDefault="00F03F9F" w:rsidP="000539E7">
            <w:pPr>
              <w:jc w:val="right"/>
              <w:rPr>
                <w:sz w:val="22"/>
                <w:szCs w:val="22"/>
              </w:rPr>
            </w:pPr>
            <w:r w:rsidRPr="00D51778">
              <w:rPr>
                <w:rFonts w:cs="Calibri"/>
                <w:color w:val="000000"/>
                <w:sz w:val="22"/>
                <w:szCs w:val="22"/>
                <w:lang w:val="ga"/>
              </w:rPr>
              <w:t>51</w:t>
            </w:r>
          </w:p>
        </w:tc>
        <w:tc>
          <w:tcPr>
            <w:tcW w:w="1559" w:type="dxa"/>
          </w:tcPr>
          <w:p w14:paraId="6DE0B1EA" w14:textId="719CC05B" w:rsidR="00F03F9F" w:rsidRPr="00D51778" w:rsidRDefault="00F03F9F" w:rsidP="000539E7">
            <w:pPr>
              <w:jc w:val="right"/>
              <w:rPr>
                <w:sz w:val="22"/>
                <w:szCs w:val="22"/>
              </w:rPr>
            </w:pPr>
            <w:r w:rsidRPr="00D51778">
              <w:rPr>
                <w:rFonts w:cs="Calibri"/>
                <w:color w:val="000000"/>
                <w:sz w:val="22"/>
                <w:szCs w:val="22"/>
                <w:lang w:val="ga"/>
              </w:rPr>
              <w:t>2</w:t>
            </w:r>
          </w:p>
        </w:tc>
        <w:tc>
          <w:tcPr>
            <w:tcW w:w="1549" w:type="dxa"/>
          </w:tcPr>
          <w:p w14:paraId="601655E4" w14:textId="0A80E44F" w:rsidR="00F03F9F" w:rsidRPr="00D51778" w:rsidRDefault="00F03F9F" w:rsidP="000539E7">
            <w:pPr>
              <w:jc w:val="right"/>
              <w:rPr>
                <w:sz w:val="22"/>
                <w:szCs w:val="22"/>
              </w:rPr>
            </w:pPr>
            <w:r w:rsidRPr="00D51778">
              <w:rPr>
                <w:rFonts w:cs="Calibri"/>
                <w:color w:val="000000"/>
                <w:sz w:val="22"/>
                <w:szCs w:val="22"/>
                <w:lang w:val="ga"/>
              </w:rPr>
              <w:t>3.9%</w:t>
            </w:r>
          </w:p>
        </w:tc>
      </w:tr>
      <w:tr w:rsidR="00F03F9F" w:rsidRPr="00D51778" w14:paraId="153848EE" w14:textId="77777777" w:rsidTr="0022342F">
        <w:trPr>
          <w:jc w:val="center"/>
        </w:trPr>
        <w:tc>
          <w:tcPr>
            <w:tcW w:w="1711" w:type="dxa"/>
            <w:vAlign w:val="bottom"/>
          </w:tcPr>
          <w:p w14:paraId="0591F5C0" w14:textId="1AF11EDB" w:rsidR="00F03F9F" w:rsidRPr="00D51778" w:rsidRDefault="00F03F9F" w:rsidP="00F03F9F">
            <w:pPr>
              <w:rPr>
                <w:sz w:val="22"/>
                <w:szCs w:val="22"/>
              </w:rPr>
            </w:pPr>
            <w:r w:rsidRPr="00D51778">
              <w:rPr>
                <w:rFonts w:cs="Calibri"/>
                <w:color w:val="000000"/>
                <w:sz w:val="22"/>
                <w:szCs w:val="22"/>
                <w:lang w:val="ga"/>
              </w:rPr>
              <w:t>An tSaotharlann Stáit</w:t>
            </w:r>
          </w:p>
        </w:tc>
        <w:tc>
          <w:tcPr>
            <w:tcW w:w="1701" w:type="dxa"/>
          </w:tcPr>
          <w:p w14:paraId="4B8D72F5" w14:textId="772141A0" w:rsidR="00F03F9F" w:rsidRPr="00D51778" w:rsidRDefault="00F03F9F" w:rsidP="000539E7">
            <w:pPr>
              <w:jc w:val="right"/>
              <w:rPr>
                <w:sz w:val="22"/>
                <w:szCs w:val="22"/>
              </w:rPr>
            </w:pPr>
            <w:r w:rsidRPr="00D51778">
              <w:rPr>
                <w:rFonts w:cs="Calibri"/>
                <w:color w:val="000000"/>
                <w:sz w:val="22"/>
                <w:szCs w:val="22"/>
                <w:lang w:val="ga"/>
              </w:rPr>
              <w:t>102</w:t>
            </w:r>
          </w:p>
        </w:tc>
        <w:tc>
          <w:tcPr>
            <w:tcW w:w="1418" w:type="dxa"/>
          </w:tcPr>
          <w:p w14:paraId="0C80014A" w14:textId="3CC838A2" w:rsidR="00F03F9F" w:rsidRPr="00D51778" w:rsidRDefault="00F03F9F" w:rsidP="000539E7">
            <w:pPr>
              <w:spacing w:after="0"/>
              <w:jc w:val="right"/>
              <w:rPr>
                <w:sz w:val="22"/>
                <w:szCs w:val="22"/>
              </w:rPr>
            </w:pPr>
            <w:r w:rsidRPr="00D51778">
              <w:rPr>
                <w:rFonts w:cs="Calibri"/>
                <w:color w:val="000000"/>
                <w:sz w:val="22"/>
                <w:szCs w:val="22"/>
                <w:lang w:val="ga"/>
              </w:rPr>
              <w:t>4</w:t>
            </w:r>
          </w:p>
        </w:tc>
        <w:tc>
          <w:tcPr>
            <w:tcW w:w="1559" w:type="dxa"/>
          </w:tcPr>
          <w:p w14:paraId="25BE3705" w14:textId="37BF356A" w:rsidR="00F03F9F" w:rsidRPr="00D51778" w:rsidRDefault="00F03F9F" w:rsidP="000539E7">
            <w:pPr>
              <w:jc w:val="right"/>
              <w:rPr>
                <w:sz w:val="22"/>
                <w:szCs w:val="22"/>
              </w:rPr>
            </w:pPr>
            <w:r w:rsidRPr="00D51778">
              <w:rPr>
                <w:rFonts w:cs="Calibri"/>
                <w:color w:val="000000"/>
                <w:sz w:val="22"/>
                <w:szCs w:val="22"/>
                <w:lang w:val="ga"/>
              </w:rPr>
              <w:t>3.9%</w:t>
            </w:r>
          </w:p>
        </w:tc>
        <w:tc>
          <w:tcPr>
            <w:tcW w:w="1701" w:type="dxa"/>
          </w:tcPr>
          <w:p w14:paraId="0D518B11" w14:textId="57E0DE81" w:rsidR="00F03F9F" w:rsidRPr="00D51778" w:rsidRDefault="00F03F9F" w:rsidP="000539E7">
            <w:pPr>
              <w:jc w:val="right"/>
              <w:rPr>
                <w:sz w:val="22"/>
                <w:szCs w:val="22"/>
              </w:rPr>
            </w:pPr>
            <w:r w:rsidRPr="00D51778">
              <w:rPr>
                <w:rFonts w:cs="Calibri"/>
                <w:color w:val="000000"/>
                <w:sz w:val="22"/>
                <w:szCs w:val="22"/>
                <w:lang w:val="ga"/>
              </w:rPr>
              <w:t>104</w:t>
            </w:r>
          </w:p>
        </w:tc>
        <w:tc>
          <w:tcPr>
            <w:tcW w:w="1559" w:type="dxa"/>
          </w:tcPr>
          <w:p w14:paraId="0C50D343" w14:textId="258C5121" w:rsidR="00F03F9F" w:rsidRPr="00D51778" w:rsidRDefault="00F03F9F" w:rsidP="000539E7">
            <w:pPr>
              <w:jc w:val="right"/>
              <w:rPr>
                <w:sz w:val="22"/>
                <w:szCs w:val="22"/>
              </w:rPr>
            </w:pPr>
            <w:r w:rsidRPr="00D51778">
              <w:rPr>
                <w:rFonts w:cs="Calibri"/>
                <w:color w:val="000000"/>
                <w:sz w:val="22"/>
                <w:szCs w:val="22"/>
                <w:lang w:val="ga"/>
              </w:rPr>
              <w:t>4</w:t>
            </w:r>
          </w:p>
        </w:tc>
        <w:tc>
          <w:tcPr>
            <w:tcW w:w="1549" w:type="dxa"/>
          </w:tcPr>
          <w:p w14:paraId="13C55AC7" w14:textId="4D85F585" w:rsidR="00F03F9F" w:rsidRPr="00D51778" w:rsidRDefault="00446F2A" w:rsidP="000539E7">
            <w:pPr>
              <w:jc w:val="right"/>
              <w:rPr>
                <w:sz w:val="22"/>
                <w:szCs w:val="22"/>
              </w:rPr>
            </w:pPr>
            <w:r w:rsidRPr="00D51778">
              <w:rPr>
                <w:rFonts w:cs="Calibri"/>
                <w:color w:val="000000"/>
                <w:sz w:val="22"/>
                <w:szCs w:val="22"/>
                <w:lang w:val="ga"/>
              </w:rPr>
              <w:t>3.8%</w:t>
            </w:r>
          </w:p>
        </w:tc>
      </w:tr>
      <w:tr w:rsidR="00F03F9F" w:rsidRPr="00D51778" w14:paraId="54FCAD58" w14:textId="77777777" w:rsidTr="0022342F">
        <w:trPr>
          <w:jc w:val="center"/>
        </w:trPr>
        <w:tc>
          <w:tcPr>
            <w:tcW w:w="1711" w:type="dxa"/>
            <w:vAlign w:val="bottom"/>
          </w:tcPr>
          <w:p w14:paraId="605B0DEF" w14:textId="2F397D51" w:rsidR="00F03F9F" w:rsidRPr="00D51778" w:rsidRDefault="00F03F9F" w:rsidP="00F03F9F">
            <w:pPr>
              <w:rPr>
                <w:sz w:val="22"/>
                <w:szCs w:val="22"/>
              </w:rPr>
            </w:pPr>
            <w:r w:rsidRPr="00D51778">
              <w:rPr>
                <w:rFonts w:cs="Calibri"/>
                <w:color w:val="000000"/>
                <w:sz w:val="22"/>
                <w:szCs w:val="22"/>
                <w:lang w:val="ga"/>
              </w:rPr>
              <w:t>An Oifig Luachála</w:t>
            </w:r>
          </w:p>
        </w:tc>
        <w:tc>
          <w:tcPr>
            <w:tcW w:w="1701" w:type="dxa"/>
          </w:tcPr>
          <w:p w14:paraId="2032683C" w14:textId="51DF9288" w:rsidR="00F03F9F" w:rsidRPr="00D51778" w:rsidRDefault="00F03F9F" w:rsidP="000539E7">
            <w:pPr>
              <w:jc w:val="right"/>
              <w:rPr>
                <w:sz w:val="22"/>
                <w:szCs w:val="22"/>
              </w:rPr>
            </w:pPr>
            <w:r w:rsidRPr="00D51778">
              <w:rPr>
                <w:rFonts w:cs="Calibri"/>
                <w:color w:val="000000"/>
                <w:sz w:val="22"/>
                <w:szCs w:val="22"/>
                <w:lang w:val="ga"/>
              </w:rPr>
              <w:t>144</w:t>
            </w:r>
          </w:p>
        </w:tc>
        <w:tc>
          <w:tcPr>
            <w:tcW w:w="1418" w:type="dxa"/>
          </w:tcPr>
          <w:p w14:paraId="48D59A8A" w14:textId="683167C1" w:rsidR="00F03F9F" w:rsidRPr="00D51778" w:rsidRDefault="00F03F9F" w:rsidP="000539E7">
            <w:pPr>
              <w:spacing w:after="0"/>
              <w:jc w:val="right"/>
              <w:rPr>
                <w:sz w:val="22"/>
                <w:szCs w:val="22"/>
              </w:rPr>
            </w:pPr>
            <w:r w:rsidRPr="00D51778">
              <w:rPr>
                <w:rFonts w:cs="Calibri"/>
                <w:color w:val="000000"/>
                <w:sz w:val="22"/>
                <w:szCs w:val="22"/>
                <w:lang w:val="ga"/>
              </w:rPr>
              <w:t>6</w:t>
            </w:r>
          </w:p>
        </w:tc>
        <w:tc>
          <w:tcPr>
            <w:tcW w:w="1559" w:type="dxa"/>
          </w:tcPr>
          <w:p w14:paraId="45968AAE" w14:textId="3D70E778" w:rsidR="00F03F9F" w:rsidRPr="00D51778" w:rsidRDefault="00F03F9F" w:rsidP="000539E7">
            <w:pPr>
              <w:jc w:val="right"/>
              <w:rPr>
                <w:sz w:val="22"/>
                <w:szCs w:val="22"/>
              </w:rPr>
            </w:pPr>
            <w:r w:rsidRPr="00D51778">
              <w:rPr>
                <w:rFonts w:cs="Calibri"/>
                <w:color w:val="000000"/>
                <w:sz w:val="22"/>
                <w:szCs w:val="22"/>
                <w:lang w:val="ga"/>
              </w:rPr>
              <w:t>4.2%</w:t>
            </w:r>
          </w:p>
        </w:tc>
        <w:tc>
          <w:tcPr>
            <w:tcW w:w="1701" w:type="dxa"/>
          </w:tcPr>
          <w:p w14:paraId="3B531A4A" w14:textId="68C4DFDD" w:rsidR="00F03F9F" w:rsidRPr="00D51778" w:rsidRDefault="00F03F9F" w:rsidP="000539E7">
            <w:pPr>
              <w:jc w:val="right"/>
              <w:rPr>
                <w:sz w:val="22"/>
                <w:szCs w:val="22"/>
              </w:rPr>
            </w:pPr>
            <w:r w:rsidRPr="00D51778">
              <w:rPr>
                <w:rFonts w:cs="Calibri"/>
                <w:color w:val="000000"/>
                <w:sz w:val="22"/>
                <w:szCs w:val="22"/>
                <w:lang w:val="ga"/>
              </w:rPr>
              <w:t>139</w:t>
            </w:r>
          </w:p>
        </w:tc>
        <w:tc>
          <w:tcPr>
            <w:tcW w:w="1559" w:type="dxa"/>
          </w:tcPr>
          <w:p w14:paraId="7E2463FE" w14:textId="13113263" w:rsidR="00F03F9F" w:rsidRPr="00D51778" w:rsidRDefault="00F03F9F" w:rsidP="000539E7">
            <w:pPr>
              <w:jc w:val="right"/>
              <w:rPr>
                <w:sz w:val="22"/>
                <w:szCs w:val="22"/>
              </w:rPr>
            </w:pPr>
            <w:r w:rsidRPr="00D51778">
              <w:rPr>
                <w:rFonts w:cs="Calibri"/>
                <w:color w:val="000000"/>
                <w:sz w:val="22"/>
                <w:szCs w:val="22"/>
                <w:lang w:val="ga"/>
              </w:rPr>
              <w:t>11</w:t>
            </w:r>
          </w:p>
        </w:tc>
        <w:tc>
          <w:tcPr>
            <w:tcW w:w="1549" w:type="dxa"/>
          </w:tcPr>
          <w:p w14:paraId="551D02AE" w14:textId="195D08E7" w:rsidR="00F03F9F" w:rsidRPr="00D51778" w:rsidRDefault="00F03F9F" w:rsidP="000539E7">
            <w:pPr>
              <w:jc w:val="right"/>
              <w:rPr>
                <w:sz w:val="22"/>
                <w:szCs w:val="22"/>
              </w:rPr>
            </w:pPr>
            <w:r w:rsidRPr="00D51778">
              <w:rPr>
                <w:rFonts w:cs="Calibri"/>
                <w:color w:val="000000"/>
                <w:sz w:val="22"/>
                <w:szCs w:val="22"/>
                <w:lang w:val="ga"/>
              </w:rPr>
              <w:t>7.9%</w:t>
            </w:r>
          </w:p>
        </w:tc>
      </w:tr>
      <w:tr w:rsidR="00C33663" w:rsidRPr="00D51778" w14:paraId="50CA84D0" w14:textId="77777777" w:rsidTr="0022342F">
        <w:trPr>
          <w:jc w:val="center"/>
        </w:trPr>
        <w:tc>
          <w:tcPr>
            <w:tcW w:w="1711" w:type="dxa"/>
          </w:tcPr>
          <w:p w14:paraId="081116C3" w14:textId="77110E74" w:rsidR="00C33663" w:rsidRPr="00D51778" w:rsidRDefault="00E35F30" w:rsidP="00C33663">
            <w:pPr>
              <w:spacing w:after="0"/>
              <w:rPr>
                <w:b/>
                <w:sz w:val="22"/>
                <w:szCs w:val="22"/>
              </w:rPr>
            </w:pPr>
            <w:r w:rsidRPr="00D51778">
              <w:rPr>
                <w:b/>
                <w:bCs/>
                <w:sz w:val="22"/>
                <w:szCs w:val="22"/>
                <w:lang w:val="ga"/>
              </w:rPr>
              <w:t>Mór-Iomlán</w:t>
            </w:r>
          </w:p>
        </w:tc>
        <w:tc>
          <w:tcPr>
            <w:tcW w:w="1701" w:type="dxa"/>
          </w:tcPr>
          <w:p w14:paraId="0807674B" w14:textId="74AB9C23" w:rsidR="003F2D20" w:rsidRPr="00D51778" w:rsidRDefault="00123AE0" w:rsidP="000539E7">
            <w:pPr>
              <w:spacing w:after="0"/>
              <w:jc w:val="right"/>
              <w:rPr>
                <w:rFonts w:cs="Calibri"/>
                <w:b/>
                <w:bCs/>
                <w:color w:val="000000"/>
                <w:sz w:val="22"/>
                <w:szCs w:val="22"/>
              </w:rPr>
            </w:pPr>
            <w:r w:rsidRPr="00D51778">
              <w:rPr>
                <w:rFonts w:cs="Calibri"/>
                <w:b/>
                <w:bCs/>
                <w:color w:val="000000"/>
                <w:sz w:val="22"/>
                <w:szCs w:val="22"/>
                <w:lang w:val="ga"/>
              </w:rPr>
              <w:t>16,548</w:t>
            </w:r>
          </w:p>
          <w:p w14:paraId="12A2EF7D" w14:textId="6A7B8B7C" w:rsidR="00C33663" w:rsidRPr="00D51778" w:rsidRDefault="00C33663" w:rsidP="000539E7">
            <w:pPr>
              <w:spacing w:after="0"/>
              <w:jc w:val="right"/>
              <w:rPr>
                <w:rFonts w:cs="Calibri"/>
                <w:b/>
                <w:color w:val="000000"/>
                <w:sz w:val="22"/>
                <w:szCs w:val="22"/>
              </w:rPr>
            </w:pPr>
          </w:p>
        </w:tc>
        <w:tc>
          <w:tcPr>
            <w:tcW w:w="1418" w:type="dxa"/>
          </w:tcPr>
          <w:p w14:paraId="1F8C4EA2" w14:textId="0FDAD2C5" w:rsidR="00F1200C" w:rsidRPr="00D51778" w:rsidRDefault="00123AE0" w:rsidP="000539E7">
            <w:pPr>
              <w:spacing w:after="0"/>
              <w:jc w:val="right"/>
              <w:rPr>
                <w:rFonts w:cs="Calibri"/>
                <w:b/>
                <w:bCs/>
                <w:color w:val="000000"/>
                <w:sz w:val="22"/>
                <w:szCs w:val="22"/>
              </w:rPr>
            </w:pPr>
            <w:r w:rsidRPr="00D51778">
              <w:rPr>
                <w:rFonts w:cs="Calibri"/>
                <w:b/>
                <w:bCs/>
                <w:color w:val="000000"/>
                <w:sz w:val="22"/>
                <w:szCs w:val="22"/>
                <w:lang w:val="ga"/>
              </w:rPr>
              <w:t>772</w:t>
            </w:r>
          </w:p>
          <w:p w14:paraId="0FCA4E2D" w14:textId="34C4519C" w:rsidR="00C33663" w:rsidRPr="00D51778" w:rsidRDefault="00C33663" w:rsidP="000539E7">
            <w:pPr>
              <w:spacing w:after="0"/>
              <w:jc w:val="right"/>
              <w:rPr>
                <w:b/>
                <w:sz w:val="22"/>
                <w:szCs w:val="22"/>
              </w:rPr>
            </w:pPr>
          </w:p>
        </w:tc>
        <w:tc>
          <w:tcPr>
            <w:tcW w:w="1559" w:type="dxa"/>
          </w:tcPr>
          <w:p w14:paraId="5F25DDED" w14:textId="0BC1C313" w:rsidR="00C33663" w:rsidRPr="00D51778" w:rsidRDefault="00123AE0" w:rsidP="000539E7">
            <w:pPr>
              <w:jc w:val="right"/>
              <w:rPr>
                <w:b/>
                <w:sz w:val="22"/>
                <w:szCs w:val="22"/>
              </w:rPr>
            </w:pPr>
            <w:r w:rsidRPr="00D51778">
              <w:rPr>
                <w:b/>
                <w:bCs/>
                <w:sz w:val="22"/>
                <w:szCs w:val="22"/>
                <w:lang w:val="ga"/>
              </w:rPr>
              <w:t>4.7%</w:t>
            </w:r>
          </w:p>
        </w:tc>
        <w:tc>
          <w:tcPr>
            <w:tcW w:w="1701" w:type="dxa"/>
          </w:tcPr>
          <w:p w14:paraId="4ABFB52C" w14:textId="7D7C31ED" w:rsidR="00C33663" w:rsidRPr="00D51778" w:rsidRDefault="00123AE0" w:rsidP="00123AE0">
            <w:pPr>
              <w:spacing w:after="0"/>
              <w:jc w:val="right"/>
              <w:rPr>
                <w:b/>
                <w:sz w:val="22"/>
                <w:szCs w:val="22"/>
              </w:rPr>
            </w:pPr>
            <w:r w:rsidRPr="00D51778">
              <w:rPr>
                <w:rFonts w:cs="Calibri"/>
                <w:b/>
                <w:bCs/>
                <w:color w:val="000000"/>
                <w:sz w:val="22"/>
                <w:szCs w:val="22"/>
                <w:lang w:val="ga"/>
              </w:rPr>
              <w:t>16,479</w:t>
            </w:r>
          </w:p>
        </w:tc>
        <w:tc>
          <w:tcPr>
            <w:tcW w:w="1559" w:type="dxa"/>
          </w:tcPr>
          <w:p w14:paraId="3494E41F" w14:textId="0E82E993" w:rsidR="00F1200C" w:rsidRPr="00D51778" w:rsidRDefault="00123AE0" w:rsidP="000539E7">
            <w:pPr>
              <w:spacing w:after="0"/>
              <w:jc w:val="right"/>
              <w:rPr>
                <w:rFonts w:cs="Calibri"/>
                <w:b/>
                <w:bCs/>
                <w:color w:val="000000"/>
                <w:sz w:val="22"/>
                <w:szCs w:val="22"/>
              </w:rPr>
            </w:pPr>
            <w:r w:rsidRPr="00D51778">
              <w:rPr>
                <w:rFonts w:cs="Calibri"/>
                <w:b/>
                <w:bCs/>
                <w:color w:val="000000"/>
                <w:sz w:val="22"/>
                <w:szCs w:val="22"/>
                <w:lang w:val="ga"/>
              </w:rPr>
              <w:t>755</w:t>
            </w:r>
          </w:p>
          <w:p w14:paraId="37963E4A" w14:textId="6883FD74" w:rsidR="00C33663" w:rsidRPr="00D51778" w:rsidRDefault="00C33663" w:rsidP="000539E7">
            <w:pPr>
              <w:jc w:val="right"/>
              <w:rPr>
                <w:b/>
                <w:sz w:val="22"/>
                <w:szCs w:val="22"/>
              </w:rPr>
            </w:pPr>
          </w:p>
        </w:tc>
        <w:tc>
          <w:tcPr>
            <w:tcW w:w="1549" w:type="dxa"/>
          </w:tcPr>
          <w:p w14:paraId="19E0668A" w14:textId="20AB79C0" w:rsidR="00C33663" w:rsidRPr="00D51778" w:rsidRDefault="00123AE0" w:rsidP="000539E7">
            <w:pPr>
              <w:jc w:val="right"/>
              <w:rPr>
                <w:b/>
                <w:sz w:val="22"/>
                <w:szCs w:val="22"/>
              </w:rPr>
            </w:pPr>
            <w:r w:rsidRPr="00D51778">
              <w:rPr>
                <w:b/>
                <w:bCs/>
                <w:sz w:val="22"/>
                <w:szCs w:val="22"/>
                <w:lang w:val="ga"/>
              </w:rPr>
              <w:t>4.6%</w:t>
            </w:r>
          </w:p>
        </w:tc>
      </w:tr>
    </w:tbl>
    <w:p w14:paraId="2D821D2D" w14:textId="77777777" w:rsidR="000D5C5D" w:rsidRPr="00D51778" w:rsidRDefault="000D5C5D" w:rsidP="000D5C5D">
      <w:pPr>
        <w:pStyle w:val="Heading2"/>
        <w:jc w:val="center"/>
        <w:rPr>
          <w:color w:val="000000" w:themeColor="text1"/>
        </w:rPr>
      </w:pPr>
    </w:p>
    <w:p w14:paraId="34E73CDB" w14:textId="77777777" w:rsidR="000D5C5D" w:rsidRPr="00D51778" w:rsidRDefault="000D5C5D" w:rsidP="000D5C5D">
      <w:pPr>
        <w:pStyle w:val="Heading2"/>
        <w:jc w:val="center"/>
        <w:rPr>
          <w:color w:val="000000" w:themeColor="text1"/>
        </w:rPr>
      </w:pPr>
    </w:p>
    <w:p w14:paraId="25C6BCC4" w14:textId="5F6E49DA" w:rsidR="00751519" w:rsidRDefault="00751519">
      <w:pPr>
        <w:spacing w:after="0"/>
        <w:rPr>
          <w:rFonts w:ascii="Rockwell" w:hAnsi="Rockwell"/>
          <w:b/>
          <w:color w:val="000000" w:themeColor="text1"/>
          <w:sz w:val="32"/>
          <w:szCs w:val="32"/>
        </w:rPr>
      </w:pPr>
      <w:r>
        <w:rPr>
          <w:color w:val="000000" w:themeColor="text1"/>
        </w:rPr>
        <w:br w:type="page"/>
      </w:r>
    </w:p>
    <w:p w14:paraId="3F221EEB" w14:textId="10DB3A53" w:rsidR="000D5C5D" w:rsidRPr="00D51778" w:rsidRDefault="00C55ED5" w:rsidP="000D5C5D">
      <w:pPr>
        <w:pStyle w:val="Heading2"/>
        <w:jc w:val="center"/>
        <w:rPr>
          <w:color w:val="000000" w:themeColor="text1"/>
        </w:rPr>
      </w:pPr>
      <w:bookmarkStart w:id="77" w:name="_Toc124367425"/>
      <w:r w:rsidRPr="00D51778">
        <w:rPr>
          <w:bCs/>
          <w:color w:val="000000" w:themeColor="text1"/>
          <w:lang w:val="ga"/>
        </w:rPr>
        <w:lastRenderedPageBreak/>
        <w:t>An Roinn Forbartha Tuaithe agus Pobail</w:t>
      </w:r>
      <w:bookmarkEnd w:id="77"/>
    </w:p>
    <w:tbl>
      <w:tblPr>
        <w:tblStyle w:val="TableGrid"/>
        <w:tblpPr w:leftFromText="180" w:rightFromText="180" w:vertAnchor="text" w:horzAnchor="margin" w:tblpXSpec="center" w:tblpY="256"/>
        <w:tblW w:w="11340" w:type="dxa"/>
        <w:tblLayout w:type="fixed"/>
        <w:tblLook w:val="04A0" w:firstRow="1" w:lastRow="0" w:firstColumn="1" w:lastColumn="0" w:noHBand="0" w:noVBand="1"/>
        <w:tblCaption w:val="Department of Rural Community &amp; Development "/>
      </w:tblPr>
      <w:tblGrid>
        <w:gridCol w:w="1701"/>
        <w:gridCol w:w="1701"/>
        <w:gridCol w:w="1418"/>
        <w:gridCol w:w="1559"/>
        <w:gridCol w:w="1701"/>
        <w:gridCol w:w="1559"/>
        <w:gridCol w:w="1701"/>
      </w:tblGrid>
      <w:tr w:rsidR="00031890" w:rsidRPr="00D51778" w14:paraId="2638F808" w14:textId="77777777" w:rsidTr="00031890">
        <w:trPr>
          <w:tblHeader/>
        </w:trPr>
        <w:tc>
          <w:tcPr>
            <w:tcW w:w="1701" w:type="dxa"/>
          </w:tcPr>
          <w:p w14:paraId="3516FA5E" w14:textId="77777777" w:rsidR="00031890" w:rsidRPr="00B14E6C" w:rsidRDefault="00031890" w:rsidP="00031890">
            <w:pPr>
              <w:pStyle w:val="TableHead"/>
              <w:rPr>
                <w:sz w:val="22"/>
                <w:szCs w:val="22"/>
              </w:rPr>
            </w:pPr>
            <w:r w:rsidRPr="00B14E6C">
              <w:rPr>
                <w:bCs/>
                <w:sz w:val="22"/>
                <w:szCs w:val="22"/>
                <w:lang w:val="ga"/>
              </w:rPr>
              <w:t>Comhlacht Poiblí</w:t>
            </w:r>
          </w:p>
        </w:tc>
        <w:tc>
          <w:tcPr>
            <w:tcW w:w="1701" w:type="dxa"/>
          </w:tcPr>
          <w:p w14:paraId="72DFC99B" w14:textId="77777777" w:rsidR="00F50F03" w:rsidRPr="00B14E6C" w:rsidRDefault="00031890" w:rsidP="00031890">
            <w:pPr>
              <w:pStyle w:val="TableHead"/>
              <w:rPr>
                <w:bCs/>
                <w:sz w:val="22"/>
                <w:szCs w:val="22"/>
                <w:lang w:val="ga"/>
              </w:rPr>
            </w:pPr>
            <w:r w:rsidRPr="00B14E6C">
              <w:rPr>
                <w:bCs/>
                <w:sz w:val="22"/>
                <w:szCs w:val="22"/>
                <w:lang w:val="ga"/>
              </w:rPr>
              <w:t xml:space="preserve">An líon iomlán fostaithe </w:t>
            </w:r>
          </w:p>
          <w:p w14:paraId="4D8FC7AE" w14:textId="32FEC531" w:rsidR="00031890" w:rsidRPr="00B14E6C" w:rsidRDefault="00031890" w:rsidP="00031890">
            <w:pPr>
              <w:pStyle w:val="TableHead"/>
              <w:rPr>
                <w:sz w:val="22"/>
                <w:szCs w:val="22"/>
              </w:rPr>
            </w:pPr>
            <w:r w:rsidRPr="00B14E6C">
              <w:rPr>
                <w:bCs/>
                <w:sz w:val="22"/>
                <w:szCs w:val="22"/>
                <w:lang w:val="ga"/>
              </w:rPr>
              <w:t>2020</w:t>
            </w:r>
          </w:p>
        </w:tc>
        <w:tc>
          <w:tcPr>
            <w:tcW w:w="1418" w:type="dxa"/>
          </w:tcPr>
          <w:p w14:paraId="1FEC4EC1" w14:textId="77777777" w:rsidR="00031890" w:rsidRPr="00B14E6C" w:rsidRDefault="00031890" w:rsidP="00031890">
            <w:pPr>
              <w:pStyle w:val="TableHead"/>
              <w:rPr>
                <w:sz w:val="22"/>
                <w:szCs w:val="22"/>
              </w:rPr>
            </w:pPr>
            <w:r w:rsidRPr="00B14E6C">
              <w:rPr>
                <w:bCs/>
                <w:sz w:val="22"/>
                <w:szCs w:val="22"/>
                <w:lang w:val="ga"/>
              </w:rPr>
              <w:t xml:space="preserve">An líon fostaithe a thuairiscigh míchumas </w:t>
            </w:r>
          </w:p>
          <w:p w14:paraId="47961535" w14:textId="77777777" w:rsidR="00031890" w:rsidRPr="00B14E6C" w:rsidRDefault="00031890" w:rsidP="00031890">
            <w:pPr>
              <w:pStyle w:val="TableHead"/>
              <w:rPr>
                <w:sz w:val="22"/>
                <w:szCs w:val="22"/>
              </w:rPr>
            </w:pPr>
            <w:r w:rsidRPr="00B14E6C">
              <w:rPr>
                <w:bCs/>
                <w:sz w:val="22"/>
                <w:szCs w:val="22"/>
                <w:lang w:val="ga"/>
              </w:rPr>
              <w:t>2020</w:t>
            </w:r>
          </w:p>
        </w:tc>
        <w:tc>
          <w:tcPr>
            <w:tcW w:w="1559" w:type="dxa"/>
          </w:tcPr>
          <w:p w14:paraId="63B87CF3" w14:textId="77777777" w:rsidR="00031890" w:rsidRPr="00B14E6C" w:rsidRDefault="00031890" w:rsidP="00031890">
            <w:pPr>
              <w:pStyle w:val="TableHead"/>
              <w:rPr>
                <w:sz w:val="22"/>
                <w:szCs w:val="22"/>
              </w:rPr>
            </w:pPr>
            <w:r w:rsidRPr="00B14E6C">
              <w:rPr>
                <w:bCs/>
                <w:sz w:val="22"/>
                <w:szCs w:val="22"/>
                <w:lang w:val="ga"/>
              </w:rPr>
              <w:t>An % d’fhostaithe a thuairiscigh</w:t>
            </w:r>
          </w:p>
          <w:p w14:paraId="379E694B" w14:textId="77777777" w:rsidR="00031890" w:rsidRPr="00B14E6C" w:rsidRDefault="00031890" w:rsidP="00031890">
            <w:pPr>
              <w:pStyle w:val="TableHead"/>
              <w:rPr>
                <w:sz w:val="22"/>
                <w:szCs w:val="22"/>
              </w:rPr>
            </w:pPr>
            <w:r w:rsidRPr="00B14E6C">
              <w:rPr>
                <w:bCs/>
                <w:sz w:val="22"/>
                <w:szCs w:val="22"/>
                <w:lang w:val="ga"/>
              </w:rPr>
              <w:t>míchumas 2020</w:t>
            </w:r>
          </w:p>
        </w:tc>
        <w:tc>
          <w:tcPr>
            <w:tcW w:w="1701" w:type="dxa"/>
          </w:tcPr>
          <w:p w14:paraId="0893DE19" w14:textId="77777777" w:rsidR="00F50F03" w:rsidRPr="00B14E6C" w:rsidRDefault="00031890" w:rsidP="00031890">
            <w:pPr>
              <w:pStyle w:val="TableHead"/>
              <w:rPr>
                <w:bCs/>
                <w:sz w:val="22"/>
                <w:szCs w:val="22"/>
                <w:lang w:val="ga"/>
              </w:rPr>
            </w:pPr>
            <w:r w:rsidRPr="00B14E6C">
              <w:rPr>
                <w:bCs/>
                <w:sz w:val="22"/>
                <w:szCs w:val="22"/>
                <w:lang w:val="ga"/>
              </w:rPr>
              <w:t xml:space="preserve">An líon iomlán fostaithe </w:t>
            </w:r>
          </w:p>
          <w:p w14:paraId="533A351E" w14:textId="71A6017C" w:rsidR="00031890" w:rsidRPr="00B14E6C" w:rsidRDefault="00031890" w:rsidP="00031890">
            <w:pPr>
              <w:pStyle w:val="TableHead"/>
              <w:rPr>
                <w:sz w:val="22"/>
                <w:szCs w:val="22"/>
              </w:rPr>
            </w:pPr>
            <w:r w:rsidRPr="00B14E6C">
              <w:rPr>
                <w:bCs/>
                <w:sz w:val="22"/>
                <w:szCs w:val="22"/>
                <w:lang w:val="ga"/>
              </w:rPr>
              <w:t>2021</w:t>
            </w:r>
          </w:p>
        </w:tc>
        <w:tc>
          <w:tcPr>
            <w:tcW w:w="1559" w:type="dxa"/>
          </w:tcPr>
          <w:p w14:paraId="7B1495B0" w14:textId="77777777" w:rsidR="00031890" w:rsidRPr="00B14E6C" w:rsidRDefault="00031890" w:rsidP="00031890">
            <w:pPr>
              <w:pStyle w:val="TableHead"/>
              <w:rPr>
                <w:sz w:val="22"/>
                <w:szCs w:val="22"/>
              </w:rPr>
            </w:pPr>
            <w:r w:rsidRPr="00B14E6C">
              <w:rPr>
                <w:bCs/>
                <w:sz w:val="22"/>
                <w:szCs w:val="22"/>
                <w:lang w:val="ga"/>
              </w:rPr>
              <w:t xml:space="preserve">An líon fostaithe a thuairiscigh míchumas </w:t>
            </w:r>
          </w:p>
          <w:p w14:paraId="5FBF8050" w14:textId="77777777" w:rsidR="00031890" w:rsidRPr="00B14E6C" w:rsidRDefault="00031890" w:rsidP="00031890">
            <w:pPr>
              <w:pStyle w:val="TableHead"/>
              <w:rPr>
                <w:sz w:val="22"/>
                <w:szCs w:val="22"/>
              </w:rPr>
            </w:pPr>
            <w:r w:rsidRPr="00B14E6C">
              <w:rPr>
                <w:bCs/>
                <w:sz w:val="22"/>
                <w:szCs w:val="22"/>
                <w:lang w:val="ga"/>
              </w:rPr>
              <w:t>2021</w:t>
            </w:r>
          </w:p>
        </w:tc>
        <w:tc>
          <w:tcPr>
            <w:tcW w:w="1701" w:type="dxa"/>
          </w:tcPr>
          <w:p w14:paraId="50AA752C" w14:textId="77777777" w:rsidR="00031890" w:rsidRPr="00B14E6C" w:rsidRDefault="00031890" w:rsidP="00031890">
            <w:pPr>
              <w:pStyle w:val="TableHead"/>
              <w:rPr>
                <w:sz w:val="22"/>
                <w:szCs w:val="22"/>
              </w:rPr>
            </w:pPr>
            <w:r w:rsidRPr="00B14E6C">
              <w:rPr>
                <w:bCs/>
                <w:sz w:val="22"/>
                <w:szCs w:val="22"/>
                <w:lang w:val="ga"/>
              </w:rPr>
              <w:t>An % d’fhostaithe a thuairiscigh</w:t>
            </w:r>
          </w:p>
          <w:p w14:paraId="365DF958" w14:textId="77777777" w:rsidR="00031890" w:rsidRPr="00B14E6C" w:rsidRDefault="00031890" w:rsidP="00031890">
            <w:pPr>
              <w:pStyle w:val="TableHead"/>
              <w:rPr>
                <w:sz w:val="22"/>
                <w:szCs w:val="22"/>
              </w:rPr>
            </w:pPr>
            <w:r w:rsidRPr="00B14E6C">
              <w:rPr>
                <w:bCs/>
                <w:sz w:val="22"/>
                <w:szCs w:val="22"/>
                <w:lang w:val="ga"/>
              </w:rPr>
              <w:t>míchumas</w:t>
            </w:r>
          </w:p>
          <w:p w14:paraId="4E336F13" w14:textId="77777777" w:rsidR="00031890" w:rsidRPr="00B14E6C" w:rsidRDefault="00031890" w:rsidP="00031890">
            <w:pPr>
              <w:pStyle w:val="TableHead"/>
              <w:rPr>
                <w:sz w:val="22"/>
                <w:szCs w:val="22"/>
              </w:rPr>
            </w:pPr>
            <w:r w:rsidRPr="00B14E6C">
              <w:rPr>
                <w:bCs/>
                <w:sz w:val="22"/>
                <w:szCs w:val="22"/>
                <w:lang w:val="ga"/>
              </w:rPr>
              <w:t xml:space="preserve"> 2021</w:t>
            </w:r>
          </w:p>
        </w:tc>
      </w:tr>
      <w:tr w:rsidR="00031890" w:rsidRPr="00D51778" w14:paraId="2A785B9E" w14:textId="77777777" w:rsidTr="00031890">
        <w:tc>
          <w:tcPr>
            <w:tcW w:w="1701" w:type="dxa"/>
            <w:vAlign w:val="bottom"/>
          </w:tcPr>
          <w:p w14:paraId="7290135C" w14:textId="77777777" w:rsidR="00031890" w:rsidRPr="00D51778" w:rsidRDefault="00031890" w:rsidP="00031890">
            <w:pPr>
              <w:rPr>
                <w:sz w:val="22"/>
                <w:szCs w:val="22"/>
              </w:rPr>
            </w:pPr>
            <w:r w:rsidRPr="00D51778">
              <w:rPr>
                <w:rFonts w:cs="Calibri"/>
                <w:color w:val="000000"/>
                <w:sz w:val="22"/>
                <w:szCs w:val="22"/>
                <w:lang w:val="ga"/>
              </w:rPr>
              <w:t xml:space="preserve">Sábháilteacht Uisce Éireann </w:t>
            </w:r>
          </w:p>
        </w:tc>
        <w:tc>
          <w:tcPr>
            <w:tcW w:w="1701" w:type="dxa"/>
          </w:tcPr>
          <w:p w14:paraId="1C43A311" w14:textId="77777777" w:rsidR="00031890" w:rsidRPr="00D51778" w:rsidRDefault="00031890" w:rsidP="00031890">
            <w:pPr>
              <w:jc w:val="right"/>
              <w:rPr>
                <w:sz w:val="22"/>
                <w:szCs w:val="22"/>
              </w:rPr>
            </w:pPr>
            <w:r w:rsidRPr="00D51778">
              <w:rPr>
                <w:rFonts w:cs="Calibri"/>
                <w:color w:val="000000"/>
                <w:sz w:val="22"/>
                <w:szCs w:val="22"/>
                <w:lang w:val="ga"/>
              </w:rPr>
              <w:t>8</w:t>
            </w:r>
          </w:p>
        </w:tc>
        <w:tc>
          <w:tcPr>
            <w:tcW w:w="1418" w:type="dxa"/>
          </w:tcPr>
          <w:p w14:paraId="69D3735A" w14:textId="77777777" w:rsidR="00031890" w:rsidRPr="00D51778" w:rsidRDefault="00031890" w:rsidP="00031890">
            <w:pPr>
              <w:jc w:val="right"/>
              <w:rPr>
                <w:sz w:val="22"/>
                <w:szCs w:val="22"/>
              </w:rPr>
            </w:pPr>
            <w:r w:rsidRPr="00D51778">
              <w:rPr>
                <w:rFonts w:cs="Calibri"/>
                <w:color w:val="000000"/>
                <w:sz w:val="22"/>
                <w:szCs w:val="22"/>
                <w:lang w:val="ga"/>
              </w:rPr>
              <w:t>0</w:t>
            </w:r>
          </w:p>
        </w:tc>
        <w:tc>
          <w:tcPr>
            <w:tcW w:w="1559" w:type="dxa"/>
          </w:tcPr>
          <w:p w14:paraId="6FFD3C07" w14:textId="77777777" w:rsidR="00031890" w:rsidRPr="00D51778" w:rsidRDefault="00031890" w:rsidP="00031890">
            <w:pPr>
              <w:jc w:val="right"/>
              <w:rPr>
                <w:sz w:val="22"/>
                <w:szCs w:val="22"/>
              </w:rPr>
            </w:pPr>
            <w:r w:rsidRPr="00D51778">
              <w:rPr>
                <w:rFonts w:cs="Calibri"/>
                <w:color w:val="000000"/>
                <w:sz w:val="22"/>
                <w:szCs w:val="22"/>
                <w:lang w:val="ga"/>
              </w:rPr>
              <w:t>0.0%</w:t>
            </w:r>
          </w:p>
        </w:tc>
        <w:tc>
          <w:tcPr>
            <w:tcW w:w="1701" w:type="dxa"/>
          </w:tcPr>
          <w:p w14:paraId="60F4CDCE" w14:textId="77777777" w:rsidR="00031890" w:rsidRPr="00D51778" w:rsidRDefault="00031890" w:rsidP="00031890">
            <w:pPr>
              <w:jc w:val="right"/>
              <w:rPr>
                <w:sz w:val="22"/>
                <w:szCs w:val="22"/>
              </w:rPr>
            </w:pPr>
            <w:r w:rsidRPr="00D51778">
              <w:rPr>
                <w:rFonts w:cs="Calibri"/>
                <w:color w:val="000000"/>
                <w:sz w:val="22"/>
                <w:szCs w:val="22"/>
                <w:lang w:val="ga"/>
              </w:rPr>
              <w:t>9</w:t>
            </w:r>
          </w:p>
        </w:tc>
        <w:tc>
          <w:tcPr>
            <w:tcW w:w="1559" w:type="dxa"/>
          </w:tcPr>
          <w:p w14:paraId="2A883C04" w14:textId="77777777" w:rsidR="00031890" w:rsidRPr="00D51778" w:rsidRDefault="00031890" w:rsidP="00031890">
            <w:pPr>
              <w:jc w:val="right"/>
              <w:rPr>
                <w:sz w:val="22"/>
                <w:szCs w:val="22"/>
              </w:rPr>
            </w:pPr>
            <w:r w:rsidRPr="00D51778">
              <w:rPr>
                <w:rFonts w:cs="Calibri"/>
                <w:color w:val="000000"/>
                <w:sz w:val="22"/>
                <w:szCs w:val="22"/>
                <w:lang w:val="ga"/>
              </w:rPr>
              <w:t>0</w:t>
            </w:r>
          </w:p>
        </w:tc>
        <w:tc>
          <w:tcPr>
            <w:tcW w:w="1701" w:type="dxa"/>
          </w:tcPr>
          <w:p w14:paraId="477339AC" w14:textId="77777777" w:rsidR="00031890" w:rsidRPr="00D51778" w:rsidRDefault="00031890" w:rsidP="00031890">
            <w:pPr>
              <w:jc w:val="right"/>
              <w:rPr>
                <w:sz w:val="22"/>
                <w:szCs w:val="22"/>
              </w:rPr>
            </w:pPr>
            <w:r w:rsidRPr="00D51778">
              <w:rPr>
                <w:rFonts w:cs="Calibri"/>
                <w:color w:val="000000"/>
                <w:sz w:val="22"/>
                <w:szCs w:val="22"/>
                <w:lang w:val="ga"/>
              </w:rPr>
              <w:t>0.0%</w:t>
            </w:r>
          </w:p>
        </w:tc>
      </w:tr>
      <w:tr w:rsidR="00031890" w:rsidRPr="00D51778" w14:paraId="529F96E2" w14:textId="77777777" w:rsidTr="00031890">
        <w:tc>
          <w:tcPr>
            <w:tcW w:w="1701" w:type="dxa"/>
            <w:vAlign w:val="bottom"/>
          </w:tcPr>
          <w:p w14:paraId="665F97F5" w14:textId="77777777" w:rsidR="00031890" w:rsidRPr="00D51778" w:rsidRDefault="00031890" w:rsidP="00031890">
            <w:pPr>
              <w:rPr>
                <w:sz w:val="22"/>
                <w:szCs w:val="22"/>
              </w:rPr>
            </w:pPr>
            <w:r w:rsidRPr="00D51778">
              <w:rPr>
                <w:rFonts w:cs="Calibri"/>
                <w:color w:val="000000"/>
                <w:sz w:val="22"/>
                <w:szCs w:val="22"/>
                <w:lang w:val="ga"/>
              </w:rPr>
              <w:t>Coimisiún Forbartha an Iarthair</w:t>
            </w:r>
          </w:p>
        </w:tc>
        <w:tc>
          <w:tcPr>
            <w:tcW w:w="1701" w:type="dxa"/>
          </w:tcPr>
          <w:p w14:paraId="7C5590DB" w14:textId="77777777" w:rsidR="00031890" w:rsidRPr="00D51778" w:rsidRDefault="00031890" w:rsidP="00031890">
            <w:pPr>
              <w:jc w:val="right"/>
              <w:rPr>
                <w:sz w:val="22"/>
                <w:szCs w:val="22"/>
              </w:rPr>
            </w:pPr>
            <w:r w:rsidRPr="00D51778">
              <w:rPr>
                <w:rFonts w:cs="Calibri"/>
                <w:color w:val="000000"/>
                <w:sz w:val="22"/>
                <w:szCs w:val="22"/>
                <w:lang w:val="ga"/>
              </w:rPr>
              <w:t>25</w:t>
            </w:r>
          </w:p>
        </w:tc>
        <w:tc>
          <w:tcPr>
            <w:tcW w:w="1418" w:type="dxa"/>
          </w:tcPr>
          <w:p w14:paraId="79A30F40" w14:textId="77777777" w:rsidR="00031890" w:rsidRPr="00D51778" w:rsidRDefault="00031890" w:rsidP="00031890">
            <w:pPr>
              <w:jc w:val="right"/>
              <w:rPr>
                <w:sz w:val="22"/>
                <w:szCs w:val="22"/>
              </w:rPr>
            </w:pPr>
            <w:r w:rsidRPr="00D51778">
              <w:rPr>
                <w:rFonts w:cs="Calibri"/>
                <w:color w:val="000000"/>
                <w:sz w:val="22"/>
                <w:szCs w:val="22"/>
                <w:lang w:val="ga"/>
              </w:rPr>
              <w:t>1</w:t>
            </w:r>
          </w:p>
        </w:tc>
        <w:tc>
          <w:tcPr>
            <w:tcW w:w="1559" w:type="dxa"/>
          </w:tcPr>
          <w:p w14:paraId="7F8D0774" w14:textId="77777777" w:rsidR="00031890" w:rsidRPr="00D51778" w:rsidRDefault="00031890" w:rsidP="00031890">
            <w:pPr>
              <w:jc w:val="right"/>
              <w:rPr>
                <w:sz w:val="22"/>
                <w:szCs w:val="22"/>
              </w:rPr>
            </w:pPr>
            <w:r w:rsidRPr="00D51778">
              <w:rPr>
                <w:rFonts w:cs="Calibri"/>
                <w:color w:val="000000"/>
                <w:sz w:val="22"/>
                <w:szCs w:val="22"/>
                <w:lang w:val="ga"/>
              </w:rPr>
              <w:t>4.0%</w:t>
            </w:r>
          </w:p>
        </w:tc>
        <w:tc>
          <w:tcPr>
            <w:tcW w:w="1701" w:type="dxa"/>
          </w:tcPr>
          <w:p w14:paraId="6063DB0F" w14:textId="77777777" w:rsidR="00031890" w:rsidRPr="00D51778" w:rsidRDefault="00031890" w:rsidP="00031890">
            <w:pPr>
              <w:jc w:val="right"/>
              <w:rPr>
                <w:sz w:val="22"/>
                <w:szCs w:val="22"/>
              </w:rPr>
            </w:pPr>
            <w:r w:rsidRPr="00D51778">
              <w:rPr>
                <w:rFonts w:cs="Calibri"/>
                <w:color w:val="000000"/>
                <w:sz w:val="22"/>
                <w:szCs w:val="22"/>
                <w:lang w:val="ga"/>
              </w:rPr>
              <w:t>28</w:t>
            </w:r>
          </w:p>
        </w:tc>
        <w:tc>
          <w:tcPr>
            <w:tcW w:w="1559" w:type="dxa"/>
          </w:tcPr>
          <w:p w14:paraId="71D7BA45" w14:textId="77777777" w:rsidR="00031890" w:rsidRPr="00D51778" w:rsidRDefault="00031890" w:rsidP="00031890">
            <w:pPr>
              <w:jc w:val="right"/>
              <w:rPr>
                <w:sz w:val="22"/>
                <w:szCs w:val="22"/>
              </w:rPr>
            </w:pPr>
            <w:r w:rsidRPr="00D51778">
              <w:rPr>
                <w:rFonts w:cs="Calibri"/>
                <w:color w:val="000000"/>
                <w:sz w:val="22"/>
                <w:szCs w:val="22"/>
                <w:lang w:val="ga"/>
              </w:rPr>
              <w:t>3</w:t>
            </w:r>
          </w:p>
        </w:tc>
        <w:tc>
          <w:tcPr>
            <w:tcW w:w="1701" w:type="dxa"/>
          </w:tcPr>
          <w:p w14:paraId="7C11D183" w14:textId="77777777" w:rsidR="00031890" w:rsidRPr="00D51778" w:rsidRDefault="00031890" w:rsidP="00031890">
            <w:pPr>
              <w:jc w:val="right"/>
              <w:rPr>
                <w:sz w:val="22"/>
                <w:szCs w:val="22"/>
              </w:rPr>
            </w:pPr>
            <w:r w:rsidRPr="00D51778">
              <w:rPr>
                <w:rFonts w:cs="Calibri"/>
                <w:color w:val="000000"/>
                <w:sz w:val="22"/>
                <w:szCs w:val="22"/>
                <w:lang w:val="ga"/>
              </w:rPr>
              <w:t>10.7%</w:t>
            </w:r>
          </w:p>
        </w:tc>
      </w:tr>
      <w:tr w:rsidR="00031890" w:rsidRPr="00D51778" w14:paraId="3A58842D" w14:textId="77777777" w:rsidTr="00031890">
        <w:tc>
          <w:tcPr>
            <w:tcW w:w="1701" w:type="dxa"/>
          </w:tcPr>
          <w:p w14:paraId="4F6C4586" w14:textId="77777777" w:rsidR="00031890" w:rsidRPr="00D51778" w:rsidRDefault="00031890" w:rsidP="00031890">
            <w:pPr>
              <w:pStyle w:val="TableHead"/>
              <w:rPr>
                <w:sz w:val="22"/>
                <w:szCs w:val="22"/>
              </w:rPr>
            </w:pPr>
            <w:r w:rsidRPr="00D51778">
              <w:rPr>
                <w:bCs/>
                <w:sz w:val="22"/>
                <w:szCs w:val="22"/>
                <w:lang w:val="ga"/>
              </w:rPr>
              <w:t xml:space="preserve">Mór-Iomlán </w:t>
            </w:r>
          </w:p>
        </w:tc>
        <w:tc>
          <w:tcPr>
            <w:tcW w:w="1701" w:type="dxa"/>
          </w:tcPr>
          <w:p w14:paraId="07B41554" w14:textId="77777777" w:rsidR="00031890" w:rsidRPr="00D51778" w:rsidRDefault="00031890" w:rsidP="00031890">
            <w:pPr>
              <w:spacing w:after="0"/>
              <w:jc w:val="right"/>
              <w:rPr>
                <w:rFonts w:cs="Calibri"/>
                <w:b/>
                <w:bCs/>
                <w:color w:val="000000"/>
                <w:sz w:val="22"/>
                <w:szCs w:val="22"/>
              </w:rPr>
            </w:pPr>
            <w:r w:rsidRPr="00D51778">
              <w:rPr>
                <w:rFonts w:cs="Calibri"/>
                <w:b/>
                <w:bCs/>
                <w:color w:val="000000"/>
                <w:sz w:val="22"/>
                <w:szCs w:val="22"/>
                <w:lang w:val="ga"/>
              </w:rPr>
              <w:t>33</w:t>
            </w:r>
          </w:p>
          <w:p w14:paraId="22A2DD5B" w14:textId="77777777" w:rsidR="00031890" w:rsidRPr="00D51778" w:rsidRDefault="00031890" w:rsidP="00031890">
            <w:pPr>
              <w:jc w:val="right"/>
              <w:rPr>
                <w:b/>
                <w:sz w:val="22"/>
                <w:szCs w:val="22"/>
              </w:rPr>
            </w:pPr>
          </w:p>
        </w:tc>
        <w:tc>
          <w:tcPr>
            <w:tcW w:w="1418" w:type="dxa"/>
          </w:tcPr>
          <w:p w14:paraId="5D12BB7B" w14:textId="77777777" w:rsidR="00031890" w:rsidRPr="00D51778" w:rsidRDefault="00031890" w:rsidP="00031890">
            <w:pPr>
              <w:spacing w:after="0"/>
              <w:jc w:val="right"/>
              <w:rPr>
                <w:rFonts w:cs="Calibri"/>
                <w:b/>
                <w:bCs/>
                <w:color w:val="000000"/>
                <w:sz w:val="22"/>
                <w:szCs w:val="22"/>
              </w:rPr>
            </w:pPr>
            <w:r w:rsidRPr="00D51778">
              <w:rPr>
                <w:rFonts w:cs="Calibri"/>
                <w:b/>
                <w:bCs/>
                <w:color w:val="000000"/>
                <w:sz w:val="22"/>
                <w:szCs w:val="22"/>
                <w:lang w:val="ga"/>
              </w:rPr>
              <w:t>1</w:t>
            </w:r>
          </w:p>
          <w:p w14:paraId="32AF4C34" w14:textId="77777777" w:rsidR="00031890" w:rsidRPr="00D51778" w:rsidRDefault="00031890" w:rsidP="00031890">
            <w:pPr>
              <w:jc w:val="right"/>
              <w:rPr>
                <w:b/>
                <w:sz w:val="22"/>
                <w:szCs w:val="22"/>
              </w:rPr>
            </w:pPr>
          </w:p>
        </w:tc>
        <w:tc>
          <w:tcPr>
            <w:tcW w:w="1559" w:type="dxa"/>
          </w:tcPr>
          <w:p w14:paraId="0A0B3DA9" w14:textId="77777777" w:rsidR="00031890" w:rsidRPr="00D51778" w:rsidRDefault="00031890" w:rsidP="00031890">
            <w:pPr>
              <w:jc w:val="right"/>
              <w:rPr>
                <w:b/>
                <w:sz w:val="22"/>
                <w:szCs w:val="22"/>
              </w:rPr>
            </w:pPr>
            <w:r w:rsidRPr="00D51778">
              <w:rPr>
                <w:b/>
                <w:bCs/>
                <w:sz w:val="22"/>
                <w:szCs w:val="22"/>
                <w:lang w:val="ga"/>
              </w:rPr>
              <w:t>3.0%</w:t>
            </w:r>
          </w:p>
        </w:tc>
        <w:tc>
          <w:tcPr>
            <w:tcW w:w="1701" w:type="dxa"/>
          </w:tcPr>
          <w:p w14:paraId="6C493CE8" w14:textId="77777777" w:rsidR="00031890" w:rsidRPr="00D51778" w:rsidRDefault="00031890" w:rsidP="00031890">
            <w:pPr>
              <w:spacing w:after="0"/>
              <w:jc w:val="right"/>
              <w:rPr>
                <w:rFonts w:cs="Calibri"/>
                <w:b/>
                <w:bCs/>
                <w:color w:val="000000"/>
                <w:sz w:val="22"/>
                <w:szCs w:val="22"/>
              </w:rPr>
            </w:pPr>
            <w:r w:rsidRPr="00D51778">
              <w:rPr>
                <w:rFonts w:cs="Calibri"/>
                <w:b/>
                <w:bCs/>
                <w:color w:val="000000"/>
                <w:sz w:val="22"/>
                <w:szCs w:val="22"/>
                <w:lang w:val="ga"/>
              </w:rPr>
              <w:t>37</w:t>
            </w:r>
          </w:p>
          <w:p w14:paraId="50B2792E" w14:textId="77777777" w:rsidR="00031890" w:rsidRPr="00D51778" w:rsidRDefault="00031890" w:rsidP="00031890">
            <w:pPr>
              <w:jc w:val="right"/>
              <w:rPr>
                <w:b/>
                <w:sz w:val="22"/>
                <w:szCs w:val="22"/>
              </w:rPr>
            </w:pPr>
          </w:p>
        </w:tc>
        <w:tc>
          <w:tcPr>
            <w:tcW w:w="1559" w:type="dxa"/>
          </w:tcPr>
          <w:p w14:paraId="69DFBEF0" w14:textId="77777777" w:rsidR="00031890" w:rsidRPr="00D51778" w:rsidRDefault="00031890" w:rsidP="00031890">
            <w:pPr>
              <w:spacing w:after="0"/>
              <w:jc w:val="right"/>
              <w:rPr>
                <w:rFonts w:cs="Calibri"/>
                <w:b/>
                <w:bCs/>
                <w:color w:val="000000"/>
                <w:sz w:val="22"/>
                <w:szCs w:val="22"/>
              </w:rPr>
            </w:pPr>
            <w:r w:rsidRPr="00D51778">
              <w:rPr>
                <w:rFonts w:cs="Calibri"/>
                <w:b/>
                <w:bCs/>
                <w:color w:val="000000"/>
                <w:sz w:val="22"/>
                <w:szCs w:val="22"/>
                <w:lang w:val="ga"/>
              </w:rPr>
              <w:t>3</w:t>
            </w:r>
          </w:p>
          <w:p w14:paraId="47ACE63D" w14:textId="77777777" w:rsidR="00031890" w:rsidRPr="00D51778" w:rsidRDefault="00031890" w:rsidP="00031890">
            <w:pPr>
              <w:jc w:val="right"/>
              <w:rPr>
                <w:b/>
                <w:sz w:val="22"/>
                <w:szCs w:val="22"/>
              </w:rPr>
            </w:pPr>
          </w:p>
        </w:tc>
        <w:tc>
          <w:tcPr>
            <w:tcW w:w="1701" w:type="dxa"/>
          </w:tcPr>
          <w:p w14:paraId="4F097EF6" w14:textId="77777777" w:rsidR="00031890" w:rsidRPr="00D51778" w:rsidRDefault="00031890" w:rsidP="00031890">
            <w:pPr>
              <w:jc w:val="right"/>
              <w:rPr>
                <w:b/>
                <w:sz w:val="22"/>
                <w:szCs w:val="22"/>
              </w:rPr>
            </w:pPr>
            <w:r w:rsidRPr="00D51778">
              <w:rPr>
                <w:b/>
                <w:bCs/>
                <w:sz w:val="22"/>
                <w:szCs w:val="22"/>
                <w:lang w:val="ga"/>
              </w:rPr>
              <w:t>8.1%</w:t>
            </w:r>
          </w:p>
        </w:tc>
      </w:tr>
    </w:tbl>
    <w:p w14:paraId="71DF4C0D" w14:textId="77777777" w:rsidR="000D5C5D" w:rsidRPr="00D51778" w:rsidRDefault="000D5C5D" w:rsidP="000D5C5D"/>
    <w:p w14:paraId="6F391ABE" w14:textId="77777777" w:rsidR="000D5C5D" w:rsidRPr="00D51778" w:rsidRDefault="000D5C5D" w:rsidP="001624B2">
      <w:pPr>
        <w:pStyle w:val="Heading2"/>
        <w:jc w:val="center"/>
        <w:rPr>
          <w:color w:val="000000" w:themeColor="text1"/>
        </w:rPr>
      </w:pPr>
    </w:p>
    <w:p w14:paraId="15BB695F" w14:textId="6D805490" w:rsidR="00C55ED5" w:rsidRPr="00D51778" w:rsidRDefault="00C55ED5" w:rsidP="001624B2">
      <w:pPr>
        <w:pStyle w:val="Heading2"/>
        <w:jc w:val="center"/>
        <w:rPr>
          <w:color w:val="000000" w:themeColor="text1"/>
        </w:rPr>
      </w:pPr>
      <w:bookmarkStart w:id="78" w:name="_Toc124367426"/>
      <w:r w:rsidRPr="00D51778">
        <w:rPr>
          <w:bCs/>
          <w:color w:val="000000" w:themeColor="text1"/>
          <w:lang w:val="ga"/>
        </w:rPr>
        <w:t>An Roinn Coimirce Sóisialaí</w:t>
      </w:r>
      <w:bookmarkEnd w:id="78"/>
    </w:p>
    <w:tbl>
      <w:tblPr>
        <w:tblStyle w:val="TableGrid"/>
        <w:tblpPr w:leftFromText="180" w:rightFromText="180" w:vertAnchor="text" w:horzAnchor="margin" w:tblpXSpec="center" w:tblpY="185"/>
        <w:tblW w:w="11340" w:type="dxa"/>
        <w:tblLayout w:type="fixed"/>
        <w:tblLook w:val="04A0" w:firstRow="1" w:lastRow="0" w:firstColumn="1" w:lastColumn="0" w:noHBand="0" w:noVBand="1"/>
        <w:tblCaption w:val="Department of Social Protection "/>
      </w:tblPr>
      <w:tblGrid>
        <w:gridCol w:w="1843"/>
        <w:gridCol w:w="1559"/>
        <w:gridCol w:w="1418"/>
        <w:gridCol w:w="1559"/>
        <w:gridCol w:w="1559"/>
        <w:gridCol w:w="1701"/>
        <w:gridCol w:w="1701"/>
      </w:tblGrid>
      <w:tr w:rsidR="00031890" w:rsidRPr="00D51778" w14:paraId="77ACFC3B" w14:textId="77777777" w:rsidTr="00031890">
        <w:trPr>
          <w:tblHeader/>
        </w:trPr>
        <w:tc>
          <w:tcPr>
            <w:tcW w:w="1843" w:type="dxa"/>
          </w:tcPr>
          <w:p w14:paraId="1EAAB95D" w14:textId="77777777" w:rsidR="00031890" w:rsidRPr="00D51778" w:rsidRDefault="00031890" w:rsidP="00031890">
            <w:pPr>
              <w:pStyle w:val="TableHead"/>
              <w:rPr>
                <w:sz w:val="22"/>
                <w:szCs w:val="22"/>
              </w:rPr>
            </w:pPr>
            <w:r w:rsidRPr="00D51778">
              <w:rPr>
                <w:bCs/>
                <w:sz w:val="22"/>
                <w:szCs w:val="22"/>
                <w:lang w:val="ga"/>
              </w:rPr>
              <w:t>Comhlacht Poiblí</w:t>
            </w:r>
          </w:p>
        </w:tc>
        <w:tc>
          <w:tcPr>
            <w:tcW w:w="1559" w:type="dxa"/>
          </w:tcPr>
          <w:p w14:paraId="1695EF1E" w14:textId="77777777" w:rsidR="00031890" w:rsidRPr="00D51778" w:rsidRDefault="00031890" w:rsidP="00031890">
            <w:pPr>
              <w:pStyle w:val="TableHead"/>
              <w:rPr>
                <w:sz w:val="22"/>
                <w:szCs w:val="22"/>
              </w:rPr>
            </w:pPr>
            <w:r w:rsidRPr="00D51778">
              <w:rPr>
                <w:bCs/>
                <w:sz w:val="22"/>
                <w:szCs w:val="22"/>
                <w:lang w:val="ga"/>
              </w:rPr>
              <w:t>An líon iomlán fostaithe 2020</w:t>
            </w:r>
          </w:p>
        </w:tc>
        <w:tc>
          <w:tcPr>
            <w:tcW w:w="1418" w:type="dxa"/>
          </w:tcPr>
          <w:p w14:paraId="11030C92" w14:textId="77777777" w:rsidR="00031890" w:rsidRPr="00D51778" w:rsidRDefault="00031890" w:rsidP="00031890">
            <w:pPr>
              <w:pStyle w:val="TableHead"/>
              <w:rPr>
                <w:sz w:val="22"/>
                <w:szCs w:val="22"/>
              </w:rPr>
            </w:pPr>
            <w:r w:rsidRPr="00D51778">
              <w:rPr>
                <w:bCs/>
                <w:sz w:val="22"/>
                <w:szCs w:val="22"/>
                <w:lang w:val="ga"/>
              </w:rPr>
              <w:t xml:space="preserve">An líon fostaithe a thuairiscigh míchumas </w:t>
            </w:r>
          </w:p>
          <w:p w14:paraId="3D05F922" w14:textId="77777777" w:rsidR="00031890" w:rsidRPr="00D51778" w:rsidRDefault="00031890" w:rsidP="00031890">
            <w:pPr>
              <w:pStyle w:val="TableHead"/>
              <w:rPr>
                <w:sz w:val="22"/>
                <w:szCs w:val="22"/>
              </w:rPr>
            </w:pPr>
            <w:r w:rsidRPr="00D51778">
              <w:rPr>
                <w:bCs/>
                <w:sz w:val="22"/>
                <w:szCs w:val="22"/>
                <w:lang w:val="ga"/>
              </w:rPr>
              <w:t>2020</w:t>
            </w:r>
          </w:p>
        </w:tc>
        <w:tc>
          <w:tcPr>
            <w:tcW w:w="1559" w:type="dxa"/>
          </w:tcPr>
          <w:p w14:paraId="29335AC1" w14:textId="77777777" w:rsidR="00031890" w:rsidRPr="00D51778" w:rsidRDefault="00031890" w:rsidP="00031890">
            <w:pPr>
              <w:pStyle w:val="TableHead"/>
              <w:rPr>
                <w:sz w:val="22"/>
                <w:szCs w:val="22"/>
              </w:rPr>
            </w:pPr>
            <w:r w:rsidRPr="00D51778">
              <w:rPr>
                <w:bCs/>
                <w:sz w:val="22"/>
                <w:szCs w:val="22"/>
                <w:lang w:val="ga"/>
              </w:rPr>
              <w:t>An % d’fhostaithe a thuairiscigh</w:t>
            </w:r>
          </w:p>
          <w:p w14:paraId="322D69F1" w14:textId="77777777" w:rsidR="00031890" w:rsidRPr="00D51778" w:rsidRDefault="00031890" w:rsidP="00031890">
            <w:pPr>
              <w:pStyle w:val="TableHead"/>
              <w:rPr>
                <w:sz w:val="22"/>
                <w:szCs w:val="22"/>
              </w:rPr>
            </w:pPr>
            <w:r w:rsidRPr="00D51778">
              <w:rPr>
                <w:bCs/>
                <w:sz w:val="22"/>
                <w:szCs w:val="22"/>
                <w:lang w:val="ga"/>
              </w:rPr>
              <w:t>míchumas 2020</w:t>
            </w:r>
          </w:p>
        </w:tc>
        <w:tc>
          <w:tcPr>
            <w:tcW w:w="1559" w:type="dxa"/>
          </w:tcPr>
          <w:p w14:paraId="13461580" w14:textId="77777777" w:rsidR="00031890" w:rsidRPr="00D51778" w:rsidRDefault="00031890" w:rsidP="00031890">
            <w:pPr>
              <w:pStyle w:val="TableHead"/>
              <w:rPr>
                <w:sz w:val="22"/>
                <w:szCs w:val="22"/>
              </w:rPr>
            </w:pPr>
            <w:r w:rsidRPr="00D51778">
              <w:rPr>
                <w:bCs/>
                <w:sz w:val="22"/>
                <w:szCs w:val="22"/>
                <w:lang w:val="ga"/>
              </w:rPr>
              <w:t>An líon iomlán fostaithe 2021</w:t>
            </w:r>
          </w:p>
        </w:tc>
        <w:tc>
          <w:tcPr>
            <w:tcW w:w="1701" w:type="dxa"/>
          </w:tcPr>
          <w:p w14:paraId="02B385E7" w14:textId="77777777" w:rsidR="00031890" w:rsidRPr="00D51778" w:rsidRDefault="00031890" w:rsidP="00031890">
            <w:pPr>
              <w:pStyle w:val="TableHead"/>
              <w:rPr>
                <w:sz w:val="22"/>
                <w:szCs w:val="22"/>
              </w:rPr>
            </w:pPr>
            <w:r w:rsidRPr="00D51778">
              <w:rPr>
                <w:bCs/>
                <w:sz w:val="22"/>
                <w:szCs w:val="22"/>
                <w:lang w:val="ga"/>
              </w:rPr>
              <w:t xml:space="preserve">An líon fostaithe a thuairiscigh míchumas </w:t>
            </w:r>
          </w:p>
          <w:p w14:paraId="3C249D73" w14:textId="77777777" w:rsidR="00031890" w:rsidRPr="00D51778" w:rsidRDefault="00031890" w:rsidP="00031890">
            <w:pPr>
              <w:pStyle w:val="TableHead"/>
              <w:rPr>
                <w:sz w:val="22"/>
                <w:szCs w:val="22"/>
              </w:rPr>
            </w:pPr>
            <w:r w:rsidRPr="00D51778">
              <w:rPr>
                <w:bCs/>
                <w:sz w:val="22"/>
                <w:szCs w:val="22"/>
                <w:lang w:val="ga"/>
              </w:rPr>
              <w:t>2021</w:t>
            </w:r>
          </w:p>
        </w:tc>
        <w:tc>
          <w:tcPr>
            <w:tcW w:w="1701" w:type="dxa"/>
          </w:tcPr>
          <w:p w14:paraId="63B916E6" w14:textId="77777777" w:rsidR="00031890" w:rsidRPr="00D51778" w:rsidRDefault="00031890" w:rsidP="00031890">
            <w:pPr>
              <w:pStyle w:val="TableHead"/>
              <w:rPr>
                <w:sz w:val="22"/>
                <w:szCs w:val="22"/>
              </w:rPr>
            </w:pPr>
            <w:r w:rsidRPr="00D51778">
              <w:rPr>
                <w:bCs/>
                <w:sz w:val="22"/>
                <w:szCs w:val="22"/>
                <w:lang w:val="ga"/>
              </w:rPr>
              <w:t>An % d’fhostaithe a thuairiscigh</w:t>
            </w:r>
          </w:p>
          <w:p w14:paraId="4EB06965" w14:textId="77777777" w:rsidR="00031890" w:rsidRPr="00D51778" w:rsidRDefault="00031890" w:rsidP="00031890">
            <w:pPr>
              <w:pStyle w:val="TableHead"/>
              <w:rPr>
                <w:sz w:val="22"/>
                <w:szCs w:val="22"/>
              </w:rPr>
            </w:pPr>
            <w:r w:rsidRPr="00D51778">
              <w:rPr>
                <w:bCs/>
                <w:sz w:val="22"/>
                <w:szCs w:val="22"/>
                <w:lang w:val="ga"/>
              </w:rPr>
              <w:t xml:space="preserve">míchumas </w:t>
            </w:r>
          </w:p>
          <w:p w14:paraId="60C81A7C" w14:textId="77777777" w:rsidR="00031890" w:rsidRPr="00D51778" w:rsidRDefault="00031890" w:rsidP="00031890">
            <w:pPr>
              <w:pStyle w:val="TableHead"/>
              <w:rPr>
                <w:sz w:val="22"/>
                <w:szCs w:val="22"/>
              </w:rPr>
            </w:pPr>
            <w:r w:rsidRPr="00D51778">
              <w:rPr>
                <w:bCs/>
                <w:sz w:val="22"/>
                <w:szCs w:val="22"/>
                <w:lang w:val="ga"/>
              </w:rPr>
              <w:t>2021</w:t>
            </w:r>
          </w:p>
        </w:tc>
      </w:tr>
      <w:tr w:rsidR="00031890" w:rsidRPr="00D51778" w14:paraId="76436FBF" w14:textId="77777777" w:rsidTr="00031890">
        <w:tc>
          <w:tcPr>
            <w:tcW w:w="1843" w:type="dxa"/>
            <w:vAlign w:val="bottom"/>
          </w:tcPr>
          <w:p w14:paraId="425566EF" w14:textId="77777777" w:rsidR="00031890" w:rsidRPr="00D51778" w:rsidRDefault="00031890" w:rsidP="00031890">
            <w:pPr>
              <w:rPr>
                <w:sz w:val="22"/>
                <w:szCs w:val="22"/>
              </w:rPr>
            </w:pPr>
            <w:r w:rsidRPr="00D51778">
              <w:rPr>
                <w:rFonts w:cs="Calibri"/>
                <w:color w:val="000000"/>
                <w:sz w:val="22"/>
                <w:szCs w:val="22"/>
                <w:lang w:val="ga"/>
              </w:rPr>
              <w:t>An Bord um Fhaisnéis do Shaoránaigh</w:t>
            </w:r>
          </w:p>
        </w:tc>
        <w:tc>
          <w:tcPr>
            <w:tcW w:w="1559" w:type="dxa"/>
          </w:tcPr>
          <w:p w14:paraId="615AB045" w14:textId="77777777" w:rsidR="00031890" w:rsidRPr="00D51778" w:rsidRDefault="00031890" w:rsidP="00031890">
            <w:pPr>
              <w:jc w:val="right"/>
              <w:rPr>
                <w:sz w:val="22"/>
                <w:szCs w:val="22"/>
              </w:rPr>
            </w:pPr>
            <w:r w:rsidRPr="00D51778">
              <w:rPr>
                <w:rFonts w:cs="Calibri"/>
                <w:color w:val="000000"/>
                <w:sz w:val="22"/>
                <w:szCs w:val="22"/>
                <w:lang w:val="ga"/>
              </w:rPr>
              <w:t>95</w:t>
            </w:r>
          </w:p>
        </w:tc>
        <w:tc>
          <w:tcPr>
            <w:tcW w:w="1418" w:type="dxa"/>
          </w:tcPr>
          <w:p w14:paraId="6F2931E9" w14:textId="77777777" w:rsidR="00031890" w:rsidRPr="00D51778" w:rsidRDefault="00031890" w:rsidP="00031890">
            <w:pPr>
              <w:jc w:val="right"/>
              <w:rPr>
                <w:sz w:val="22"/>
                <w:szCs w:val="22"/>
              </w:rPr>
            </w:pPr>
            <w:r w:rsidRPr="00D51778">
              <w:rPr>
                <w:rFonts w:cs="Calibri"/>
                <w:color w:val="000000"/>
                <w:sz w:val="22"/>
                <w:szCs w:val="22"/>
                <w:lang w:val="ga"/>
              </w:rPr>
              <w:t>11</w:t>
            </w:r>
          </w:p>
        </w:tc>
        <w:tc>
          <w:tcPr>
            <w:tcW w:w="1559" w:type="dxa"/>
          </w:tcPr>
          <w:p w14:paraId="1A6CB899" w14:textId="77777777" w:rsidR="00031890" w:rsidRPr="00D51778" w:rsidRDefault="00031890" w:rsidP="00031890">
            <w:pPr>
              <w:jc w:val="right"/>
              <w:rPr>
                <w:sz w:val="22"/>
                <w:szCs w:val="22"/>
              </w:rPr>
            </w:pPr>
            <w:r w:rsidRPr="00D51778">
              <w:rPr>
                <w:rFonts w:cs="Calibri"/>
                <w:color w:val="000000"/>
                <w:sz w:val="22"/>
                <w:szCs w:val="22"/>
                <w:lang w:val="ga"/>
              </w:rPr>
              <w:t>11.6%</w:t>
            </w:r>
          </w:p>
        </w:tc>
        <w:tc>
          <w:tcPr>
            <w:tcW w:w="1559" w:type="dxa"/>
          </w:tcPr>
          <w:p w14:paraId="57F29049" w14:textId="77777777" w:rsidR="00031890" w:rsidRPr="00D51778" w:rsidRDefault="00031890" w:rsidP="00031890">
            <w:pPr>
              <w:jc w:val="right"/>
              <w:rPr>
                <w:sz w:val="22"/>
                <w:szCs w:val="22"/>
              </w:rPr>
            </w:pPr>
            <w:r w:rsidRPr="00D51778">
              <w:rPr>
                <w:rFonts w:cs="Calibri"/>
                <w:color w:val="000000"/>
                <w:sz w:val="22"/>
                <w:szCs w:val="22"/>
                <w:lang w:val="ga"/>
              </w:rPr>
              <w:t>88</w:t>
            </w:r>
          </w:p>
        </w:tc>
        <w:tc>
          <w:tcPr>
            <w:tcW w:w="1701" w:type="dxa"/>
          </w:tcPr>
          <w:p w14:paraId="0F961E09" w14:textId="77777777" w:rsidR="00031890" w:rsidRPr="00D51778" w:rsidRDefault="00031890" w:rsidP="00031890">
            <w:pPr>
              <w:jc w:val="right"/>
              <w:rPr>
                <w:sz w:val="22"/>
                <w:szCs w:val="22"/>
              </w:rPr>
            </w:pPr>
            <w:r w:rsidRPr="00D51778">
              <w:rPr>
                <w:rFonts w:cs="Calibri"/>
                <w:color w:val="000000"/>
                <w:sz w:val="22"/>
                <w:szCs w:val="22"/>
                <w:lang w:val="ga"/>
              </w:rPr>
              <w:t>9</w:t>
            </w:r>
          </w:p>
        </w:tc>
        <w:tc>
          <w:tcPr>
            <w:tcW w:w="1701" w:type="dxa"/>
          </w:tcPr>
          <w:p w14:paraId="0D0AE6C3" w14:textId="77777777" w:rsidR="00031890" w:rsidRPr="00D51778" w:rsidRDefault="00031890" w:rsidP="00031890">
            <w:pPr>
              <w:jc w:val="right"/>
              <w:rPr>
                <w:sz w:val="22"/>
                <w:szCs w:val="22"/>
              </w:rPr>
            </w:pPr>
            <w:r w:rsidRPr="00D51778">
              <w:rPr>
                <w:rFonts w:cs="Calibri"/>
                <w:color w:val="000000"/>
                <w:sz w:val="22"/>
                <w:szCs w:val="22"/>
                <w:lang w:val="ga"/>
              </w:rPr>
              <w:t>10.2%</w:t>
            </w:r>
          </w:p>
        </w:tc>
      </w:tr>
      <w:tr w:rsidR="00031890" w:rsidRPr="00D51778" w14:paraId="22C23807" w14:textId="77777777" w:rsidTr="00031890">
        <w:tc>
          <w:tcPr>
            <w:tcW w:w="1843" w:type="dxa"/>
            <w:vAlign w:val="bottom"/>
          </w:tcPr>
          <w:p w14:paraId="1422F956" w14:textId="77777777" w:rsidR="00031890" w:rsidRPr="00D51778" w:rsidRDefault="00031890" w:rsidP="00031890">
            <w:pPr>
              <w:rPr>
                <w:sz w:val="22"/>
                <w:szCs w:val="22"/>
              </w:rPr>
            </w:pPr>
            <w:r w:rsidRPr="00D51778">
              <w:rPr>
                <w:rFonts w:cs="Calibri"/>
                <w:color w:val="000000"/>
                <w:sz w:val="22"/>
                <w:szCs w:val="22"/>
                <w:lang w:val="ga"/>
              </w:rPr>
              <w:t>An tÚdarás Pinsean</w:t>
            </w:r>
          </w:p>
        </w:tc>
        <w:tc>
          <w:tcPr>
            <w:tcW w:w="1559" w:type="dxa"/>
          </w:tcPr>
          <w:p w14:paraId="1CC410F7" w14:textId="77777777" w:rsidR="00031890" w:rsidRPr="00D51778" w:rsidRDefault="00031890" w:rsidP="00031890">
            <w:pPr>
              <w:jc w:val="right"/>
              <w:rPr>
                <w:sz w:val="22"/>
                <w:szCs w:val="22"/>
              </w:rPr>
            </w:pPr>
            <w:r w:rsidRPr="00D51778">
              <w:rPr>
                <w:rFonts w:cs="Calibri"/>
                <w:color w:val="000000"/>
                <w:sz w:val="22"/>
                <w:szCs w:val="22"/>
                <w:lang w:val="ga"/>
              </w:rPr>
              <w:t>86</w:t>
            </w:r>
          </w:p>
        </w:tc>
        <w:tc>
          <w:tcPr>
            <w:tcW w:w="1418" w:type="dxa"/>
          </w:tcPr>
          <w:p w14:paraId="28CB9A77" w14:textId="77777777" w:rsidR="00031890" w:rsidRPr="00D51778" w:rsidRDefault="00031890" w:rsidP="00031890">
            <w:pPr>
              <w:jc w:val="right"/>
              <w:rPr>
                <w:sz w:val="22"/>
                <w:szCs w:val="22"/>
              </w:rPr>
            </w:pPr>
            <w:r w:rsidRPr="00D51778">
              <w:rPr>
                <w:rFonts w:cs="Calibri"/>
                <w:color w:val="000000"/>
                <w:sz w:val="22"/>
                <w:szCs w:val="22"/>
                <w:lang w:val="ga"/>
              </w:rPr>
              <w:t>8</w:t>
            </w:r>
          </w:p>
        </w:tc>
        <w:tc>
          <w:tcPr>
            <w:tcW w:w="1559" w:type="dxa"/>
          </w:tcPr>
          <w:p w14:paraId="25F18CB1" w14:textId="77777777" w:rsidR="00031890" w:rsidRPr="00D51778" w:rsidRDefault="00031890" w:rsidP="00031890">
            <w:pPr>
              <w:jc w:val="right"/>
              <w:rPr>
                <w:sz w:val="22"/>
                <w:szCs w:val="22"/>
              </w:rPr>
            </w:pPr>
            <w:r w:rsidRPr="00D51778">
              <w:rPr>
                <w:rFonts w:cs="Calibri"/>
                <w:color w:val="000000"/>
                <w:sz w:val="22"/>
                <w:szCs w:val="22"/>
                <w:lang w:val="ga"/>
              </w:rPr>
              <w:t>9.3%</w:t>
            </w:r>
          </w:p>
        </w:tc>
        <w:tc>
          <w:tcPr>
            <w:tcW w:w="1559" w:type="dxa"/>
          </w:tcPr>
          <w:p w14:paraId="3EAF2463" w14:textId="77777777" w:rsidR="00031890" w:rsidRPr="00D51778" w:rsidRDefault="00031890" w:rsidP="00031890">
            <w:pPr>
              <w:jc w:val="right"/>
              <w:rPr>
                <w:sz w:val="22"/>
                <w:szCs w:val="22"/>
              </w:rPr>
            </w:pPr>
            <w:r w:rsidRPr="00D51778">
              <w:rPr>
                <w:rFonts w:cs="Calibri"/>
                <w:color w:val="000000"/>
                <w:sz w:val="22"/>
                <w:szCs w:val="22"/>
                <w:lang w:val="ga"/>
              </w:rPr>
              <w:t>96</w:t>
            </w:r>
          </w:p>
        </w:tc>
        <w:tc>
          <w:tcPr>
            <w:tcW w:w="1701" w:type="dxa"/>
          </w:tcPr>
          <w:p w14:paraId="6013CBBF" w14:textId="77777777" w:rsidR="00031890" w:rsidRPr="00D51778" w:rsidRDefault="00031890" w:rsidP="00031890">
            <w:pPr>
              <w:jc w:val="right"/>
              <w:rPr>
                <w:sz w:val="22"/>
                <w:szCs w:val="22"/>
              </w:rPr>
            </w:pPr>
            <w:r w:rsidRPr="00D51778">
              <w:rPr>
                <w:rFonts w:cs="Calibri"/>
                <w:color w:val="000000"/>
                <w:sz w:val="22"/>
                <w:szCs w:val="22"/>
                <w:lang w:val="ga"/>
              </w:rPr>
              <w:t>8</w:t>
            </w:r>
          </w:p>
        </w:tc>
        <w:tc>
          <w:tcPr>
            <w:tcW w:w="1701" w:type="dxa"/>
          </w:tcPr>
          <w:p w14:paraId="727C39CC" w14:textId="77777777" w:rsidR="00031890" w:rsidRPr="00D51778" w:rsidRDefault="00031890" w:rsidP="00031890">
            <w:pPr>
              <w:jc w:val="right"/>
              <w:rPr>
                <w:sz w:val="22"/>
                <w:szCs w:val="22"/>
              </w:rPr>
            </w:pPr>
            <w:r w:rsidRPr="00D51778">
              <w:rPr>
                <w:rFonts w:cs="Calibri"/>
                <w:color w:val="000000"/>
                <w:sz w:val="22"/>
                <w:szCs w:val="22"/>
                <w:lang w:val="ga"/>
              </w:rPr>
              <w:t>8.3%</w:t>
            </w:r>
          </w:p>
        </w:tc>
      </w:tr>
      <w:tr w:rsidR="00031890" w:rsidRPr="00D51778" w14:paraId="18DE8346" w14:textId="77777777" w:rsidTr="00031890">
        <w:tc>
          <w:tcPr>
            <w:tcW w:w="1843" w:type="dxa"/>
          </w:tcPr>
          <w:p w14:paraId="0FEC3432" w14:textId="77777777" w:rsidR="00031890" w:rsidRPr="00D51778" w:rsidRDefault="00031890" w:rsidP="00031890">
            <w:pPr>
              <w:pStyle w:val="TableHead"/>
              <w:spacing w:after="240"/>
              <w:rPr>
                <w:sz w:val="22"/>
                <w:szCs w:val="22"/>
              </w:rPr>
            </w:pPr>
            <w:r w:rsidRPr="00D51778">
              <w:rPr>
                <w:bCs/>
                <w:sz w:val="22"/>
                <w:szCs w:val="22"/>
                <w:lang w:val="ga"/>
              </w:rPr>
              <w:t xml:space="preserve">Mór-Iomlán </w:t>
            </w:r>
          </w:p>
        </w:tc>
        <w:tc>
          <w:tcPr>
            <w:tcW w:w="1559" w:type="dxa"/>
          </w:tcPr>
          <w:p w14:paraId="739B18DC" w14:textId="77777777" w:rsidR="00031890" w:rsidRPr="00D51778" w:rsidRDefault="00031890" w:rsidP="00031890">
            <w:pPr>
              <w:pStyle w:val="TableHead"/>
              <w:spacing w:after="240"/>
              <w:jc w:val="right"/>
              <w:rPr>
                <w:sz w:val="22"/>
                <w:szCs w:val="22"/>
              </w:rPr>
            </w:pPr>
            <w:r w:rsidRPr="00D51778">
              <w:rPr>
                <w:bCs/>
                <w:sz w:val="22"/>
                <w:szCs w:val="22"/>
                <w:lang w:val="ga"/>
              </w:rPr>
              <w:t>181</w:t>
            </w:r>
          </w:p>
        </w:tc>
        <w:tc>
          <w:tcPr>
            <w:tcW w:w="1418" w:type="dxa"/>
          </w:tcPr>
          <w:p w14:paraId="2015A0B1" w14:textId="77777777" w:rsidR="00031890" w:rsidRPr="00D51778" w:rsidRDefault="00031890" w:rsidP="00031890">
            <w:pPr>
              <w:pStyle w:val="TableHead"/>
              <w:spacing w:after="240"/>
              <w:jc w:val="right"/>
              <w:rPr>
                <w:sz w:val="22"/>
                <w:szCs w:val="22"/>
              </w:rPr>
            </w:pPr>
            <w:r w:rsidRPr="00D51778">
              <w:rPr>
                <w:bCs/>
                <w:sz w:val="22"/>
                <w:szCs w:val="22"/>
                <w:lang w:val="ga"/>
              </w:rPr>
              <w:t>19</w:t>
            </w:r>
          </w:p>
        </w:tc>
        <w:tc>
          <w:tcPr>
            <w:tcW w:w="1559" w:type="dxa"/>
          </w:tcPr>
          <w:p w14:paraId="78C26802" w14:textId="77777777" w:rsidR="00031890" w:rsidRPr="00D51778" w:rsidRDefault="00031890" w:rsidP="00031890">
            <w:pPr>
              <w:pStyle w:val="TableHead"/>
              <w:spacing w:after="240"/>
              <w:jc w:val="right"/>
              <w:rPr>
                <w:sz w:val="22"/>
                <w:szCs w:val="22"/>
              </w:rPr>
            </w:pPr>
            <w:r w:rsidRPr="00D51778">
              <w:rPr>
                <w:bCs/>
                <w:sz w:val="22"/>
                <w:szCs w:val="22"/>
                <w:lang w:val="ga"/>
              </w:rPr>
              <w:t>10.5%</w:t>
            </w:r>
          </w:p>
        </w:tc>
        <w:tc>
          <w:tcPr>
            <w:tcW w:w="1559" w:type="dxa"/>
          </w:tcPr>
          <w:p w14:paraId="551D2064" w14:textId="77777777" w:rsidR="00031890" w:rsidRPr="00D51778" w:rsidRDefault="00031890" w:rsidP="00031890">
            <w:pPr>
              <w:pStyle w:val="TableHead"/>
              <w:spacing w:after="240"/>
              <w:jc w:val="right"/>
              <w:rPr>
                <w:sz w:val="22"/>
                <w:szCs w:val="22"/>
              </w:rPr>
            </w:pPr>
            <w:r w:rsidRPr="00D51778">
              <w:rPr>
                <w:bCs/>
                <w:sz w:val="22"/>
                <w:szCs w:val="22"/>
                <w:lang w:val="ga"/>
              </w:rPr>
              <w:t>184</w:t>
            </w:r>
          </w:p>
        </w:tc>
        <w:tc>
          <w:tcPr>
            <w:tcW w:w="1701" w:type="dxa"/>
          </w:tcPr>
          <w:p w14:paraId="59708C58" w14:textId="77777777" w:rsidR="00031890" w:rsidRPr="00D51778" w:rsidRDefault="00031890" w:rsidP="00031890">
            <w:pPr>
              <w:pStyle w:val="TableHead"/>
              <w:spacing w:after="240"/>
              <w:jc w:val="right"/>
              <w:rPr>
                <w:sz w:val="22"/>
                <w:szCs w:val="22"/>
              </w:rPr>
            </w:pPr>
            <w:r w:rsidRPr="00D51778">
              <w:rPr>
                <w:bCs/>
                <w:sz w:val="22"/>
                <w:szCs w:val="22"/>
                <w:lang w:val="ga"/>
              </w:rPr>
              <w:t>17</w:t>
            </w:r>
          </w:p>
        </w:tc>
        <w:tc>
          <w:tcPr>
            <w:tcW w:w="1701" w:type="dxa"/>
          </w:tcPr>
          <w:p w14:paraId="4DC4FB03" w14:textId="77777777" w:rsidR="00031890" w:rsidRPr="00D51778" w:rsidRDefault="00031890" w:rsidP="00031890">
            <w:pPr>
              <w:pStyle w:val="TableHead"/>
              <w:spacing w:after="240"/>
              <w:jc w:val="right"/>
              <w:rPr>
                <w:sz w:val="22"/>
                <w:szCs w:val="22"/>
              </w:rPr>
            </w:pPr>
            <w:r w:rsidRPr="00D51778">
              <w:rPr>
                <w:bCs/>
                <w:sz w:val="22"/>
                <w:szCs w:val="22"/>
                <w:lang w:val="ga"/>
              </w:rPr>
              <w:t>9.2%</w:t>
            </w:r>
          </w:p>
        </w:tc>
      </w:tr>
    </w:tbl>
    <w:p w14:paraId="1F77AB7A" w14:textId="47FF8710" w:rsidR="00751519" w:rsidRDefault="00751519" w:rsidP="000D5C5D"/>
    <w:p w14:paraId="30ED4568" w14:textId="77777777" w:rsidR="00751519" w:rsidRDefault="00751519">
      <w:pPr>
        <w:spacing w:after="0"/>
      </w:pPr>
      <w:r>
        <w:br w:type="page"/>
      </w:r>
    </w:p>
    <w:p w14:paraId="1F26AB6E" w14:textId="77777777" w:rsidR="00031890" w:rsidRPr="00D51778" w:rsidRDefault="00031890" w:rsidP="009C3631">
      <w:pPr>
        <w:pStyle w:val="Heading2"/>
        <w:rPr>
          <w:color w:val="000000" w:themeColor="text1"/>
        </w:rPr>
      </w:pPr>
    </w:p>
    <w:p w14:paraId="5859C064" w14:textId="39F24AA7" w:rsidR="00C95275" w:rsidRPr="00D51778" w:rsidRDefault="00C95275" w:rsidP="001624B2">
      <w:pPr>
        <w:pStyle w:val="Heading2"/>
        <w:jc w:val="center"/>
        <w:rPr>
          <w:color w:val="000000" w:themeColor="text1"/>
        </w:rPr>
      </w:pPr>
      <w:bookmarkStart w:id="79" w:name="_Toc124367427"/>
      <w:r w:rsidRPr="00D51778">
        <w:rPr>
          <w:bCs/>
          <w:color w:val="000000" w:themeColor="text1"/>
          <w:lang w:val="ga"/>
        </w:rPr>
        <w:t>An Roinn Comhshaoil, Aeráide agus Cumarsáide</w:t>
      </w:r>
      <w:bookmarkEnd w:id="79"/>
    </w:p>
    <w:tbl>
      <w:tblPr>
        <w:tblStyle w:val="TableGrid"/>
        <w:tblpPr w:leftFromText="180" w:rightFromText="180" w:vertAnchor="text" w:horzAnchor="margin" w:tblpXSpec="center" w:tblpY="165"/>
        <w:tblW w:w="11346" w:type="dxa"/>
        <w:tblLayout w:type="fixed"/>
        <w:tblLook w:val="04A0" w:firstRow="1" w:lastRow="0" w:firstColumn="1" w:lastColumn="0" w:noHBand="0" w:noVBand="1"/>
        <w:tblCaption w:val="Department of the Environment, Climate and Communications "/>
      </w:tblPr>
      <w:tblGrid>
        <w:gridCol w:w="1990"/>
        <w:gridCol w:w="1559"/>
        <w:gridCol w:w="1418"/>
        <w:gridCol w:w="1559"/>
        <w:gridCol w:w="1559"/>
        <w:gridCol w:w="1701"/>
        <w:gridCol w:w="1560"/>
      </w:tblGrid>
      <w:tr w:rsidR="001D6F34" w:rsidRPr="00D51778" w14:paraId="54C35469" w14:textId="77777777" w:rsidTr="001D04D5">
        <w:trPr>
          <w:tblHeader/>
        </w:trPr>
        <w:tc>
          <w:tcPr>
            <w:tcW w:w="1990" w:type="dxa"/>
          </w:tcPr>
          <w:p w14:paraId="1EE7E205" w14:textId="77777777" w:rsidR="001D6F34" w:rsidRPr="00B14E6C" w:rsidRDefault="001D6F34" w:rsidP="001D6F34">
            <w:pPr>
              <w:pStyle w:val="TableHead"/>
              <w:rPr>
                <w:sz w:val="22"/>
                <w:szCs w:val="22"/>
              </w:rPr>
            </w:pPr>
            <w:r w:rsidRPr="00B14E6C">
              <w:rPr>
                <w:bCs/>
                <w:sz w:val="22"/>
                <w:szCs w:val="22"/>
                <w:lang w:val="ga"/>
              </w:rPr>
              <w:t>Comhlacht Poiblí</w:t>
            </w:r>
          </w:p>
        </w:tc>
        <w:tc>
          <w:tcPr>
            <w:tcW w:w="1559" w:type="dxa"/>
          </w:tcPr>
          <w:p w14:paraId="40D6972F" w14:textId="77777777" w:rsidR="001D6F34" w:rsidRPr="00B14E6C" w:rsidRDefault="001D6F34" w:rsidP="001D6F34">
            <w:pPr>
              <w:pStyle w:val="TableHead"/>
              <w:rPr>
                <w:sz w:val="22"/>
                <w:szCs w:val="22"/>
              </w:rPr>
            </w:pPr>
            <w:r w:rsidRPr="00B14E6C">
              <w:rPr>
                <w:bCs/>
                <w:sz w:val="22"/>
                <w:szCs w:val="22"/>
                <w:lang w:val="ga"/>
              </w:rPr>
              <w:t>An líon iomlán fostaithe 2020</w:t>
            </w:r>
          </w:p>
        </w:tc>
        <w:tc>
          <w:tcPr>
            <w:tcW w:w="1418" w:type="dxa"/>
          </w:tcPr>
          <w:p w14:paraId="0372B6DA" w14:textId="77777777" w:rsidR="001D6F34" w:rsidRPr="00B14E6C" w:rsidRDefault="001D6F34" w:rsidP="001D6F34">
            <w:pPr>
              <w:pStyle w:val="TableHead"/>
              <w:rPr>
                <w:sz w:val="22"/>
                <w:szCs w:val="22"/>
              </w:rPr>
            </w:pPr>
            <w:r w:rsidRPr="00B14E6C">
              <w:rPr>
                <w:bCs/>
                <w:sz w:val="22"/>
                <w:szCs w:val="22"/>
                <w:lang w:val="ga"/>
              </w:rPr>
              <w:t xml:space="preserve">An líon fostaithe a thuairiscigh míchumas </w:t>
            </w:r>
          </w:p>
          <w:p w14:paraId="62DD7554" w14:textId="77777777" w:rsidR="001D6F34" w:rsidRPr="00B14E6C" w:rsidRDefault="001D6F34" w:rsidP="001D6F34">
            <w:pPr>
              <w:pStyle w:val="TableHead"/>
              <w:rPr>
                <w:sz w:val="22"/>
                <w:szCs w:val="22"/>
              </w:rPr>
            </w:pPr>
            <w:r w:rsidRPr="00B14E6C">
              <w:rPr>
                <w:bCs/>
                <w:sz w:val="22"/>
                <w:szCs w:val="22"/>
                <w:lang w:val="ga"/>
              </w:rPr>
              <w:t>2020</w:t>
            </w:r>
          </w:p>
        </w:tc>
        <w:tc>
          <w:tcPr>
            <w:tcW w:w="1559" w:type="dxa"/>
          </w:tcPr>
          <w:p w14:paraId="64EAF0D4" w14:textId="77777777" w:rsidR="001D6F34" w:rsidRPr="00B14E6C" w:rsidRDefault="001D6F34" w:rsidP="001D6F34">
            <w:pPr>
              <w:pStyle w:val="TableHead"/>
              <w:rPr>
                <w:sz w:val="22"/>
                <w:szCs w:val="22"/>
              </w:rPr>
            </w:pPr>
            <w:r w:rsidRPr="00B14E6C">
              <w:rPr>
                <w:bCs/>
                <w:sz w:val="22"/>
                <w:szCs w:val="22"/>
                <w:lang w:val="ga"/>
              </w:rPr>
              <w:t>An % d’fhostaithe a thuairiscigh</w:t>
            </w:r>
          </w:p>
          <w:p w14:paraId="2425E2A3" w14:textId="77777777" w:rsidR="001D6F34" w:rsidRPr="00B14E6C" w:rsidRDefault="001D6F34" w:rsidP="001D6F34">
            <w:pPr>
              <w:pStyle w:val="TableHead"/>
              <w:rPr>
                <w:sz w:val="22"/>
                <w:szCs w:val="22"/>
              </w:rPr>
            </w:pPr>
            <w:r w:rsidRPr="00B14E6C">
              <w:rPr>
                <w:bCs/>
                <w:sz w:val="22"/>
                <w:szCs w:val="22"/>
                <w:lang w:val="ga"/>
              </w:rPr>
              <w:t>míchumas 2020</w:t>
            </w:r>
          </w:p>
        </w:tc>
        <w:tc>
          <w:tcPr>
            <w:tcW w:w="1559" w:type="dxa"/>
          </w:tcPr>
          <w:p w14:paraId="5C745716" w14:textId="77777777" w:rsidR="001D6F34" w:rsidRPr="00B14E6C" w:rsidRDefault="001D6F34" w:rsidP="001D6F34">
            <w:pPr>
              <w:pStyle w:val="TableHead"/>
              <w:rPr>
                <w:sz w:val="22"/>
                <w:szCs w:val="22"/>
              </w:rPr>
            </w:pPr>
            <w:r w:rsidRPr="00B14E6C">
              <w:rPr>
                <w:bCs/>
                <w:sz w:val="22"/>
                <w:szCs w:val="22"/>
                <w:lang w:val="ga"/>
              </w:rPr>
              <w:t>An líon iomlán fostaithe 2021</w:t>
            </w:r>
          </w:p>
        </w:tc>
        <w:tc>
          <w:tcPr>
            <w:tcW w:w="1701" w:type="dxa"/>
          </w:tcPr>
          <w:p w14:paraId="763DD8F5" w14:textId="77777777" w:rsidR="001D6F34" w:rsidRPr="00B14E6C" w:rsidRDefault="001D6F34" w:rsidP="001D6F34">
            <w:pPr>
              <w:pStyle w:val="TableHead"/>
              <w:rPr>
                <w:sz w:val="22"/>
                <w:szCs w:val="22"/>
              </w:rPr>
            </w:pPr>
            <w:r w:rsidRPr="00B14E6C">
              <w:rPr>
                <w:bCs/>
                <w:sz w:val="22"/>
                <w:szCs w:val="22"/>
                <w:lang w:val="ga"/>
              </w:rPr>
              <w:t xml:space="preserve">An líon fostaithe a thuairiscigh míchumas </w:t>
            </w:r>
          </w:p>
          <w:p w14:paraId="3DB91369" w14:textId="77777777" w:rsidR="001D6F34" w:rsidRPr="00B14E6C" w:rsidRDefault="001D6F34" w:rsidP="001D6F34">
            <w:pPr>
              <w:pStyle w:val="TableHead"/>
              <w:rPr>
                <w:sz w:val="22"/>
                <w:szCs w:val="22"/>
              </w:rPr>
            </w:pPr>
            <w:r w:rsidRPr="00B14E6C">
              <w:rPr>
                <w:bCs/>
                <w:sz w:val="22"/>
                <w:szCs w:val="22"/>
                <w:lang w:val="ga"/>
              </w:rPr>
              <w:t>2021</w:t>
            </w:r>
          </w:p>
        </w:tc>
        <w:tc>
          <w:tcPr>
            <w:tcW w:w="1560" w:type="dxa"/>
          </w:tcPr>
          <w:p w14:paraId="002A65E9" w14:textId="77777777" w:rsidR="001D6F34" w:rsidRPr="00B14E6C" w:rsidRDefault="001D6F34" w:rsidP="001D6F34">
            <w:pPr>
              <w:pStyle w:val="TableHead"/>
              <w:rPr>
                <w:sz w:val="22"/>
                <w:szCs w:val="22"/>
              </w:rPr>
            </w:pPr>
            <w:r w:rsidRPr="00B14E6C">
              <w:rPr>
                <w:bCs/>
                <w:sz w:val="22"/>
                <w:szCs w:val="22"/>
                <w:lang w:val="ga"/>
              </w:rPr>
              <w:t>An % d’fhostaithe a thuairiscigh</w:t>
            </w:r>
          </w:p>
          <w:p w14:paraId="7594490C" w14:textId="77777777" w:rsidR="001D6F34" w:rsidRPr="00B14E6C" w:rsidRDefault="001D6F34" w:rsidP="001D6F34">
            <w:pPr>
              <w:pStyle w:val="TableHead"/>
              <w:rPr>
                <w:sz w:val="22"/>
                <w:szCs w:val="22"/>
              </w:rPr>
            </w:pPr>
            <w:r w:rsidRPr="00B14E6C">
              <w:rPr>
                <w:bCs/>
                <w:sz w:val="22"/>
                <w:szCs w:val="22"/>
                <w:lang w:val="ga"/>
              </w:rPr>
              <w:t>míchumas 2021</w:t>
            </w:r>
          </w:p>
        </w:tc>
      </w:tr>
      <w:tr w:rsidR="001D6F34" w:rsidRPr="00D51778" w14:paraId="095E0A78" w14:textId="77777777" w:rsidTr="001D04D5">
        <w:trPr>
          <w:trHeight w:val="162"/>
        </w:trPr>
        <w:tc>
          <w:tcPr>
            <w:tcW w:w="1990" w:type="dxa"/>
            <w:vAlign w:val="bottom"/>
          </w:tcPr>
          <w:p w14:paraId="648A1C87" w14:textId="77777777" w:rsidR="001D6F34" w:rsidRPr="00D51778" w:rsidRDefault="001D6F34" w:rsidP="001D6F34">
            <w:pPr>
              <w:rPr>
                <w:sz w:val="22"/>
                <w:szCs w:val="22"/>
              </w:rPr>
            </w:pPr>
            <w:r w:rsidRPr="00D51778">
              <w:rPr>
                <w:rFonts w:cs="Calibri"/>
                <w:color w:val="000000"/>
                <w:sz w:val="22"/>
                <w:szCs w:val="22"/>
                <w:lang w:val="ga"/>
              </w:rPr>
              <w:t>An Post</w:t>
            </w:r>
          </w:p>
        </w:tc>
        <w:tc>
          <w:tcPr>
            <w:tcW w:w="1559" w:type="dxa"/>
          </w:tcPr>
          <w:p w14:paraId="217565D3" w14:textId="77777777" w:rsidR="001D6F34" w:rsidRPr="00D51778" w:rsidRDefault="001D6F34" w:rsidP="001D6F34">
            <w:pPr>
              <w:jc w:val="right"/>
              <w:rPr>
                <w:sz w:val="22"/>
                <w:szCs w:val="22"/>
              </w:rPr>
            </w:pPr>
            <w:r w:rsidRPr="00D51778">
              <w:rPr>
                <w:rFonts w:cs="Calibri"/>
                <w:color w:val="000000"/>
                <w:sz w:val="22"/>
                <w:szCs w:val="22"/>
                <w:lang w:val="ga"/>
              </w:rPr>
              <w:t>9,528</w:t>
            </w:r>
          </w:p>
        </w:tc>
        <w:tc>
          <w:tcPr>
            <w:tcW w:w="1418" w:type="dxa"/>
          </w:tcPr>
          <w:p w14:paraId="2FD01004" w14:textId="77777777" w:rsidR="001D6F34" w:rsidRPr="00D51778" w:rsidRDefault="001D6F34" w:rsidP="001D6F34">
            <w:pPr>
              <w:jc w:val="right"/>
              <w:rPr>
                <w:sz w:val="22"/>
                <w:szCs w:val="22"/>
              </w:rPr>
            </w:pPr>
            <w:r w:rsidRPr="00D51778">
              <w:rPr>
                <w:rFonts w:cs="Calibri"/>
                <w:color w:val="000000"/>
                <w:sz w:val="22"/>
                <w:szCs w:val="22"/>
                <w:lang w:val="ga"/>
              </w:rPr>
              <w:t>437</w:t>
            </w:r>
          </w:p>
        </w:tc>
        <w:tc>
          <w:tcPr>
            <w:tcW w:w="1559" w:type="dxa"/>
          </w:tcPr>
          <w:p w14:paraId="5C03446A" w14:textId="77777777" w:rsidR="001D6F34" w:rsidRPr="00D51778" w:rsidRDefault="001D6F34" w:rsidP="001D6F34">
            <w:pPr>
              <w:jc w:val="right"/>
              <w:rPr>
                <w:sz w:val="22"/>
                <w:szCs w:val="22"/>
              </w:rPr>
            </w:pPr>
            <w:r w:rsidRPr="00D51778">
              <w:rPr>
                <w:rFonts w:cs="Calibri"/>
                <w:color w:val="000000"/>
                <w:sz w:val="22"/>
                <w:szCs w:val="22"/>
                <w:lang w:val="ga"/>
              </w:rPr>
              <w:t>4.6%</w:t>
            </w:r>
          </w:p>
        </w:tc>
        <w:tc>
          <w:tcPr>
            <w:tcW w:w="1559" w:type="dxa"/>
          </w:tcPr>
          <w:p w14:paraId="046483FB" w14:textId="77777777" w:rsidR="001D6F34" w:rsidRPr="00D51778" w:rsidRDefault="001D6F34" w:rsidP="001D6F34">
            <w:pPr>
              <w:jc w:val="right"/>
              <w:rPr>
                <w:sz w:val="22"/>
                <w:szCs w:val="22"/>
              </w:rPr>
            </w:pPr>
            <w:r w:rsidRPr="00D51778">
              <w:rPr>
                <w:rFonts w:cs="Calibri"/>
                <w:color w:val="000000"/>
                <w:sz w:val="22"/>
                <w:szCs w:val="22"/>
                <w:lang w:val="ga"/>
              </w:rPr>
              <w:t>9,811</w:t>
            </w:r>
          </w:p>
        </w:tc>
        <w:tc>
          <w:tcPr>
            <w:tcW w:w="1701" w:type="dxa"/>
          </w:tcPr>
          <w:p w14:paraId="1F27F61F" w14:textId="77777777" w:rsidR="001D6F34" w:rsidRPr="00D51778" w:rsidRDefault="001D6F34" w:rsidP="001D6F34">
            <w:pPr>
              <w:jc w:val="right"/>
              <w:rPr>
                <w:sz w:val="22"/>
                <w:szCs w:val="22"/>
              </w:rPr>
            </w:pPr>
            <w:r w:rsidRPr="00D51778">
              <w:rPr>
                <w:rFonts w:cs="Calibri"/>
                <w:color w:val="000000"/>
                <w:sz w:val="22"/>
                <w:szCs w:val="22"/>
                <w:lang w:val="ga"/>
              </w:rPr>
              <w:t>431</w:t>
            </w:r>
          </w:p>
        </w:tc>
        <w:tc>
          <w:tcPr>
            <w:tcW w:w="1560" w:type="dxa"/>
          </w:tcPr>
          <w:p w14:paraId="5B19D71B" w14:textId="77777777" w:rsidR="001D6F34" w:rsidRPr="00D51778" w:rsidRDefault="001D6F34" w:rsidP="001D6F34">
            <w:pPr>
              <w:jc w:val="right"/>
              <w:rPr>
                <w:sz w:val="22"/>
                <w:szCs w:val="22"/>
              </w:rPr>
            </w:pPr>
            <w:r w:rsidRPr="00D51778">
              <w:rPr>
                <w:rFonts w:cs="Calibri"/>
                <w:color w:val="000000"/>
                <w:sz w:val="22"/>
                <w:szCs w:val="22"/>
                <w:lang w:val="ga"/>
              </w:rPr>
              <w:t>4.4%</w:t>
            </w:r>
          </w:p>
        </w:tc>
      </w:tr>
      <w:tr w:rsidR="001D6F34" w:rsidRPr="00D51778" w14:paraId="62D3DEA2" w14:textId="77777777" w:rsidTr="001D04D5">
        <w:trPr>
          <w:trHeight w:val="162"/>
        </w:trPr>
        <w:tc>
          <w:tcPr>
            <w:tcW w:w="1990" w:type="dxa"/>
            <w:vAlign w:val="bottom"/>
          </w:tcPr>
          <w:p w14:paraId="77C44108" w14:textId="77777777" w:rsidR="001D6F34" w:rsidRPr="00D51778" w:rsidRDefault="001D6F34" w:rsidP="001D6F34">
            <w:pPr>
              <w:rPr>
                <w:sz w:val="22"/>
                <w:szCs w:val="22"/>
              </w:rPr>
            </w:pPr>
            <w:r w:rsidRPr="00D51778">
              <w:rPr>
                <w:rFonts w:cs="Calibri"/>
                <w:color w:val="000000"/>
                <w:sz w:val="22"/>
                <w:szCs w:val="22"/>
                <w:lang w:val="ga"/>
              </w:rPr>
              <w:t>Bord na Móna</w:t>
            </w:r>
          </w:p>
        </w:tc>
        <w:tc>
          <w:tcPr>
            <w:tcW w:w="1559" w:type="dxa"/>
          </w:tcPr>
          <w:p w14:paraId="3EFFCCE3" w14:textId="77777777" w:rsidR="001D6F34" w:rsidRPr="00D51778" w:rsidRDefault="001D6F34" w:rsidP="001D6F34">
            <w:pPr>
              <w:jc w:val="right"/>
              <w:rPr>
                <w:sz w:val="22"/>
                <w:szCs w:val="22"/>
              </w:rPr>
            </w:pPr>
            <w:r w:rsidRPr="00D51778">
              <w:rPr>
                <w:rFonts w:cs="Calibri"/>
                <w:color w:val="000000"/>
                <w:sz w:val="22"/>
                <w:szCs w:val="22"/>
                <w:lang w:val="ga"/>
              </w:rPr>
              <w:t>1,397</w:t>
            </w:r>
          </w:p>
        </w:tc>
        <w:tc>
          <w:tcPr>
            <w:tcW w:w="1418" w:type="dxa"/>
          </w:tcPr>
          <w:p w14:paraId="7663F967" w14:textId="77777777" w:rsidR="001D6F34" w:rsidRPr="00D51778" w:rsidRDefault="001D6F34" w:rsidP="001D6F34">
            <w:pPr>
              <w:jc w:val="right"/>
              <w:rPr>
                <w:sz w:val="22"/>
                <w:szCs w:val="22"/>
              </w:rPr>
            </w:pPr>
            <w:r w:rsidRPr="00D51778">
              <w:rPr>
                <w:rFonts w:cs="Calibri"/>
                <w:color w:val="000000"/>
                <w:sz w:val="22"/>
                <w:szCs w:val="22"/>
                <w:lang w:val="ga"/>
              </w:rPr>
              <w:t>42</w:t>
            </w:r>
          </w:p>
        </w:tc>
        <w:tc>
          <w:tcPr>
            <w:tcW w:w="1559" w:type="dxa"/>
          </w:tcPr>
          <w:p w14:paraId="7463D58F" w14:textId="77777777" w:rsidR="001D6F34" w:rsidRPr="00D51778" w:rsidRDefault="001D6F34" w:rsidP="001D6F34">
            <w:pPr>
              <w:jc w:val="right"/>
              <w:rPr>
                <w:sz w:val="22"/>
                <w:szCs w:val="22"/>
              </w:rPr>
            </w:pPr>
            <w:r w:rsidRPr="00D51778">
              <w:rPr>
                <w:rFonts w:cs="Calibri"/>
                <w:color w:val="000000"/>
                <w:sz w:val="22"/>
                <w:szCs w:val="22"/>
                <w:lang w:val="ga"/>
              </w:rPr>
              <w:t>3.0%</w:t>
            </w:r>
          </w:p>
        </w:tc>
        <w:tc>
          <w:tcPr>
            <w:tcW w:w="1559" w:type="dxa"/>
          </w:tcPr>
          <w:p w14:paraId="3504B394" w14:textId="77777777" w:rsidR="001D6F34" w:rsidRPr="00D51778" w:rsidRDefault="001D6F34" w:rsidP="001D6F34">
            <w:pPr>
              <w:jc w:val="right"/>
              <w:rPr>
                <w:sz w:val="22"/>
                <w:szCs w:val="22"/>
              </w:rPr>
            </w:pPr>
            <w:r w:rsidRPr="00D51778">
              <w:rPr>
                <w:rFonts w:cs="Calibri"/>
                <w:color w:val="000000"/>
                <w:sz w:val="22"/>
                <w:szCs w:val="22"/>
                <w:lang w:val="ga"/>
              </w:rPr>
              <w:t>1,369</w:t>
            </w:r>
          </w:p>
        </w:tc>
        <w:tc>
          <w:tcPr>
            <w:tcW w:w="1701" w:type="dxa"/>
          </w:tcPr>
          <w:p w14:paraId="106A0C83" w14:textId="77777777" w:rsidR="001D6F34" w:rsidRPr="00D51778" w:rsidRDefault="001D6F34" w:rsidP="001D6F34">
            <w:pPr>
              <w:jc w:val="right"/>
              <w:rPr>
                <w:sz w:val="22"/>
                <w:szCs w:val="22"/>
              </w:rPr>
            </w:pPr>
            <w:r w:rsidRPr="00D51778">
              <w:rPr>
                <w:rFonts w:cs="Calibri"/>
                <w:color w:val="000000"/>
                <w:sz w:val="22"/>
                <w:szCs w:val="22"/>
                <w:lang w:val="ga"/>
              </w:rPr>
              <w:t>42</w:t>
            </w:r>
          </w:p>
        </w:tc>
        <w:tc>
          <w:tcPr>
            <w:tcW w:w="1560" w:type="dxa"/>
          </w:tcPr>
          <w:p w14:paraId="4F6EA59A" w14:textId="77777777" w:rsidR="001D6F34" w:rsidRPr="00D51778" w:rsidRDefault="001D6F34" w:rsidP="001D6F34">
            <w:pPr>
              <w:jc w:val="right"/>
              <w:rPr>
                <w:sz w:val="22"/>
                <w:szCs w:val="22"/>
              </w:rPr>
            </w:pPr>
            <w:r w:rsidRPr="00D51778">
              <w:rPr>
                <w:rFonts w:cs="Calibri"/>
                <w:color w:val="000000"/>
                <w:sz w:val="22"/>
                <w:szCs w:val="22"/>
                <w:lang w:val="ga"/>
              </w:rPr>
              <w:t>3.1%</w:t>
            </w:r>
          </w:p>
        </w:tc>
      </w:tr>
      <w:tr w:rsidR="001D6F34" w:rsidRPr="00D51778" w14:paraId="3BD0F039" w14:textId="77777777" w:rsidTr="001D04D5">
        <w:trPr>
          <w:trHeight w:val="162"/>
        </w:trPr>
        <w:tc>
          <w:tcPr>
            <w:tcW w:w="1990" w:type="dxa"/>
            <w:vAlign w:val="bottom"/>
          </w:tcPr>
          <w:p w14:paraId="7510D6F2" w14:textId="77777777" w:rsidR="001D6F34" w:rsidRPr="00D51778" w:rsidRDefault="001D6F34" w:rsidP="001D6F34">
            <w:pPr>
              <w:rPr>
                <w:sz w:val="22"/>
                <w:szCs w:val="22"/>
              </w:rPr>
            </w:pPr>
            <w:r w:rsidRPr="00D51778">
              <w:rPr>
                <w:rFonts w:cs="Calibri"/>
                <w:color w:val="000000"/>
                <w:sz w:val="22"/>
                <w:szCs w:val="22"/>
                <w:lang w:val="ga"/>
              </w:rPr>
              <w:t>An Coimisiún um Rialáil Cumarsáide (ComReg)</w:t>
            </w:r>
          </w:p>
        </w:tc>
        <w:tc>
          <w:tcPr>
            <w:tcW w:w="1559" w:type="dxa"/>
          </w:tcPr>
          <w:p w14:paraId="221309E9" w14:textId="77777777" w:rsidR="001D6F34" w:rsidRPr="00D51778" w:rsidRDefault="001D6F34" w:rsidP="001D6F34">
            <w:pPr>
              <w:jc w:val="right"/>
              <w:rPr>
                <w:sz w:val="22"/>
                <w:szCs w:val="22"/>
              </w:rPr>
            </w:pPr>
            <w:r w:rsidRPr="00D51778">
              <w:rPr>
                <w:rFonts w:cs="Calibri"/>
                <w:color w:val="000000"/>
                <w:sz w:val="22"/>
                <w:szCs w:val="22"/>
                <w:lang w:val="ga"/>
              </w:rPr>
              <w:t>142</w:t>
            </w:r>
          </w:p>
        </w:tc>
        <w:tc>
          <w:tcPr>
            <w:tcW w:w="1418" w:type="dxa"/>
          </w:tcPr>
          <w:p w14:paraId="4F6FFD32" w14:textId="77777777" w:rsidR="001D6F34" w:rsidRPr="00D51778" w:rsidRDefault="001D6F34" w:rsidP="001D6F34">
            <w:pPr>
              <w:jc w:val="right"/>
              <w:rPr>
                <w:sz w:val="22"/>
                <w:szCs w:val="22"/>
              </w:rPr>
            </w:pPr>
            <w:r w:rsidRPr="00D51778">
              <w:rPr>
                <w:rFonts w:cs="Calibri"/>
                <w:color w:val="000000"/>
                <w:sz w:val="22"/>
                <w:szCs w:val="22"/>
                <w:lang w:val="ga"/>
              </w:rPr>
              <w:t>5</w:t>
            </w:r>
          </w:p>
        </w:tc>
        <w:tc>
          <w:tcPr>
            <w:tcW w:w="1559" w:type="dxa"/>
          </w:tcPr>
          <w:p w14:paraId="165140EE" w14:textId="77777777" w:rsidR="001D6F34" w:rsidRPr="00D51778" w:rsidRDefault="001D6F34" w:rsidP="001D6F34">
            <w:pPr>
              <w:jc w:val="right"/>
              <w:rPr>
                <w:sz w:val="22"/>
                <w:szCs w:val="22"/>
              </w:rPr>
            </w:pPr>
            <w:r w:rsidRPr="00D51778">
              <w:rPr>
                <w:rFonts w:cs="Calibri"/>
                <w:color w:val="000000"/>
                <w:sz w:val="22"/>
                <w:szCs w:val="22"/>
                <w:lang w:val="ga"/>
              </w:rPr>
              <w:t>3.5%</w:t>
            </w:r>
          </w:p>
        </w:tc>
        <w:tc>
          <w:tcPr>
            <w:tcW w:w="1559" w:type="dxa"/>
          </w:tcPr>
          <w:p w14:paraId="4634B52A"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154</w:t>
            </w:r>
          </w:p>
        </w:tc>
        <w:tc>
          <w:tcPr>
            <w:tcW w:w="1701" w:type="dxa"/>
          </w:tcPr>
          <w:p w14:paraId="6F16E9C4"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9</w:t>
            </w:r>
          </w:p>
        </w:tc>
        <w:tc>
          <w:tcPr>
            <w:tcW w:w="1560" w:type="dxa"/>
          </w:tcPr>
          <w:p w14:paraId="5D12F86A"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5.8%</w:t>
            </w:r>
          </w:p>
        </w:tc>
      </w:tr>
      <w:tr w:rsidR="001D6F34" w:rsidRPr="00D51778" w14:paraId="407A5531" w14:textId="77777777" w:rsidTr="001D04D5">
        <w:trPr>
          <w:trHeight w:val="162"/>
        </w:trPr>
        <w:tc>
          <w:tcPr>
            <w:tcW w:w="1990" w:type="dxa"/>
            <w:vAlign w:val="bottom"/>
          </w:tcPr>
          <w:p w14:paraId="599C7BE5" w14:textId="77777777" w:rsidR="001D6F34" w:rsidRPr="00D51778" w:rsidRDefault="001D6F34" w:rsidP="001D6F34">
            <w:pPr>
              <w:rPr>
                <w:sz w:val="22"/>
                <w:szCs w:val="22"/>
              </w:rPr>
            </w:pPr>
            <w:r w:rsidRPr="00D51778">
              <w:rPr>
                <w:rFonts w:cs="Calibri"/>
                <w:color w:val="000000"/>
                <w:sz w:val="22"/>
                <w:szCs w:val="22"/>
                <w:lang w:val="ga"/>
              </w:rPr>
              <w:t>An Coimisiún um Rialáil Fóntais</w:t>
            </w:r>
          </w:p>
        </w:tc>
        <w:tc>
          <w:tcPr>
            <w:tcW w:w="1559" w:type="dxa"/>
          </w:tcPr>
          <w:p w14:paraId="6349DB14" w14:textId="77777777" w:rsidR="001D6F34" w:rsidRPr="00D51778" w:rsidRDefault="001D6F34" w:rsidP="001D6F34">
            <w:pPr>
              <w:jc w:val="right"/>
              <w:rPr>
                <w:sz w:val="22"/>
                <w:szCs w:val="22"/>
              </w:rPr>
            </w:pPr>
            <w:r w:rsidRPr="00D51778">
              <w:rPr>
                <w:rFonts w:cs="Calibri"/>
                <w:color w:val="000000"/>
                <w:sz w:val="22"/>
                <w:szCs w:val="22"/>
                <w:lang w:val="ga"/>
              </w:rPr>
              <w:t>113</w:t>
            </w:r>
          </w:p>
        </w:tc>
        <w:tc>
          <w:tcPr>
            <w:tcW w:w="1418" w:type="dxa"/>
          </w:tcPr>
          <w:p w14:paraId="236674C5" w14:textId="77777777" w:rsidR="001D6F34" w:rsidRPr="00D51778" w:rsidRDefault="001D6F34" w:rsidP="001D6F34">
            <w:pPr>
              <w:jc w:val="right"/>
              <w:rPr>
                <w:sz w:val="22"/>
                <w:szCs w:val="22"/>
              </w:rPr>
            </w:pPr>
            <w:r w:rsidRPr="00D51778">
              <w:rPr>
                <w:rFonts w:cs="Calibri"/>
                <w:color w:val="000000"/>
                <w:sz w:val="22"/>
                <w:szCs w:val="22"/>
                <w:lang w:val="ga"/>
              </w:rPr>
              <w:t>8</w:t>
            </w:r>
          </w:p>
        </w:tc>
        <w:tc>
          <w:tcPr>
            <w:tcW w:w="1559" w:type="dxa"/>
          </w:tcPr>
          <w:p w14:paraId="2C9A6FA0" w14:textId="77777777" w:rsidR="001D6F34" w:rsidRPr="00D51778" w:rsidRDefault="001D6F34" w:rsidP="001D6F34">
            <w:pPr>
              <w:jc w:val="right"/>
              <w:rPr>
                <w:sz w:val="22"/>
                <w:szCs w:val="22"/>
              </w:rPr>
            </w:pPr>
            <w:r w:rsidRPr="00D51778">
              <w:rPr>
                <w:rFonts w:cs="Calibri"/>
                <w:color w:val="000000"/>
                <w:sz w:val="22"/>
                <w:szCs w:val="22"/>
                <w:lang w:val="ga"/>
              </w:rPr>
              <w:t>7.1%</w:t>
            </w:r>
          </w:p>
        </w:tc>
        <w:tc>
          <w:tcPr>
            <w:tcW w:w="1559" w:type="dxa"/>
          </w:tcPr>
          <w:p w14:paraId="3BB92099" w14:textId="77777777" w:rsidR="001D6F34" w:rsidRPr="00D51778" w:rsidRDefault="001D6F34" w:rsidP="001D6F34">
            <w:pPr>
              <w:jc w:val="right"/>
              <w:rPr>
                <w:sz w:val="22"/>
                <w:szCs w:val="22"/>
              </w:rPr>
            </w:pPr>
            <w:r w:rsidRPr="00D51778">
              <w:rPr>
                <w:rFonts w:cs="Calibri"/>
                <w:color w:val="000000"/>
                <w:sz w:val="22"/>
                <w:szCs w:val="22"/>
                <w:lang w:val="ga"/>
              </w:rPr>
              <w:t>111</w:t>
            </w:r>
          </w:p>
        </w:tc>
        <w:tc>
          <w:tcPr>
            <w:tcW w:w="1701" w:type="dxa"/>
          </w:tcPr>
          <w:p w14:paraId="48244E65" w14:textId="77777777" w:rsidR="001D6F34" w:rsidRPr="00D51778" w:rsidRDefault="001D6F34" w:rsidP="001D6F34">
            <w:pPr>
              <w:jc w:val="right"/>
              <w:rPr>
                <w:sz w:val="22"/>
                <w:szCs w:val="22"/>
              </w:rPr>
            </w:pPr>
            <w:r w:rsidRPr="00D51778">
              <w:rPr>
                <w:rFonts w:cs="Calibri"/>
                <w:color w:val="000000"/>
                <w:sz w:val="22"/>
                <w:szCs w:val="22"/>
                <w:lang w:val="ga"/>
              </w:rPr>
              <w:t>9</w:t>
            </w:r>
          </w:p>
        </w:tc>
        <w:tc>
          <w:tcPr>
            <w:tcW w:w="1560" w:type="dxa"/>
          </w:tcPr>
          <w:p w14:paraId="33E0571A" w14:textId="77777777" w:rsidR="001D6F34" w:rsidRPr="00D51778" w:rsidRDefault="001D6F34" w:rsidP="001D6F34">
            <w:pPr>
              <w:jc w:val="right"/>
              <w:rPr>
                <w:sz w:val="22"/>
                <w:szCs w:val="22"/>
              </w:rPr>
            </w:pPr>
            <w:r w:rsidRPr="00D51778">
              <w:rPr>
                <w:rFonts w:cs="Calibri"/>
                <w:color w:val="000000"/>
                <w:sz w:val="22"/>
                <w:szCs w:val="22"/>
                <w:lang w:val="ga"/>
              </w:rPr>
              <w:t>8.1%</w:t>
            </w:r>
          </w:p>
        </w:tc>
      </w:tr>
      <w:tr w:rsidR="001D6F34" w:rsidRPr="00D51778" w14:paraId="7A985631" w14:textId="77777777" w:rsidTr="001D04D5">
        <w:trPr>
          <w:trHeight w:val="162"/>
        </w:trPr>
        <w:tc>
          <w:tcPr>
            <w:tcW w:w="1990" w:type="dxa"/>
            <w:vAlign w:val="bottom"/>
          </w:tcPr>
          <w:p w14:paraId="3022FCFD" w14:textId="77777777" w:rsidR="001D6F34" w:rsidRPr="00D51778" w:rsidRDefault="001D6F34" w:rsidP="001D6F34">
            <w:pPr>
              <w:rPr>
                <w:sz w:val="22"/>
                <w:szCs w:val="22"/>
              </w:rPr>
            </w:pPr>
            <w:r w:rsidRPr="00D51778">
              <w:rPr>
                <w:rFonts w:cs="Calibri"/>
                <w:color w:val="000000"/>
                <w:sz w:val="22"/>
                <w:szCs w:val="22"/>
                <w:lang w:val="ga"/>
              </w:rPr>
              <w:t>EirGrid cpt</w:t>
            </w:r>
          </w:p>
        </w:tc>
        <w:tc>
          <w:tcPr>
            <w:tcW w:w="1559" w:type="dxa"/>
          </w:tcPr>
          <w:p w14:paraId="495034A0" w14:textId="77777777" w:rsidR="001D6F34" w:rsidRPr="00D51778" w:rsidRDefault="001D6F34" w:rsidP="001D6F34">
            <w:pPr>
              <w:jc w:val="right"/>
              <w:rPr>
                <w:sz w:val="22"/>
                <w:szCs w:val="22"/>
              </w:rPr>
            </w:pPr>
            <w:r w:rsidRPr="00D51778">
              <w:rPr>
                <w:rFonts w:cs="Calibri"/>
                <w:color w:val="000000"/>
                <w:sz w:val="22"/>
                <w:szCs w:val="22"/>
                <w:lang w:val="ga"/>
              </w:rPr>
              <w:t>441</w:t>
            </w:r>
          </w:p>
        </w:tc>
        <w:tc>
          <w:tcPr>
            <w:tcW w:w="1418" w:type="dxa"/>
          </w:tcPr>
          <w:p w14:paraId="24FFB93D" w14:textId="77777777" w:rsidR="001D6F34" w:rsidRPr="00D51778" w:rsidRDefault="001D6F34" w:rsidP="001D6F34">
            <w:pPr>
              <w:jc w:val="right"/>
              <w:rPr>
                <w:sz w:val="22"/>
                <w:szCs w:val="22"/>
              </w:rPr>
            </w:pPr>
            <w:r w:rsidRPr="00D51778">
              <w:rPr>
                <w:rFonts w:cs="Calibri"/>
                <w:color w:val="000000"/>
                <w:sz w:val="22"/>
                <w:szCs w:val="22"/>
                <w:lang w:val="ga"/>
              </w:rPr>
              <w:t>58</w:t>
            </w:r>
          </w:p>
        </w:tc>
        <w:tc>
          <w:tcPr>
            <w:tcW w:w="1559" w:type="dxa"/>
          </w:tcPr>
          <w:p w14:paraId="01722E35" w14:textId="77777777" w:rsidR="001D6F34" w:rsidRPr="00D51778" w:rsidRDefault="001D6F34" w:rsidP="001D6F34">
            <w:pPr>
              <w:jc w:val="right"/>
              <w:rPr>
                <w:sz w:val="22"/>
                <w:szCs w:val="22"/>
              </w:rPr>
            </w:pPr>
            <w:r w:rsidRPr="00D51778">
              <w:rPr>
                <w:rFonts w:cs="Calibri"/>
                <w:color w:val="000000"/>
                <w:sz w:val="22"/>
                <w:szCs w:val="22"/>
                <w:lang w:val="ga"/>
              </w:rPr>
              <w:t>13.2%</w:t>
            </w:r>
          </w:p>
        </w:tc>
        <w:tc>
          <w:tcPr>
            <w:tcW w:w="1559" w:type="dxa"/>
          </w:tcPr>
          <w:p w14:paraId="146360F4" w14:textId="77777777" w:rsidR="001D6F34" w:rsidRPr="00D51778" w:rsidRDefault="001D6F34" w:rsidP="001D6F34">
            <w:pPr>
              <w:jc w:val="right"/>
              <w:rPr>
                <w:sz w:val="22"/>
                <w:szCs w:val="22"/>
              </w:rPr>
            </w:pPr>
            <w:r w:rsidRPr="00D51778">
              <w:rPr>
                <w:rFonts w:cs="Calibri"/>
                <w:color w:val="000000"/>
                <w:sz w:val="22"/>
                <w:szCs w:val="22"/>
                <w:lang w:val="ga"/>
              </w:rPr>
              <w:t>480</w:t>
            </w:r>
          </w:p>
        </w:tc>
        <w:tc>
          <w:tcPr>
            <w:tcW w:w="1701" w:type="dxa"/>
          </w:tcPr>
          <w:p w14:paraId="438B1EDF" w14:textId="77777777" w:rsidR="001D6F34" w:rsidRPr="00D51778" w:rsidRDefault="001D6F34" w:rsidP="001D6F34">
            <w:pPr>
              <w:jc w:val="right"/>
              <w:rPr>
                <w:sz w:val="22"/>
                <w:szCs w:val="22"/>
              </w:rPr>
            </w:pPr>
            <w:r w:rsidRPr="00D51778">
              <w:rPr>
                <w:rFonts w:cs="Calibri"/>
                <w:color w:val="000000"/>
                <w:sz w:val="22"/>
                <w:szCs w:val="22"/>
                <w:lang w:val="ga"/>
              </w:rPr>
              <w:t>74</w:t>
            </w:r>
          </w:p>
        </w:tc>
        <w:tc>
          <w:tcPr>
            <w:tcW w:w="1560" w:type="dxa"/>
          </w:tcPr>
          <w:p w14:paraId="4B2C3920" w14:textId="77777777" w:rsidR="001D6F34" w:rsidRPr="00D51778" w:rsidRDefault="001D6F34" w:rsidP="001D6F34">
            <w:pPr>
              <w:jc w:val="right"/>
              <w:rPr>
                <w:sz w:val="22"/>
                <w:szCs w:val="22"/>
              </w:rPr>
            </w:pPr>
            <w:r w:rsidRPr="00D51778">
              <w:rPr>
                <w:rFonts w:cs="Calibri"/>
                <w:color w:val="000000"/>
                <w:sz w:val="22"/>
                <w:szCs w:val="22"/>
                <w:lang w:val="ga"/>
              </w:rPr>
              <w:t>15.4%</w:t>
            </w:r>
          </w:p>
        </w:tc>
      </w:tr>
      <w:tr w:rsidR="001D6F34" w:rsidRPr="00D51778" w14:paraId="7EF4A6F0" w14:textId="77777777" w:rsidTr="001D04D5">
        <w:trPr>
          <w:trHeight w:val="162"/>
        </w:trPr>
        <w:tc>
          <w:tcPr>
            <w:tcW w:w="1990" w:type="dxa"/>
            <w:vAlign w:val="bottom"/>
          </w:tcPr>
          <w:p w14:paraId="412F8046" w14:textId="77777777" w:rsidR="001D6F34" w:rsidRPr="00D51778" w:rsidRDefault="001D6F34" w:rsidP="001D6F34">
            <w:pPr>
              <w:rPr>
                <w:sz w:val="22"/>
                <w:szCs w:val="22"/>
              </w:rPr>
            </w:pPr>
            <w:r w:rsidRPr="00D51778">
              <w:rPr>
                <w:rFonts w:cs="Calibri"/>
                <w:color w:val="000000"/>
                <w:sz w:val="22"/>
                <w:szCs w:val="22"/>
                <w:lang w:val="ga"/>
              </w:rPr>
              <w:t>Bord Soláthair an Leictreachais (BSL)</w:t>
            </w:r>
          </w:p>
        </w:tc>
        <w:tc>
          <w:tcPr>
            <w:tcW w:w="1559" w:type="dxa"/>
          </w:tcPr>
          <w:p w14:paraId="5658DB9D" w14:textId="77777777" w:rsidR="001D6F34" w:rsidRPr="00D51778" w:rsidRDefault="001D6F34" w:rsidP="001D6F34">
            <w:pPr>
              <w:jc w:val="right"/>
              <w:rPr>
                <w:sz w:val="22"/>
                <w:szCs w:val="22"/>
              </w:rPr>
            </w:pPr>
            <w:r w:rsidRPr="00D51778">
              <w:rPr>
                <w:rFonts w:cs="Calibri"/>
                <w:color w:val="000000"/>
                <w:sz w:val="22"/>
                <w:szCs w:val="22"/>
                <w:lang w:val="ga"/>
              </w:rPr>
              <w:t>6,089</w:t>
            </w:r>
          </w:p>
        </w:tc>
        <w:tc>
          <w:tcPr>
            <w:tcW w:w="1418" w:type="dxa"/>
          </w:tcPr>
          <w:p w14:paraId="29EDFC3D" w14:textId="77777777" w:rsidR="001D6F34" w:rsidRPr="00D51778" w:rsidRDefault="001D6F34" w:rsidP="001D6F34">
            <w:pPr>
              <w:jc w:val="right"/>
              <w:rPr>
                <w:sz w:val="22"/>
                <w:szCs w:val="22"/>
              </w:rPr>
            </w:pPr>
            <w:r w:rsidRPr="00D51778">
              <w:rPr>
                <w:rFonts w:cs="Calibri"/>
                <w:color w:val="000000"/>
                <w:sz w:val="22"/>
                <w:szCs w:val="22"/>
                <w:lang w:val="ga"/>
              </w:rPr>
              <w:t>246</w:t>
            </w:r>
          </w:p>
        </w:tc>
        <w:tc>
          <w:tcPr>
            <w:tcW w:w="1559" w:type="dxa"/>
          </w:tcPr>
          <w:p w14:paraId="29F280B6" w14:textId="77777777" w:rsidR="001D6F34" w:rsidRPr="00D51778" w:rsidRDefault="001D6F34" w:rsidP="001D6F34">
            <w:pPr>
              <w:jc w:val="right"/>
              <w:rPr>
                <w:sz w:val="22"/>
                <w:szCs w:val="22"/>
              </w:rPr>
            </w:pPr>
            <w:r w:rsidRPr="00D51778">
              <w:rPr>
                <w:rFonts w:cs="Calibri"/>
                <w:color w:val="000000"/>
                <w:sz w:val="22"/>
                <w:szCs w:val="22"/>
                <w:lang w:val="ga"/>
              </w:rPr>
              <w:t>4.0%</w:t>
            </w:r>
          </w:p>
        </w:tc>
        <w:tc>
          <w:tcPr>
            <w:tcW w:w="1559" w:type="dxa"/>
          </w:tcPr>
          <w:p w14:paraId="574083B5" w14:textId="77777777" w:rsidR="001D6F34" w:rsidRPr="00D51778" w:rsidRDefault="001D6F34" w:rsidP="001D6F34">
            <w:pPr>
              <w:jc w:val="right"/>
              <w:rPr>
                <w:sz w:val="22"/>
                <w:szCs w:val="22"/>
              </w:rPr>
            </w:pPr>
            <w:r w:rsidRPr="00D51778">
              <w:rPr>
                <w:rFonts w:cs="Calibri"/>
                <w:color w:val="000000"/>
                <w:sz w:val="22"/>
                <w:szCs w:val="22"/>
                <w:lang w:val="ga"/>
              </w:rPr>
              <w:t>5,919</w:t>
            </w:r>
          </w:p>
        </w:tc>
        <w:tc>
          <w:tcPr>
            <w:tcW w:w="1701" w:type="dxa"/>
          </w:tcPr>
          <w:p w14:paraId="61099C6E" w14:textId="77777777" w:rsidR="001D6F34" w:rsidRPr="00D51778" w:rsidRDefault="001D6F34" w:rsidP="001D6F34">
            <w:pPr>
              <w:jc w:val="right"/>
              <w:rPr>
                <w:sz w:val="22"/>
                <w:szCs w:val="22"/>
              </w:rPr>
            </w:pPr>
            <w:r w:rsidRPr="00D51778">
              <w:rPr>
                <w:rFonts w:cs="Calibri"/>
                <w:color w:val="000000"/>
                <w:sz w:val="22"/>
                <w:szCs w:val="22"/>
                <w:lang w:val="ga"/>
              </w:rPr>
              <w:t>226</w:t>
            </w:r>
          </w:p>
        </w:tc>
        <w:tc>
          <w:tcPr>
            <w:tcW w:w="1560" w:type="dxa"/>
          </w:tcPr>
          <w:p w14:paraId="48C31475" w14:textId="77777777" w:rsidR="001D6F34" w:rsidRPr="00D51778" w:rsidRDefault="001D6F34" w:rsidP="001D6F34">
            <w:pPr>
              <w:jc w:val="right"/>
              <w:rPr>
                <w:sz w:val="22"/>
                <w:szCs w:val="22"/>
              </w:rPr>
            </w:pPr>
            <w:r w:rsidRPr="00D51778">
              <w:rPr>
                <w:rFonts w:cs="Calibri"/>
                <w:color w:val="000000"/>
                <w:sz w:val="22"/>
                <w:szCs w:val="22"/>
                <w:lang w:val="ga"/>
              </w:rPr>
              <w:t>3.8%</w:t>
            </w:r>
          </w:p>
        </w:tc>
      </w:tr>
      <w:tr w:rsidR="001D6F34" w:rsidRPr="00D51778" w14:paraId="67EA5075" w14:textId="77777777" w:rsidTr="001D04D5">
        <w:trPr>
          <w:trHeight w:val="162"/>
        </w:trPr>
        <w:tc>
          <w:tcPr>
            <w:tcW w:w="1990" w:type="dxa"/>
            <w:vAlign w:val="bottom"/>
          </w:tcPr>
          <w:p w14:paraId="0AB54E9C" w14:textId="77777777" w:rsidR="001D6F34" w:rsidRPr="00D51778" w:rsidRDefault="001D6F34" w:rsidP="001D6F34">
            <w:pPr>
              <w:rPr>
                <w:sz w:val="22"/>
                <w:szCs w:val="22"/>
              </w:rPr>
            </w:pPr>
            <w:r w:rsidRPr="00D51778">
              <w:rPr>
                <w:rFonts w:cs="Calibri"/>
                <w:color w:val="000000"/>
                <w:sz w:val="22"/>
                <w:szCs w:val="22"/>
                <w:lang w:val="ga"/>
              </w:rPr>
              <w:t>An Ghníomhaireacht um Chaomhnú Comhshaoil</w:t>
            </w:r>
          </w:p>
        </w:tc>
        <w:tc>
          <w:tcPr>
            <w:tcW w:w="1559" w:type="dxa"/>
          </w:tcPr>
          <w:p w14:paraId="68956F3E" w14:textId="77777777" w:rsidR="001D6F34" w:rsidRPr="00D51778" w:rsidRDefault="001D6F34" w:rsidP="001D6F34">
            <w:pPr>
              <w:jc w:val="right"/>
              <w:rPr>
                <w:sz w:val="22"/>
                <w:szCs w:val="22"/>
              </w:rPr>
            </w:pPr>
            <w:r w:rsidRPr="00D51778">
              <w:rPr>
                <w:rFonts w:cs="Calibri"/>
                <w:color w:val="000000"/>
                <w:sz w:val="22"/>
                <w:szCs w:val="22"/>
                <w:lang w:val="ga"/>
              </w:rPr>
              <w:t>420</w:t>
            </w:r>
          </w:p>
        </w:tc>
        <w:tc>
          <w:tcPr>
            <w:tcW w:w="1418" w:type="dxa"/>
          </w:tcPr>
          <w:p w14:paraId="47D97CAF" w14:textId="77777777" w:rsidR="001D6F34" w:rsidRPr="00D51778" w:rsidRDefault="001D6F34" w:rsidP="001D6F34">
            <w:pPr>
              <w:jc w:val="right"/>
              <w:rPr>
                <w:sz w:val="22"/>
                <w:szCs w:val="22"/>
              </w:rPr>
            </w:pPr>
            <w:r w:rsidRPr="00D51778">
              <w:rPr>
                <w:rFonts w:cs="Calibri"/>
                <w:color w:val="000000"/>
                <w:sz w:val="22"/>
                <w:szCs w:val="22"/>
                <w:lang w:val="ga"/>
              </w:rPr>
              <w:t>21</w:t>
            </w:r>
          </w:p>
        </w:tc>
        <w:tc>
          <w:tcPr>
            <w:tcW w:w="1559" w:type="dxa"/>
          </w:tcPr>
          <w:p w14:paraId="7D911345" w14:textId="77777777" w:rsidR="001D6F34" w:rsidRPr="00D51778" w:rsidRDefault="001D6F34" w:rsidP="001D6F34">
            <w:pPr>
              <w:jc w:val="right"/>
              <w:rPr>
                <w:sz w:val="22"/>
                <w:szCs w:val="22"/>
              </w:rPr>
            </w:pPr>
            <w:r w:rsidRPr="00D51778">
              <w:rPr>
                <w:rFonts w:cs="Calibri"/>
                <w:color w:val="000000"/>
                <w:sz w:val="22"/>
                <w:szCs w:val="22"/>
                <w:lang w:val="ga"/>
              </w:rPr>
              <w:t>5.0%</w:t>
            </w:r>
          </w:p>
        </w:tc>
        <w:tc>
          <w:tcPr>
            <w:tcW w:w="1559" w:type="dxa"/>
          </w:tcPr>
          <w:p w14:paraId="419D4C21" w14:textId="77777777" w:rsidR="001D6F34" w:rsidRPr="00D51778" w:rsidRDefault="001D6F34" w:rsidP="001D6F34">
            <w:pPr>
              <w:jc w:val="right"/>
              <w:rPr>
                <w:sz w:val="22"/>
                <w:szCs w:val="22"/>
              </w:rPr>
            </w:pPr>
            <w:r w:rsidRPr="00D51778">
              <w:rPr>
                <w:rFonts w:cs="Calibri"/>
                <w:color w:val="000000"/>
                <w:sz w:val="22"/>
                <w:szCs w:val="22"/>
                <w:lang w:val="ga"/>
              </w:rPr>
              <w:t>448</w:t>
            </w:r>
          </w:p>
        </w:tc>
        <w:tc>
          <w:tcPr>
            <w:tcW w:w="1701" w:type="dxa"/>
          </w:tcPr>
          <w:p w14:paraId="4A7E76D0" w14:textId="77777777" w:rsidR="001D6F34" w:rsidRPr="00D51778" w:rsidRDefault="001D6F34" w:rsidP="001D6F34">
            <w:pPr>
              <w:jc w:val="right"/>
              <w:rPr>
                <w:sz w:val="22"/>
                <w:szCs w:val="22"/>
              </w:rPr>
            </w:pPr>
            <w:r w:rsidRPr="00D51778">
              <w:rPr>
                <w:rFonts w:cs="Calibri"/>
                <w:color w:val="000000"/>
                <w:sz w:val="22"/>
                <w:szCs w:val="22"/>
                <w:lang w:val="ga"/>
              </w:rPr>
              <w:t>26</w:t>
            </w:r>
          </w:p>
        </w:tc>
        <w:tc>
          <w:tcPr>
            <w:tcW w:w="1560" w:type="dxa"/>
          </w:tcPr>
          <w:p w14:paraId="70A0E7D2" w14:textId="77777777" w:rsidR="001D6F34" w:rsidRPr="00D51778" w:rsidRDefault="001D6F34" w:rsidP="001D6F34">
            <w:pPr>
              <w:jc w:val="right"/>
              <w:rPr>
                <w:sz w:val="22"/>
                <w:szCs w:val="22"/>
              </w:rPr>
            </w:pPr>
            <w:r w:rsidRPr="00D51778">
              <w:rPr>
                <w:rFonts w:cs="Calibri"/>
                <w:color w:val="000000"/>
                <w:sz w:val="22"/>
                <w:szCs w:val="22"/>
                <w:lang w:val="ga"/>
              </w:rPr>
              <w:t>5.8%</w:t>
            </w:r>
          </w:p>
        </w:tc>
      </w:tr>
      <w:tr w:rsidR="001D6F34" w:rsidRPr="00D51778" w14:paraId="04175E71" w14:textId="77777777" w:rsidTr="001D04D5">
        <w:trPr>
          <w:trHeight w:val="162"/>
        </w:trPr>
        <w:tc>
          <w:tcPr>
            <w:tcW w:w="1990" w:type="dxa"/>
            <w:vAlign w:val="bottom"/>
          </w:tcPr>
          <w:p w14:paraId="231D8B5F" w14:textId="77777777" w:rsidR="001D6F34" w:rsidRPr="00D51778" w:rsidRDefault="001D6F34" w:rsidP="001D6F34">
            <w:pPr>
              <w:rPr>
                <w:sz w:val="22"/>
                <w:szCs w:val="22"/>
              </w:rPr>
            </w:pPr>
            <w:r w:rsidRPr="00D51778">
              <w:rPr>
                <w:rFonts w:cs="Calibri"/>
                <w:color w:val="000000"/>
                <w:sz w:val="22"/>
                <w:szCs w:val="22"/>
                <w:lang w:val="ga"/>
              </w:rPr>
              <w:t>Iascach Intíre Éireann</w:t>
            </w:r>
          </w:p>
        </w:tc>
        <w:tc>
          <w:tcPr>
            <w:tcW w:w="1559" w:type="dxa"/>
          </w:tcPr>
          <w:p w14:paraId="3F788072" w14:textId="77777777" w:rsidR="001D6F34" w:rsidRPr="00D51778" w:rsidRDefault="001D6F34" w:rsidP="001D6F34">
            <w:pPr>
              <w:jc w:val="right"/>
              <w:rPr>
                <w:sz w:val="22"/>
                <w:szCs w:val="22"/>
              </w:rPr>
            </w:pPr>
            <w:r w:rsidRPr="00D51778">
              <w:rPr>
                <w:rFonts w:cs="Calibri"/>
                <w:color w:val="000000"/>
                <w:sz w:val="22"/>
                <w:szCs w:val="22"/>
                <w:lang w:val="ga"/>
              </w:rPr>
              <w:t>339</w:t>
            </w:r>
          </w:p>
        </w:tc>
        <w:tc>
          <w:tcPr>
            <w:tcW w:w="1418" w:type="dxa"/>
          </w:tcPr>
          <w:p w14:paraId="0CE47374" w14:textId="77777777" w:rsidR="001D6F34" w:rsidRPr="00D51778" w:rsidRDefault="001D6F34" w:rsidP="001D6F34">
            <w:pPr>
              <w:jc w:val="right"/>
              <w:rPr>
                <w:sz w:val="22"/>
                <w:szCs w:val="22"/>
              </w:rPr>
            </w:pPr>
            <w:r w:rsidRPr="00D51778">
              <w:rPr>
                <w:rFonts w:cs="Calibri"/>
                <w:color w:val="000000"/>
                <w:sz w:val="22"/>
                <w:szCs w:val="22"/>
                <w:lang w:val="ga"/>
              </w:rPr>
              <w:t>15</w:t>
            </w:r>
          </w:p>
        </w:tc>
        <w:tc>
          <w:tcPr>
            <w:tcW w:w="1559" w:type="dxa"/>
          </w:tcPr>
          <w:p w14:paraId="332DDB0B" w14:textId="77777777" w:rsidR="001D6F34" w:rsidRPr="00D51778" w:rsidRDefault="001D6F34" w:rsidP="001D6F34">
            <w:pPr>
              <w:jc w:val="right"/>
              <w:rPr>
                <w:sz w:val="22"/>
                <w:szCs w:val="22"/>
              </w:rPr>
            </w:pPr>
            <w:r w:rsidRPr="00D51778">
              <w:rPr>
                <w:rFonts w:cs="Calibri"/>
                <w:color w:val="000000"/>
                <w:sz w:val="22"/>
                <w:szCs w:val="22"/>
                <w:lang w:val="ga"/>
              </w:rPr>
              <w:t>4.4%</w:t>
            </w:r>
          </w:p>
        </w:tc>
        <w:tc>
          <w:tcPr>
            <w:tcW w:w="1559" w:type="dxa"/>
          </w:tcPr>
          <w:p w14:paraId="01390DCA" w14:textId="77777777" w:rsidR="001D6F34" w:rsidRPr="00D51778" w:rsidRDefault="001D6F34" w:rsidP="001D6F34">
            <w:pPr>
              <w:jc w:val="right"/>
              <w:rPr>
                <w:sz w:val="22"/>
                <w:szCs w:val="22"/>
              </w:rPr>
            </w:pPr>
            <w:r w:rsidRPr="00D51778">
              <w:rPr>
                <w:rFonts w:cs="Calibri"/>
                <w:color w:val="000000"/>
                <w:sz w:val="22"/>
                <w:szCs w:val="22"/>
                <w:lang w:val="ga"/>
              </w:rPr>
              <w:t>326</w:t>
            </w:r>
          </w:p>
        </w:tc>
        <w:tc>
          <w:tcPr>
            <w:tcW w:w="1701" w:type="dxa"/>
          </w:tcPr>
          <w:p w14:paraId="04D2BB3B" w14:textId="77777777" w:rsidR="001D6F34" w:rsidRPr="00D51778" w:rsidRDefault="001D6F34" w:rsidP="001D6F34">
            <w:pPr>
              <w:jc w:val="right"/>
              <w:rPr>
                <w:sz w:val="22"/>
                <w:szCs w:val="22"/>
              </w:rPr>
            </w:pPr>
            <w:r w:rsidRPr="00D51778">
              <w:rPr>
                <w:rFonts w:cs="Calibri"/>
                <w:color w:val="000000"/>
                <w:sz w:val="22"/>
                <w:szCs w:val="22"/>
                <w:lang w:val="ga"/>
              </w:rPr>
              <w:t>14</w:t>
            </w:r>
          </w:p>
        </w:tc>
        <w:tc>
          <w:tcPr>
            <w:tcW w:w="1560" w:type="dxa"/>
          </w:tcPr>
          <w:p w14:paraId="2365666E" w14:textId="77777777" w:rsidR="001D6F34" w:rsidRPr="00D51778" w:rsidRDefault="001D6F34" w:rsidP="001D6F34">
            <w:pPr>
              <w:jc w:val="right"/>
              <w:rPr>
                <w:sz w:val="22"/>
                <w:szCs w:val="22"/>
              </w:rPr>
            </w:pPr>
            <w:r w:rsidRPr="00D51778">
              <w:rPr>
                <w:rFonts w:cs="Calibri"/>
                <w:color w:val="000000"/>
                <w:sz w:val="22"/>
                <w:szCs w:val="22"/>
                <w:lang w:val="ga"/>
              </w:rPr>
              <w:t>4.3%</w:t>
            </w:r>
          </w:p>
        </w:tc>
      </w:tr>
      <w:tr w:rsidR="001D6F34" w:rsidRPr="00D51778" w14:paraId="76A0D612" w14:textId="77777777" w:rsidTr="001D04D5">
        <w:trPr>
          <w:trHeight w:val="162"/>
        </w:trPr>
        <w:tc>
          <w:tcPr>
            <w:tcW w:w="1990" w:type="dxa"/>
            <w:vAlign w:val="bottom"/>
          </w:tcPr>
          <w:p w14:paraId="0F8ECC63" w14:textId="77777777" w:rsidR="001D6F34" w:rsidRPr="00D51778" w:rsidRDefault="001D6F34" w:rsidP="001D6F34">
            <w:pPr>
              <w:rPr>
                <w:sz w:val="22"/>
                <w:szCs w:val="22"/>
              </w:rPr>
            </w:pPr>
            <w:r w:rsidRPr="00D51778">
              <w:rPr>
                <w:rFonts w:cs="Calibri"/>
                <w:color w:val="000000"/>
                <w:sz w:val="22"/>
                <w:szCs w:val="22"/>
                <w:lang w:val="ga"/>
              </w:rPr>
              <w:t xml:space="preserve">Údarás Fuinnimh Inmharthana na hÉireann </w:t>
            </w:r>
          </w:p>
        </w:tc>
        <w:tc>
          <w:tcPr>
            <w:tcW w:w="1559" w:type="dxa"/>
          </w:tcPr>
          <w:p w14:paraId="7443BE0D" w14:textId="77777777" w:rsidR="001D6F34" w:rsidRPr="00D51778" w:rsidRDefault="001D6F34" w:rsidP="001D6F34">
            <w:pPr>
              <w:jc w:val="right"/>
              <w:rPr>
                <w:sz w:val="22"/>
                <w:szCs w:val="22"/>
              </w:rPr>
            </w:pPr>
            <w:r w:rsidRPr="00D51778">
              <w:rPr>
                <w:rFonts w:cs="Calibri"/>
                <w:color w:val="000000"/>
                <w:sz w:val="22"/>
                <w:szCs w:val="22"/>
                <w:lang w:val="ga"/>
              </w:rPr>
              <w:t>95</w:t>
            </w:r>
          </w:p>
        </w:tc>
        <w:tc>
          <w:tcPr>
            <w:tcW w:w="1418" w:type="dxa"/>
          </w:tcPr>
          <w:p w14:paraId="65DEF73D" w14:textId="77777777" w:rsidR="001D6F34" w:rsidRPr="00D51778" w:rsidRDefault="001D6F34" w:rsidP="001D6F34">
            <w:pPr>
              <w:jc w:val="right"/>
              <w:rPr>
                <w:sz w:val="22"/>
                <w:szCs w:val="22"/>
              </w:rPr>
            </w:pPr>
            <w:r w:rsidRPr="00D51778">
              <w:rPr>
                <w:rFonts w:cs="Calibri"/>
                <w:color w:val="000000"/>
                <w:sz w:val="22"/>
                <w:szCs w:val="22"/>
                <w:lang w:val="ga"/>
              </w:rPr>
              <w:t>5</w:t>
            </w:r>
          </w:p>
        </w:tc>
        <w:tc>
          <w:tcPr>
            <w:tcW w:w="1559" w:type="dxa"/>
          </w:tcPr>
          <w:p w14:paraId="35BFC0CB" w14:textId="77777777" w:rsidR="001D6F34" w:rsidRPr="00D51778" w:rsidRDefault="001D6F34" w:rsidP="001D6F34">
            <w:pPr>
              <w:jc w:val="right"/>
              <w:rPr>
                <w:sz w:val="22"/>
                <w:szCs w:val="22"/>
              </w:rPr>
            </w:pPr>
            <w:r w:rsidRPr="00D51778">
              <w:rPr>
                <w:rFonts w:cs="Calibri"/>
                <w:color w:val="000000"/>
                <w:sz w:val="22"/>
                <w:szCs w:val="22"/>
                <w:lang w:val="ga"/>
              </w:rPr>
              <w:t>5.3%</w:t>
            </w:r>
          </w:p>
        </w:tc>
        <w:tc>
          <w:tcPr>
            <w:tcW w:w="1559" w:type="dxa"/>
          </w:tcPr>
          <w:p w14:paraId="1853F93A" w14:textId="77777777" w:rsidR="001D6F34" w:rsidRPr="00D51778" w:rsidRDefault="001D6F34" w:rsidP="001D6F34">
            <w:pPr>
              <w:jc w:val="right"/>
              <w:rPr>
                <w:sz w:val="22"/>
                <w:szCs w:val="22"/>
              </w:rPr>
            </w:pPr>
            <w:r w:rsidRPr="00D51778">
              <w:rPr>
                <w:rFonts w:cs="Calibri"/>
                <w:color w:val="000000"/>
                <w:sz w:val="22"/>
                <w:szCs w:val="22"/>
                <w:lang w:val="ga"/>
              </w:rPr>
              <w:t>123</w:t>
            </w:r>
          </w:p>
        </w:tc>
        <w:tc>
          <w:tcPr>
            <w:tcW w:w="1701" w:type="dxa"/>
          </w:tcPr>
          <w:p w14:paraId="688CD280" w14:textId="77777777" w:rsidR="001D6F34" w:rsidRPr="00D51778" w:rsidRDefault="001D6F34" w:rsidP="001D6F34">
            <w:pPr>
              <w:jc w:val="right"/>
              <w:rPr>
                <w:sz w:val="22"/>
                <w:szCs w:val="22"/>
              </w:rPr>
            </w:pPr>
            <w:r w:rsidRPr="00D51778">
              <w:rPr>
                <w:rFonts w:cs="Calibri"/>
                <w:color w:val="000000"/>
                <w:sz w:val="22"/>
                <w:szCs w:val="22"/>
                <w:lang w:val="ga"/>
              </w:rPr>
              <w:t>6</w:t>
            </w:r>
          </w:p>
        </w:tc>
        <w:tc>
          <w:tcPr>
            <w:tcW w:w="1560" w:type="dxa"/>
          </w:tcPr>
          <w:p w14:paraId="7D746DAF" w14:textId="77777777" w:rsidR="001D6F34" w:rsidRPr="00D51778" w:rsidRDefault="001D6F34" w:rsidP="001D6F34">
            <w:pPr>
              <w:jc w:val="right"/>
              <w:rPr>
                <w:sz w:val="22"/>
                <w:szCs w:val="22"/>
              </w:rPr>
            </w:pPr>
            <w:r w:rsidRPr="00D51778">
              <w:rPr>
                <w:rFonts w:cs="Calibri"/>
                <w:color w:val="000000"/>
                <w:sz w:val="22"/>
                <w:szCs w:val="22"/>
                <w:lang w:val="ga"/>
              </w:rPr>
              <w:t>4.9%</w:t>
            </w:r>
          </w:p>
        </w:tc>
      </w:tr>
      <w:tr w:rsidR="001D6F34" w:rsidRPr="00D51778" w14:paraId="115227E9" w14:textId="77777777" w:rsidTr="001D04D5">
        <w:trPr>
          <w:trHeight w:val="162"/>
        </w:trPr>
        <w:tc>
          <w:tcPr>
            <w:tcW w:w="1990" w:type="dxa"/>
            <w:vAlign w:val="bottom"/>
          </w:tcPr>
          <w:p w14:paraId="1341685A" w14:textId="77777777" w:rsidR="001D6F34" w:rsidRPr="00D51778" w:rsidRDefault="001D6F34" w:rsidP="001D6F34">
            <w:pPr>
              <w:rPr>
                <w:sz w:val="22"/>
                <w:szCs w:val="22"/>
              </w:rPr>
            </w:pPr>
            <w:r w:rsidRPr="00D51778">
              <w:rPr>
                <w:rFonts w:cs="Calibri"/>
                <w:color w:val="000000"/>
                <w:sz w:val="22"/>
                <w:szCs w:val="22"/>
                <w:lang w:val="ga"/>
              </w:rPr>
              <w:t>An Mol Digiteach</w:t>
            </w:r>
          </w:p>
        </w:tc>
        <w:tc>
          <w:tcPr>
            <w:tcW w:w="1559" w:type="dxa"/>
          </w:tcPr>
          <w:p w14:paraId="4F4D0941" w14:textId="77777777" w:rsidR="001D6F34" w:rsidRPr="00D51778" w:rsidRDefault="001D6F34" w:rsidP="001D6F34">
            <w:pPr>
              <w:jc w:val="right"/>
              <w:rPr>
                <w:sz w:val="22"/>
                <w:szCs w:val="22"/>
              </w:rPr>
            </w:pPr>
            <w:r w:rsidRPr="00D51778">
              <w:rPr>
                <w:rFonts w:cs="Calibri"/>
                <w:color w:val="000000"/>
                <w:sz w:val="22"/>
                <w:szCs w:val="22"/>
                <w:lang w:val="ga"/>
              </w:rPr>
              <w:t>14</w:t>
            </w:r>
          </w:p>
        </w:tc>
        <w:tc>
          <w:tcPr>
            <w:tcW w:w="1418" w:type="dxa"/>
          </w:tcPr>
          <w:p w14:paraId="5968E42B" w14:textId="77777777" w:rsidR="001D6F34" w:rsidRPr="00D51778" w:rsidRDefault="001D6F34" w:rsidP="001D6F34">
            <w:pPr>
              <w:jc w:val="right"/>
              <w:rPr>
                <w:sz w:val="22"/>
                <w:szCs w:val="22"/>
              </w:rPr>
            </w:pPr>
            <w:r w:rsidRPr="00D51778">
              <w:rPr>
                <w:rFonts w:cs="Calibri"/>
                <w:color w:val="000000"/>
                <w:sz w:val="22"/>
                <w:szCs w:val="22"/>
                <w:lang w:val="ga"/>
              </w:rPr>
              <w:t>0</w:t>
            </w:r>
          </w:p>
        </w:tc>
        <w:tc>
          <w:tcPr>
            <w:tcW w:w="1559" w:type="dxa"/>
          </w:tcPr>
          <w:p w14:paraId="2806327E" w14:textId="77777777" w:rsidR="001D6F34" w:rsidRPr="00D51778" w:rsidRDefault="001D6F34" w:rsidP="001D6F34">
            <w:pPr>
              <w:jc w:val="right"/>
              <w:rPr>
                <w:sz w:val="22"/>
                <w:szCs w:val="22"/>
              </w:rPr>
            </w:pPr>
            <w:r w:rsidRPr="00D51778">
              <w:rPr>
                <w:rFonts w:cs="Calibri"/>
                <w:color w:val="000000"/>
                <w:sz w:val="22"/>
                <w:szCs w:val="22"/>
                <w:lang w:val="ga"/>
              </w:rPr>
              <w:t>0.0%</w:t>
            </w:r>
          </w:p>
        </w:tc>
        <w:tc>
          <w:tcPr>
            <w:tcW w:w="1559" w:type="dxa"/>
          </w:tcPr>
          <w:p w14:paraId="10CBE2B2"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14</w:t>
            </w:r>
          </w:p>
        </w:tc>
        <w:tc>
          <w:tcPr>
            <w:tcW w:w="1701" w:type="dxa"/>
          </w:tcPr>
          <w:p w14:paraId="78C46EBF"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0</w:t>
            </w:r>
          </w:p>
        </w:tc>
        <w:tc>
          <w:tcPr>
            <w:tcW w:w="1560" w:type="dxa"/>
          </w:tcPr>
          <w:p w14:paraId="22D99C69" w14:textId="77777777" w:rsidR="001D6F34" w:rsidRPr="00D51778" w:rsidRDefault="001D6F34" w:rsidP="001D6F34">
            <w:pPr>
              <w:pStyle w:val="TableHead"/>
              <w:jc w:val="right"/>
              <w:rPr>
                <w:b w:val="0"/>
                <w:sz w:val="22"/>
                <w:szCs w:val="22"/>
              </w:rPr>
            </w:pPr>
            <w:r w:rsidRPr="00D51778">
              <w:rPr>
                <w:rFonts w:cs="Calibri"/>
                <w:b w:val="0"/>
                <w:color w:val="000000"/>
                <w:sz w:val="22"/>
                <w:szCs w:val="22"/>
                <w:lang w:val="ga"/>
              </w:rPr>
              <w:t>0.0%</w:t>
            </w:r>
          </w:p>
        </w:tc>
      </w:tr>
      <w:tr w:rsidR="001D6F34" w:rsidRPr="00D51778" w14:paraId="3EEC203C" w14:textId="77777777" w:rsidTr="001D04D5">
        <w:trPr>
          <w:trHeight w:val="162"/>
        </w:trPr>
        <w:tc>
          <w:tcPr>
            <w:tcW w:w="1990" w:type="dxa"/>
            <w:vAlign w:val="bottom"/>
          </w:tcPr>
          <w:p w14:paraId="17D1DF3A" w14:textId="77777777" w:rsidR="001D6F34" w:rsidRPr="00D51778" w:rsidRDefault="001D6F34" w:rsidP="001D6F34">
            <w:pPr>
              <w:spacing w:after="0"/>
              <w:rPr>
                <w:b/>
                <w:sz w:val="22"/>
                <w:szCs w:val="22"/>
              </w:rPr>
            </w:pPr>
            <w:r w:rsidRPr="00D51778">
              <w:rPr>
                <w:b/>
                <w:bCs/>
                <w:sz w:val="22"/>
                <w:szCs w:val="22"/>
                <w:lang w:val="ga"/>
              </w:rPr>
              <w:t>Mór-Iomlán</w:t>
            </w:r>
          </w:p>
          <w:p w14:paraId="696D75C8" w14:textId="77777777" w:rsidR="001D6F34" w:rsidRPr="00D51778" w:rsidRDefault="001D6F34" w:rsidP="001D6F34">
            <w:pPr>
              <w:spacing w:after="0"/>
              <w:rPr>
                <w:sz w:val="22"/>
                <w:szCs w:val="22"/>
              </w:rPr>
            </w:pPr>
          </w:p>
        </w:tc>
        <w:tc>
          <w:tcPr>
            <w:tcW w:w="1559" w:type="dxa"/>
          </w:tcPr>
          <w:p w14:paraId="274C5EF6" w14:textId="77777777" w:rsidR="001D6F34" w:rsidRPr="00D51778" w:rsidRDefault="001D6F34" w:rsidP="001D6F34">
            <w:pPr>
              <w:spacing w:after="0"/>
              <w:jc w:val="right"/>
              <w:rPr>
                <w:rFonts w:cs="Calibri"/>
                <w:b/>
                <w:bCs/>
                <w:color w:val="000000"/>
                <w:sz w:val="22"/>
                <w:szCs w:val="22"/>
              </w:rPr>
            </w:pPr>
            <w:r w:rsidRPr="00D51778">
              <w:rPr>
                <w:rFonts w:cs="Calibri"/>
                <w:b/>
                <w:bCs/>
                <w:color w:val="000000"/>
                <w:sz w:val="22"/>
                <w:szCs w:val="22"/>
                <w:lang w:val="ga"/>
              </w:rPr>
              <w:t>18,578</w:t>
            </w:r>
          </w:p>
          <w:p w14:paraId="37E3CD06" w14:textId="77777777" w:rsidR="001D6F34" w:rsidRPr="00D51778" w:rsidRDefault="001D6F34" w:rsidP="001D6F34">
            <w:pPr>
              <w:pStyle w:val="TableHead"/>
              <w:jc w:val="right"/>
              <w:rPr>
                <w:sz w:val="22"/>
                <w:szCs w:val="22"/>
              </w:rPr>
            </w:pPr>
          </w:p>
        </w:tc>
        <w:tc>
          <w:tcPr>
            <w:tcW w:w="1418" w:type="dxa"/>
          </w:tcPr>
          <w:p w14:paraId="393D27DC" w14:textId="77777777" w:rsidR="001D6F34" w:rsidRPr="00D51778" w:rsidRDefault="001D6F34" w:rsidP="001D6F34">
            <w:pPr>
              <w:spacing w:after="0"/>
              <w:jc w:val="right"/>
              <w:rPr>
                <w:rFonts w:cs="Calibri"/>
                <w:b/>
                <w:bCs/>
                <w:color w:val="000000"/>
                <w:sz w:val="22"/>
                <w:szCs w:val="22"/>
              </w:rPr>
            </w:pPr>
            <w:r w:rsidRPr="00D51778">
              <w:rPr>
                <w:rFonts w:cs="Calibri"/>
                <w:b/>
                <w:bCs/>
                <w:color w:val="000000"/>
                <w:sz w:val="22"/>
                <w:szCs w:val="22"/>
                <w:lang w:val="ga"/>
              </w:rPr>
              <w:t>837</w:t>
            </w:r>
          </w:p>
          <w:p w14:paraId="7A2F041A" w14:textId="77777777" w:rsidR="001D6F34" w:rsidRPr="00D51778" w:rsidRDefault="001D6F34" w:rsidP="001D6F34">
            <w:pPr>
              <w:pStyle w:val="TableHead"/>
              <w:jc w:val="right"/>
              <w:rPr>
                <w:sz w:val="22"/>
                <w:szCs w:val="22"/>
              </w:rPr>
            </w:pPr>
          </w:p>
        </w:tc>
        <w:tc>
          <w:tcPr>
            <w:tcW w:w="1559" w:type="dxa"/>
          </w:tcPr>
          <w:p w14:paraId="78BD49D6" w14:textId="77777777" w:rsidR="001D6F34" w:rsidRPr="00D51778" w:rsidRDefault="001D6F34" w:rsidP="001D6F34">
            <w:pPr>
              <w:pStyle w:val="TableHead"/>
              <w:jc w:val="right"/>
              <w:rPr>
                <w:sz w:val="22"/>
                <w:szCs w:val="22"/>
              </w:rPr>
            </w:pPr>
            <w:r w:rsidRPr="00D51778">
              <w:rPr>
                <w:bCs/>
                <w:sz w:val="22"/>
                <w:szCs w:val="22"/>
                <w:lang w:val="ga"/>
              </w:rPr>
              <w:t>4.5%</w:t>
            </w:r>
          </w:p>
        </w:tc>
        <w:tc>
          <w:tcPr>
            <w:tcW w:w="1559" w:type="dxa"/>
          </w:tcPr>
          <w:p w14:paraId="10C68244" w14:textId="77777777" w:rsidR="001D6F34" w:rsidRPr="00D51778" w:rsidRDefault="001D6F34" w:rsidP="001D6F34">
            <w:pPr>
              <w:spacing w:after="0"/>
              <w:jc w:val="right"/>
              <w:rPr>
                <w:rFonts w:cs="Calibri"/>
                <w:b/>
                <w:bCs/>
                <w:color w:val="000000"/>
                <w:sz w:val="22"/>
                <w:szCs w:val="22"/>
              </w:rPr>
            </w:pPr>
            <w:r w:rsidRPr="00D51778">
              <w:rPr>
                <w:rFonts w:cs="Calibri"/>
                <w:b/>
                <w:bCs/>
                <w:color w:val="000000"/>
                <w:sz w:val="22"/>
                <w:szCs w:val="22"/>
                <w:lang w:val="ga"/>
              </w:rPr>
              <w:t>18,755</w:t>
            </w:r>
          </w:p>
          <w:p w14:paraId="2A80375B" w14:textId="77777777" w:rsidR="001D6F34" w:rsidRPr="00D51778" w:rsidRDefault="001D6F34" w:rsidP="001D6F34">
            <w:pPr>
              <w:pStyle w:val="TableHead"/>
              <w:jc w:val="right"/>
              <w:rPr>
                <w:sz w:val="22"/>
                <w:szCs w:val="22"/>
              </w:rPr>
            </w:pPr>
          </w:p>
        </w:tc>
        <w:tc>
          <w:tcPr>
            <w:tcW w:w="1701" w:type="dxa"/>
          </w:tcPr>
          <w:p w14:paraId="13D870EF" w14:textId="77777777" w:rsidR="001D6F34" w:rsidRPr="00D51778" w:rsidRDefault="001D6F34" w:rsidP="001D6F34">
            <w:pPr>
              <w:spacing w:after="0"/>
              <w:jc w:val="right"/>
              <w:rPr>
                <w:rFonts w:cs="Calibri"/>
                <w:b/>
                <w:bCs/>
                <w:color w:val="000000"/>
                <w:sz w:val="22"/>
                <w:szCs w:val="22"/>
              </w:rPr>
            </w:pPr>
            <w:r w:rsidRPr="00D51778">
              <w:rPr>
                <w:rFonts w:cs="Calibri"/>
                <w:b/>
                <w:bCs/>
                <w:color w:val="000000"/>
                <w:sz w:val="22"/>
                <w:szCs w:val="22"/>
                <w:lang w:val="ga"/>
              </w:rPr>
              <w:t>837</w:t>
            </w:r>
          </w:p>
          <w:p w14:paraId="71713040" w14:textId="77777777" w:rsidR="001D6F34" w:rsidRPr="00D51778" w:rsidRDefault="001D6F34" w:rsidP="001D6F34">
            <w:pPr>
              <w:pStyle w:val="TableHead"/>
              <w:jc w:val="right"/>
              <w:rPr>
                <w:sz w:val="22"/>
                <w:szCs w:val="22"/>
              </w:rPr>
            </w:pPr>
          </w:p>
        </w:tc>
        <w:tc>
          <w:tcPr>
            <w:tcW w:w="1560" w:type="dxa"/>
          </w:tcPr>
          <w:p w14:paraId="1E5506A1" w14:textId="77777777" w:rsidR="001D6F34" w:rsidRPr="00D51778" w:rsidRDefault="001D6F34" w:rsidP="001D6F34">
            <w:pPr>
              <w:pStyle w:val="TableHead"/>
              <w:jc w:val="right"/>
              <w:rPr>
                <w:sz w:val="22"/>
                <w:szCs w:val="22"/>
              </w:rPr>
            </w:pPr>
            <w:r w:rsidRPr="00D51778">
              <w:rPr>
                <w:bCs/>
                <w:sz w:val="22"/>
                <w:szCs w:val="22"/>
                <w:lang w:val="ga"/>
              </w:rPr>
              <w:t>4.5%</w:t>
            </w:r>
          </w:p>
        </w:tc>
      </w:tr>
    </w:tbl>
    <w:p w14:paraId="3A87D0E3" w14:textId="77777777" w:rsidR="007B3257" w:rsidRPr="00D51778" w:rsidRDefault="007B3257" w:rsidP="007B3257"/>
    <w:p w14:paraId="7E8842E8" w14:textId="77777777" w:rsidR="001D6F34" w:rsidRPr="00D51778" w:rsidRDefault="001D6F34" w:rsidP="009C3631">
      <w:pPr>
        <w:pStyle w:val="Heading2"/>
        <w:rPr>
          <w:color w:val="000000" w:themeColor="text1"/>
        </w:rPr>
      </w:pPr>
    </w:p>
    <w:p w14:paraId="572FF789" w14:textId="77777777" w:rsidR="00A33D13" w:rsidRDefault="00A33D13" w:rsidP="001624B2">
      <w:pPr>
        <w:pStyle w:val="Heading2"/>
        <w:jc w:val="center"/>
        <w:rPr>
          <w:bCs/>
          <w:color w:val="000000" w:themeColor="text1"/>
          <w:lang w:val="ga"/>
        </w:rPr>
      </w:pPr>
    </w:p>
    <w:p w14:paraId="2D8055DF" w14:textId="77777777" w:rsidR="00A33D13" w:rsidRDefault="00A33D13" w:rsidP="001624B2">
      <w:pPr>
        <w:pStyle w:val="Heading2"/>
        <w:jc w:val="center"/>
        <w:rPr>
          <w:bCs/>
          <w:color w:val="000000" w:themeColor="text1"/>
          <w:lang w:val="ga"/>
        </w:rPr>
      </w:pPr>
    </w:p>
    <w:p w14:paraId="16BD459E" w14:textId="77777777" w:rsidR="00A33D13" w:rsidRDefault="00A33D13" w:rsidP="001624B2">
      <w:pPr>
        <w:pStyle w:val="Heading2"/>
        <w:jc w:val="center"/>
        <w:rPr>
          <w:bCs/>
          <w:color w:val="000000" w:themeColor="text1"/>
          <w:lang w:val="ga"/>
        </w:rPr>
      </w:pPr>
    </w:p>
    <w:p w14:paraId="5A531438" w14:textId="77777777" w:rsidR="00A33D13" w:rsidRDefault="00A33D13" w:rsidP="001624B2">
      <w:pPr>
        <w:pStyle w:val="Heading2"/>
        <w:jc w:val="center"/>
        <w:rPr>
          <w:bCs/>
          <w:color w:val="000000" w:themeColor="text1"/>
          <w:lang w:val="ga"/>
        </w:rPr>
      </w:pPr>
    </w:p>
    <w:p w14:paraId="2EEBDB07" w14:textId="51897C6B" w:rsidR="00624403" w:rsidRPr="00D51778" w:rsidRDefault="00D556A0" w:rsidP="001624B2">
      <w:pPr>
        <w:pStyle w:val="Heading2"/>
        <w:jc w:val="center"/>
        <w:rPr>
          <w:color w:val="000000" w:themeColor="text1"/>
        </w:rPr>
      </w:pPr>
      <w:bookmarkStart w:id="80" w:name="_Toc124367428"/>
      <w:r w:rsidRPr="00D51778">
        <w:rPr>
          <w:bCs/>
          <w:color w:val="000000" w:themeColor="text1"/>
          <w:lang w:val="ga"/>
        </w:rPr>
        <w:t>Roinn an Taoisigh</w:t>
      </w:r>
      <w:bookmarkEnd w:id="80"/>
    </w:p>
    <w:tbl>
      <w:tblPr>
        <w:tblStyle w:val="TableGrid"/>
        <w:tblpPr w:leftFromText="180" w:rightFromText="180" w:vertAnchor="text" w:horzAnchor="margin" w:tblpXSpec="center" w:tblpY="196"/>
        <w:tblW w:w="11350" w:type="dxa"/>
        <w:tblLayout w:type="fixed"/>
        <w:tblLook w:val="04A0" w:firstRow="1" w:lastRow="0" w:firstColumn="1" w:lastColumn="0" w:noHBand="0" w:noVBand="1"/>
        <w:tblCaption w:val="Department of the Taoiseach"/>
      </w:tblPr>
      <w:tblGrid>
        <w:gridCol w:w="1853"/>
        <w:gridCol w:w="1418"/>
        <w:gridCol w:w="1553"/>
        <w:gridCol w:w="1560"/>
        <w:gridCol w:w="1701"/>
        <w:gridCol w:w="1564"/>
        <w:gridCol w:w="1701"/>
      </w:tblGrid>
      <w:tr w:rsidR="001D6F34" w:rsidRPr="00D51778" w14:paraId="70BC6A66" w14:textId="77777777" w:rsidTr="00963BE0">
        <w:trPr>
          <w:tblHeader/>
        </w:trPr>
        <w:tc>
          <w:tcPr>
            <w:tcW w:w="1853" w:type="dxa"/>
          </w:tcPr>
          <w:p w14:paraId="5F3765B4" w14:textId="77777777" w:rsidR="001D6F34" w:rsidRPr="00F50F03" w:rsidRDefault="001D6F34" w:rsidP="001D6F34">
            <w:pPr>
              <w:pStyle w:val="TableHead"/>
              <w:rPr>
                <w:sz w:val="22"/>
                <w:szCs w:val="22"/>
              </w:rPr>
            </w:pPr>
            <w:r w:rsidRPr="00F50F03">
              <w:rPr>
                <w:bCs/>
                <w:sz w:val="22"/>
                <w:szCs w:val="22"/>
                <w:lang w:val="ga"/>
              </w:rPr>
              <w:t>Comhlacht Poiblí</w:t>
            </w:r>
          </w:p>
        </w:tc>
        <w:tc>
          <w:tcPr>
            <w:tcW w:w="1418" w:type="dxa"/>
          </w:tcPr>
          <w:p w14:paraId="6B4596CF" w14:textId="77777777" w:rsidR="001D6F34" w:rsidRPr="00F50F03" w:rsidRDefault="001D6F34" w:rsidP="001D6F34">
            <w:pPr>
              <w:pStyle w:val="TableHead"/>
              <w:rPr>
                <w:sz w:val="22"/>
                <w:szCs w:val="22"/>
              </w:rPr>
            </w:pPr>
            <w:r w:rsidRPr="00F50F03">
              <w:rPr>
                <w:bCs/>
                <w:sz w:val="22"/>
                <w:szCs w:val="22"/>
                <w:lang w:val="ga"/>
              </w:rPr>
              <w:t>An líon iomlán fostaithe 2020</w:t>
            </w:r>
          </w:p>
        </w:tc>
        <w:tc>
          <w:tcPr>
            <w:tcW w:w="1553" w:type="dxa"/>
          </w:tcPr>
          <w:p w14:paraId="67B77D08" w14:textId="77777777" w:rsidR="001D6F34" w:rsidRPr="00F50F03" w:rsidRDefault="001D6F34" w:rsidP="001D6F34">
            <w:pPr>
              <w:pStyle w:val="TableHead"/>
              <w:rPr>
                <w:sz w:val="22"/>
                <w:szCs w:val="22"/>
              </w:rPr>
            </w:pPr>
            <w:r w:rsidRPr="00F50F03">
              <w:rPr>
                <w:bCs/>
                <w:sz w:val="22"/>
                <w:szCs w:val="22"/>
                <w:lang w:val="ga"/>
              </w:rPr>
              <w:t xml:space="preserve">An líon fostaithe a thuairiscigh míchumas </w:t>
            </w:r>
          </w:p>
          <w:p w14:paraId="0544833C" w14:textId="77777777" w:rsidR="001D6F34" w:rsidRPr="00F50F03" w:rsidRDefault="001D6F34" w:rsidP="001D6F34">
            <w:pPr>
              <w:pStyle w:val="TableHead"/>
              <w:rPr>
                <w:sz w:val="22"/>
                <w:szCs w:val="22"/>
              </w:rPr>
            </w:pPr>
            <w:r w:rsidRPr="00F50F03">
              <w:rPr>
                <w:bCs/>
                <w:sz w:val="22"/>
                <w:szCs w:val="22"/>
                <w:lang w:val="ga"/>
              </w:rPr>
              <w:t>2020</w:t>
            </w:r>
          </w:p>
        </w:tc>
        <w:tc>
          <w:tcPr>
            <w:tcW w:w="1560" w:type="dxa"/>
          </w:tcPr>
          <w:p w14:paraId="306B5AC8" w14:textId="77777777" w:rsidR="001D6F34" w:rsidRPr="00F50F03" w:rsidRDefault="001D6F34" w:rsidP="001D6F34">
            <w:pPr>
              <w:pStyle w:val="TableHead"/>
              <w:rPr>
                <w:sz w:val="22"/>
                <w:szCs w:val="22"/>
              </w:rPr>
            </w:pPr>
            <w:r w:rsidRPr="00F50F03">
              <w:rPr>
                <w:bCs/>
                <w:sz w:val="22"/>
                <w:szCs w:val="22"/>
                <w:lang w:val="ga"/>
              </w:rPr>
              <w:t>An % d’fhostaithe a thuairiscigh</w:t>
            </w:r>
          </w:p>
          <w:p w14:paraId="21867729" w14:textId="77777777" w:rsidR="001D6F34" w:rsidRPr="00F50F03" w:rsidRDefault="001D6F34" w:rsidP="001D6F34">
            <w:pPr>
              <w:pStyle w:val="TableHead"/>
              <w:rPr>
                <w:sz w:val="22"/>
                <w:szCs w:val="22"/>
              </w:rPr>
            </w:pPr>
            <w:r w:rsidRPr="00F50F03">
              <w:rPr>
                <w:bCs/>
                <w:sz w:val="22"/>
                <w:szCs w:val="22"/>
                <w:lang w:val="ga"/>
              </w:rPr>
              <w:t>míchumas 2020</w:t>
            </w:r>
          </w:p>
        </w:tc>
        <w:tc>
          <w:tcPr>
            <w:tcW w:w="1701" w:type="dxa"/>
          </w:tcPr>
          <w:p w14:paraId="0BA84751" w14:textId="77777777" w:rsidR="00087AF1" w:rsidRDefault="001D6F34" w:rsidP="001D6F34">
            <w:pPr>
              <w:pStyle w:val="TableHead"/>
              <w:rPr>
                <w:bCs/>
                <w:sz w:val="22"/>
                <w:szCs w:val="22"/>
                <w:lang w:val="ga"/>
              </w:rPr>
            </w:pPr>
            <w:r w:rsidRPr="00F50F03">
              <w:rPr>
                <w:bCs/>
                <w:sz w:val="22"/>
                <w:szCs w:val="22"/>
                <w:lang w:val="ga"/>
              </w:rPr>
              <w:t xml:space="preserve">An líon iomlán fostaithe </w:t>
            </w:r>
          </w:p>
          <w:p w14:paraId="3E9624D4" w14:textId="7426B2DA" w:rsidR="001D6F34" w:rsidRPr="00F50F03" w:rsidRDefault="001D6F34" w:rsidP="001D6F34">
            <w:pPr>
              <w:pStyle w:val="TableHead"/>
              <w:rPr>
                <w:sz w:val="22"/>
                <w:szCs w:val="22"/>
              </w:rPr>
            </w:pPr>
            <w:r w:rsidRPr="00F50F03">
              <w:rPr>
                <w:bCs/>
                <w:sz w:val="22"/>
                <w:szCs w:val="22"/>
                <w:lang w:val="ga"/>
              </w:rPr>
              <w:t>2021</w:t>
            </w:r>
          </w:p>
        </w:tc>
        <w:tc>
          <w:tcPr>
            <w:tcW w:w="1564" w:type="dxa"/>
          </w:tcPr>
          <w:p w14:paraId="210FB70E" w14:textId="77777777" w:rsidR="001D6F34" w:rsidRPr="00F50F03" w:rsidRDefault="001D6F34" w:rsidP="001D6F34">
            <w:pPr>
              <w:pStyle w:val="TableHead"/>
              <w:rPr>
                <w:sz w:val="22"/>
                <w:szCs w:val="22"/>
              </w:rPr>
            </w:pPr>
            <w:r w:rsidRPr="00F50F03">
              <w:rPr>
                <w:bCs/>
                <w:sz w:val="22"/>
                <w:szCs w:val="22"/>
                <w:lang w:val="ga"/>
              </w:rPr>
              <w:t xml:space="preserve">An líon fostaithe a thuairiscigh míchumas </w:t>
            </w:r>
          </w:p>
          <w:p w14:paraId="72EE45FC" w14:textId="77777777" w:rsidR="001D6F34" w:rsidRPr="00F50F03" w:rsidRDefault="001D6F34" w:rsidP="001D6F34">
            <w:pPr>
              <w:pStyle w:val="TableHead"/>
              <w:rPr>
                <w:sz w:val="22"/>
                <w:szCs w:val="22"/>
              </w:rPr>
            </w:pPr>
            <w:r w:rsidRPr="00F50F03">
              <w:rPr>
                <w:bCs/>
                <w:sz w:val="22"/>
                <w:szCs w:val="22"/>
                <w:lang w:val="ga"/>
              </w:rPr>
              <w:t>2021</w:t>
            </w:r>
          </w:p>
        </w:tc>
        <w:tc>
          <w:tcPr>
            <w:tcW w:w="1701" w:type="dxa"/>
          </w:tcPr>
          <w:p w14:paraId="39FFD3B3" w14:textId="77777777" w:rsidR="001D6F34" w:rsidRPr="00F50F03" w:rsidRDefault="001D6F34" w:rsidP="001D6F34">
            <w:pPr>
              <w:pStyle w:val="TableHead"/>
              <w:rPr>
                <w:sz w:val="22"/>
                <w:szCs w:val="22"/>
              </w:rPr>
            </w:pPr>
            <w:r w:rsidRPr="00F50F03">
              <w:rPr>
                <w:bCs/>
                <w:sz w:val="22"/>
                <w:szCs w:val="22"/>
                <w:lang w:val="ga"/>
              </w:rPr>
              <w:t>An % d’fhostaithe a thuairiscigh</w:t>
            </w:r>
          </w:p>
          <w:p w14:paraId="26695D4F" w14:textId="77777777" w:rsidR="001D6F34" w:rsidRPr="00F50F03" w:rsidRDefault="001D6F34" w:rsidP="001D6F34">
            <w:pPr>
              <w:pStyle w:val="TableHead"/>
              <w:rPr>
                <w:sz w:val="22"/>
                <w:szCs w:val="22"/>
              </w:rPr>
            </w:pPr>
            <w:r w:rsidRPr="00F50F03">
              <w:rPr>
                <w:bCs/>
                <w:sz w:val="22"/>
                <w:szCs w:val="22"/>
                <w:lang w:val="ga"/>
              </w:rPr>
              <w:t>míchumas</w:t>
            </w:r>
          </w:p>
          <w:p w14:paraId="332D6D07" w14:textId="77777777" w:rsidR="001D6F34" w:rsidRPr="00F50F03" w:rsidRDefault="001D6F34" w:rsidP="001D6F34">
            <w:pPr>
              <w:pStyle w:val="TableHead"/>
              <w:rPr>
                <w:sz w:val="22"/>
                <w:szCs w:val="22"/>
              </w:rPr>
            </w:pPr>
            <w:r w:rsidRPr="00F50F03">
              <w:rPr>
                <w:bCs/>
                <w:sz w:val="22"/>
                <w:szCs w:val="22"/>
                <w:lang w:val="ga"/>
              </w:rPr>
              <w:t>2021</w:t>
            </w:r>
          </w:p>
        </w:tc>
      </w:tr>
      <w:tr w:rsidR="001D6F34" w:rsidRPr="00D51778" w14:paraId="467ED626" w14:textId="77777777" w:rsidTr="00963BE0">
        <w:trPr>
          <w:trHeight w:val="162"/>
        </w:trPr>
        <w:tc>
          <w:tcPr>
            <w:tcW w:w="1853" w:type="dxa"/>
          </w:tcPr>
          <w:p w14:paraId="074AC87D" w14:textId="77777777" w:rsidR="001D6F34" w:rsidRPr="00D51778" w:rsidRDefault="001D6F34" w:rsidP="001D6F34">
            <w:pPr>
              <w:spacing w:after="0"/>
              <w:rPr>
                <w:rFonts w:cs="Calibri"/>
                <w:color w:val="000000"/>
                <w:sz w:val="22"/>
                <w:szCs w:val="22"/>
              </w:rPr>
            </w:pPr>
            <w:r w:rsidRPr="00D51778">
              <w:rPr>
                <w:rFonts w:cs="Calibri"/>
                <w:color w:val="000000"/>
                <w:sz w:val="22"/>
                <w:szCs w:val="22"/>
                <w:lang w:val="ga"/>
              </w:rPr>
              <w:t>An Oifig Náisiúnta d'Fhorbairt Eacnamaíoch agus Shóisialach</w:t>
            </w:r>
          </w:p>
          <w:p w14:paraId="5AFA1995" w14:textId="77777777" w:rsidR="001D6F34" w:rsidRPr="00D51778" w:rsidRDefault="001D6F34" w:rsidP="001D6F34">
            <w:pPr>
              <w:rPr>
                <w:sz w:val="22"/>
                <w:szCs w:val="22"/>
              </w:rPr>
            </w:pPr>
          </w:p>
        </w:tc>
        <w:tc>
          <w:tcPr>
            <w:tcW w:w="1418" w:type="dxa"/>
          </w:tcPr>
          <w:p w14:paraId="47B44F7B" w14:textId="77777777" w:rsidR="001D6F34" w:rsidRPr="00D51778" w:rsidRDefault="001D6F34" w:rsidP="001D6F34">
            <w:pPr>
              <w:jc w:val="right"/>
              <w:rPr>
                <w:sz w:val="22"/>
                <w:szCs w:val="22"/>
              </w:rPr>
            </w:pPr>
            <w:r w:rsidRPr="00D51778">
              <w:rPr>
                <w:sz w:val="22"/>
                <w:szCs w:val="22"/>
                <w:lang w:val="ga"/>
              </w:rPr>
              <w:t>15</w:t>
            </w:r>
          </w:p>
        </w:tc>
        <w:tc>
          <w:tcPr>
            <w:tcW w:w="1553" w:type="dxa"/>
          </w:tcPr>
          <w:p w14:paraId="6B5A002A" w14:textId="77777777" w:rsidR="001D6F34" w:rsidRPr="00D51778" w:rsidRDefault="001D6F34" w:rsidP="001D6F34">
            <w:pPr>
              <w:jc w:val="right"/>
              <w:rPr>
                <w:sz w:val="22"/>
                <w:szCs w:val="22"/>
              </w:rPr>
            </w:pPr>
            <w:r w:rsidRPr="00D51778">
              <w:rPr>
                <w:sz w:val="22"/>
                <w:szCs w:val="22"/>
                <w:lang w:val="ga"/>
              </w:rPr>
              <w:t>1</w:t>
            </w:r>
          </w:p>
        </w:tc>
        <w:tc>
          <w:tcPr>
            <w:tcW w:w="1560" w:type="dxa"/>
          </w:tcPr>
          <w:p w14:paraId="76C54D55" w14:textId="77777777" w:rsidR="001D6F34" w:rsidRPr="00D51778" w:rsidRDefault="001D6F34" w:rsidP="001D6F34">
            <w:pPr>
              <w:jc w:val="right"/>
              <w:rPr>
                <w:sz w:val="22"/>
                <w:szCs w:val="22"/>
              </w:rPr>
            </w:pPr>
            <w:r w:rsidRPr="00D51778">
              <w:rPr>
                <w:sz w:val="22"/>
                <w:szCs w:val="22"/>
                <w:lang w:val="ga"/>
              </w:rPr>
              <w:t>6.7%</w:t>
            </w:r>
          </w:p>
        </w:tc>
        <w:tc>
          <w:tcPr>
            <w:tcW w:w="1701" w:type="dxa"/>
          </w:tcPr>
          <w:p w14:paraId="0A349C4F" w14:textId="77777777" w:rsidR="001D6F34" w:rsidRPr="00D51778" w:rsidRDefault="001D6F34" w:rsidP="001D6F34">
            <w:pPr>
              <w:jc w:val="right"/>
              <w:rPr>
                <w:sz w:val="22"/>
                <w:szCs w:val="22"/>
              </w:rPr>
            </w:pPr>
            <w:r w:rsidRPr="00D51778">
              <w:rPr>
                <w:sz w:val="22"/>
                <w:szCs w:val="22"/>
                <w:lang w:val="ga"/>
              </w:rPr>
              <w:t>18</w:t>
            </w:r>
          </w:p>
        </w:tc>
        <w:tc>
          <w:tcPr>
            <w:tcW w:w="1564" w:type="dxa"/>
          </w:tcPr>
          <w:p w14:paraId="1F5D41DE" w14:textId="77777777" w:rsidR="001D6F34" w:rsidRPr="00D51778" w:rsidRDefault="001D6F34" w:rsidP="001D6F34">
            <w:pPr>
              <w:jc w:val="right"/>
              <w:rPr>
                <w:sz w:val="22"/>
                <w:szCs w:val="22"/>
              </w:rPr>
            </w:pPr>
            <w:r w:rsidRPr="00D51778">
              <w:rPr>
                <w:sz w:val="22"/>
                <w:szCs w:val="22"/>
                <w:lang w:val="ga"/>
              </w:rPr>
              <w:t>1</w:t>
            </w:r>
          </w:p>
        </w:tc>
        <w:tc>
          <w:tcPr>
            <w:tcW w:w="1701" w:type="dxa"/>
          </w:tcPr>
          <w:p w14:paraId="57B499D8" w14:textId="77777777" w:rsidR="001D6F34" w:rsidRPr="00D51778" w:rsidRDefault="001D6F34" w:rsidP="001D6F34">
            <w:pPr>
              <w:jc w:val="right"/>
              <w:rPr>
                <w:sz w:val="22"/>
                <w:szCs w:val="22"/>
              </w:rPr>
            </w:pPr>
            <w:r w:rsidRPr="00D51778">
              <w:rPr>
                <w:sz w:val="22"/>
                <w:szCs w:val="22"/>
                <w:lang w:val="ga"/>
              </w:rPr>
              <w:t>5.6%</w:t>
            </w:r>
          </w:p>
        </w:tc>
      </w:tr>
      <w:tr w:rsidR="001D6F34" w:rsidRPr="00D51778" w14:paraId="6D4D7766" w14:textId="77777777" w:rsidTr="00963BE0">
        <w:trPr>
          <w:trHeight w:val="162"/>
        </w:trPr>
        <w:tc>
          <w:tcPr>
            <w:tcW w:w="1853" w:type="dxa"/>
          </w:tcPr>
          <w:p w14:paraId="0AEA521D" w14:textId="77777777" w:rsidR="001D6F34" w:rsidRPr="00D51778" w:rsidRDefault="001D6F34" w:rsidP="001D6F34">
            <w:pPr>
              <w:pStyle w:val="TableHead"/>
              <w:spacing w:after="240"/>
              <w:rPr>
                <w:sz w:val="22"/>
                <w:szCs w:val="22"/>
              </w:rPr>
            </w:pPr>
            <w:r w:rsidRPr="00D51778">
              <w:rPr>
                <w:bCs/>
                <w:sz w:val="22"/>
                <w:szCs w:val="22"/>
                <w:lang w:val="ga"/>
              </w:rPr>
              <w:t>Mór-Iomlán</w:t>
            </w:r>
          </w:p>
        </w:tc>
        <w:tc>
          <w:tcPr>
            <w:tcW w:w="1418" w:type="dxa"/>
          </w:tcPr>
          <w:p w14:paraId="5A5CE200" w14:textId="77777777" w:rsidR="001D6F34" w:rsidRPr="00D51778" w:rsidRDefault="001D6F34" w:rsidP="001D6F34">
            <w:pPr>
              <w:pStyle w:val="TableHead"/>
              <w:spacing w:after="240"/>
              <w:jc w:val="right"/>
              <w:rPr>
                <w:sz w:val="22"/>
                <w:szCs w:val="22"/>
              </w:rPr>
            </w:pPr>
            <w:r w:rsidRPr="00D51778">
              <w:rPr>
                <w:bCs/>
                <w:sz w:val="22"/>
                <w:szCs w:val="22"/>
                <w:lang w:val="ga"/>
              </w:rPr>
              <w:t>15</w:t>
            </w:r>
          </w:p>
        </w:tc>
        <w:tc>
          <w:tcPr>
            <w:tcW w:w="1553" w:type="dxa"/>
          </w:tcPr>
          <w:p w14:paraId="3856EE12" w14:textId="77777777" w:rsidR="001D6F34" w:rsidRPr="00D51778" w:rsidRDefault="001D6F34" w:rsidP="001D6F34">
            <w:pPr>
              <w:pStyle w:val="TableHead"/>
              <w:spacing w:after="240"/>
              <w:jc w:val="right"/>
              <w:rPr>
                <w:sz w:val="22"/>
                <w:szCs w:val="22"/>
              </w:rPr>
            </w:pPr>
            <w:r w:rsidRPr="00D51778">
              <w:rPr>
                <w:bCs/>
                <w:sz w:val="22"/>
                <w:szCs w:val="22"/>
                <w:lang w:val="ga"/>
              </w:rPr>
              <w:t>1</w:t>
            </w:r>
          </w:p>
        </w:tc>
        <w:tc>
          <w:tcPr>
            <w:tcW w:w="1560" w:type="dxa"/>
          </w:tcPr>
          <w:p w14:paraId="79F7FABB" w14:textId="77777777" w:rsidR="001D6F34" w:rsidRPr="00D51778" w:rsidRDefault="001D6F34" w:rsidP="001D6F34">
            <w:pPr>
              <w:pStyle w:val="TableHead"/>
              <w:spacing w:after="240"/>
              <w:jc w:val="right"/>
              <w:rPr>
                <w:sz w:val="22"/>
                <w:szCs w:val="22"/>
              </w:rPr>
            </w:pPr>
            <w:r w:rsidRPr="00D51778">
              <w:rPr>
                <w:bCs/>
                <w:sz w:val="22"/>
                <w:szCs w:val="22"/>
                <w:lang w:val="ga"/>
              </w:rPr>
              <w:t>6.7%</w:t>
            </w:r>
          </w:p>
        </w:tc>
        <w:tc>
          <w:tcPr>
            <w:tcW w:w="1701" w:type="dxa"/>
          </w:tcPr>
          <w:p w14:paraId="395AE21A" w14:textId="77777777" w:rsidR="001D6F34" w:rsidRPr="00D51778" w:rsidRDefault="001D6F34" w:rsidP="001D6F34">
            <w:pPr>
              <w:pStyle w:val="TableHead"/>
              <w:spacing w:after="240"/>
              <w:jc w:val="right"/>
              <w:rPr>
                <w:sz w:val="22"/>
                <w:szCs w:val="22"/>
              </w:rPr>
            </w:pPr>
            <w:r w:rsidRPr="00D51778">
              <w:rPr>
                <w:bCs/>
                <w:sz w:val="22"/>
                <w:szCs w:val="22"/>
                <w:lang w:val="ga"/>
              </w:rPr>
              <w:t>18</w:t>
            </w:r>
          </w:p>
        </w:tc>
        <w:tc>
          <w:tcPr>
            <w:tcW w:w="1564" w:type="dxa"/>
          </w:tcPr>
          <w:p w14:paraId="6EA0D72F" w14:textId="77777777" w:rsidR="001D6F34" w:rsidRPr="00D51778" w:rsidRDefault="001D6F34" w:rsidP="001D6F34">
            <w:pPr>
              <w:pStyle w:val="TableHead"/>
              <w:spacing w:after="240"/>
              <w:jc w:val="right"/>
              <w:rPr>
                <w:sz w:val="22"/>
                <w:szCs w:val="22"/>
              </w:rPr>
            </w:pPr>
            <w:r w:rsidRPr="00D51778">
              <w:rPr>
                <w:bCs/>
                <w:sz w:val="22"/>
                <w:szCs w:val="22"/>
                <w:lang w:val="ga"/>
              </w:rPr>
              <w:t>1</w:t>
            </w:r>
          </w:p>
        </w:tc>
        <w:tc>
          <w:tcPr>
            <w:tcW w:w="1701" w:type="dxa"/>
          </w:tcPr>
          <w:p w14:paraId="2B6C1AD0" w14:textId="77777777" w:rsidR="001D6F34" w:rsidRPr="00D51778" w:rsidRDefault="001D6F34" w:rsidP="001D6F34">
            <w:pPr>
              <w:pStyle w:val="TableHead"/>
              <w:spacing w:after="240"/>
              <w:jc w:val="right"/>
              <w:rPr>
                <w:sz w:val="22"/>
                <w:szCs w:val="22"/>
              </w:rPr>
            </w:pPr>
            <w:r w:rsidRPr="00D51778">
              <w:rPr>
                <w:bCs/>
                <w:sz w:val="22"/>
                <w:szCs w:val="22"/>
                <w:lang w:val="ga"/>
              </w:rPr>
              <w:t>5.6%</w:t>
            </w:r>
          </w:p>
        </w:tc>
      </w:tr>
    </w:tbl>
    <w:p w14:paraId="099037B2" w14:textId="0DBA9C3E" w:rsidR="00087AF1" w:rsidRDefault="00087AF1" w:rsidP="000D5C5D"/>
    <w:p w14:paraId="4B08A0B5" w14:textId="77777777" w:rsidR="00087AF1" w:rsidRDefault="00087AF1">
      <w:pPr>
        <w:spacing w:after="0"/>
      </w:pPr>
      <w:r>
        <w:br w:type="page"/>
      </w:r>
    </w:p>
    <w:p w14:paraId="4C2BCD82" w14:textId="2BE6754E" w:rsidR="003730DB" w:rsidRPr="00D51778" w:rsidRDefault="00D556A0" w:rsidP="001D6F34">
      <w:pPr>
        <w:pStyle w:val="Heading2"/>
        <w:spacing w:after="160"/>
        <w:jc w:val="center"/>
        <w:rPr>
          <w:color w:val="000000" w:themeColor="text1"/>
        </w:rPr>
      </w:pPr>
      <w:bookmarkStart w:id="81" w:name="_Toc124367429"/>
      <w:r w:rsidRPr="00D51778">
        <w:rPr>
          <w:bCs/>
          <w:color w:val="000000" w:themeColor="text1"/>
          <w:lang w:val="ga"/>
        </w:rPr>
        <w:lastRenderedPageBreak/>
        <w:t>An Roinn Turasóireachta, Cultúir, Ealaíon, Gaeltachta, Spóirt agus Meán</w:t>
      </w:r>
      <w:bookmarkEnd w:id="81"/>
    </w:p>
    <w:tbl>
      <w:tblPr>
        <w:tblW w:w="11460" w:type="dxa"/>
        <w:tblInd w:w="-14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62"/>
        <w:gridCol w:w="1418"/>
        <w:gridCol w:w="1417"/>
        <w:gridCol w:w="1843"/>
        <w:gridCol w:w="1559"/>
        <w:gridCol w:w="1560"/>
        <w:gridCol w:w="1701"/>
      </w:tblGrid>
      <w:tr w:rsidR="00484242" w:rsidRPr="00D51778" w14:paraId="4AC8F167" w14:textId="77777777" w:rsidTr="000560A6">
        <w:trPr>
          <w:tblHeader/>
        </w:trPr>
        <w:tc>
          <w:tcPr>
            <w:tcW w:w="1962" w:type="dxa"/>
            <w:tcBorders>
              <w:top w:val="single" w:sz="12" w:space="0" w:color="000000"/>
              <w:left w:val="single" w:sz="12" w:space="0" w:color="000000"/>
              <w:bottom w:val="single" w:sz="6" w:space="0" w:color="000000"/>
              <w:right w:val="single" w:sz="6" w:space="0" w:color="000000"/>
            </w:tcBorders>
          </w:tcPr>
          <w:p w14:paraId="414C3235" w14:textId="77777777" w:rsidR="00484242" w:rsidRPr="00D51778" w:rsidRDefault="00484242" w:rsidP="004127EA">
            <w:pPr>
              <w:rPr>
                <w:b/>
                <w:sz w:val="22"/>
                <w:szCs w:val="22"/>
              </w:rPr>
            </w:pPr>
            <w:r w:rsidRPr="00D51778">
              <w:rPr>
                <w:b/>
                <w:bCs/>
                <w:sz w:val="22"/>
                <w:szCs w:val="22"/>
                <w:lang w:val="ga"/>
              </w:rPr>
              <w:t>Comhlacht Poiblí</w:t>
            </w:r>
          </w:p>
        </w:tc>
        <w:tc>
          <w:tcPr>
            <w:tcW w:w="1418" w:type="dxa"/>
            <w:tcBorders>
              <w:top w:val="single" w:sz="12" w:space="0" w:color="000000"/>
              <w:left w:val="single" w:sz="6" w:space="0" w:color="000000"/>
              <w:bottom w:val="single" w:sz="6" w:space="0" w:color="000000"/>
              <w:right w:val="single" w:sz="6" w:space="0" w:color="000000"/>
            </w:tcBorders>
          </w:tcPr>
          <w:p w14:paraId="232EEB5B" w14:textId="3CEA2694" w:rsidR="00484242" w:rsidRPr="00D51778" w:rsidRDefault="00484242" w:rsidP="004127EA">
            <w:pPr>
              <w:rPr>
                <w:b/>
                <w:sz w:val="22"/>
                <w:szCs w:val="22"/>
              </w:rPr>
            </w:pPr>
            <w:r w:rsidRPr="00D51778">
              <w:rPr>
                <w:b/>
                <w:bCs/>
                <w:sz w:val="22"/>
                <w:szCs w:val="22"/>
                <w:lang w:val="ga"/>
              </w:rPr>
              <w:t>An líon iomlán fostaithe 2020</w:t>
            </w:r>
          </w:p>
        </w:tc>
        <w:tc>
          <w:tcPr>
            <w:tcW w:w="1417" w:type="dxa"/>
            <w:tcBorders>
              <w:top w:val="single" w:sz="12" w:space="0" w:color="000000"/>
              <w:left w:val="single" w:sz="6" w:space="0" w:color="000000"/>
              <w:bottom w:val="single" w:sz="6" w:space="0" w:color="000000"/>
              <w:right w:val="single" w:sz="6" w:space="0" w:color="000000"/>
            </w:tcBorders>
          </w:tcPr>
          <w:p w14:paraId="5A07BC34" w14:textId="4BE0C9B5" w:rsidR="00484242" w:rsidRPr="00D51778" w:rsidRDefault="00484242" w:rsidP="004127EA">
            <w:pPr>
              <w:rPr>
                <w:b/>
                <w:sz w:val="22"/>
                <w:szCs w:val="22"/>
              </w:rPr>
            </w:pPr>
            <w:r w:rsidRPr="00D51778">
              <w:rPr>
                <w:b/>
                <w:bCs/>
                <w:sz w:val="22"/>
                <w:szCs w:val="22"/>
                <w:lang w:val="ga"/>
              </w:rPr>
              <w:t>An líon fostaithe a thuairiscigh míchumas 2020</w:t>
            </w:r>
          </w:p>
        </w:tc>
        <w:tc>
          <w:tcPr>
            <w:tcW w:w="1843" w:type="dxa"/>
            <w:tcBorders>
              <w:top w:val="single" w:sz="12" w:space="0" w:color="000000"/>
              <w:left w:val="single" w:sz="6" w:space="0" w:color="000000"/>
              <w:bottom w:val="single" w:sz="6" w:space="0" w:color="000000"/>
              <w:right w:val="single" w:sz="6" w:space="0" w:color="000000"/>
            </w:tcBorders>
          </w:tcPr>
          <w:p w14:paraId="75CBEEEE" w14:textId="38B0D490" w:rsidR="00484242" w:rsidRPr="00D51778" w:rsidRDefault="00484242" w:rsidP="004127EA">
            <w:pPr>
              <w:pStyle w:val="TableHead"/>
              <w:rPr>
                <w:sz w:val="22"/>
                <w:szCs w:val="22"/>
              </w:rPr>
            </w:pPr>
            <w:r w:rsidRPr="00D51778">
              <w:rPr>
                <w:bCs/>
                <w:sz w:val="22"/>
                <w:szCs w:val="22"/>
                <w:lang w:val="ga"/>
              </w:rPr>
              <w:t>An % d’fhostaithe a thuairiscigh</w:t>
            </w:r>
          </w:p>
          <w:p w14:paraId="6C1AF07E" w14:textId="77777777" w:rsidR="00087AF1" w:rsidRDefault="00FD48A0" w:rsidP="00087AF1">
            <w:pPr>
              <w:spacing w:after="0"/>
              <w:rPr>
                <w:b/>
                <w:bCs/>
                <w:sz w:val="22"/>
                <w:szCs w:val="22"/>
                <w:lang w:val="ga"/>
              </w:rPr>
            </w:pPr>
            <w:r w:rsidRPr="00D51778">
              <w:rPr>
                <w:b/>
                <w:bCs/>
                <w:sz w:val="22"/>
                <w:szCs w:val="22"/>
                <w:lang w:val="ga"/>
              </w:rPr>
              <w:t xml:space="preserve">míchumas </w:t>
            </w:r>
          </w:p>
          <w:p w14:paraId="2B9A0AB6" w14:textId="78FF1022" w:rsidR="00484242" w:rsidRPr="00D51778" w:rsidRDefault="00FD48A0" w:rsidP="004127EA">
            <w:pPr>
              <w:rPr>
                <w:b/>
                <w:sz w:val="22"/>
                <w:szCs w:val="22"/>
              </w:rPr>
            </w:pPr>
            <w:r w:rsidRPr="00D51778">
              <w:rPr>
                <w:b/>
                <w:bCs/>
                <w:sz w:val="22"/>
                <w:szCs w:val="22"/>
                <w:lang w:val="ga"/>
              </w:rPr>
              <w:t>2020</w:t>
            </w:r>
          </w:p>
        </w:tc>
        <w:tc>
          <w:tcPr>
            <w:tcW w:w="1559" w:type="dxa"/>
            <w:tcBorders>
              <w:top w:val="single" w:sz="12" w:space="0" w:color="000000"/>
              <w:left w:val="single" w:sz="6" w:space="0" w:color="000000"/>
              <w:bottom w:val="single" w:sz="6" w:space="0" w:color="000000"/>
              <w:right w:val="single" w:sz="6" w:space="0" w:color="000000"/>
            </w:tcBorders>
          </w:tcPr>
          <w:p w14:paraId="4F99B179" w14:textId="4211F77E" w:rsidR="00484242" w:rsidRPr="00D51778" w:rsidRDefault="00844749" w:rsidP="004127EA">
            <w:pPr>
              <w:rPr>
                <w:b/>
                <w:sz w:val="22"/>
                <w:szCs w:val="22"/>
              </w:rPr>
            </w:pPr>
            <w:r w:rsidRPr="00D51778">
              <w:rPr>
                <w:b/>
                <w:bCs/>
                <w:sz w:val="22"/>
                <w:szCs w:val="22"/>
                <w:lang w:val="ga"/>
              </w:rPr>
              <w:t>An líon iomlán fostaithe 2021</w:t>
            </w:r>
          </w:p>
        </w:tc>
        <w:tc>
          <w:tcPr>
            <w:tcW w:w="1560" w:type="dxa"/>
            <w:tcBorders>
              <w:top w:val="single" w:sz="12" w:space="0" w:color="000000"/>
              <w:left w:val="single" w:sz="6" w:space="0" w:color="000000"/>
              <w:bottom w:val="single" w:sz="6" w:space="0" w:color="000000"/>
              <w:right w:val="single" w:sz="6" w:space="0" w:color="000000"/>
            </w:tcBorders>
          </w:tcPr>
          <w:p w14:paraId="563A4220" w14:textId="2DA922EE" w:rsidR="00484242" w:rsidRPr="00D51778" w:rsidRDefault="00484242" w:rsidP="004127EA">
            <w:pPr>
              <w:rPr>
                <w:b/>
                <w:sz w:val="22"/>
                <w:szCs w:val="22"/>
              </w:rPr>
            </w:pPr>
            <w:r w:rsidRPr="00D51778">
              <w:rPr>
                <w:b/>
                <w:bCs/>
                <w:sz w:val="22"/>
                <w:szCs w:val="22"/>
                <w:lang w:val="ga"/>
              </w:rPr>
              <w:t>An líon fostaithe a thuairiscigh míchumas 2021</w:t>
            </w:r>
          </w:p>
        </w:tc>
        <w:tc>
          <w:tcPr>
            <w:tcW w:w="1701" w:type="dxa"/>
            <w:tcBorders>
              <w:top w:val="single" w:sz="12" w:space="0" w:color="000000"/>
              <w:left w:val="single" w:sz="6" w:space="0" w:color="000000"/>
              <w:bottom w:val="single" w:sz="6" w:space="0" w:color="000000"/>
              <w:right w:val="single" w:sz="12" w:space="0" w:color="000000"/>
            </w:tcBorders>
          </w:tcPr>
          <w:p w14:paraId="1407B74B" w14:textId="77777777" w:rsidR="00484242" w:rsidRPr="00D51778" w:rsidRDefault="00484242" w:rsidP="004127EA">
            <w:pPr>
              <w:pStyle w:val="TableHead"/>
              <w:rPr>
                <w:sz w:val="22"/>
                <w:szCs w:val="22"/>
              </w:rPr>
            </w:pPr>
            <w:r w:rsidRPr="00D51778">
              <w:rPr>
                <w:bCs/>
                <w:sz w:val="22"/>
                <w:szCs w:val="22"/>
                <w:lang w:val="ga"/>
              </w:rPr>
              <w:t>An %</w:t>
            </w:r>
          </w:p>
          <w:p w14:paraId="070F80C8" w14:textId="131D3F7C" w:rsidR="00484242" w:rsidRPr="00D51778" w:rsidRDefault="00484242" w:rsidP="004127EA">
            <w:pPr>
              <w:pStyle w:val="TableHead"/>
              <w:rPr>
                <w:sz w:val="22"/>
                <w:szCs w:val="22"/>
              </w:rPr>
            </w:pPr>
            <w:r w:rsidRPr="00D51778">
              <w:rPr>
                <w:bCs/>
                <w:sz w:val="22"/>
                <w:szCs w:val="22"/>
                <w:lang w:val="ga"/>
              </w:rPr>
              <w:t>d’fhostaithe a thuairiscigh</w:t>
            </w:r>
          </w:p>
          <w:p w14:paraId="78CC2589" w14:textId="46074A6A" w:rsidR="00484242" w:rsidRPr="00D51778" w:rsidRDefault="00FD48A0" w:rsidP="004127EA">
            <w:pPr>
              <w:rPr>
                <w:b/>
                <w:sz w:val="22"/>
                <w:szCs w:val="22"/>
              </w:rPr>
            </w:pPr>
            <w:r w:rsidRPr="00D51778">
              <w:rPr>
                <w:b/>
                <w:bCs/>
                <w:sz w:val="22"/>
                <w:szCs w:val="22"/>
                <w:lang w:val="ga"/>
              </w:rPr>
              <w:t>míchumas 2021</w:t>
            </w:r>
          </w:p>
        </w:tc>
      </w:tr>
      <w:tr w:rsidR="00BB7838" w:rsidRPr="00D51778" w14:paraId="378B214A"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19E1E758" w14:textId="6CC98DC9" w:rsidR="00BB7838" w:rsidRPr="00D51778" w:rsidRDefault="00BB7838" w:rsidP="00BB7838">
            <w:pPr>
              <w:rPr>
                <w:sz w:val="22"/>
                <w:szCs w:val="22"/>
              </w:rPr>
            </w:pPr>
            <w:r w:rsidRPr="00D51778">
              <w:rPr>
                <w:rFonts w:cs="Calibri"/>
                <w:color w:val="000000"/>
                <w:sz w:val="22"/>
                <w:szCs w:val="22"/>
                <w:lang w:val="ga"/>
              </w:rPr>
              <w:t>An Chomhairle Ealaíon</w:t>
            </w:r>
          </w:p>
        </w:tc>
        <w:tc>
          <w:tcPr>
            <w:tcW w:w="1418" w:type="dxa"/>
            <w:tcBorders>
              <w:top w:val="single" w:sz="6" w:space="0" w:color="000000"/>
              <w:left w:val="single" w:sz="6" w:space="0" w:color="000000"/>
              <w:bottom w:val="single" w:sz="6" w:space="0" w:color="000000"/>
              <w:right w:val="single" w:sz="6" w:space="0" w:color="000000"/>
            </w:tcBorders>
          </w:tcPr>
          <w:p w14:paraId="0A74D62A" w14:textId="0B5149C4" w:rsidR="00BB7838" w:rsidRPr="00D51778" w:rsidRDefault="00BB7838" w:rsidP="000539E7">
            <w:pPr>
              <w:jc w:val="right"/>
              <w:rPr>
                <w:sz w:val="22"/>
                <w:szCs w:val="22"/>
              </w:rPr>
            </w:pPr>
            <w:r w:rsidRPr="00D51778">
              <w:rPr>
                <w:rFonts w:cs="Calibri"/>
                <w:color w:val="000000"/>
                <w:sz w:val="22"/>
                <w:szCs w:val="22"/>
                <w:lang w:val="ga"/>
              </w:rPr>
              <w:t>64</w:t>
            </w:r>
          </w:p>
        </w:tc>
        <w:tc>
          <w:tcPr>
            <w:tcW w:w="1417" w:type="dxa"/>
            <w:tcBorders>
              <w:top w:val="single" w:sz="6" w:space="0" w:color="000000"/>
              <w:left w:val="single" w:sz="6" w:space="0" w:color="000000"/>
              <w:bottom w:val="single" w:sz="6" w:space="0" w:color="000000"/>
              <w:right w:val="single" w:sz="6" w:space="0" w:color="000000"/>
            </w:tcBorders>
          </w:tcPr>
          <w:p w14:paraId="3F48CFC4" w14:textId="3FBCC6F7" w:rsidR="00BB7838" w:rsidRPr="00D51778" w:rsidRDefault="00BB7838" w:rsidP="000539E7">
            <w:pPr>
              <w:jc w:val="right"/>
              <w:rPr>
                <w:sz w:val="22"/>
                <w:szCs w:val="22"/>
              </w:rPr>
            </w:pPr>
            <w:r w:rsidRPr="00D51778">
              <w:rPr>
                <w:rFonts w:cs="Calibri"/>
                <w:color w:val="000000"/>
                <w:sz w:val="22"/>
                <w:szCs w:val="22"/>
                <w:lang w:val="ga"/>
              </w:rPr>
              <w:t>2</w:t>
            </w:r>
          </w:p>
        </w:tc>
        <w:tc>
          <w:tcPr>
            <w:tcW w:w="1843" w:type="dxa"/>
            <w:tcBorders>
              <w:top w:val="single" w:sz="6" w:space="0" w:color="000000"/>
              <w:left w:val="single" w:sz="6" w:space="0" w:color="000000"/>
              <w:bottom w:val="single" w:sz="6" w:space="0" w:color="000000"/>
              <w:right w:val="single" w:sz="6" w:space="0" w:color="000000"/>
            </w:tcBorders>
          </w:tcPr>
          <w:p w14:paraId="6757691E" w14:textId="0A24DD3A" w:rsidR="00BB7838" w:rsidRPr="00D51778" w:rsidRDefault="00BB7838" w:rsidP="000539E7">
            <w:pPr>
              <w:jc w:val="right"/>
              <w:rPr>
                <w:sz w:val="22"/>
                <w:szCs w:val="22"/>
              </w:rPr>
            </w:pPr>
            <w:r w:rsidRPr="00D51778">
              <w:rPr>
                <w:rFonts w:cs="Calibri"/>
                <w:color w:val="000000"/>
                <w:sz w:val="22"/>
                <w:szCs w:val="22"/>
                <w:lang w:val="ga"/>
              </w:rPr>
              <w:t>3.1%</w:t>
            </w:r>
          </w:p>
        </w:tc>
        <w:tc>
          <w:tcPr>
            <w:tcW w:w="1559" w:type="dxa"/>
            <w:tcBorders>
              <w:top w:val="single" w:sz="6" w:space="0" w:color="000000"/>
              <w:left w:val="single" w:sz="6" w:space="0" w:color="000000"/>
              <w:bottom w:val="single" w:sz="6" w:space="0" w:color="000000"/>
              <w:right w:val="single" w:sz="6" w:space="0" w:color="000000"/>
            </w:tcBorders>
          </w:tcPr>
          <w:p w14:paraId="1F6898B7" w14:textId="5302BCCF" w:rsidR="00BB7838" w:rsidRPr="00D51778" w:rsidRDefault="00BB7838" w:rsidP="000539E7">
            <w:pPr>
              <w:jc w:val="right"/>
              <w:rPr>
                <w:sz w:val="22"/>
                <w:szCs w:val="22"/>
              </w:rPr>
            </w:pPr>
            <w:r w:rsidRPr="00D51778">
              <w:rPr>
                <w:rFonts w:cs="Calibri"/>
                <w:color w:val="000000"/>
                <w:sz w:val="22"/>
                <w:szCs w:val="22"/>
                <w:lang w:val="ga"/>
              </w:rPr>
              <w:t>75</w:t>
            </w:r>
          </w:p>
        </w:tc>
        <w:tc>
          <w:tcPr>
            <w:tcW w:w="1560" w:type="dxa"/>
            <w:tcBorders>
              <w:top w:val="single" w:sz="6" w:space="0" w:color="000000"/>
              <w:left w:val="single" w:sz="6" w:space="0" w:color="000000"/>
              <w:bottom w:val="single" w:sz="6" w:space="0" w:color="000000"/>
              <w:right w:val="single" w:sz="6" w:space="0" w:color="000000"/>
            </w:tcBorders>
          </w:tcPr>
          <w:p w14:paraId="0AB75EC7" w14:textId="5DC24E9D" w:rsidR="00BB7838" w:rsidRPr="00D51778" w:rsidRDefault="00BB7838" w:rsidP="000539E7">
            <w:pPr>
              <w:jc w:val="right"/>
              <w:rPr>
                <w:sz w:val="22"/>
                <w:szCs w:val="22"/>
              </w:rPr>
            </w:pPr>
            <w:r w:rsidRPr="00D51778">
              <w:rPr>
                <w:rFonts w:cs="Calibri"/>
                <w:color w:val="000000"/>
                <w:sz w:val="22"/>
                <w:szCs w:val="22"/>
                <w:lang w:val="ga"/>
              </w:rPr>
              <w:t>2</w:t>
            </w:r>
          </w:p>
        </w:tc>
        <w:tc>
          <w:tcPr>
            <w:tcW w:w="1701" w:type="dxa"/>
            <w:tcBorders>
              <w:top w:val="single" w:sz="6" w:space="0" w:color="000000"/>
              <w:left w:val="single" w:sz="6" w:space="0" w:color="000000"/>
              <w:bottom w:val="single" w:sz="6" w:space="0" w:color="000000"/>
              <w:right w:val="single" w:sz="12" w:space="0" w:color="000000"/>
            </w:tcBorders>
          </w:tcPr>
          <w:p w14:paraId="37BBB7E8" w14:textId="02C17BE8" w:rsidR="00BB7838" w:rsidRPr="00D51778" w:rsidRDefault="00BB7838" w:rsidP="000539E7">
            <w:pPr>
              <w:jc w:val="right"/>
              <w:rPr>
                <w:sz w:val="22"/>
                <w:szCs w:val="22"/>
              </w:rPr>
            </w:pPr>
            <w:r w:rsidRPr="00D51778">
              <w:rPr>
                <w:rFonts w:cs="Calibri"/>
                <w:color w:val="000000"/>
                <w:sz w:val="22"/>
                <w:szCs w:val="22"/>
                <w:lang w:val="ga"/>
              </w:rPr>
              <w:t>2.7%</w:t>
            </w:r>
          </w:p>
        </w:tc>
      </w:tr>
      <w:tr w:rsidR="00BB7838" w:rsidRPr="00D51778" w14:paraId="2D79EE11"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6F88DDD6" w14:textId="48878D7D" w:rsidR="00BB7838" w:rsidRPr="00D51778" w:rsidRDefault="00BB7838" w:rsidP="00BB7838">
            <w:pPr>
              <w:rPr>
                <w:sz w:val="22"/>
                <w:szCs w:val="22"/>
              </w:rPr>
            </w:pPr>
            <w:r w:rsidRPr="00D51778">
              <w:rPr>
                <w:rFonts w:cs="Calibri"/>
                <w:color w:val="000000"/>
                <w:sz w:val="22"/>
                <w:szCs w:val="22"/>
                <w:lang w:val="ga"/>
              </w:rPr>
              <w:t>Údarás Craolacháin na hÉireann</w:t>
            </w:r>
          </w:p>
        </w:tc>
        <w:tc>
          <w:tcPr>
            <w:tcW w:w="1418" w:type="dxa"/>
            <w:tcBorders>
              <w:top w:val="single" w:sz="6" w:space="0" w:color="000000"/>
              <w:left w:val="single" w:sz="6" w:space="0" w:color="000000"/>
              <w:bottom w:val="single" w:sz="6" w:space="0" w:color="000000"/>
              <w:right w:val="single" w:sz="6" w:space="0" w:color="000000"/>
            </w:tcBorders>
          </w:tcPr>
          <w:p w14:paraId="70B33F4B" w14:textId="134BD179" w:rsidR="00BB7838" w:rsidRPr="00D51778" w:rsidRDefault="00BB7838" w:rsidP="000539E7">
            <w:pPr>
              <w:jc w:val="right"/>
              <w:rPr>
                <w:sz w:val="22"/>
                <w:szCs w:val="22"/>
              </w:rPr>
            </w:pPr>
            <w:r w:rsidRPr="00D51778">
              <w:rPr>
                <w:rFonts w:cs="Calibri"/>
                <w:color w:val="000000"/>
                <w:sz w:val="22"/>
                <w:szCs w:val="22"/>
                <w:lang w:val="ga"/>
              </w:rPr>
              <w:t>39</w:t>
            </w:r>
          </w:p>
        </w:tc>
        <w:tc>
          <w:tcPr>
            <w:tcW w:w="1417" w:type="dxa"/>
            <w:tcBorders>
              <w:top w:val="single" w:sz="6" w:space="0" w:color="000000"/>
              <w:left w:val="single" w:sz="6" w:space="0" w:color="000000"/>
              <w:bottom w:val="single" w:sz="6" w:space="0" w:color="000000"/>
              <w:right w:val="single" w:sz="6" w:space="0" w:color="000000"/>
            </w:tcBorders>
          </w:tcPr>
          <w:p w14:paraId="27901775" w14:textId="4829BFCE" w:rsidR="00BB7838" w:rsidRPr="00D51778" w:rsidRDefault="00BB7838" w:rsidP="000539E7">
            <w:pPr>
              <w:jc w:val="right"/>
              <w:rPr>
                <w:sz w:val="22"/>
                <w:szCs w:val="22"/>
              </w:rPr>
            </w:pPr>
            <w:r w:rsidRPr="00D51778">
              <w:rPr>
                <w:rFonts w:cs="Calibri"/>
                <w:color w:val="000000"/>
                <w:sz w:val="22"/>
                <w:szCs w:val="22"/>
                <w:lang w:val="ga"/>
              </w:rPr>
              <w:t>4</w:t>
            </w:r>
          </w:p>
        </w:tc>
        <w:tc>
          <w:tcPr>
            <w:tcW w:w="1843" w:type="dxa"/>
            <w:tcBorders>
              <w:top w:val="single" w:sz="6" w:space="0" w:color="000000"/>
              <w:left w:val="single" w:sz="6" w:space="0" w:color="000000"/>
              <w:bottom w:val="single" w:sz="6" w:space="0" w:color="000000"/>
              <w:right w:val="single" w:sz="6" w:space="0" w:color="000000"/>
            </w:tcBorders>
          </w:tcPr>
          <w:p w14:paraId="5DE0BD0B" w14:textId="4347AFB8" w:rsidR="00BB7838" w:rsidRPr="00D51778" w:rsidRDefault="00BB7838" w:rsidP="000539E7">
            <w:pPr>
              <w:jc w:val="right"/>
              <w:rPr>
                <w:sz w:val="22"/>
                <w:szCs w:val="22"/>
              </w:rPr>
            </w:pPr>
            <w:r w:rsidRPr="00D51778">
              <w:rPr>
                <w:rFonts w:cs="Calibri"/>
                <w:color w:val="000000"/>
                <w:sz w:val="22"/>
                <w:szCs w:val="22"/>
                <w:lang w:val="ga"/>
              </w:rPr>
              <w:t>10.3%</w:t>
            </w:r>
          </w:p>
        </w:tc>
        <w:tc>
          <w:tcPr>
            <w:tcW w:w="1559" w:type="dxa"/>
            <w:tcBorders>
              <w:top w:val="single" w:sz="6" w:space="0" w:color="000000"/>
              <w:left w:val="single" w:sz="6" w:space="0" w:color="000000"/>
              <w:bottom w:val="single" w:sz="6" w:space="0" w:color="000000"/>
              <w:right w:val="single" w:sz="6" w:space="0" w:color="000000"/>
            </w:tcBorders>
          </w:tcPr>
          <w:p w14:paraId="11C12B29" w14:textId="2B124364" w:rsidR="00BB7838" w:rsidRPr="00D51778" w:rsidRDefault="00BB7838" w:rsidP="000539E7">
            <w:pPr>
              <w:jc w:val="right"/>
              <w:rPr>
                <w:sz w:val="22"/>
                <w:szCs w:val="22"/>
              </w:rPr>
            </w:pPr>
            <w:r w:rsidRPr="00D51778">
              <w:rPr>
                <w:rFonts w:cs="Calibri"/>
                <w:color w:val="000000"/>
                <w:sz w:val="22"/>
                <w:szCs w:val="22"/>
                <w:lang w:val="ga"/>
              </w:rPr>
              <w:t>42</w:t>
            </w:r>
          </w:p>
        </w:tc>
        <w:tc>
          <w:tcPr>
            <w:tcW w:w="1560" w:type="dxa"/>
            <w:tcBorders>
              <w:top w:val="single" w:sz="6" w:space="0" w:color="000000"/>
              <w:left w:val="single" w:sz="6" w:space="0" w:color="000000"/>
              <w:bottom w:val="single" w:sz="6" w:space="0" w:color="000000"/>
              <w:right w:val="single" w:sz="6" w:space="0" w:color="000000"/>
            </w:tcBorders>
          </w:tcPr>
          <w:p w14:paraId="3AA18768" w14:textId="024ED0A7" w:rsidR="00BB7838" w:rsidRPr="00D51778" w:rsidRDefault="00BB7838" w:rsidP="000539E7">
            <w:pPr>
              <w:jc w:val="right"/>
              <w:rPr>
                <w:sz w:val="22"/>
                <w:szCs w:val="22"/>
              </w:rPr>
            </w:pPr>
            <w:r w:rsidRPr="00D51778">
              <w:rPr>
                <w:rFonts w:cs="Calibri"/>
                <w:color w:val="000000"/>
                <w:sz w:val="22"/>
                <w:szCs w:val="22"/>
                <w:lang w:val="ga"/>
              </w:rPr>
              <w:t>5</w:t>
            </w:r>
          </w:p>
        </w:tc>
        <w:tc>
          <w:tcPr>
            <w:tcW w:w="1701" w:type="dxa"/>
            <w:tcBorders>
              <w:top w:val="single" w:sz="6" w:space="0" w:color="000000"/>
              <w:left w:val="single" w:sz="6" w:space="0" w:color="000000"/>
              <w:bottom w:val="single" w:sz="6" w:space="0" w:color="000000"/>
              <w:right w:val="single" w:sz="12" w:space="0" w:color="000000"/>
            </w:tcBorders>
          </w:tcPr>
          <w:p w14:paraId="61D46D82" w14:textId="53BB2DE0" w:rsidR="00BB7838" w:rsidRPr="00D51778" w:rsidRDefault="00BB7838" w:rsidP="000539E7">
            <w:pPr>
              <w:jc w:val="right"/>
              <w:rPr>
                <w:sz w:val="22"/>
                <w:szCs w:val="22"/>
              </w:rPr>
            </w:pPr>
            <w:r w:rsidRPr="00D51778">
              <w:rPr>
                <w:rFonts w:cs="Calibri"/>
                <w:color w:val="000000"/>
                <w:sz w:val="22"/>
                <w:szCs w:val="22"/>
                <w:lang w:val="ga"/>
              </w:rPr>
              <w:t>11.9%</w:t>
            </w:r>
          </w:p>
        </w:tc>
      </w:tr>
      <w:tr w:rsidR="00BB7838" w:rsidRPr="00D51778" w14:paraId="30050371"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39AED3D9" w14:textId="5EAFD95C" w:rsidR="00BB7838" w:rsidRPr="00D51778" w:rsidRDefault="00BB7838" w:rsidP="00BB7838">
            <w:pPr>
              <w:rPr>
                <w:sz w:val="22"/>
                <w:szCs w:val="22"/>
              </w:rPr>
            </w:pPr>
            <w:r w:rsidRPr="00D51778">
              <w:rPr>
                <w:rFonts w:cs="Calibri"/>
                <w:color w:val="000000"/>
                <w:sz w:val="22"/>
                <w:szCs w:val="22"/>
                <w:lang w:val="ga"/>
              </w:rPr>
              <w:t>Leabharlann Chester Beatty</w:t>
            </w:r>
          </w:p>
        </w:tc>
        <w:tc>
          <w:tcPr>
            <w:tcW w:w="1418" w:type="dxa"/>
            <w:tcBorders>
              <w:top w:val="single" w:sz="6" w:space="0" w:color="000000"/>
              <w:left w:val="single" w:sz="6" w:space="0" w:color="000000"/>
              <w:bottom w:val="single" w:sz="6" w:space="0" w:color="000000"/>
              <w:right w:val="single" w:sz="6" w:space="0" w:color="000000"/>
            </w:tcBorders>
          </w:tcPr>
          <w:p w14:paraId="0302053A" w14:textId="1B32866D" w:rsidR="00BB7838" w:rsidRPr="00D51778" w:rsidRDefault="00BB7838" w:rsidP="000539E7">
            <w:pPr>
              <w:jc w:val="right"/>
              <w:rPr>
                <w:sz w:val="22"/>
                <w:szCs w:val="22"/>
              </w:rPr>
            </w:pPr>
            <w:r w:rsidRPr="00D51778">
              <w:rPr>
                <w:rFonts w:cs="Calibri"/>
                <w:color w:val="000000"/>
                <w:sz w:val="22"/>
                <w:szCs w:val="22"/>
                <w:lang w:val="ga"/>
              </w:rPr>
              <w:t>45</w:t>
            </w:r>
          </w:p>
        </w:tc>
        <w:tc>
          <w:tcPr>
            <w:tcW w:w="1417" w:type="dxa"/>
            <w:tcBorders>
              <w:top w:val="single" w:sz="6" w:space="0" w:color="000000"/>
              <w:left w:val="single" w:sz="6" w:space="0" w:color="000000"/>
              <w:bottom w:val="single" w:sz="6" w:space="0" w:color="000000"/>
              <w:right w:val="single" w:sz="6" w:space="0" w:color="000000"/>
            </w:tcBorders>
          </w:tcPr>
          <w:p w14:paraId="7F8F29EE" w14:textId="04B02605" w:rsidR="00BB7838" w:rsidRPr="00D51778" w:rsidRDefault="00BB7838" w:rsidP="000539E7">
            <w:pPr>
              <w:jc w:val="right"/>
              <w:rPr>
                <w:sz w:val="22"/>
                <w:szCs w:val="22"/>
              </w:rPr>
            </w:pPr>
            <w:r w:rsidRPr="00D51778">
              <w:rPr>
                <w:rFonts w:cs="Calibri"/>
                <w:color w:val="000000"/>
                <w:sz w:val="22"/>
                <w:szCs w:val="22"/>
                <w:lang w:val="ga"/>
              </w:rPr>
              <w:t>1</w:t>
            </w:r>
          </w:p>
        </w:tc>
        <w:tc>
          <w:tcPr>
            <w:tcW w:w="1843" w:type="dxa"/>
            <w:tcBorders>
              <w:top w:val="single" w:sz="6" w:space="0" w:color="000000"/>
              <w:left w:val="single" w:sz="6" w:space="0" w:color="000000"/>
              <w:bottom w:val="single" w:sz="6" w:space="0" w:color="000000"/>
              <w:right w:val="single" w:sz="6" w:space="0" w:color="000000"/>
            </w:tcBorders>
          </w:tcPr>
          <w:p w14:paraId="32488195" w14:textId="302D01C8" w:rsidR="00BB7838" w:rsidRPr="00D51778" w:rsidRDefault="00BB7838" w:rsidP="000539E7">
            <w:pPr>
              <w:jc w:val="right"/>
              <w:rPr>
                <w:sz w:val="22"/>
                <w:szCs w:val="22"/>
              </w:rPr>
            </w:pPr>
            <w:r w:rsidRPr="00D51778">
              <w:rPr>
                <w:rFonts w:cs="Calibri"/>
                <w:color w:val="000000"/>
                <w:sz w:val="22"/>
                <w:szCs w:val="22"/>
                <w:lang w:val="ga"/>
              </w:rPr>
              <w:t>2.2%</w:t>
            </w:r>
          </w:p>
        </w:tc>
        <w:tc>
          <w:tcPr>
            <w:tcW w:w="1559" w:type="dxa"/>
            <w:tcBorders>
              <w:top w:val="single" w:sz="6" w:space="0" w:color="000000"/>
              <w:left w:val="single" w:sz="6" w:space="0" w:color="000000"/>
              <w:bottom w:val="single" w:sz="6" w:space="0" w:color="000000"/>
              <w:right w:val="single" w:sz="6" w:space="0" w:color="000000"/>
            </w:tcBorders>
          </w:tcPr>
          <w:p w14:paraId="229FEDBF" w14:textId="76B02645" w:rsidR="00BB7838" w:rsidRPr="00D51778" w:rsidRDefault="00BB7838" w:rsidP="000539E7">
            <w:pPr>
              <w:jc w:val="right"/>
              <w:rPr>
                <w:sz w:val="22"/>
                <w:szCs w:val="22"/>
              </w:rPr>
            </w:pPr>
            <w:r w:rsidRPr="00D51778">
              <w:rPr>
                <w:rFonts w:cs="Calibri"/>
                <w:color w:val="000000"/>
                <w:sz w:val="22"/>
                <w:szCs w:val="22"/>
                <w:lang w:val="ga"/>
              </w:rPr>
              <w:t>43</w:t>
            </w:r>
          </w:p>
        </w:tc>
        <w:tc>
          <w:tcPr>
            <w:tcW w:w="1560" w:type="dxa"/>
            <w:tcBorders>
              <w:top w:val="single" w:sz="6" w:space="0" w:color="000000"/>
              <w:left w:val="single" w:sz="6" w:space="0" w:color="000000"/>
              <w:bottom w:val="single" w:sz="6" w:space="0" w:color="000000"/>
              <w:right w:val="single" w:sz="6" w:space="0" w:color="000000"/>
            </w:tcBorders>
          </w:tcPr>
          <w:p w14:paraId="6C709033" w14:textId="24A75490" w:rsidR="00BB7838" w:rsidRPr="00D51778" w:rsidRDefault="00BB7838" w:rsidP="000539E7">
            <w:pPr>
              <w:jc w:val="right"/>
              <w:rPr>
                <w:sz w:val="22"/>
                <w:szCs w:val="22"/>
              </w:rPr>
            </w:pPr>
            <w:r w:rsidRPr="00D51778">
              <w:rPr>
                <w:rFonts w:cs="Calibri"/>
                <w:color w:val="000000"/>
                <w:sz w:val="22"/>
                <w:szCs w:val="22"/>
                <w:lang w:val="ga"/>
              </w:rPr>
              <w:t>1</w:t>
            </w:r>
          </w:p>
        </w:tc>
        <w:tc>
          <w:tcPr>
            <w:tcW w:w="1701" w:type="dxa"/>
            <w:tcBorders>
              <w:top w:val="single" w:sz="6" w:space="0" w:color="000000"/>
              <w:left w:val="single" w:sz="6" w:space="0" w:color="000000"/>
              <w:bottom w:val="single" w:sz="6" w:space="0" w:color="000000"/>
              <w:right w:val="single" w:sz="12" w:space="0" w:color="000000"/>
            </w:tcBorders>
          </w:tcPr>
          <w:p w14:paraId="3558F03C" w14:textId="4EDBC5DD" w:rsidR="00BB7838" w:rsidRPr="00D51778" w:rsidRDefault="00BB7838" w:rsidP="000539E7">
            <w:pPr>
              <w:jc w:val="right"/>
              <w:rPr>
                <w:sz w:val="22"/>
                <w:szCs w:val="22"/>
              </w:rPr>
            </w:pPr>
            <w:r w:rsidRPr="00D51778">
              <w:rPr>
                <w:rFonts w:cs="Calibri"/>
                <w:color w:val="000000"/>
                <w:sz w:val="22"/>
                <w:szCs w:val="22"/>
                <w:lang w:val="ga"/>
              </w:rPr>
              <w:t>2.3%</w:t>
            </w:r>
          </w:p>
        </w:tc>
      </w:tr>
      <w:tr w:rsidR="00BB7838" w:rsidRPr="00D51778" w14:paraId="52C96D66"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4B61D121" w14:textId="7C5BBB91" w:rsidR="00BB7838" w:rsidRPr="00D51778" w:rsidRDefault="00BB7838" w:rsidP="00BB7838">
            <w:pPr>
              <w:rPr>
                <w:sz w:val="22"/>
                <w:szCs w:val="22"/>
              </w:rPr>
            </w:pPr>
            <w:r w:rsidRPr="00D51778">
              <w:rPr>
                <w:rFonts w:cs="Calibri"/>
                <w:color w:val="000000"/>
                <w:sz w:val="22"/>
                <w:szCs w:val="22"/>
                <w:lang w:val="ga"/>
              </w:rPr>
              <w:t>Gailearaí Ealaíne Crawford</w:t>
            </w:r>
          </w:p>
        </w:tc>
        <w:tc>
          <w:tcPr>
            <w:tcW w:w="1418" w:type="dxa"/>
            <w:tcBorders>
              <w:top w:val="single" w:sz="6" w:space="0" w:color="000000"/>
              <w:left w:val="single" w:sz="6" w:space="0" w:color="000000"/>
              <w:bottom w:val="single" w:sz="6" w:space="0" w:color="000000"/>
              <w:right w:val="single" w:sz="6" w:space="0" w:color="000000"/>
            </w:tcBorders>
          </w:tcPr>
          <w:p w14:paraId="02A0B8FB" w14:textId="66379DD0" w:rsidR="00BB7838" w:rsidRPr="00D51778" w:rsidRDefault="00BB7838" w:rsidP="000539E7">
            <w:pPr>
              <w:jc w:val="right"/>
              <w:rPr>
                <w:sz w:val="22"/>
                <w:szCs w:val="22"/>
              </w:rPr>
            </w:pPr>
            <w:r w:rsidRPr="00D51778">
              <w:rPr>
                <w:rFonts w:cs="Calibri"/>
                <w:color w:val="000000"/>
                <w:sz w:val="22"/>
                <w:szCs w:val="22"/>
                <w:lang w:val="ga"/>
              </w:rPr>
              <w:t>19</w:t>
            </w:r>
          </w:p>
        </w:tc>
        <w:tc>
          <w:tcPr>
            <w:tcW w:w="1417" w:type="dxa"/>
            <w:tcBorders>
              <w:top w:val="single" w:sz="6" w:space="0" w:color="000000"/>
              <w:left w:val="single" w:sz="6" w:space="0" w:color="000000"/>
              <w:bottom w:val="single" w:sz="6" w:space="0" w:color="000000"/>
              <w:right w:val="single" w:sz="6" w:space="0" w:color="000000"/>
            </w:tcBorders>
          </w:tcPr>
          <w:p w14:paraId="6AE52E6D" w14:textId="74AF3BAB" w:rsidR="00BB7838" w:rsidRPr="00D51778" w:rsidRDefault="00BB7838" w:rsidP="000539E7">
            <w:pPr>
              <w:jc w:val="right"/>
              <w:rPr>
                <w:sz w:val="22"/>
                <w:szCs w:val="22"/>
              </w:rPr>
            </w:pPr>
            <w:r w:rsidRPr="00D51778">
              <w:rPr>
                <w:rFonts w:cs="Calibri"/>
                <w:color w:val="000000"/>
                <w:sz w:val="22"/>
                <w:szCs w:val="22"/>
                <w:lang w:val="ga"/>
              </w:rPr>
              <w:t>2</w:t>
            </w:r>
          </w:p>
        </w:tc>
        <w:tc>
          <w:tcPr>
            <w:tcW w:w="1843" w:type="dxa"/>
            <w:tcBorders>
              <w:top w:val="single" w:sz="6" w:space="0" w:color="000000"/>
              <w:left w:val="single" w:sz="6" w:space="0" w:color="000000"/>
              <w:bottom w:val="single" w:sz="6" w:space="0" w:color="000000"/>
              <w:right w:val="single" w:sz="6" w:space="0" w:color="000000"/>
            </w:tcBorders>
          </w:tcPr>
          <w:p w14:paraId="7533031C" w14:textId="49AA2AA0" w:rsidR="00BB7838" w:rsidRPr="00D51778" w:rsidRDefault="00BB7838" w:rsidP="000539E7">
            <w:pPr>
              <w:jc w:val="right"/>
              <w:rPr>
                <w:sz w:val="22"/>
                <w:szCs w:val="22"/>
              </w:rPr>
            </w:pPr>
            <w:r w:rsidRPr="00D51778">
              <w:rPr>
                <w:rFonts w:cs="Calibri"/>
                <w:color w:val="000000"/>
                <w:sz w:val="22"/>
                <w:szCs w:val="22"/>
                <w:lang w:val="ga"/>
              </w:rPr>
              <w:t>10.5%</w:t>
            </w:r>
          </w:p>
        </w:tc>
        <w:tc>
          <w:tcPr>
            <w:tcW w:w="1559" w:type="dxa"/>
            <w:tcBorders>
              <w:top w:val="single" w:sz="6" w:space="0" w:color="000000"/>
              <w:left w:val="single" w:sz="6" w:space="0" w:color="000000"/>
              <w:bottom w:val="single" w:sz="6" w:space="0" w:color="000000"/>
              <w:right w:val="single" w:sz="6" w:space="0" w:color="000000"/>
            </w:tcBorders>
          </w:tcPr>
          <w:p w14:paraId="410B2F26" w14:textId="5EB92830" w:rsidR="00BB7838" w:rsidRPr="00D51778" w:rsidRDefault="00BB7838" w:rsidP="000539E7">
            <w:pPr>
              <w:jc w:val="right"/>
              <w:rPr>
                <w:sz w:val="22"/>
                <w:szCs w:val="22"/>
              </w:rPr>
            </w:pPr>
            <w:r w:rsidRPr="00D51778">
              <w:rPr>
                <w:rFonts w:cs="Calibri"/>
                <w:color w:val="000000"/>
                <w:sz w:val="22"/>
                <w:szCs w:val="22"/>
                <w:lang w:val="ga"/>
              </w:rPr>
              <w:t>19</w:t>
            </w:r>
          </w:p>
        </w:tc>
        <w:tc>
          <w:tcPr>
            <w:tcW w:w="1560" w:type="dxa"/>
            <w:tcBorders>
              <w:top w:val="single" w:sz="6" w:space="0" w:color="000000"/>
              <w:left w:val="single" w:sz="6" w:space="0" w:color="000000"/>
              <w:bottom w:val="single" w:sz="6" w:space="0" w:color="000000"/>
              <w:right w:val="single" w:sz="6" w:space="0" w:color="000000"/>
            </w:tcBorders>
          </w:tcPr>
          <w:p w14:paraId="651CA6E2" w14:textId="4263CD24" w:rsidR="00BB7838" w:rsidRPr="00D51778" w:rsidRDefault="00BB7838" w:rsidP="000539E7">
            <w:pPr>
              <w:jc w:val="right"/>
              <w:rPr>
                <w:sz w:val="22"/>
                <w:szCs w:val="22"/>
              </w:rPr>
            </w:pPr>
            <w:r w:rsidRPr="00D51778">
              <w:rPr>
                <w:rFonts w:cs="Calibri"/>
                <w:color w:val="000000"/>
                <w:sz w:val="22"/>
                <w:szCs w:val="22"/>
                <w:lang w:val="ga"/>
              </w:rPr>
              <w:t>3</w:t>
            </w:r>
          </w:p>
        </w:tc>
        <w:tc>
          <w:tcPr>
            <w:tcW w:w="1701" w:type="dxa"/>
            <w:tcBorders>
              <w:top w:val="single" w:sz="6" w:space="0" w:color="000000"/>
              <w:left w:val="single" w:sz="6" w:space="0" w:color="000000"/>
              <w:bottom w:val="single" w:sz="6" w:space="0" w:color="000000"/>
              <w:right w:val="single" w:sz="12" w:space="0" w:color="000000"/>
            </w:tcBorders>
          </w:tcPr>
          <w:p w14:paraId="173B2364" w14:textId="604297CF" w:rsidR="00BB7838" w:rsidRPr="00D51778" w:rsidRDefault="00BB7838" w:rsidP="000539E7">
            <w:pPr>
              <w:jc w:val="right"/>
              <w:rPr>
                <w:sz w:val="22"/>
                <w:szCs w:val="22"/>
              </w:rPr>
            </w:pPr>
            <w:r w:rsidRPr="00D51778">
              <w:rPr>
                <w:rFonts w:cs="Calibri"/>
                <w:color w:val="000000"/>
                <w:sz w:val="22"/>
                <w:szCs w:val="22"/>
                <w:lang w:val="ga"/>
              </w:rPr>
              <w:t>15.8%</w:t>
            </w:r>
          </w:p>
        </w:tc>
      </w:tr>
      <w:tr w:rsidR="00BB7838" w:rsidRPr="00D51778" w14:paraId="7D021A0E"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1476B321" w14:textId="7EAE2361" w:rsidR="00BB7838" w:rsidRPr="00D51778" w:rsidRDefault="00BB7838" w:rsidP="00BB7838">
            <w:pPr>
              <w:rPr>
                <w:b/>
                <w:sz w:val="22"/>
                <w:szCs w:val="22"/>
              </w:rPr>
            </w:pPr>
            <w:r w:rsidRPr="00D51778">
              <w:rPr>
                <w:rFonts w:cs="Calibri"/>
                <w:color w:val="000000"/>
                <w:sz w:val="22"/>
                <w:szCs w:val="22"/>
                <w:lang w:val="ga"/>
              </w:rPr>
              <w:t>Fáilte Éireann</w:t>
            </w:r>
          </w:p>
        </w:tc>
        <w:tc>
          <w:tcPr>
            <w:tcW w:w="1418" w:type="dxa"/>
            <w:tcBorders>
              <w:top w:val="single" w:sz="6" w:space="0" w:color="000000"/>
              <w:left w:val="single" w:sz="6" w:space="0" w:color="000000"/>
              <w:bottom w:val="single" w:sz="6" w:space="0" w:color="000000"/>
              <w:right w:val="single" w:sz="6" w:space="0" w:color="000000"/>
            </w:tcBorders>
          </w:tcPr>
          <w:p w14:paraId="28C2C0FF" w14:textId="799032E0" w:rsidR="00BB7838" w:rsidRPr="00D51778" w:rsidRDefault="00BB7838" w:rsidP="000539E7">
            <w:pPr>
              <w:jc w:val="right"/>
              <w:rPr>
                <w:sz w:val="22"/>
                <w:szCs w:val="22"/>
              </w:rPr>
            </w:pPr>
            <w:r w:rsidRPr="00D51778">
              <w:rPr>
                <w:rFonts w:cs="Calibri"/>
                <w:color w:val="000000"/>
                <w:sz w:val="22"/>
                <w:szCs w:val="22"/>
                <w:lang w:val="ga"/>
              </w:rPr>
              <w:t>376</w:t>
            </w:r>
          </w:p>
        </w:tc>
        <w:tc>
          <w:tcPr>
            <w:tcW w:w="1417" w:type="dxa"/>
            <w:tcBorders>
              <w:top w:val="single" w:sz="6" w:space="0" w:color="000000"/>
              <w:left w:val="single" w:sz="6" w:space="0" w:color="000000"/>
              <w:bottom w:val="single" w:sz="6" w:space="0" w:color="000000"/>
              <w:right w:val="single" w:sz="6" w:space="0" w:color="000000"/>
            </w:tcBorders>
          </w:tcPr>
          <w:p w14:paraId="5272BF77" w14:textId="0191159F" w:rsidR="00BB7838" w:rsidRPr="00D51778" w:rsidRDefault="00BB7838" w:rsidP="000539E7">
            <w:pPr>
              <w:jc w:val="right"/>
              <w:rPr>
                <w:sz w:val="22"/>
                <w:szCs w:val="22"/>
              </w:rPr>
            </w:pPr>
            <w:r w:rsidRPr="00D51778">
              <w:rPr>
                <w:rFonts w:cs="Calibri"/>
                <w:color w:val="000000"/>
                <w:sz w:val="22"/>
                <w:szCs w:val="22"/>
                <w:lang w:val="ga"/>
              </w:rPr>
              <w:t>7</w:t>
            </w:r>
          </w:p>
        </w:tc>
        <w:tc>
          <w:tcPr>
            <w:tcW w:w="1843" w:type="dxa"/>
            <w:tcBorders>
              <w:top w:val="single" w:sz="6" w:space="0" w:color="000000"/>
              <w:left w:val="single" w:sz="6" w:space="0" w:color="000000"/>
              <w:bottom w:val="single" w:sz="6" w:space="0" w:color="000000"/>
              <w:right w:val="single" w:sz="6" w:space="0" w:color="000000"/>
            </w:tcBorders>
          </w:tcPr>
          <w:p w14:paraId="1728275A" w14:textId="20321538" w:rsidR="00BB7838" w:rsidRPr="00D51778" w:rsidRDefault="00BB7838" w:rsidP="000539E7">
            <w:pPr>
              <w:jc w:val="right"/>
              <w:rPr>
                <w:sz w:val="22"/>
                <w:szCs w:val="22"/>
              </w:rPr>
            </w:pPr>
            <w:r w:rsidRPr="00D51778">
              <w:rPr>
                <w:rFonts w:cs="Calibri"/>
                <w:color w:val="000000"/>
                <w:sz w:val="22"/>
                <w:szCs w:val="22"/>
                <w:lang w:val="ga"/>
              </w:rPr>
              <w:t>1.9%</w:t>
            </w:r>
          </w:p>
        </w:tc>
        <w:tc>
          <w:tcPr>
            <w:tcW w:w="1559" w:type="dxa"/>
            <w:tcBorders>
              <w:top w:val="single" w:sz="6" w:space="0" w:color="000000"/>
              <w:left w:val="single" w:sz="6" w:space="0" w:color="000000"/>
              <w:bottom w:val="single" w:sz="6" w:space="0" w:color="000000"/>
              <w:right w:val="single" w:sz="6" w:space="0" w:color="000000"/>
            </w:tcBorders>
          </w:tcPr>
          <w:p w14:paraId="7A7A697B" w14:textId="0047B4D9" w:rsidR="00BB7838" w:rsidRPr="00D51778" w:rsidRDefault="00BB7838" w:rsidP="000539E7">
            <w:pPr>
              <w:jc w:val="right"/>
              <w:rPr>
                <w:sz w:val="22"/>
                <w:szCs w:val="22"/>
              </w:rPr>
            </w:pPr>
            <w:r w:rsidRPr="00D51778">
              <w:rPr>
                <w:rFonts w:cs="Calibri"/>
                <w:color w:val="000000"/>
                <w:sz w:val="22"/>
                <w:szCs w:val="22"/>
                <w:lang w:val="ga"/>
              </w:rPr>
              <w:t>382</w:t>
            </w:r>
          </w:p>
        </w:tc>
        <w:tc>
          <w:tcPr>
            <w:tcW w:w="1560" w:type="dxa"/>
            <w:tcBorders>
              <w:top w:val="single" w:sz="6" w:space="0" w:color="000000"/>
              <w:left w:val="single" w:sz="6" w:space="0" w:color="000000"/>
              <w:bottom w:val="single" w:sz="6" w:space="0" w:color="000000"/>
              <w:right w:val="single" w:sz="6" w:space="0" w:color="000000"/>
            </w:tcBorders>
          </w:tcPr>
          <w:p w14:paraId="452D7FF4" w14:textId="09C1AABC" w:rsidR="00BB7838" w:rsidRPr="00D51778" w:rsidRDefault="00BB7838" w:rsidP="000539E7">
            <w:pPr>
              <w:jc w:val="right"/>
              <w:rPr>
                <w:sz w:val="22"/>
                <w:szCs w:val="22"/>
              </w:rPr>
            </w:pPr>
            <w:r w:rsidRPr="00D51778">
              <w:rPr>
                <w:rFonts w:cs="Calibri"/>
                <w:color w:val="000000"/>
                <w:sz w:val="22"/>
                <w:szCs w:val="22"/>
                <w:lang w:val="ga"/>
              </w:rPr>
              <w:t>12</w:t>
            </w:r>
          </w:p>
        </w:tc>
        <w:tc>
          <w:tcPr>
            <w:tcW w:w="1701" w:type="dxa"/>
            <w:tcBorders>
              <w:top w:val="single" w:sz="6" w:space="0" w:color="000000"/>
              <w:left w:val="single" w:sz="6" w:space="0" w:color="000000"/>
              <w:bottom w:val="single" w:sz="6" w:space="0" w:color="000000"/>
              <w:right w:val="single" w:sz="12" w:space="0" w:color="000000"/>
            </w:tcBorders>
          </w:tcPr>
          <w:p w14:paraId="7D929F9C" w14:textId="75C6C8F2" w:rsidR="00BB7838" w:rsidRPr="00D51778" w:rsidRDefault="00BB7838" w:rsidP="000539E7">
            <w:pPr>
              <w:jc w:val="right"/>
              <w:rPr>
                <w:sz w:val="22"/>
                <w:szCs w:val="22"/>
              </w:rPr>
            </w:pPr>
            <w:r w:rsidRPr="00D51778">
              <w:rPr>
                <w:rFonts w:cs="Calibri"/>
                <w:color w:val="000000"/>
                <w:sz w:val="22"/>
                <w:szCs w:val="22"/>
                <w:lang w:val="ga"/>
              </w:rPr>
              <w:t>3.1%</w:t>
            </w:r>
          </w:p>
        </w:tc>
      </w:tr>
      <w:tr w:rsidR="00BB7838" w:rsidRPr="00D51778" w14:paraId="0F063562"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2145B80A" w14:textId="2BFCB848" w:rsidR="00BB7838" w:rsidRPr="00D51778" w:rsidRDefault="00BB7838" w:rsidP="00BB7838">
            <w:pPr>
              <w:rPr>
                <w:sz w:val="22"/>
                <w:szCs w:val="22"/>
              </w:rPr>
            </w:pPr>
            <w:r w:rsidRPr="00D51778">
              <w:rPr>
                <w:rFonts w:cs="Calibri"/>
                <w:color w:val="000000"/>
                <w:sz w:val="22"/>
                <w:szCs w:val="22"/>
                <w:lang w:val="ga"/>
              </w:rPr>
              <w:t>Foras na Gaeilge</w:t>
            </w:r>
          </w:p>
        </w:tc>
        <w:tc>
          <w:tcPr>
            <w:tcW w:w="1418" w:type="dxa"/>
            <w:tcBorders>
              <w:top w:val="single" w:sz="6" w:space="0" w:color="000000"/>
              <w:left w:val="single" w:sz="6" w:space="0" w:color="000000"/>
              <w:bottom w:val="single" w:sz="6" w:space="0" w:color="000000"/>
              <w:right w:val="single" w:sz="6" w:space="0" w:color="000000"/>
            </w:tcBorders>
          </w:tcPr>
          <w:p w14:paraId="0AB2166D" w14:textId="19367435" w:rsidR="00BB7838" w:rsidRPr="00D51778" w:rsidRDefault="00BB7838" w:rsidP="000539E7">
            <w:pPr>
              <w:jc w:val="right"/>
              <w:rPr>
                <w:sz w:val="22"/>
                <w:szCs w:val="22"/>
              </w:rPr>
            </w:pPr>
            <w:r w:rsidRPr="00D51778">
              <w:rPr>
                <w:rFonts w:cs="Calibri"/>
                <w:color w:val="000000"/>
                <w:sz w:val="22"/>
                <w:szCs w:val="22"/>
                <w:lang w:val="ga"/>
              </w:rPr>
              <w:t>49</w:t>
            </w:r>
          </w:p>
        </w:tc>
        <w:tc>
          <w:tcPr>
            <w:tcW w:w="1417" w:type="dxa"/>
            <w:tcBorders>
              <w:top w:val="single" w:sz="6" w:space="0" w:color="000000"/>
              <w:left w:val="single" w:sz="6" w:space="0" w:color="000000"/>
              <w:bottom w:val="single" w:sz="6" w:space="0" w:color="000000"/>
              <w:right w:val="single" w:sz="6" w:space="0" w:color="000000"/>
            </w:tcBorders>
          </w:tcPr>
          <w:p w14:paraId="6D130F50" w14:textId="35F72A09" w:rsidR="00BB7838" w:rsidRPr="00D51778" w:rsidRDefault="00BB7838" w:rsidP="000539E7">
            <w:pPr>
              <w:jc w:val="right"/>
              <w:rPr>
                <w:sz w:val="22"/>
                <w:szCs w:val="22"/>
              </w:rPr>
            </w:pPr>
            <w:r w:rsidRPr="00D51778">
              <w:rPr>
                <w:rFonts w:cs="Calibri"/>
                <w:color w:val="000000"/>
                <w:sz w:val="22"/>
                <w:szCs w:val="22"/>
                <w:lang w:val="ga"/>
              </w:rPr>
              <w:t>4</w:t>
            </w:r>
          </w:p>
        </w:tc>
        <w:tc>
          <w:tcPr>
            <w:tcW w:w="1843" w:type="dxa"/>
            <w:tcBorders>
              <w:top w:val="single" w:sz="6" w:space="0" w:color="000000"/>
              <w:left w:val="single" w:sz="6" w:space="0" w:color="000000"/>
              <w:bottom w:val="single" w:sz="6" w:space="0" w:color="000000"/>
              <w:right w:val="single" w:sz="6" w:space="0" w:color="000000"/>
            </w:tcBorders>
          </w:tcPr>
          <w:p w14:paraId="0F3F675A" w14:textId="3C64B7B2" w:rsidR="00BB7838" w:rsidRPr="00D51778" w:rsidRDefault="00BB7838" w:rsidP="000539E7">
            <w:pPr>
              <w:jc w:val="right"/>
              <w:rPr>
                <w:sz w:val="22"/>
                <w:szCs w:val="22"/>
              </w:rPr>
            </w:pPr>
            <w:r w:rsidRPr="00D51778">
              <w:rPr>
                <w:rFonts w:cs="Calibri"/>
                <w:color w:val="000000"/>
                <w:sz w:val="22"/>
                <w:szCs w:val="22"/>
                <w:lang w:val="ga"/>
              </w:rPr>
              <w:t>8.2%</w:t>
            </w:r>
          </w:p>
        </w:tc>
        <w:tc>
          <w:tcPr>
            <w:tcW w:w="1559" w:type="dxa"/>
            <w:tcBorders>
              <w:top w:val="single" w:sz="6" w:space="0" w:color="000000"/>
              <w:left w:val="single" w:sz="6" w:space="0" w:color="000000"/>
              <w:bottom w:val="single" w:sz="6" w:space="0" w:color="000000"/>
              <w:right w:val="single" w:sz="6" w:space="0" w:color="000000"/>
            </w:tcBorders>
          </w:tcPr>
          <w:p w14:paraId="0E6CA1C5" w14:textId="59F1A287" w:rsidR="00BB7838" w:rsidRPr="00D51778" w:rsidRDefault="00BB7838" w:rsidP="000539E7">
            <w:pPr>
              <w:jc w:val="right"/>
              <w:rPr>
                <w:sz w:val="22"/>
                <w:szCs w:val="22"/>
              </w:rPr>
            </w:pPr>
            <w:r w:rsidRPr="00D51778">
              <w:rPr>
                <w:rFonts w:cs="Calibri"/>
                <w:color w:val="000000"/>
                <w:sz w:val="22"/>
                <w:szCs w:val="22"/>
                <w:lang w:val="ga"/>
              </w:rPr>
              <w:t>57</w:t>
            </w:r>
          </w:p>
        </w:tc>
        <w:tc>
          <w:tcPr>
            <w:tcW w:w="1560" w:type="dxa"/>
            <w:tcBorders>
              <w:top w:val="single" w:sz="6" w:space="0" w:color="000000"/>
              <w:left w:val="single" w:sz="6" w:space="0" w:color="000000"/>
              <w:bottom w:val="single" w:sz="6" w:space="0" w:color="000000"/>
              <w:right w:val="single" w:sz="6" w:space="0" w:color="000000"/>
            </w:tcBorders>
          </w:tcPr>
          <w:p w14:paraId="7886AD46" w14:textId="65BF9ACD" w:rsidR="00BB7838" w:rsidRPr="00D51778" w:rsidRDefault="00BB7838" w:rsidP="000539E7">
            <w:pPr>
              <w:jc w:val="right"/>
              <w:rPr>
                <w:sz w:val="22"/>
                <w:szCs w:val="22"/>
              </w:rPr>
            </w:pPr>
            <w:r w:rsidRPr="00D51778">
              <w:rPr>
                <w:rFonts w:cs="Calibri"/>
                <w:color w:val="000000"/>
                <w:sz w:val="22"/>
                <w:szCs w:val="22"/>
                <w:lang w:val="ga"/>
              </w:rPr>
              <w:t>2</w:t>
            </w:r>
          </w:p>
        </w:tc>
        <w:tc>
          <w:tcPr>
            <w:tcW w:w="1701" w:type="dxa"/>
            <w:tcBorders>
              <w:top w:val="single" w:sz="6" w:space="0" w:color="000000"/>
              <w:left w:val="single" w:sz="6" w:space="0" w:color="000000"/>
              <w:bottom w:val="single" w:sz="6" w:space="0" w:color="000000"/>
              <w:right w:val="single" w:sz="12" w:space="0" w:color="000000"/>
            </w:tcBorders>
          </w:tcPr>
          <w:p w14:paraId="61B244CC" w14:textId="6617E991" w:rsidR="00BB7838" w:rsidRPr="00D51778" w:rsidRDefault="00BB7838" w:rsidP="000539E7">
            <w:pPr>
              <w:jc w:val="right"/>
              <w:rPr>
                <w:sz w:val="22"/>
                <w:szCs w:val="22"/>
              </w:rPr>
            </w:pPr>
            <w:r w:rsidRPr="00D51778">
              <w:rPr>
                <w:rFonts w:cs="Calibri"/>
                <w:color w:val="000000"/>
                <w:sz w:val="22"/>
                <w:szCs w:val="22"/>
                <w:lang w:val="ga"/>
              </w:rPr>
              <w:t>3.5%</w:t>
            </w:r>
          </w:p>
        </w:tc>
      </w:tr>
      <w:tr w:rsidR="00BB7838" w:rsidRPr="00D51778" w14:paraId="75E58F10"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67C6C6F7" w14:textId="5914C4C2" w:rsidR="00BB7838" w:rsidRPr="00D51778" w:rsidRDefault="00BB7838" w:rsidP="00BB7838">
            <w:pPr>
              <w:rPr>
                <w:sz w:val="22"/>
                <w:szCs w:val="22"/>
              </w:rPr>
            </w:pPr>
            <w:r w:rsidRPr="00D51778">
              <w:rPr>
                <w:rFonts w:cs="Calibri"/>
                <w:color w:val="000000"/>
                <w:sz w:val="22"/>
                <w:szCs w:val="22"/>
                <w:lang w:val="ga"/>
              </w:rPr>
              <w:t>Áras Nua-Ealaíne na hÉireann (IMMA)</w:t>
            </w:r>
          </w:p>
        </w:tc>
        <w:tc>
          <w:tcPr>
            <w:tcW w:w="1418" w:type="dxa"/>
            <w:tcBorders>
              <w:top w:val="single" w:sz="6" w:space="0" w:color="000000"/>
              <w:left w:val="single" w:sz="6" w:space="0" w:color="000000"/>
              <w:bottom w:val="single" w:sz="6" w:space="0" w:color="000000"/>
              <w:right w:val="single" w:sz="6" w:space="0" w:color="000000"/>
            </w:tcBorders>
          </w:tcPr>
          <w:p w14:paraId="4FCBCE44" w14:textId="0CCD2677" w:rsidR="00BB7838" w:rsidRPr="00D51778" w:rsidRDefault="00BB7838" w:rsidP="000539E7">
            <w:pPr>
              <w:jc w:val="right"/>
              <w:rPr>
                <w:sz w:val="22"/>
                <w:szCs w:val="22"/>
              </w:rPr>
            </w:pPr>
            <w:r w:rsidRPr="00D51778">
              <w:rPr>
                <w:rFonts w:cs="Calibri"/>
                <w:color w:val="000000"/>
                <w:sz w:val="22"/>
                <w:szCs w:val="22"/>
                <w:lang w:val="ga"/>
              </w:rPr>
              <w:t>105</w:t>
            </w:r>
          </w:p>
        </w:tc>
        <w:tc>
          <w:tcPr>
            <w:tcW w:w="1417" w:type="dxa"/>
            <w:tcBorders>
              <w:top w:val="single" w:sz="6" w:space="0" w:color="000000"/>
              <w:left w:val="single" w:sz="6" w:space="0" w:color="000000"/>
              <w:bottom w:val="single" w:sz="6" w:space="0" w:color="000000"/>
              <w:right w:val="single" w:sz="6" w:space="0" w:color="000000"/>
            </w:tcBorders>
          </w:tcPr>
          <w:p w14:paraId="58B4ED0E" w14:textId="66147ABA" w:rsidR="00BB7838" w:rsidRPr="00D51778" w:rsidRDefault="00BB7838" w:rsidP="000539E7">
            <w:pPr>
              <w:jc w:val="right"/>
              <w:rPr>
                <w:sz w:val="22"/>
                <w:szCs w:val="22"/>
              </w:rPr>
            </w:pPr>
            <w:r w:rsidRPr="00D51778">
              <w:rPr>
                <w:rFonts w:cs="Calibri"/>
                <w:color w:val="000000"/>
                <w:sz w:val="22"/>
                <w:szCs w:val="22"/>
                <w:lang w:val="ga"/>
              </w:rPr>
              <w:t>5</w:t>
            </w:r>
          </w:p>
        </w:tc>
        <w:tc>
          <w:tcPr>
            <w:tcW w:w="1843" w:type="dxa"/>
            <w:tcBorders>
              <w:top w:val="single" w:sz="6" w:space="0" w:color="000000"/>
              <w:left w:val="single" w:sz="6" w:space="0" w:color="000000"/>
              <w:bottom w:val="single" w:sz="6" w:space="0" w:color="000000"/>
              <w:right w:val="single" w:sz="6" w:space="0" w:color="000000"/>
            </w:tcBorders>
          </w:tcPr>
          <w:p w14:paraId="2FF71092" w14:textId="7EE803E6" w:rsidR="00BB7838" w:rsidRPr="00D51778" w:rsidRDefault="00BB7838" w:rsidP="000539E7">
            <w:pPr>
              <w:jc w:val="right"/>
              <w:rPr>
                <w:sz w:val="22"/>
                <w:szCs w:val="22"/>
              </w:rPr>
            </w:pPr>
            <w:r w:rsidRPr="00D51778">
              <w:rPr>
                <w:rFonts w:cs="Calibri"/>
                <w:color w:val="000000"/>
                <w:sz w:val="22"/>
                <w:szCs w:val="22"/>
                <w:lang w:val="ga"/>
              </w:rPr>
              <w:t>4.8%</w:t>
            </w:r>
          </w:p>
        </w:tc>
        <w:tc>
          <w:tcPr>
            <w:tcW w:w="1559" w:type="dxa"/>
            <w:tcBorders>
              <w:top w:val="single" w:sz="6" w:space="0" w:color="000000"/>
              <w:left w:val="single" w:sz="6" w:space="0" w:color="000000"/>
              <w:bottom w:val="single" w:sz="6" w:space="0" w:color="000000"/>
              <w:right w:val="single" w:sz="6" w:space="0" w:color="000000"/>
            </w:tcBorders>
          </w:tcPr>
          <w:p w14:paraId="34438CC1" w14:textId="25F4E9A4" w:rsidR="00BB7838" w:rsidRPr="00D51778" w:rsidRDefault="00BB7838" w:rsidP="000539E7">
            <w:pPr>
              <w:jc w:val="right"/>
              <w:rPr>
                <w:sz w:val="22"/>
                <w:szCs w:val="22"/>
              </w:rPr>
            </w:pPr>
            <w:r w:rsidRPr="00D51778">
              <w:rPr>
                <w:rFonts w:cs="Calibri"/>
                <w:color w:val="000000"/>
                <w:sz w:val="22"/>
                <w:szCs w:val="22"/>
                <w:lang w:val="ga"/>
              </w:rPr>
              <w:t>102</w:t>
            </w:r>
          </w:p>
        </w:tc>
        <w:tc>
          <w:tcPr>
            <w:tcW w:w="1560" w:type="dxa"/>
            <w:tcBorders>
              <w:top w:val="single" w:sz="6" w:space="0" w:color="000000"/>
              <w:left w:val="single" w:sz="6" w:space="0" w:color="000000"/>
              <w:bottom w:val="single" w:sz="6" w:space="0" w:color="000000"/>
              <w:right w:val="single" w:sz="6" w:space="0" w:color="000000"/>
            </w:tcBorders>
          </w:tcPr>
          <w:p w14:paraId="1E7B882E" w14:textId="02A2A6A2" w:rsidR="00BB7838" w:rsidRPr="00D51778" w:rsidRDefault="00BB7838" w:rsidP="000539E7">
            <w:pPr>
              <w:jc w:val="right"/>
              <w:rPr>
                <w:sz w:val="22"/>
                <w:szCs w:val="22"/>
              </w:rPr>
            </w:pPr>
            <w:r w:rsidRPr="00D51778">
              <w:rPr>
                <w:rFonts w:cs="Calibri"/>
                <w:color w:val="000000"/>
                <w:sz w:val="22"/>
                <w:szCs w:val="22"/>
                <w:lang w:val="ga"/>
              </w:rPr>
              <w:t>5</w:t>
            </w:r>
          </w:p>
        </w:tc>
        <w:tc>
          <w:tcPr>
            <w:tcW w:w="1701" w:type="dxa"/>
            <w:tcBorders>
              <w:top w:val="single" w:sz="6" w:space="0" w:color="000000"/>
              <w:left w:val="single" w:sz="6" w:space="0" w:color="000000"/>
              <w:bottom w:val="single" w:sz="6" w:space="0" w:color="000000"/>
              <w:right w:val="single" w:sz="12" w:space="0" w:color="000000"/>
            </w:tcBorders>
          </w:tcPr>
          <w:p w14:paraId="04240BCE" w14:textId="3E68510B" w:rsidR="00BB7838" w:rsidRPr="00D51778" w:rsidRDefault="00BB7838" w:rsidP="000539E7">
            <w:pPr>
              <w:jc w:val="right"/>
              <w:rPr>
                <w:sz w:val="22"/>
                <w:szCs w:val="22"/>
              </w:rPr>
            </w:pPr>
            <w:r w:rsidRPr="00D51778">
              <w:rPr>
                <w:rFonts w:cs="Calibri"/>
                <w:color w:val="000000"/>
                <w:sz w:val="22"/>
                <w:szCs w:val="22"/>
                <w:lang w:val="ga"/>
              </w:rPr>
              <w:t>4.9%</w:t>
            </w:r>
          </w:p>
        </w:tc>
      </w:tr>
      <w:tr w:rsidR="00BB7838" w:rsidRPr="00D51778" w14:paraId="23875D34"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38EFF40A" w14:textId="35494A7E" w:rsidR="00BB7838" w:rsidRPr="00D51778" w:rsidRDefault="00BB7838" w:rsidP="00BB7838">
            <w:pPr>
              <w:rPr>
                <w:sz w:val="22"/>
                <w:szCs w:val="22"/>
              </w:rPr>
            </w:pPr>
            <w:r w:rsidRPr="00D51778">
              <w:rPr>
                <w:rFonts w:cs="Calibri"/>
                <w:color w:val="000000"/>
                <w:sz w:val="22"/>
                <w:szCs w:val="22"/>
                <w:lang w:val="ga"/>
              </w:rPr>
              <w:t>An Ceoláras Náisiúnta</w:t>
            </w:r>
          </w:p>
        </w:tc>
        <w:tc>
          <w:tcPr>
            <w:tcW w:w="1418" w:type="dxa"/>
            <w:tcBorders>
              <w:top w:val="single" w:sz="6" w:space="0" w:color="000000"/>
              <w:left w:val="single" w:sz="6" w:space="0" w:color="000000"/>
              <w:bottom w:val="single" w:sz="6" w:space="0" w:color="000000"/>
              <w:right w:val="single" w:sz="6" w:space="0" w:color="000000"/>
            </w:tcBorders>
          </w:tcPr>
          <w:p w14:paraId="6871EFC2" w14:textId="57BBA481" w:rsidR="00BB7838" w:rsidRPr="00D51778" w:rsidRDefault="00BB7838" w:rsidP="000539E7">
            <w:pPr>
              <w:jc w:val="right"/>
              <w:rPr>
                <w:sz w:val="22"/>
                <w:szCs w:val="22"/>
              </w:rPr>
            </w:pPr>
            <w:r w:rsidRPr="00D51778">
              <w:rPr>
                <w:rFonts w:cs="Calibri"/>
                <w:color w:val="000000"/>
                <w:sz w:val="22"/>
                <w:szCs w:val="22"/>
                <w:lang w:val="ga"/>
              </w:rPr>
              <w:t>100</w:t>
            </w:r>
          </w:p>
        </w:tc>
        <w:tc>
          <w:tcPr>
            <w:tcW w:w="1417" w:type="dxa"/>
            <w:tcBorders>
              <w:top w:val="single" w:sz="6" w:space="0" w:color="000000"/>
              <w:left w:val="single" w:sz="6" w:space="0" w:color="000000"/>
              <w:bottom w:val="single" w:sz="6" w:space="0" w:color="000000"/>
              <w:right w:val="single" w:sz="6" w:space="0" w:color="000000"/>
            </w:tcBorders>
          </w:tcPr>
          <w:p w14:paraId="7607D44B" w14:textId="3AB5269C" w:rsidR="00BB7838" w:rsidRPr="00D51778" w:rsidRDefault="00BB7838" w:rsidP="000539E7">
            <w:pPr>
              <w:jc w:val="right"/>
              <w:rPr>
                <w:sz w:val="22"/>
                <w:szCs w:val="22"/>
              </w:rPr>
            </w:pPr>
            <w:r w:rsidRPr="00D51778">
              <w:rPr>
                <w:rFonts w:cs="Calibri"/>
                <w:color w:val="000000"/>
                <w:sz w:val="22"/>
                <w:szCs w:val="22"/>
                <w:lang w:val="ga"/>
              </w:rPr>
              <w:t>4</w:t>
            </w:r>
          </w:p>
        </w:tc>
        <w:tc>
          <w:tcPr>
            <w:tcW w:w="1843" w:type="dxa"/>
            <w:tcBorders>
              <w:top w:val="single" w:sz="6" w:space="0" w:color="000000"/>
              <w:left w:val="single" w:sz="6" w:space="0" w:color="000000"/>
              <w:bottom w:val="single" w:sz="6" w:space="0" w:color="000000"/>
              <w:right w:val="single" w:sz="6" w:space="0" w:color="000000"/>
            </w:tcBorders>
          </w:tcPr>
          <w:p w14:paraId="256833E3" w14:textId="25EA7F66" w:rsidR="00BB7838" w:rsidRPr="00D51778" w:rsidRDefault="00BB7838" w:rsidP="000539E7">
            <w:pPr>
              <w:jc w:val="right"/>
              <w:rPr>
                <w:sz w:val="22"/>
                <w:szCs w:val="22"/>
              </w:rPr>
            </w:pPr>
            <w:r w:rsidRPr="00D51778">
              <w:rPr>
                <w:rFonts w:cs="Calibri"/>
                <w:color w:val="000000"/>
                <w:sz w:val="22"/>
                <w:szCs w:val="22"/>
                <w:lang w:val="ga"/>
              </w:rPr>
              <w:t>4.0%</w:t>
            </w:r>
          </w:p>
        </w:tc>
        <w:tc>
          <w:tcPr>
            <w:tcW w:w="1559" w:type="dxa"/>
            <w:tcBorders>
              <w:top w:val="single" w:sz="6" w:space="0" w:color="000000"/>
              <w:left w:val="single" w:sz="6" w:space="0" w:color="000000"/>
              <w:bottom w:val="single" w:sz="6" w:space="0" w:color="000000"/>
              <w:right w:val="single" w:sz="6" w:space="0" w:color="000000"/>
            </w:tcBorders>
          </w:tcPr>
          <w:p w14:paraId="299B6202" w14:textId="3FB3FD36" w:rsidR="00BB7838" w:rsidRPr="00D51778" w:rsidRDefault="00BB7838" w:rsidP="000539E7">
            <w:pPr>
              <w:jc w:val="right"/>
              <w:rPr>
                <w:sz w:val="22"/>
                <w:szCs w:val="22"/>
              </w:rPr>
            </w:pPr>
            <w:r w:rsidRPr="00D51778">
              <w:rPr>
                <w:rFonts w:cs="Calibri"/>
                <w:color w:val="000000"/>
                <w:sz w:val="22"/>
                <w:szCs w:val="22"/>
                <w:lang w:val="ga"/>
              </w:rPr>
              <w:t>117</w:t>
            </w:r>
          </w:p>
        </w:tc>
        <w:tc>
          <w:tcPr>
            <w:tcW w:w="1560" w:type="dxa"/>
            <w:tcBorders>
              <w:top w:val="single" w:sz="6" w:space="0" w:color="000000"/>
              <w:left w:val="single" w:sz="6" w:space="0" w:color="000000"/>
              <w:bottom w:val="single" w:sz="6" w:space="0" w:color="000000"/>
              <w:right w:val="single" w:sz="6" w:space="0" w:color="000000"/>
            </w:tcBorders>
          </w:tcPr>
          <w:p w14:paraId="490BB8B3" w14:textId="34DF4781" w:rsidR="00BB7838" w:rsidRPr="00D51778" w:rsidRDefault="00BB7838" w:rsidP="000539E7">
            <w:pPr>
              <w:jc w:val="right"/>
              <w:rPr>
                <w:sz w:val="22"/>
                <w:szCs w:val="22"/>
              </w:rPr>
            </w:pPr>
            <w:r w:rsidRPr="00D51778">
              <w:rPr>
                <w:rFonts w:cs="Calibri"/>
                <w:color w:val="000000"/>
                <w:sz w:val="22"/>
                <w:szCs w:val="22"/>
                <w:lang w:val="ga"/>
              </w:rPr>
              <w:t>10</w:t>
            </w:r>
          </w:p>
        </w:tc>
        <w:tc>
          <w:tcPr>
            <w:tcW w:w="1701" w:type="dxa"/>
            <w:tcBorders>
              <w:top w:val="single" w:sz="6" w:space="0" w:color="000000"/>
              <w:left w:val="single" w:sz="6" w:space="0" w:color="000000"/>
              <w:bottom w:val="single" w:sz="6" w:space="0" w:color="000000"/>
              <w:right w:val="single" w:sz="12" w:space="0" w:color="000000"/>
            </w:tcBorders>
          </w:tcPr>
          <w:p w14:paraId="61B979ED" w14:textId="22E7E1DD" w:rsidR="00BB7838" w:rsidRPr="00D51778" w:rsidRDefault="00446F2A" w:rsidP="000539E7">
            <w:pPr>
              <w:jc w:val="right"/>
              <w:rPr>
                <w:sz w:val="22"/>
                <w:szCs w:val="22"/>
              </w:rPr>
            </w:pPr>
            <w:r w:rsidRPr="00D51778">
              <w:rPr>
                <w:rFonts w:cs="Calibri"/>
                <w:color w:val="000000"/>
                <w:sz w:val="22"/>
                <w:szCs w:val="22"/>
                <w:lang w:val="ga"/>
              </w:rPr>
              <w:t>8.5%</w:t>
            </w:r>
          </w:p>
        </w:tc>
      </w:tr>
      <w:tr w:rsidR="00BB7838" w:rsidRPr="00D51778" w14:paraId="5EE8236A"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20349C68" w14:textId="54A2D5CF" w:rsidR="00BB7838" w:rsidRPr="00D51778" w:rsidRDefault="00BB7838" w:rsidP="00BB7838">
            <w:pPr>
              <w:rPr>
                <w:sz w:val="22"/>
                <w:szCs w:val="22"/>
              </w:rPr>
            </w:pPr>
            <w:r w:rsidRPr="00D51778">
              <w:rPr>
                <w:rFonts w:cs="Calibri"/>
                <w:color w:val="000000"/>
                <w:sz w:val="22"/>
                <w:szCs w:val="22"/>
                <w:lang w:val="ga"/>
              </w:rPr>
              <w:t>Gailearaí Náisiúnta na hÉireann</w:t>
            </w:r>
          </w:p>
        </w:tc>
        <w:tc>
          <w:tcPr>
            <w:tcW w:w="1418" w:type="dxa"/>
            <w:tcBorders>
              <w:top w:val="single" w:sz="6" w:space="0" w:color="000000"/>
              <w:left w:val="single" w:sz="6" w:space="0" w:color="000000"/>
              <w:bottom w:val="single" w:sz="6" w:space="0" w:color="000000"/>
              <w:right w:val="single" w:sz="6" w:space="0" w:color="000000"/>
            </w:tcBorders>
          </w:tcPr>
          <w:p w14:paraId="1D60F901" w14:textId="05F14417" w:rsidR="00BB7838" w:rsidRPr="00D51778" w:rsidRDefault="00BB7838" w:rsidP="000539E7">
            <w:pPr>
              <w:jc w:val="right"/>
              <w:rPr>
                <w:sz w:val="22"/>
                <w:szCs w:val="22"/>
              </w:rPr>
            </w:pPr>
            <w:r w:rsidRPr="00D51778">
              <w:rPr>
                <w:rFonts w:cs="Calibri"/>
                <w:color w:val="000000"/>
                <w:sz w:val="22"/>
                <w:szCs w:val="22"/>
                <w:lang w:val="ga"/>
              </w:rPr>
              <w:t>187</w:t>
            </w:r>
          </w:p>
        </w:tc>
        <w:tc>
          <w:tcPr>
            <w:tcW w:w="1417" w:type="dxa"/>
            <w:tcBorders>
              <w:top w:val="single" w:sz="6" w:space="0" w:color="000000"/>
              <w:left w:val="single" w:sz="6" w:space="0" w:color="000000"/>
              <w:bottom w:val="single" w:sz="6" w:space="0" w:color="000000"/>
              <w:right w:val="single" w:sz="6" w:space="0" w:color="000000"/>
            </w:tcBorders>
          </w:tcPr>
          <w:p w14:paraId="2C3D702F" w14:textId="5296FDDF" w:rsidR="00BB7838" w:rsidRPr="00D51778" w:rsidRDefault="00BB7838" w:rsidP="000539E7">
            <w:pPr>
              <w:jc w:val="right"/>
              <w:rPr>
                <w:sz w:val="22"/>
                <w:szCs w:val="22"/>
              </w:rPr>
            </w:pPr>
            <w:r w:rsidRPr="00D51778">
              <w:rPr>
                <w:rFonts w:cs="Calibri"/>
                <w:color w:val="000000"/>
                <w:sz w:val="22"/>
                <w:szCs w:val="22"/>
                <w:lang w:val="ga"/>
              </w:rPr>
              <w:t>12</w:t>
            </w:r>
          </w:p>
        </w:tc>
        <w:tc>
          <w:tcPr>
            <w:tcW w:w="1843" w:type="dxa"/>
            <w:tcBorders>
              <w:top w:val="single" w:sz="6" w:space="0" w:color="000000"/>
              <w:left w:val="single" w:sz="6" w:space="0" w:color="000000"/>
              <w:bottom w:val="single" w:sz="6" w:space="0" w:color="000000"/>
              <w:right w:val="single" w:sz="6" w:space="0" w:color="000000"/>
            </w:tcBorders>
          </w:tcPr>
          <w:p w14:paraId="4C05863A" w14:textId="302634D0" w:rsidR="00BB7838" w:rsidRPr="00D51778" w:rsidRDefault="00BB7838" w:rsidP="000539E7">
            <w:pPr>
              <w:jc w:val="right"/>
              <w:rPr>
                <w:sz w:val="22"/>
                <w:szCs w:val="22"/>
              </w:rPr>
            </w:pPr>
            <w:r w:rsidRPr="00D51778">
              <w:rPr>
                <w:rFonts w:cs="Calibri"/>
                <w:color w:val="000000"/>
                <w:sz w:val="22"/>
                <w:szCs w:val="22"/>
                <w:lang w:val="ga"/>
              </w:rPr>
              <w:t>6.4%</w:t>
            </w:r>
          </w:p>
        </w:tc>
        <w:tc>
          <w:tcPr>
            <w:tcW w:w="1559" w:type="dxa"/>
            <w:tcBorders>
              <w:top w:val="single" w:sz="6" w:space="0" w:color="000000"/>
              <w:left w:val="single" w:sz="6" w:space="0" w:color="000000"/>
              <w:bottom w:val="single" w:sz="6" w:space="0" w:color="000000"/>
              <w:right w:val="single" w:sz="6" w:space="0" w:color="000000"/>
            </w:tcBorders>
          </w:tcPr>
          <w:p w14:paraId="0AFB4008" w14:textId="7705E924" w:rsidR="00BB7838" w:rsidRPr="00D51778" w:rsidRDefault="00BB7838" w:rsidP="000539E7">
            <w:pPr>
              <w:jc w:val="right"/>
              <w:rPr>
                <w:sz w:val="22"/>
                <w:szCs w:val="22"/>
              </w:rPr>
            </w:pPr>
            <w:r w:rsidRPr="00D51778">
              <w:rPr>
                <w:rFonts w:cs="Calibri"/>
                <w:color w:val="000000"/>
                <w:sz w:val="22"/>
                <w:szCs w:val="22"/>
                <w:lang w:val="ga"/>
              </w:rPr>
              <w:t>176</w:t>
            </w:r>
          </w:p>
        </w:tc>
        <w:tc>
          <w:tcPr>
            <w:tcW w:w="1560" w:type="dxa"/>
            <w:tcBorders>
              <w:top w:val="single" w:sz="6" w:space="0" w:color="000000"/>
              <w:left w:val="single" w:sz="6" w:space="0" w:color="000000"/>
              <w:bottom w:val="single" w:sz="6" w:space="0" w:color="000000"/>
              <w:right w:val="single" w:sz="6" w:space="0" w:color="000000"/>
            </w:tcBorders>
          </w:tcPr>
          <w:p w14:paraId="63D42807" w14:textId="74C6F19C" w:rsidR="00BB7838" w:rsidRPr="00D51778" w:rsidRDefault="00BB7838" w:rsidP="000539E7">
            <w:pPr>
              <w:jc w:val="right"/>
              <w:rPr>
                <w:sz w:val="22"/>
                <w:szCs w:val="22"/>
              </w:rPr>
            </w:pPr>
            <w:r w:rsidRPr="00D51778">
              <w:rPr>
                <w:rFonts w:cs="Calibri"/>
                <w:color w:val="000000"/>
                <w:sz w:val="22"/>
                <w:szCs w:val="22"/>
                <w:lang w:val="ga"/>
              </w:rPr>
              <w:t>15</w:t>
            </w:r>
          </w:p>
        </w:tc>
        <w:tc>
          <w:tcPr>
            <w:tcW w:w="1701" w:type="dxa"/>
            <w:tcBorders>
              <w:top w:val="single" w:sz="6" w:space="0" w:color="000000"/>
              <w:left w:val="single" w:sz="6" w:space="0" w:color="000000"/>
              <w:bottom w:val="single" w:sz="6" w:space="0" w:color="000000"/>
              <w:right w:val="single" w:sz="12" w:space="0" w:color="000000"/>
            </w:tcBorders>
          </w:tcPr>
          <w:p w14:paraId="5D108C6D" w14:textId="07FA0B30" w:rsidR="00BB7838" w:rsidRPr="00D51778" w:rsidRDefault="00BB7838" w:rsidP="000539E7">
            <w:pPr>
              <w:jc w:val="right"/>
              <w:rPr>
                <w:sz w:val="22"/>
                <w:szCs w:val="22"/>
              </w:rPr>
            </w:pPr>
            <w:r w:rsidRPr="00D51778">
              <w:rPr>
                <w:rFonts w:cs="Calibri"/>
                <w:color w:val="000000"/>
                <w:sz w:val="22"/>
                <w:szCs w:val="22"/>
                <w:lang w:val="ga"/>
              </w:rPr>
              <w:t>8.5%</w:t>
            </w:r>
          </w:p>
        </w:tc>
      </w:tr>
      <w:tr w:rsidR="00BB7838" w:rsidRPr="00D51778" w14:paraId="6938D114"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46DC72AE" w14:textId="13CDCA53" w:rsidR="00BB7838" w:rsidRPr="00D51778" w:rsidRDefault="00BB7838" w:rsidP="00BB7838">
            <w:pPr>
              <w:rPr>
                <w:sz w:val="22"/>
                <w:szCs w:val="22"/>
              </w:rPr>
            </w:pPr>
            <w:r w:rsidRPr="00D51778">
              <w:rPr>
                <w:rFonts w:cs="Calibri"/>
                <w:color w:val="000000"/>
                <w:sz w:val="22"/>
                <w:szCs w:val="22"/>
                <w:lang w:val="ga"/>
              </w:rPr>
              <w:t>Leabharlann Náisiúnta na hÉireann</w:t>
            </w:r>
          </w:p>
        </w:tc>
        <w:tc>
          <w:tcPr>
            <w:tcW w:w="1418" w:type="dxa"/>
            <w:tcBorders>
              <w:top w:val="single" w:sz="6" w:space="0" w:color="000000"/>
              <w:left w:val="single" w:sz="6" w:space="0" w:color="000000"/>
              <w:bottom w:val="single" w:sz="6" w:space="0" w:color="000000"/>
              <w:right w:val="single" w:sz="6" w:space="0" w:color="000000"/>
            </w:tcBorders>
          </w:tcPr>
          <w:p w14:paraId="12285E2C" w14:textId="58D78CD2" w:rsidR="00BB7838" w:rsidRPr="00D51778" w:rsidRDefault="00BB7838" w:rsidP="000539E7">
            <w:pPr>
              <w:jc w:val="right"/>
              <w:rPr>
                <w:sz w:val="22"/>
                <w:szCs w:val="22"/>
              </w:rPr>
            </w:pPr>
            <w:r w:rsidRPr="00D51778">
              <w:rPr>
                <w:rFonts w:cs="Calibri"/>
                <w:color w:val="000000"/>
                <w:sz w:val="22"/>
                <w:szCs w:val="22"/>
                <w:lang w:val="ga"/>
              </w:rPr>
              <w:t>110</w:t>
            </w:r>
          </w:p>
        </w:tc>
        <w:tc>
          <w:tcPr>
            <w:tcW w:w="1417" w:type="dxa"/>
            <w:tcBorders>
              <w:top w:val="single" w:sz="6" w:space="0" w:color="000000"/>
              <w:left w:val="single" w:sz="6" w:space="0" w:color="000000"/>
              <w:bottom w:val="single" w:sz="6" w:space="0" w:color="000000"/>
              <w:right w:val="single" w:sz="6" w:space="0" w:color="000000"/>
            </w:tcBorders>
          </w:tcPr>
          <w:p w14:paraId="31B1731C" w14:textId="05962DA1" w:rsidR="00BB7838" w:rsidRPr="00D51778" w:rsidRDefault="00BB7838" w:rsidP="000539E7">
            <w:pPr>
              <w:jc w:val="right"/>
              <w:rPr>
                <w:sz w:val="22"/>
                <w:szCs w:val="22"/>
              </w:rPr>
            </w:pPr>
            <w:r w:rsidRPr="00D51778">
              <w:rPr>
                <w:rFonts w:cs="Calibri"/>
                <w:color w:val="000000"/>
                <w:sz w:val="22"/>
                <w:szCs w:val="22"/>
                <w:lang w:val="ga"/>
              </w:rPr>
              <w:t>10</w:t>
            </w:r>
          </w:p>
        </w:tc>
        <w:tc>
          <w:tcPr>
            <w:tcW w:w="1843" w:type="dxa"/>
            <w:tcBorders>
              <w:top w:val="single" w:sz="6" w:space="0" w:color="000000"/>
              <w:left w:val="single" w:sz="6" w:space="0" w:color="000000"/>
              <w:bottom w:val="single" w:sz="6" w:space="0" w:color="000000"/>
              <w:right w:val="single" w:sz="6" w:space="0" w:color="000000"/>
            </w:tcBorders>
          </w:tcPr>
          <w:p w14:paraId="7F99CAB1" w14:textId="44C4D159" w:rsidR="00BB7838" w:rsidRPr="00D51778" w:rsidRDefault="00BB7838" w:rsidP="000539E7">
            <w:pPr>
              <w:jc w:val="right"/>
              <w:rPr>
                <w:sz w:val="22"/>
                <w:szCs w:val="22"/>
              </w:rPr>
            </w:pPr>
            <w:r w:rsidRPr="00D51778">
              <w:rPr>
                <w:rFonts w:cs="Calibri"/>
                <w:color w:val="000000"/>
                <w:sz w:val="22"/>
                <w:szCs w:val="22"/>
                <w:lang w:val="ga"/>
              </w:rPr>
              <w:t>9.1%</w:t>
            </w:r>
          </w:p>
        </w:tc>
        <w:tc>
          <w:tcPr>
            <w:tcW w:w="1559" w:type="dxa"/>
            <w:tcBorders>
              <w:top w:val="single" w:sz="6" w:space="0" w:color="000000"/>
              <w:left w:val="single" w:sz="6" w:space="0" w:color="000000"/>
              <w:bottom w:val="single" w:sz="6" w:space="0" w:color="000000"/>
              <w:right w:val="single" w:sz="6" w:space="0" w:color="000000"/>
            </w:tcBorders>
          </w:tcPr>
          <w:p w14:paraId="4A01DA1E" w14:textId="38CDF2D4" w:rsidR="00BB7838" w:rsidRPr="00D51778" w:rsidRDefault="00BB7838" w:rsidP="000539E7">
            <w:pPr>
              <w:jc w:val="right"/>
              <w:rPr>
                <w:sz w:val="22"/>
                <w:szCs w:val="22"/>
              </w:rPr>
            </w:pPr>
            <w:r w:rsidRPr="00D51778">
              <w:rPr>
                <w:rFonts w:cs="Calibri"/>
                <w:color w:val="000000"/>
                <w:sz w:val="22"/>
                <w:szCs w:val="22"/>
                <w:lang w:val="ga"/>
              </w:rPr>
              <w:t>103</w:t>
            </w:r>
          </w:p>
        </w:tc>
        <w:tc>
          <w:tcPr>
            <w:tcW w:w="1560" w:type="dxa"/>
            <w:tcBorders>
              <w:top w:val="single" w:sz="6" w:space="0" w:color="000000"/>
              <w:left w:val="single" w:sz="6" w:space="0" w:color="000000"/>
              <w:bottom w:val="single" w:sz="6" w:space="0" w:color="000000"/>
              <w:right w:val="single" w:sz="6" w:space="0" w:color="000000"/>
            </w:tcBorders>
          </w:tcPr>
          <w:p w14:paraId="44198771" w14:textId="0F2FE509" w:rsidR="00BB7838" w:rsidRPr="00D51778" w:rsidRDefault="00BB7838" w:rsidP="000539E7">
            <w:pPr>
              <w:jc w:val="right"/>
              <w:rPr>
                <w:sz w:val="22"/>
                <w:szCs w:val="22"/>
              </w:rPr>
            </w:pPr>
            <w:r w:rsidRPr="00D51778">
              <w:rPr>
                <w:rFonts w:cs="Calibri"/>
                <w:color w:val="000000"/>
                <w:sz w:val="22"/>
                <w:szCs w:val="22"/>
                <w:lang w:val="ga"/>
              </w:rPr>
              <w:t>13</w:t>
            </w:r>
          </w:p>
        </w:tc>
        <w:tc>
          <w:tcPr>
            <w:tcW w:w="1701" w:type="dxa"/>
            <w:tcBorders>
              <w:top w:val="single" w:sz="6" w:space="0" w:color="000000"/>
              <w:left w:val="single" w:sz="6" w:space="0" w:color="000000"/>
              <w:bottom w:val="single" w:sz="6" w:space="0" w:color="000000"/>
              <w:right w:val="single" w:sz="12" w:space="0" w:color="000000"/>
            </w:tcBorders>
          </w:tcPr>
          <w:p w14:paraId="226DCC06" w14:textId="1E8BDAD9" w:rsidR="00BB7838" w:rsidRPr="00D51778" w:rsidRDefault="00BB7838" w:rsidP="000539E7">
            <w:pPr>
              <w:jc w:val="right"/>
              <w:rPr>
                <w:sz w:val="22"/>
                <w:szCs w:val="22"/>
              </w:rPr>
            </w:pPr>
            <w:r w:rsidRPr="00D51778">
              <w:rPr>
                <w:rFonts w:cs="Calibri"/>
                <w:color w:val="000000"/>
                <w:sz w:val="22"/>
                <w:szCs w:val="22"/>
                <w:lang w:val="ga"/>
              </w:rPr>
              <w:t>12.6%</w:t>
            </w:r>
          </w:p>
        </w:tc>
      </w:tr>
      <w:tr w:rsidR="00BB7838" w:rsidRPr="00D51778" w14:paraId="306DC5F4"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1E236626" w14:textId="604236BE" w:rsidR="00BB7838" w:rsidRPr="00D51778" w:rsidRDefault="00BB7838" w:rsidP="00BB7838">
            <w:pPr>
              <w:rPr>
                <w:sz w:val="22"/>
                <w:szCs w:val="22"/>
              </w:rPr>
            </w:pPr>
            <w:r w:rsidRPr="00D51778">
              <w:rPr>
                <w:rFonts w:cs="Calibri"/>
                <w:color w:val="000000"/>
                <w:sz w:val="22"/>
                <w:szCs w:val="22"/>
                <w:lang w:val="ga"/>
              </w:rPr>
              <w:t>Ard-Mhúsaem na hÉireann</w:t>
            </w:r>
          </w:p>
        </w:tc>
        <w:tc>
          <w:tcPr>
            <w:tcW w:w="1418" w:type="dxa"/>
            <w:tcBorders>
              <w:top w:val="single" w:sz="6" w:space="0" w:color="000000"/>
              <w:left w:val="single" w:sz="6" w:space="0" w:color="000000"/>
              <w:bottom w:val="single" w:sz="6" w:space="0" w:color="000000"/>
              <w:right w:val="single" w:sz="6" w:space="0" w:color="000000"/>
            </w:tcBorders>
          </w:tcPr>
          <w:p w14:paraId="4F12712F" w14:textId="673B0AC9" w:rsidR="00BB7838" w:rsidRPr="00D51778" w:rsidRDefault="00BB7838" w:rsidP="000539E7">
            <w:pPr>
              <w:jc w:val="right"/>
              <w:rPr>
                <w:sz w:val="22"/>
                <w:szCs w:val="22"/>
              </w:rPr>
            </w:pPr>
            <w:r w:rsidRPr="00D51778">
              <w:rPr>
                <w:rFonts w:cs="Calibri"/>
                <w:color w:val="000000"/>
                <w:sz w:val="22"/>
                <w:szCs w:val="22"/>
                <w:lang w:val="ga"/>
              </w:rPr>
              <w:t>175</w:t>
            </w:r>
          </w:p>
        </w:tc>
        <w:tc>
          <w:tcPr>
            <w:tcW w:w="1417" w:type="dxa"/>
            <w:tcBorders>
              <w:top w:val="single" w:sz="6" w:space="0" w:color="000000"/>
              <w:left w:val="single" w:sz="6" w:space="0" w:color="000000"/>
              <w:bottom w:val="single" w:sz="6" w:space="0" w:color="000000"/>
              <w:right w:val="single" w:sz="6" w:space="0" w:color="000000"/>
            </w:tcBorders>
          </w:tcPr>
          <w:p w14:paraId="118CE674" w14:textId="6D613641" w:rsidR="00BB7838" w:rsidRPr="00D51778" w:rsidRDefault="00BB7838" w:rsidP="000539E7">
            <w:pPr>
              <w:jc w:val="right"/>
              <w:rPr>
                <w:sz w:val="22"/>
                <w:szCs w:val="22"/>
              </w:rPr>
            </w:pPr>
            <w:r w:rsidRPr="00D51778">
              <w:rPr>
                <w:rFonts w:cs="Calibri"/>
                <w:color w:val="000000"/>
                <w:sz w:val="22"/>
                <w:szCs w:val="22"/>
                <w:lang w:val="ga"/>
              </w:rPr>
              <w:t>7</w:t>
            </w:r>
          </w:p>
        </w:tc>
        <w:tc>
          <w:tcPr>
            <w:tcW w:w="1843" w:type="dxa"/>
            <w:tcBorders>
              <w:top w:val="single" w:sz="6" w:space="0" w:color="000000"/>
              <w:left w:val="single" w:sz="6" w:space="0" w:color="000000"/>
              <w:bottom w:val="single" w:sz="6" w:space="0" w:color="000000"/>
              <w:right w:val="single" w:sz="6" w:space="0" w:color="000000"/>
            </w:tcBorders>
          </w:tcPr>
          <w:p w14:paraId="6571A377" w14:textId="4DA02F9A" w:rsidR="00BB7838" w:rsidRPr="00D51778" w:rsidRDefault="00BB7838" w:rsidP="000539E7">
            <w:pPr>
              <w:jc w:val="right"/>
              <w:rPr>
                <w:sz w:val="22"/>
                <w:szCs w:val="22"/>
              </w:rPr>
            </w:pPr>
            <w:r w:rsidRPr="00D51778">
              <w:rPr>
                <w:rFonts w:cs="Calibri"/>
                <w:color w:val="000000"/>
                <w:sz w:val="22"/>
                <w:szCs w:val="22"/>
                <w:lang w:val="ga"/>
              </w:rPr>
              <w:t>4.0%</w:t>
            </w:r>
          </w:p>
        </w:tc>
        <w:tc>
          <w:tcPr>
            <w:tcW w:w="1559" w:type="dxa"/>
            <w:tcBorders>
              <w:top w:val="single" w:sz="6" w:space="0" w:color="000000"/>
              <w:left w:val="single" w:sz="6" w:space="0" w:color="000000"/>
              <w:bottom w:val="single" w:sz="6" w:space="0" w:color="000000"/>
              <w:right w:val="single" w:sz="6" w:space="0" w:color="000000"/>
            </w:tcBorders>
          </w:tcPr>
          <w:p w14:paraId="5398F654" w14:textId="4FE98675" w:rsidR="00BB7838" w:rsidRPr="00D51778" w:rsidRDefault="00BB7838" w:rsidP="000539E7">
            <w:pPr>
              <w:jc w:val="right"/>
              <w:rPr>
                <w:sz w:val="22"/>
                <w:szCs w:val="22"/>
              </w:rPr>
            </w:pPr>
            <w:r w:rsidRPr="00D51778">
              <w:rPr>
                <w:rFonts w:cs="Calibri"/>
                <w:color w:val="000000"/>
                <w:sz w:val="22"/>
                <w:szCs w:val="22"/>
                <w:lang w:val="ga"/>
              </w:rPr>
              <w:t>175</w:t>
            </w:r>
          </w:p>
        </w:tc>
        <w:tc>
          <w:tcPr>
            <w:tcW w:w="1560" w:type="dxa"/>
            <w:tcBorders>
              <w:top w:val="single" w:sz="6" w:space="0" w:color="000000"/>
              <w:left w:val="single" w:sz="6" w:space="0" w:color="000000"/>
              <w:bottom w:val="single" w:sz="6" w:space="0" w:color="000000"/>
              <w:right w:val="single" w:sz="6" w:space="0" w:color="000000"/>
            </w:tcBorders>
          </w:tcPr>
          <w:p w14:paraId="2E2ED626" w14:textId="3B724B62" w:rsidR="00BB7838" w:rsidRPr="00D51778" w:rsidRDefault="00BB7838" w:rsidP="000539E7">
            <w:pPr>
              <w:jc w:val="right"/>
              <w:rPr>
                <w:sz w:val="22"/>
                <w:szCs w:val="22"/>
              </w:rPr>
            </w:pPr>
            <w:r w:rsidRPr="00D51778">
              <w:rPr>
                <w:rFonts w:cs="Calibri"/>
                <w:color w:val="000000"/>
                <w:sz w:val="22"/>
                <w:szCs w:val="22"/>
                <w:lang w:val="ga"/>
              </w:rPr>
              <w:t>12</w:t>
            </w:r>
          </w:p>
        </w:tc>
        <w:tc>
          <w:tcPr>
            <w:tcW w:w="1701" w:type="dxa"/>
            <w:tcBorders>
              <w:top w:val="single" w:sz="6" w:space="0" w:color="000000"/>
              <w:left w:val="single" w:sz="6" w:space="0" w:color="000000"/>
              <w:bottom w:val="single" w:sz="6" w:space="0" w:color="000000"/>
              <w:right w:val="single" w:sz="12" w:space="0" w:color="000000"/>
            </w:tcBorders>
          </w:tcPr>
          <w:p w14:paraId="55DA3D48" w14:textId="76578953" w:rsidR="00BB7838" w:rsidRPr="00D51778" w:rsidRDefault="00BB7838" w:rsidP="000539E7">
            <w:pPr>
              <w:jc w:val="right"/>
              <w:rPr>
                <w:sz w:val="22"/>
                <w:szCs w:val="22"/>
              </w:rPr>
            </w:pPr>
            <w:r w:rsidRPr="00D51778">
              <w:rPr>
                <w:rFonts w:cs="Calibri"/>
                <w:color w:val="000000"/>
                <w:sz w:val="22"/>
                <w:szCs w:val="22"/>
                <w:lang w:val="ga"/>
              </w:rPr>
              <w:t>6.9%</w:t>
            </w:r>
          </w:p>
        </w:tc>
      </w:tr>
      <w:tr w:rsidR="00BB7838" w:rsidRPr="00D51778" w14:paraId="0081DF97"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674C49F0" w14:textId="5F19B335" w:rsidR="00BB7838" w:rsidRPr="00D51778" w:rsidRDefault="00BB7838" w:rsidP="00BB7838">
            <w:pPr>
              <w:rPr>
                <w:sz w:val="22"/>
                <w:szCs w:val="22"/>
              </w:rPr>
            </w:pPr>
            <w:r w:rsidRPr="00D51778">
              <w:rPr>
                <w:rFonts w:cs="Calibri"/>
                <w:color w:val="000000"/>
                <w:sz w:val="22"/>
                <w:szCs w:val="22"/>
                <w:lang w:val="ga"/>
              </w:rPr>
              <w:t>Raidió Teilifís Éireann (RTÉ)</w:t>
            </w:r>
          </w:p>
        </w:tc>
        <w:tc>
          <w:tcPr>
            <w:tcW w:w="1418" w:type="dxa"/>
            <w:tcBorders>
              <w:top w:val="single" w:sz="6" w:space="0" w:color="000000"/>
              <w:left w:val="single" w:sz="6" w:space="0" w:color="000000"/>
              <w:bottom w:val="single" w:sz="6" w:space="0" w:color="000000"/>
              <w:right w:val="single" w:sz="6" w:space="0" w:color="000000"/>
            </w:tcBorders>
          </w:tcPr>
          <w:p w14:paraId="74BD5EB7" w14:textId="21AF8A0F" w:rsidR="00BB7838" w:rsidRPr="00D51778" w:rsidRDefault="00BB7838" w:rsidP="000539E7">
            <w:pPr>
              <w:jc w:val="right"/>
              <w:rPr>
                <w:sz w:val="22"/>
                <w:szCs w:val="22"/>
              </w:rPr>
            </w:pPr>
            <w:r w:rsidRPr="00D51778">
              <w:rPr>
                <w:rFonts w:cs="Calibri"/>
                <w:color w:val="000000"/>
                <w:sz w:val="22"/>
                <w:szCs w:val="22"/>
                <w:lang w:val="ga"/>
              </w:rPr>
              <w:t>1,866</w:t>
            </w:r>
          </w:p>
        </w:tc>
        <w:tc>
          <w:tcPr>
            <w:tcW w:w="1417" w:type="dxa"/>
            <w:tcBorders>
              <w:top w:val="single" w:sz="6" w:space="0" w:color="000000"/>
              <w:left w:val="single" w:sz="6" w:space="0" w:color="000000"/>
              <w:bottom w:val="single" w:sz="6" w:space="0" w:color="000000"/>
              <w:right w:val="single" w:sz="6" w:space="0" w:color="000000"/>
            </w:tcBorders>
          </w:tcPr>
          <w:p w14:paraId="1FE78D37" w14:textId="456B415E" w:rsidR="00BB7838" w:rsidRPr="00D51778" w:rsidRDefault="00BB7838" w:rsidP="000539E7">
            <w:pPr>
              <w:jc w:val="right"/>
              <w:rPr>
                <w:sz w:val="22"/>
                <w:szCs w:val="22"/>
              </w:rPr>
            </w:pPr>
            <w:r w:rsidRPr="00D51778">
              <w:rPr>
                <w:rFonts w:cs="Calibri"/>
                <w:color w:val="000000"/>
                <w:sz w:val="22"/>
                <w:szCs w:val="22"/>
                <w:lang w:val="ga"/>
              </w:rPr>
              <w:t>91</w:t>
            </w:r>
          </w:p>
        </w:tc>
        <w:tc>
          <w:tcPr>
            <w:tcW w:w="1843" w:type="dxa"/>
            <w:tcBorders>
              <w:top w:val="single" w:sz="6" w:space="0" w:color="000000"/>
              <w:left w:val="single" w:sz="6" w:space="0" w:color="000000"/>
              <w:bottom w:val="single" w:sz="6" w:space="0" w:color="000000"/>
              <w:right w:val="single" w:sz="6" w:space="0" w:color="000000"/>
            </w:tcBorders>
          </w:tcPr>
          <w:p w14:paraId="11213ED7" w14:textId="154F12D8" w:rsidR="00BB7838" w:rsidRPr="00D51778" w:rsidRDefault="00BB7838" w:rsidP="000539E7">
            <w:pPr>
              <w:jc w:val="right"/>
              <w:rPr>
                <w:sz w:val="22"/>
                <w:szCs w:val="22"/>
              </w:rPr>
            </w:pPr>
            <w:r w:rsidRPr="00D51778">
              <w:rPr>
                <w:rFonts w:cs="Calibri"/>
                <w:color w:val="000000"/>
                <w:sz w:val="22"/>
                <w:szCs w:val="22"/>
                <w:lang w:val="ga"/>
              </w:rPr>
              <w:t>4.9%</w:t>
            </w:r>
          </w:p>
        </w:tc>
        <w:tc>
          <w:tcPr>
            <w:tcW w:w="1559" w:type="dxa"/>
            <w:tcBorders>
              <w:top w:val="single" w:sz="6" w:space="0" w:color="000000"/>
              <w:left w:val="single" w:sz="6" w:space="0" w:color="000000"/>
              <w:bottom w:val="single" w:sz="6" w:space="0" w:color="000000"/>
              <w:right w:val="single" w:sz="6" w:space="0" w:color="000000"/>
            </w:tcBorders>
          </w:tcPr>
          <w:p w14:paraId="43747900" w14:textId="37594357" w:rsidR="00BB7838" w:rsidRPr="00D51778" w:rsidRDefault="00BB7838" w:rsidP="000539E7">
            <w:pPr>
              <w:jc w:val="right"/>
              <w:rPr>
                <w:sz w:val="22"/>
                <w:szCs w:val="22"/>
              </w:rPr>
            </w:pPr>
            <w:r w:rsidRPr="00D51778">
              <w:rPr>
                <w:rFonts w:cs="Calibri"/>
                <w:color w:val="000000"/>
                <w:sz w:val="22"/>
                <w:szCs w:val="22"/>
                <w:lang w:val="ga"/>
              </w:rPr>
              <w:t>1,871</w:t>
            </w:r>
          </w:p>
        </w:tc>
        <w:tc>
          <w:tcPr>
            <w:tcW w:w="1560" w:type="dxa"/>
            <w:tcBorders>
              <w:top w:val="single" w:sz="6" w:space="0" w:color="000000"/>
              <w:left w:val="single" w:sz="6" w:space="0" w:color="000000"/>
              <w:bottom w:val="single" w:sz="6" w:space="0" w:color="000000"/>
              <w:right w:val="single" w:sz="6" w:space="0" w:color="000000"/>
            </w:tcBorders>
          </w:tcPr>
          <w:p w14:paraId="6652C5FF" w14:textId="2AC2C286" w:rsidR="00BB7838" w:rsidRPr="00D51778" w:rsidRDefault="00BB7838" w:rsidP="000539E7">
            <w:pPr>
              <w:jc w:val="right"/>
              <w:rPr>
                <w:sz w:val="22"/>
                <w:szCs w:val="22"/>
              </w:rPr>
            </w:pPr>
            <w:r w:rsidRPr="00D51778">
              <w:rPr>
                <w:rFonts w:cs="Calibri"/>
                <w:color w:val="000000"/>
                <w:sz w:val="22"/>
                <w:szCs w:val="22"/>
                <w:lang w:val="ga"/>
              </w:rPr>
              <w:t>113</w:t>
            </w:r>
          </w:p>
        </w:tc>
        <w:tc>
          <w:tcPr>
            <w:tcW w:w="1701" w:type="dxa"/>
            <w:tcBorders>
              <w:top w:val="single" w:sz="6" w:space="0" w:color="000000"/>
              <w:left w:val="single" w:sz="6" w:space="0" w:color="000000"/>
              <w:bottom w:val="single" w:sz="6" w:space="0" w:color="000000"/>
              <w:right w:val="single" w:sz="12" w:space="0" w:color="000000"/>
            </w:tcBorders>
          </w:tcPr>
          <w:p w14:paraId="1082AF0A" w14:textId="173C34D5" w:rsidR="00BB7838" w:rsidRPr="00D51778" w:rsidRDefault="00BB7838" w:rsidP="000539E7">
            <w:pPr>
              <w:jc w:val="right"/>
              <w:rPr>
                <w:sz w:val="22"/>
                <w:szCs w:val="22"/>
              </w:rPr>
            </w:pPr>
            <w:r w:rsidRPr="00D51778">
              <w:rPr>
                <w:rFonts w:cs="Calibri"/>
                <w:color w:val="000000"/>
                <w:sz w:val="22"/>
                <w:szCs w:val="22"/>
                <w:lang w:val="ga"/>
              </w:rPr>
              <w:t>6.0%</w:t>
            </w:r>
          </w:p>
        </w:tc>
      </w:tr>
      <w:tr w:rsidR="00BB7838" w:rsidRPr="00D51778" w14:paraId="3CE788A4"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1EB7F9AE" w14:textId="3DCBFE13" w:rsidR="00BB7838" w:rsidRPr="00D51778" w:rsidRDefault="00BB7838" w:rsidP="00BB7838">
            <w:pPr>
              <w:rPr>
                <w:sz w:val="22"/>
                <w:szCs w:val="22"/>
              </w:rPr>
            </w:pPr>
            <w:r w:rsidRPr="00D51778">
              <w:rPr>
                <w:rFonts w:cs="Calibri"/>
                <w:color w:val="000000"/>
                <w:sz w:val="22"/>
                <w:szCs w:val="22"/>
                <w:lang w:val="ga"/>
              </w:rPr>
              <w:t>Fís Éireann</w:t>
            </w:r>
          </w:p>
        </w:tc>
        <w:tc>
          <w:tcPr>
            <w:tcW w:w="1418" w:type="dxa"/>
            <w:tcBorders>
              <w:top w:val="single" w:sz="6" w:space="0" w:color="000000"/>
              <w:left w:val="single" w:sz="6" w:space="0" w:color="000000"/>
              <w:bottom w:val="single" w:sz="6" w:space="0" w:color="000000"/>
              <w:right w:val="single" w:sz="6" w:space="0" w:color="000000"/>
            </w:tcBorders>
          </w:tcPr>
          <w:p w14:paraId="12F23CD0" w14:textId="55DEF3F2" w:rsidR="00BB7838" w:rsidRPr="00D51778" w:rsidRDefault="00BB7838" w:rsidP="000539E7">
            <w:pPr>
              <w:jc w:val="right"/>
              <w:rPr>
                <w:sz w:val="22"/>
                <w:szCs w:val="22"/>
              </w:rPr>
            </w:pPr>
            <w:r w:rsidRPr="00D51778">
              <w:rPr>
                <w:rFonts w:cs="Calibri"/>
                <w:color w:val="000000"/>
                <w:sz w:val="22"/>
                <w:szCs w:val="22"/>
                <w:lang w:val="ga"/>
              </w:rPr>
              <w:t>31</w:t>
            </w:r>
          </w:p>
        </w:tc>
        <w:tc>
          <w:tcPr>
            <w:tcW w:w="1417" w:type="dxa"/>
            <w:tcBorders>
              <w:top w:val="single" w:sz="6" w:space="0" w:color="000000"/>
              <w:left w:val="single" w:sz="6" w:space="0" w:color="000000"/>
              <w:bottom w:val="single" w:sz="6" w:space="0" w:color="000000"/>
              <w:right w:val="single" w:sz="6" w:space="0" w:color="000000"/>
            </w:tcBorders>
          </w:tcPr>
          <w:p w14:paraId="7213BEAB" w14:textId="3EB78066" w:rsidR="00BB7838" w:rsidRPr="00D51778" w:rsidRDefault="00BB7838" w:rsidP="000539E7">
            <w:pPr>
              <w:jc w:val="right"/>
              <w:rPr>
                <w:sz w:val="22"/>
                <w:szCs w:val="22"/>
              </w:rPr>
            </w:pPr>
            <w:r w:rsidRPr="00D51778">
              <w:rPr>
                <w:rFonts w:cs="Calibri"/>
                <w:color w:val="000000"/>
                <w:sz w:val="22"/>
                <w:szCs w:val="22"/>
                <w:lang w:val="ga"/>
              </w:rPr>
              <w:t>0</w:t>
            </w:r>
          </w:p>
        </w:tc>
        <w:tc>
          <w:tcPr>
            <w:tcW w:w="1843" w:type="dxa"/>
            <w:tcBorders>
              <w:top w:val="single" w:sz="6" w:space="0" w:color="000000"/>
              <w:left w:val="single" w:sz="6" w:space="0" w:color="000000"/>
              <w:bottom w:val="single" w:sz="6" w:space="0" w:color="000000"/>
              <w:right w:val="single" w:sz="6" w:space="0" w:color="000000"/>
            </w:tcBorders>
          </w:tcPr>
          <w:p w14:paraId="7A868E6B" w14:textId="1592B187" w:rsidR="00BB7838" w:rsidRPr="00D51778" w:rsidRDefault="00BB7838" w:rsidP="000539E7">
            <w:pPr>
              <w:jc w:val="right"/>
              <w:rPr>
                <w:sz w:val="22"/>
                <w:szCs w:val="22"/>
              </w:rPr>
            </w:pPr>
            <w:r w:rsidRPr="00D51778">
              <w:rPr>
                <w:rFonts w:cs="Calibri"/>
                <w:color w:val="000000"/>
                <w:sz w:val="22"/>
                <w:szCs w:val="22"/>
                <w:lang w:val="ga"/>
              </w:rPr>
              <w:t>0.0%</w:t>
            </w:r>
          </w:p>
        </w:tc>
        <w:tc>
          <w:tcPr>
            <w:tcW w:w="1559" w:type="dxa"/>
            <w:tcBorders>
              <w:top w:val="single" w:sz="6" w:space="0" w:color="000000"/>
              <w:left w:val="single" w:sz="6" w:space="0" w:color="000000"/>
              <w:bottom w:val="single" w:sz="6" w:space="0" w:color="000000"/>
              <w:right w:val="single" w:sz="6" w:space="0" w:color="000000"/>
            </w:tcBorders>
          </w:tcPr>
          <w:p w14:paraId="17129915" w14:textId="17D27353" w:rsidR="00BB7838" w:rsidRPr="00D51778" w:rsidRDefault="00BB7838" w:rsidP="000539E7">
            <w:pPr>
              <w:jc w:val="right"/>
              <w:rPr>
                <w:sz w:val="22"/>
                <w:szCs w:val="22"/>
              </w:rPr>
            </w:pPr>
            <w:r w:rsidRPr="00D51778">
              <w:rPr>
                <w:rFonts w:cs="Calibri"/>
                <w:color w:val="000000"/>
                <w:sz w:val="22"/>
                <w:szCs w:val="22"/>
                <w:lang w:val="ga"/>
              </w:rPr>
              <w:t>35</w:t>
            </w:r>
          </w:p>
        </w:tc>
        <w:tc>
          <w:tcPr>
            <w:tcW w:w="1560" w:type="dxa"/>
            <w:tcBorders>
              <w:top w:val="single" w:sz="6" w:space="0" w:color="000000"/>
              <w:left w:val="single" w:sz="6" w:space="0" w:color="000000"/>
              <w:bottom w:val="single" w:sz="6" w:space="0" w:color="000000"/>
              <w:right w:val="single" w:sz="6" w:space="0" w:color="000000"/>
            </w:tcBorders>
          </w:tcPr>
          <w:p w14:paraId="3F8777FF" w14:textId="0CAD52F1" w:rsidR="00BB7838" w:rsidRPr="00D51778" w:rsidRDefault="00BB7838" w:rsidP="000539E7">
            <w:pPr>
              <w:jc w:val="right"/>
              <w:rPr>
                <w:sz w:val="22"/>
                <w:szCs w:val="22"/>
              </w:rPr>
            </w:pPr>
            <w:r w:rsidRPr="00D51778">
              <w:rPr>
                <w:rFonts w:cs="Calibri"/>
                <w:color w:val="000000"/>
                <w:sz w:val="22"/>
                <w:szCs w:val="22"/>
                <w:lang w:val="ga"/>
              </w:rPr>
              <w:t>7</w:t>
            </w:r>
          </w:p>
        </w:tc>
        <w:tc>
          <w:tcPr>
            <w:tcW w:w="1701" w:type="dxa"/>
            <w:tcBorders>
              <w:top w:val="single" w:sz="6" w:space="0" w:color="000000"/>
              <w:left w:val="single" w:sz="6" w:space="0" w:color="000000"/>
              <w:bottom w:val="single" w:sz="6" w:space="0" w:color="000000"/>
              <w:right w:val="single" w:sz="12" w:space="0" w:color="000000"/>
            </w:tcBorders>
          </w:tcPr>
          <w:p w14:paraId="4B134269" w14:textId="7BC396A2" w:rsidR="00BB7838" w:rsidRPr="00D51778" w:rsidRDefault="00BB7838" w:rsidP="000539E7">
            <w:pPr>
              <w:jc w:val="right"/>
              <w:rPr>
                <w:sz w:val="22"/>
                <w:szCs w:val="22"/>
              </w:rPr>
            </w:pPr>
            <w:r w:rsidRPr="00D51778">
              <w:rPr>
                <w:rFonts w:cs="Calibri"/>
                <w:color w:val="000000"/>
                <w:sz w:val="22"/>
                <w:szCs w:val="22"/>
                <w:lang w:val="ga"/>
              </w:rPr>
              <w:t>20.0%</w:t>
            </w:r>
          </w:p>
        </w:tc>
      </w:tr>
      <w:tr w:rsidR="00BB7838" w:rsidRPr="00D51778" w14:paraId="28E06618"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35195391" w14:textId="65416AF8" w:rsidR="00BB7838" w:rsidRPr="00D51778" w:rsidRDefault="00BB7838" w:rsidP="00BB7838">
            <w:pPr>
              <w:rPr>
                <w:sz w:val="22"/>
                <w:szCs w:val="22"/>
              </w:rPr>
            </w:pPr>
            <w:r w:rsidRPr="00D51778">
              <w:rPr>
                <w:rFonts w:cs="Calibri"/>
                <w:color w:val="000000"/>
                <w:sz w:val="22"/>
                <w:szCs w:val="22"/>
                <w:lang w:val="ga"/>
              </w:rPr>
              <w:t>Spórt Éireann</w:t>
            </w:r>
          </w:p>
        </w:tc>
        <w:tc>
          <w:tcPr>
            <w:tcW w:w="1418" w:type="dxa"/>
            <w:tcBorders>
              <w:top w:val="single" w:sz="6" w:space="0" w:color="000000"/>
              <w:left w:val="single" w:sz="6" w:space="0" w:color="000000"/>
              <w:bottom w:val="single" w:sz="6" w:space="0" w:color="000000"/>
              <w:right w:val="single" w:sz="6" w:space="0" w:color="000000"/>
            </w:tcBorders>
          </w:tcPr>
          <w:p w14:paraId="27A7A33D" w14:textId="19B1A70E" w:rsidR="00BB7838" w:rsidRPr="00D51778" w:rsidRDefault="00BB7838" w:rsidP="000539E7">
            <w:pPr>
              <w:jc w:val="right"/>
              <w:rPr>
                <w:sz w:val="22"/>
                <w:szCs w:val="22"/>
              </w:rPr>
            </w:pPr>
            <w:r w:rsidRPr="00D51778">
              <w:rPr>
                <w:rFonts w:cs="Calibri"/>
                <w:color w:val="000000"/>
                <w:sz w:val="22"/>
                <w:szCs w:val="22"/>
                <w:lang w:val="ga"/>
              </w:rPr>
              <w:t>51</w:t>
            </w:r>
          </w:p>
        </w:tc>
        <w:tc>
          <w:tcPr>
            <w:tcW w:w="1417" w:type="dxa"/>
            <w:tcBorders>
              <w:top w:val="single" w:sz="6" w:space="0" w:color="000000"/>
              <w:left w:val="single" w:sz="6" w:space="0" w:color="000000"/>
              <w:bottom w:val="single" w:sz="6" w:space="0" w:color="000000"/>
              <w:right w:val="single" w:sz="6" w:space="0" w:color="000000"/>
            </w:tcBorders>
          </w:tcPr>
          <w:p w14:paraId="652E3286" w14:textId="20C5AD50" w:rsidR="00BB7838" w:rsidRPr="00D51778" w:rsidRDefault="00BB7838" w:rsidP="000539E7">
            <w:pPr>
              <w:jc w:val="right"/>
              <w:rPr>
                <w:sz w:val="22"/>
                <w:szCs w:val="22"/>
              </w:rPr>
            </w:pPr>
            <w:r w:rsidRPr="00D51778">
              <w:rPr>
                <w:rFonts w:cs="Calibri"/>
                <w:color w:val="000000"/>
                <w:sz w:val="22"/>
                <w:szCs w:val="22"/>
                <w:lang w:val="ga"/>
              </w:rPr>
              <w:t>2</w:t>
            </w:r>
          </w:p>
        </w:tc>
        <w:tc>
          <w:tcPr>
            <w:tcW w:w="1843" w:type="dxa"/>
            <w:tcBorders>
              <w:top w:val="single" w:sz="6" w:space="0" w:color="000000"/>
              <w:left w:val="single" w:sz="6" w:space="0" w:color="000000"/>
              <w:bottom w:val="single" w:sz="6" w:space="0" w:color="000000"/>
              <w:right w:val="single" w:sz="6" w:space="0" w:color="000000"/>
            </w:tcBorders>
          </w:tcPr>
          <w:p w14:paraId="385536F1" w14:textId="37B13F57" w:rsidR="00BB7838" w:rsidRPr="00D51778" w:rsidRDefault="00BB7838" w:rsidP="000539E7">
            <w:pPr>
              <w:jc w:val="right"/>
              <w:rPr>
                <w:sz w:val="22"/>
                <w:szCs w:val="22"/>
              </w:rPr>
            </w:pPr>
            <w:r w:rsidRPr="00D51778">
              <w:rPr>
                <w:rFonts w:cs="Calibri"/>
                <w:color w:val="000000"/>
                <w:sz w:val="22"/>
                <w:szCs w:val="22"/>
                <w:lang w:val="ga"/>
              </w:rPr>
              <w:t>3.9%</w:t>
            </w:r>
          </w:p>
        </w:tc>
        <w:tc>
          <w:tcPr>
            <w:tcW w:w="1559" w:type="dxa"/>
            <w:tcBorders>
              <w:top w:val="single" w:sz="6" w:space="0" w:color="000000"/>
              <w:left w:val="single" w:sz="6" w:space="0" w:color="000000"/>
              <w:bottom w:val="single" w:sz="6" w:space="0" w:color="000000"/>
              <w:right w:val="single" w:sz="6" w:space="0" w:color="000000"/>
            </w:tcBorders>
          </w:tcPr>
          <w:p w14:paraId="3829837C" w14:textId="7F9EF963" w:rsidR="00BB7838" w:rsidRPr="00D51778" w:rsidRDefault="00BB7838" w:rsidP="000539E7">
            <w:pPr>
              <w:jc w:val="right"/>
              <w:rPr>
                <w:sz w:val="22"/>
                <w:szCs w:val="22"/>
              </w:rPr>
            </w:pPr>
            <w:r w:rsidRPr="00D51778">
              <w:rPr>
                <w:rFonts w:cs="Calibri"/>
                <w:color w:val="000000"/>
                <w:sz w:val="22"/>
                <w:szCs w:val="22"/>
                <w:lang w:val="ga"/>
              </w:rPr>
              <w:t>54</w:t>
            </w:r>
          </w:p>
        </w:tc>
        <w:tc>
          <w:tcPr>
            <w:tcW w:w="1560" w:type="dxa"/>
            <w:tcBorders>
              <w:top w:val="single" w:sz="6" w:space="0" w:color="000000"/>
              <w:left w:val="single" w:sz="6" w:space="0" w:color="000000"/>
              <w:bottom w:val="single" w:sz="6" w:space="0" w:color="000000"/>
              <w:right w:val="single" w:sz="6" w:space="0" w:color="000000"/>
            </w:tcBorders>
          </w:tcPr>
          <w:p w14:paraId="2BA5EDE9" w14:textId="7053AD3B" w:rsidR="00BB7838" w:rsidRPr="00D51778" w:rsidRDefault="00BB7838" w:rsidP="000539E7">
            <w:pPr>
              <w:jc w:val="right"/>
              <w:rPr>
                <w:sz w:val="22"/>
                <w:szCs w:val="22"/>
              </w:rPr>
            </w:pPr>
            <w:r w:rsidRPr="00D51778">
              <w:rPr>
                <w:rFonts w:cs="Calibri"/>
                <w:color w:val="000000"/>
                <w:sz w:val="22"/>
                <w:szCs w:val="22"/>
                <w:lang w:val="ga"/>
              </w:rPr>
              <w:t>2</w:t>
            </w:r>
          </w:p>
        </w:tc>
        <w:tc>
          <w:tcPr>
            <w:tcW w:w="1701" w:type="dxa"/>
            <w:tcBorders>
              <w:top w:val="single" w:sz="6" w:space="0" w:color="000000"/>
              <w:left w:val="single" w:sz="6" w:space="0" w:color="000000"/>
              <w:bottom w:val="single" w:sz="6" w:space="0" w:color="000000"/>
              <w:right w:val="single" w:sz="12" w:space="0" w:color="000000"/>
            </w:tcBorders>
          </w:tcPr>
          <w:p w14:paraId="17A4D086" w14:textId="1976BB17" w:rsidR="00BB7838" w:rsidRPr="00D51778" w:rsidRDefault="00BB7838" w:rsidP="000539E7">
            <w:pPr>
              <w:jc w:val="right"/>
              <w:rPr>
                <w:sz w:val="22"/>
                <w:szCs w:val="22"/>
              </w:rPr>
            </w:pPr>
            <w:r w:rsidRPr="00D51778">
              <w:rPr>
                <w:rFonts w:cs="Calibri"/>
                <w:color w:val="000000"/>
                <w:sz w:val="22"/>
                <w:szCs w:val="22"/>
                <w:lang w:val="ga"/>
              </w:rPr>
              <w:t>3.7%</w:t>
            </w:r>
          </w:p>
        </w:tc>
      </w:tr>
      <w:tr w:rsidR="00BB7838" w:rsidRPr="00D51778" w14:paraId="2111FAE9"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24C156FE" w14:textId="4F627A55" w:rsidR="00BB7838" w:rsidRPr="00D51778" w:rsidRDefault="00BB7838" w:rsidP="00BB7838">
            <w:pPr>
              <w:rPr>
                <w:sz w:val="22"/>
                <w:szCs w:val="22"/>
              </w:rPr>
            </w:pPr>
            <w:r w:rsidRPr="00D51778">
              <w:rPr>
                <w:rFonts w:cs="Calibri"/>
                <w:color w:val="000000"/>
                <w:sz w:val="22"/>
                <w:szCs w:val="22"/>
                <w:lang w:val="ga"/>
              </w:rPr>
              <w:lastRenderedPageBreak/>
              <w:t>TG4</w:t>
            </w:r>
          </w:p>
        </w:tc>
        <w:tc>
          <w:tcPr>
            <w:tcW w:w="1418" w:type="dxa"/>
            <w:tcBorders>
              <w:top w:val="single" w:sz="6" w:space="0" w:color="000000"/>
              <w:left w:val="single" w:sz="6" w:space="0" w:color="000000"/>
              <w:bottom w:val="single" w:sz="6" w:space="0" w:color="000000"/>
              <w:right w:val="single" w:sz="6" w:space="0" w:color="000000"/>
            </w:tcBorders>
          </w:tcPr>
          <w:p w14:paraId="283311A3" w14:textId="0FFBFC34" w:rsidR="00BB7838" w:rsidRPr="00D51778" w:rsidRDefault="00BB7838" w:rsidP="000539E7">
            <w:pPr>
              <w:jc w:val="right"/>
              <w:rPr>
                <w:sz w:val="22"/>
                <w:szCs w:val="22"/>
              </w:rPr>
            </w:pPr>
            <w:r w:rsidRPr="00D51778">
              <w:rPr>
                <w:rFonts w:cs="Calibri"/>
                <w:color w:val="000000"/>
                <w:sz w:val="22"/>
                <w:szCs w:val="22"/>
                <w:lang w:val="ga"/>
              </w:rPr>
              <w:t>88</w:t>
            </w:r>
          </w:p>
        </w:tc>
        <w:tc>
          <w:tcPr>
            <w:tcW w:w="1417" w:type="dxa"/>
            <w:tcBorders>
              <w:top w:val="single" w:sz="6" w:space="0" w:color="000000"/>
              <w:left w:val="single" w:sz="6" w:space="0" w:color="000000"/>
              <w:bottom w:val="single" w:sz="6" w:space="0" w:color="000000"/>
              <w:right w:val="single" w:sz="6" w:space="0" w:color="000000"/>
            </w:tcBorders>
          </w:tcPr>
          <w:p w14:paraId="4A387002" w14:textId="5A968AE3" w:rsidR="00BB7838" w:rsidRPr="00D51778" w:rsidRDefault="00BB7838" w:rsidP="000539E7">
            <w:pPr>
              <w:jc w:val="right"/>
              <w:rPr>
                <w:sz w:val="22"/>
                <w:szCs w:val="22"/>
              </w:rPr>
            </w:pPr>
            <w:r w:rsidRPr="00D51778">
              <w:rPr>
                <w:rFonts w:cs="Calibri"/>
                <w:color w:val="000000"/>
                <w:sz w:val="22"/>
                <w:szCs w:val="22"/>
                <w:lang w:val="ga"/>
              </w:rPr>
              <w:t>4</w:t>
            </w:r>
          </w:p>
        </w:tc>
        <w:tc>
          <w:tcPr>
            <w:tcW w:w="1843" w:type="dxa"/>
            <w:tcBorders>
              <w:top w:val="single" w:sz="6" w:space="0" w:color="000000"/>
              <w:left w:val="single" w:sz="6" w:space="0" w:color="000000"/>
              <w:bottom w:val="single" w:sz="6" w:space="0" w:color="000000"/>
              <w:right w:val="single" w:sz="6" w:space="0" w:color="000000"/>
            </w:tcBorders>
          </w:tcPr>
          <w:p w14:paraId="722DD5BD" w14:textId="25D7C865" w:rsidR="00BB7838" w:rsidRPr="00D51778" w:rsidRDefault="00BB7838" w:rsidP="000539E7">
            <w:pPr>
              <w:jc w:val="right"/>
              <w:rPr>
                <w:sz w:val="22"/>
                <w:szCs w:val="22"/>
              </w:rPr>
            </w:pPr>
            <w:r w:rsidRPr="00D51778">
              <w:rPr>
                <w:rFonts w:cs="Calibri"/>
                <w:color w:val="000000"/>
                <w:sz w:val="22"/>
                <w:szCs w:val="22"/>
                <w:lang w:val="ga"/>
              </w:rPr>
              <w:t>4.5%</w:t>
            </w:r>
          </w:p>
        </w:tc>
        <w:tc>
          <w:tcPr>
            <w:tcW w:w="1559" w:type="dxa"/>
            <w:tcBorders>
              <w:top w:val="single" w:sz="6" w:space="0" w:color="000000"/>
              <w:left w:val="single" w:sz="6" w:space="0" w:color="000000"/>
              <w:bottom w:val="single" w:sz="6" w:space="0" w:color="000000"/>
              <w:right w:val="single" w:sz="6" w:space="0" w:color="000000"/>
            </w:tcBorders>
          </w:tcPr>
          <w:p w14:paraId="636DABC5" w14:textId="10D23AB0" w:rsidR="00BB7838" w:rsidRPr="00D51778" w:rsidRDefault="00BB7838" w:rsidP="000539E7">
            <w:pPr>
              <w:jc w:val="right"/>
              <w:rPr>
                <w:sz w:val="22"/>
                <w:szCs w:val="22"/>
              </w:rPr>
            </w:pPr>
            <w:r w:rsidRPr="00D51778">
              <w:rPr>
                <w:rFonts w:cs="Calibri"/>
                <w:color w:val="000000"/>
                <w:sz w:val="22"/>
                <w:szCs w:val="22"/>
                <w:lang w:val="ga"/>
              </w:rPr>
              <w:t>95</w:t>
            </w:r>
          </w:p>
        </w:tc>
        <w:tc>
          <w:tcPr>
            <w:tcW w:w="1560" w:type="dxa"/>
            <w:tcBorders>
              <w:top w:val="single" w:sz="6" w:space="0" w:color="000000"/>
              <w:left w:val="single" w:sz="6" w:space="0" w:color="000000"/>
              <w:bottom w:val="single" w:sz="6" w:space="0" w:color="000000"/>
              <w:right w:val="single" w:sz="6" w:space="0" w:color="000000"/>
            </w:tcBorders>
          </w:tcPr>
          <w:p w14:paraId="01638501" w14:textId="5529ADCA" w:rsidR="00BB7838" w:rsidRPr="00D51778" w:rsidRDefault="00BB7838" w:rsidP="000539E7">
            <w:pPr>
              <w:jc w:val="right"/>
              <w:rPr>
                <w:sz w:val="22"/>
                <w:szCs w:val="22"/>
              </w:rPr>
            </w:pPr>
            <w:r w:rsidRPr="00D51778">
              <w:rPr>
                <w:rFonts w:cs="Calibri"/>
                <w:color w:val="000000"/>
                <w:sz w:val="22"/>
                <w:szCs w:val="22"/>
                <w:lang w:val="ga"/>
              </w:rPr>
              <w:t>6</w:t>
            </w:r>
          </w:p>
        </w:tc>
        <w:tc>
          <w:tcPr>
            <w:tcW w:w="1701" w:type="dxa"/>
            <w:tcBorders>
              <w:top w:val="single" w:sz="6" w:space="0" w:color="000000"/>
              <w:left w:val="single" w:sz="6" w:space="0" w:color="000000"/>
              <w:bottom w:val="single" w:sz="6" w:space="0" w:color="000000"/>
              <w:right w:val="single" w:sz="12" w:space="0" w:color="000000"/>
            </w:tcBorders>
          </w:tcPr>
          <w:p w14:paraId="61F22212" w14:textId="7AF42D1B" w:rsidR="00BB7838" w:rsidRPr="00D51778" w:rsidRDefault="00BB7838" w:rsidP="000539E7">
            <w:pPr>
              <w:jc w:val="right"/>
              <w:rPr>
                <w:sz w:val="22"/>
                <w:szCs w:val="22"/>
              </w:rPr>
            </w:pPr>
            <w:r w:rsidRPr="00D51778">
              <w:rPr>
                <w:rFonts w:cs="Calibri"/>
                <w:color w:val="000000"/>
                <w:sz w:val="22"/>
                <w:szCs w:val="22"/>
                <w:lang w:val="ga"/>
              </w:rPr>
              <w:t>6.3%</w:t>
            </w:r>
          </w:p>
        </w:tc>
      </w:tr>
      <w:tr w:rsidR="00BB7838" w:rsidRPr="00D51778" w14:paraId="558B936A"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47DE6AFC" w14:textId="51070AE4" w:rsidR="00BB7838" w:rsidRPr="00D51778" w:rsidRDefault="00BB7838" w:rsidP="00BB7838">
            <w:pPr>
              <w:rPr>
                <w:sz w:val="22"/>
                <w:szCs w:val="22"/>
              </w:rPr>
            </w:pPr>
            <w:r w:rsidRPr="00D51778">
              <w:rPr>
                <w:rFonts w:cs="Calibri"/>
                <w:color w:val="000000"/>
                <w:sz w:val="22"/>
                <w:szCs w:val="22"/>
                <w:lang w:val="ga"/>
              </w:rPr>
              <w:t>Turasóireacht Éireann</w:t>
            </w:r>
          </w:p>
        </w:tc>
        <w:tc>
          <w:tcPr>
            <w:tcW w:w="1418" w:type="dxa"/>
            <w:tcBorders>
              <w:top w:val="single" w:sz="6" w:space="0" w:color="000000"/>
              <w:left w:val="single" w:sz="6" w:space="0" w:color="000000"/>
              <w:bottom w:val="single" w:sz="6" w:space="0" w:color="000000"/>
              <w:right w:val="single" w:sz="6" w:space="0" w:color="000000"/>
            </w:tcBorders>
          </w:tcPr>
          <w:p w14:paraId="3ABB247B" w14:textId="1639A8EB" w:rsidR="00BB7838" w:rsidRPr="00D51778" w:rsidRDefault="00BB7838" w:rsidP="000539E7">
            <w:pPr>
              <w:jc w:val="right"/>
              <w:rPr>
                <w:sz w:val="22"/>
                <w:szCs w:val="22"/>
              </w:rPr>
            </w:pPr>
            <w:r w:rsidRPr="00D51778">
              <w:rPr>
                <w:rFonts w:cs="Calibri"/>
                <w:color w:val="000000"/>
                <w:sz w:val="22"/>
                <w:szCs w:val="22"/>
                <w:lang w:val="ga"/>
              </w:rPr>
              <w:t>161</w:t>
            </w:r>
          </w:p>
        </w:tc>
        <w:tc>
          <w:tcPr>
            <w:tcW w:w="1417" w:type="dxa"/>
            <w:tcBorders>
              <w:top w:val="single" w:sz="6" w:space="0" w:color="000000"/>
              <w:left w:val="single" w:sz="6" w:space="0" w:color="000000"/>
              <w:bottom w:val="single" w:sz="6" w:space="0" w:color="000000"/>
              <w:right w:val="single" w:sz="6" w:space="0" w:color="000000"/>
            </w:tcBorders>
          </w:tcPr>
          <w:p w14:paraId="387361D8" w14:textId="5C5B027A" w:rsidR="00BB7838" w:rsidRPr="00D51778" w:rsidRDefault="00BB7838" w:rsidP="000539E7">
            <w:pPr>
              <w:jc w:val="right"/>
              <w:rPr>
                <w:sz w:val="22"/>
                <w:szCs w:val="22"/>
              </w:rPr>
            </w:pPr>
            <w:r w:rsidRPr="00D51778">
              <w:rPr>
                <w:rFonts w:cs="Calibri"/>
                <w:color w:val="000000"/>
                <w:sz w:val="22"/>
                <w:szCs w:val="22"/>
                <w:lang w:val="ga"/>
              </w:rPr>
              <w:t>0</w:t>
            </w:r>
          </w:p>
        </w:tc>
        <w:tc>
          <w:tcPr>
            <w:tcW w:w="1843" w:type="dxa"/>
            <w:tcBorders>
              <w:top w:val="single" w:sz="6" w:space="0" w:color="000000"/>
              <w:left w:val="single" w:sz="6" w:space="0" w:color="000000"/>
              <w:bottom w:val="single" w:sz="6" w:space="0" w:color="000000"/>
              <w:right w:val="single" w:sz="6" w:space="0" w:color="000000"/>
            </w:tcBorders>
          </w:tcPr>
          <w:p w14:paraId="3D7D692B" w14:textId="622F91B9" w:rsidR="00BB7838" w:rsidRPr="00D51778" w:rsidRDefault="00BB7838" w:rsidP="000539E7">
            <w:pPr>
              <w:jc w:val="right"/>
              <w:rPr>
                <w:sz w:val="22"/>
                <w:szCs w:val="22"/>
              </w:rPr>
            </w:pPr>
            <w:r w:rsidRPr="00D51778">
              <w:rPr>
                <w:rFonts w:cs="Calibri"/>
                <w:color w:val="000000"/>
                <w:sz w:val="22"/>
                <w:szCs w:val="22"/>
                <w:lang w:val="ga"/>
              </w:rPr>
              <w:t>0.0%</w:t>
            </w:r>
          </w:p>
        </w:tc>
        <w:tc>
          <w:tcPr>
            <w:tcW w:w="1559" w:type="dxa"/>
            <w:tcBorders>
              <w:top w:val="single" w:sz="6" w:space="0" w:color="000000"/>
              <w:left w:val="single" w:sz="6" w:space="0" w:color="000000"/>
              <w:bottom w:val="single" w:sz="6" w:space="0" w:color="000000"/>
              <w:right w:val="single" w:sz="6" w:space="0" w:color="000000"/>
            </w:tcBorders>
          </w:tcPr>
          <w:p w14:paraId="0F387E53" w14:textId="6C221ED1" w:rsidR="00BB7838" w:rsidRPr="00D51778" w:rsidRDefault="00BB7838" w:rsidP="000539E7">
            <w:pPr>
              <w:jc w:val="right"/>
              <w:rPr>
                <w:sz w:val="22"/>
                <w:szCs w:val="22"/>
              </w:rPr>
            </w:pPr>
            <w:r w:rsidRPr="00D51778">
              <w:rPr>
                <w:rFonts w:cs="Calibri"/>
                <w:color w:val="000000"/>
                <w:sz w:val="22"/>
                <w:szCs w:val="22"/>
                <w:lang w:val="ga"/>
              </w:rPr>
              <w:t>164</w:t>
            </w:r>
          </w:p>
        </w:tc>
        <w:tc>
          <w:tcPr>
            <w:tcW w:w="1560" w:type="dxa"/>
            <w:tcBorders>
              <w:top w:val="single" w:sz="6" w:space="0" w:color="000000"/>
              <w:left w:val="single" w:sz="6" w:space="0" w:color="000000"/>
              <w:bottom w:val="single" w:sz="6" w:space="0" w:color="000000"/>
              <w:right w:val="single" w:sz="6" w:space="0" w:color="000000"/>
            </w:tcBorders>
          </w:tcPr>
          <w:p w14:paraId="0552F89E" w14:textId="3AFCF3E0" w:rsidR="00BB7838" w:rsidRPr="00D51778" w:rsidRDefault="00BB7838" w:rsidP="000539E7">
            <w:pPr>
              <w:jc w:val="right"/>
              <w:rPr>
                <w:sz w:val="22"/>
                <w:szCs w:val="22"/>
              </w:rPr>
            </w:pPr>
            <w:r w:rsidRPr="00D51778">
              <w:rPr>
                <w:rFonts w:cs="Calibri"/>
                <w:color w:val="000000"/>
                <w:sz w:val="22"/>
                <w:szCs w:val="22"/>
                <w:lang w:val="ga"/>
              </w:rPr>
              <w:t>13</w:t>
            </w:r>
          </w:p>
        </w:tc>
        <w:tc>
          <w:tcPr>
            <w:tcW w:w="1701" w:type="dxa"/>
            <w:tcBorders>
              <w:top w:val="single" w:sz="6" w:space="0" w:color="000000"/>
              <w:left w:val="single" w:sz="6" w:space="0" w:color="000000"/>
              <w:bottom w:val="single" w:sz="6" w:space="0" w:color="000000"/>
              <w:right w:val="single" w:sz="12" w:space="0" w:color="000000"/>
            </w:tcBorders>
          </w:tcPr>
          <w:p w14:paraId="5B187D4B" w14:textId="04735727" w:rsidR="00BB7838" w:rsidRPr="00D51778" w:rsidRDefault="00BB7838" w:rsidP="000539E7">
            <w:pPr>
              <w:jc w:val="right"/>
              <w:rPr>
                <w:sz w:val="22"/>
                <w:szCs w:val="22"/>
              </w:rPr>
            </w:pPr>
            <w:r w:rsidRPr="00D51778">
              <w:rPr>
                <w:rFonts w:cs="Calibri"/>
                <w:color w:val="000000"/>
                <w:sz w:val="22"/>
                <w:szCs w:val="22"/>
                <w:lang w:val="ga"/>
              </w:rPr>
              <w:t>7.9%</w:t>
            </w:r>
          </w:p>
        </w:tc>
      </w:tr>
      <w:tr w:rsidR="00BB7838" w:rsidRPr="00D51778" w14:paraId="3936D5E0"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71064BD6" w14:textId="3D11FBEA" w:rsidR="00BB7838" w:rsidRPr="00D51778" w:rsidRDefault="00BB7838" w:rsidP="00BB7838">
            <w:pPr>
              <w:rPr>
                <w:sz w:val="22"/>
                <w:szCs w:val="22"/>
              </w:rPr>
            </w:pPr>
            <w:r w:rsidRPr="00D51778">
              <w:rPr>
                <w:rFonts w:cs="Calibri"/>
                <w:color w:val="000000"/>
                <w:sz w:val="22"/>
                <w:szCs w:val="22"/>
                <w:lang w:val="ga"/>
              </w:rPr>
              <w:t>Údarás na Gaeltachta</w:t>
            </w:r>
          </w:p>
        </w:tc>
        <w:tc>
          <w:tcPr>
            <w:tcW w:w="1418" w:type="dxa"/>
            <w:tcBorders>
              <w:top w:val="single" w:sz="6" w:space="0" w:color="000000"/>
              <w:left w:val="single" w:sz="6" w:space="0" w:color="000000"/>
              <w:bottom w:val="single" w:sz="6" w:space="0" w:color="000000"/>
              <w:right w:val="single" w:sz="6" w:space="0" w:color="000000"/>
            </w:tcBorders>
          </w:tcPr>
          <w:p w14:paraId="19985272" w14:textId="75FA10DA" w:rsidR="00BB7838" w:rsidRPr="00D51778" w:rsidRDefault="00BB7838" w:rsidP="000539E7">
            <w:pPr>
              <w:jc w:val="right"/>
              <w:rPr>
                <w:sz w:val="22"/>
                <w:szCs w:val="22"/>
              </w:rPr>
            </w:pPr>
            <w:r w:rsidRPr="00D51778">
              <w:rPr>
                <w:rFonts w:cs="Calibri"/>
                <w:color w:val="000000"/>
                <w:sz w:val="22"/>
                <w:szCs w:val="22"/>
                <w:lang w:val="ga"/>
              </w:rPr>
              <w:t>87</w:t>
            </w:r>
          </w:p>
        </w:tc>
        <w:tc>
          <w:tcPr>
            <w:tcW w:w="1417" w:type="dxa"/>
            <w:tcBorders>
              <w:top w:val="single" w:sz="6" w:space="0" w:color="000000"/>
              <w:left w:val="single" w:sz="6" w:space="0" w:color="000000"/>
              <w:bottom w:val="single" w:sz="6" w:space="0" w:color="000000"/>
              <w:right w:val="single" w:sz="6" w:space="0" w:color="000000"/>
            </w:tcBorders>
          </w:tcPr>
          <w:p w14:paraId="039FA314" w14:textId="2A7ADE42" w:rsidR="00BB7838" w:rsidRPr="00D51778" w:rsidRDefault="00BB7838" w:rsidP="000539E7">
            <w:pPr>
              <w:jc w:val="right"/>
              <w:rPr>
                <w:sz w:val="22"/>
                <w:szCs w:val="22"/>
              </w:rPr>
            </w:pPr>
            <w:r w:rsidRPr="00D51778">
              <w:rPr>
                <w:rFonts w:cs="Calibri"/>
                <w:color w:val="000000"/>
                <w:sz w:val="22"/>
                <w:szCs w:val="22"/>
                <w:lang w:val="ga"/>
              </w:rPr>
              <w:t>6</w:t>
            </w:r>
          </w:p>
        </w:tc>
        <w:tc>
          <w:tcPr>
            <w:tcW w:w="1843" w:type="dxa"/>
            <w:tcBorders>
              <w:top w:val="single" w:sz="6" w:space="0" w:color="000000"/>
              <w:left w:val="single" w:sz="6" w:space="0" w:color="000000"/>
              <w:bottom w:val="single" w:sz="6" w:space="0" w:color="000000"/>
              <w:right w:val="single" w:sz="6" w:space="0" w:color="000000"/>
            </w:tcBorders>
          </w:tcPr>
          <w:p w14:paraId="1E3FEA91" w14:textId="55F6478A" w:rsidR="00BB7838" w:rsidRPr="00D51778" w:rsidRDefault="00BB7838" w:rsidP="000539E7">
            <w:pPr>
              <w:jc w:val="right"/>
              <w:rPr>
                <w:sz w:val="22"/>
                <w:szCs w:val="22"/>
              </w:rPr>
            </w:pPr>
            <w:r w:rsidRPr="00D51778">
              <w:rPr>
                <w:rFonts w:cs="Calibri"/>
                <w:color w:val="000000"/>
                <w:sz w:val="22"/>
                <w:szCs w:val="22"/>
                <w:lang w:val="ga"/>
              </w:rPr>
              <w:t>6.9%</w:t>
            </w:r>
          </w:p>
        </w:tc>
        <w:tc>
          <w:tcPr>
            <w:tcW w:w="1559" w:type="dxa"/>
            <w:tcBorders>
              <w:top w:val="single" w:sz="6" w:space="0" w:color="000000"/>
              <w:left w:val="single" w:sz="6" w:space="0" w:color="000000"/>
              <w:bottom w:val="single" w:sz="6" w:space="0" w:color="000000"/>
              <w:right w:val="single" w:sz="6" w:space="0" w:color="000000"/>
            </w:tcBorders>
          </w:tcPr>
          <w:p w14:paraId="15168E47" w14:textId="7405308F" w:rsidR="00BB7838" w:rsidRPr="00D51778" w:rsidRDefault="00BB7838" w:rsidP="000539E7">
            <w:pPr>
              <w:jc w:val="right"/>
              <w:rPr>
                <w:sz w:val="22"/>
                <w:szCs w:val="22"/>
              </w:rPr>
            </w:pPr>
            <w:r w:rsidRPr="00D51778">
              <w:rPr>
                <w:rFonts w:cs="Calibri"/>
                <w:color w:val="000000"/>
                <w:sz w:val="22"/>
                <w:szCs w:val="22"/>
                <w:lang w:val="ga"/>
              </w:rPr>
              <w:t>87</w:t>
            </w:r>
          </w:p>
        </w:tc>
        <w:tc>
          <w:tcPr>
            <w:tcW w:w="1560" w:type="dxa"/>
            <w:tcBorders>
              <w:top w:val="single" w:sz="6" w:space="0" w:color="000000"/>
              <w:left w:val="single" w:sz="6" w:space="0" w:color="000000"/>
              <w:bottom w:val="single" w:sz="6" w:space="0" w:color="000000"/>
              <w:right w:val="single" w:sz="6" w:space="0" w:color="000000"/>
            </w:tcBorders>
          </w:tcPr>
          <w:p w14:paraId="1D5CE5DA" w14:textId="1524BBE2" w:rsidR="00BB7838" w:rsidRPr="00D51778" w:rsidRDefault="00BB7838" w:rsidP="000539E7">
            <w:pPr>
              <w:jc w:val="right"/>
              <w:rPr>
                <w:sz w:val="22"/>
                <w:szCs w:val="22"/>
              </w:rPr>
            </w:pPr>
            <w:r w:rsidRPr="00D51778">
              <w:rPr>
                <w:rFonts w:cs="Calibri"/>
                <w:color w:val="000000"/>
                <w:sz w:val="22"/>
                <w:szCs w:val="22"/>
                <w:lang w:val="ga"/>
              </w:rPr>
              <w:t>5</w:t>
            </w:r>
          </w:p>
        </w:tc>
        <w:tc>
          <w:tcPr>
            <w:tcW w:w="1701" w:type="dxa"/>
            <w:tcBorders>
              <w:top w:val="single" w:sz="6" w:space="0" w:color="000000"/>
              <w:left w:val="single" w:sz="6" w:space="0" w:color="000000"/>
              <w:bottom w:val="single" w:sz="6" w:space="0" w:color="000000"/>
              <w:right w:val="single" w:sz="12" w:space="0" w:color="000000"/>
            </w:tcBorders>
          </w:tcPr>
          <w:p w14:paraId="0FEAAE8B" w14:textId="57E32DD6" w:rsidR="00BB7838" w:rsidRPr="00D51778" w:rsidRDefault="00BB7838" w:rsidP="000539E7">
            <w:pPr>
              <w:jc w:val="right"/>
              <w:rPr>
                <w:sz w:val="22"/>
                <w:szCs w:val="22"/>
              </w:rPr>
            </w:pPr>
            <w:r w:rsidRPr="00D51778">
              <w:rPr>
                <w:rFonts w:cs="Calibri"/>
                <w:color w:val="000000"/>
                <w:sz w:val="22"/>
                <w:szCs w:val="22"/>
                <w:lang w:val="ga"/>
              </w:rPr>
              <w:t>5.8%</w:t>
            </w:r>
          </w:p>
        </w:tc>
      </w:tr>
      <w:tr w:rsidR="00BB7838" w:rsidRPr="00D51778" w14:paraId="11F46154" w14:textId="77777777" w:rsidTr="000560A6">
        <w:tc>
          <w:tcPr>
            <w:tcW w:w="1962" w:type="dxa"/>
            <w:tcBorders>
              <w:top w:val="single" w:sz="6" w:space="0" w:color="000000"/>
              <w:left w:val="single" w:sz="12" w:space="0" w:color="000000"/>
              <w:bottom w:val="single" w:sz="6" w:space="0" w:color="000000"/>
              <w:right w:val="single" w:sz="6" w:space="0" w:color="000000"/>
            </w:tcBorders>
            <w:vAlign w:val="bottom"/>
          </w:tcPr>
          <w:p w14:paraId="1EC0166D" w14:textId="15657B07" w:rsidR="00BB7838" w:rsidRPr="00D51778" w:rsidRDefault="00BB7838" w:rsidP="00BB7838">
            <w:pPr>
              <w:rPr>
                <w:sz w:val="22"/>
                <w:szCs w:val="22"/>
              </w:rPr>
            </w:pPr>
            <w:r w:rsidRPr="00D51778">
              <w:rPr>
                <w:rFonts w:cs="Calibri"/>
                <w:color w:val="000000"/>
                <w:sz w:val="22"/>
                <w:szCs w:val="22"/>
                <w:lang w:val="ga"/>
              </w:rPr>
              <w:t>Gníomhaireacht na hUltaise</w:t>
            </w:r>
          </w:p>
        </w:tc>
        <w:tc>
          <w:tcPr>
            <w:tcW w:w="1418" w:type="dxa"/>
            <w:tcBorders>
              <w:top w:val="single" w:sz="6" w:space="0" w:color="000000"/>
              <w:left w:val="single" w:sz="6" w:space="0" w:color="000000"/>
              <w:bottom w:val="single" w:sz="6" w:space="0" w:color="000000"/>
              <w:right w:val="single" w:sz="6" w:space="0" w:color="000000"/>
            </w:tcBorders>
          </w:tcPr>
          <w:p w14:paraId="4A292259" w14:textId="712D6A85" w:rsidR="00BB7838" w:rsidRPr="00D51778" w:rsidRDefault="00BB7838" w:rsidP="000539E7">
            <w:pPr>
              <w:jc w:val="right"/>
              <w:rPr>
                <w:sz w:val="22"/>
                <w:szCs w:val="22"/>
              </w:rPr>
            </w:pPr>
            <w:r w:rsidRPr="00D51778">
              <w:rPr>
                <w:rFonts w:cs="Calibri"/>
                <w:color w:val="000000"/>
                <w:sz w:val="22"/>
                <w:szCs w:val="22"/>
                <w:lang w:val="ga"/>
              </w:rPr>
              <w:t>13</w:t>
            </w:r>
          </w:p>
        </w:tc>
        <w:tc>
          <w:tcPr>
            <w:tcW w:w="1417" w:type="dxa"/>
            <w:tcBorders>
              <w:top w:val="single" w:sz="6" w:space="0" w:color="000000"/>
              <w:left w:val="single" w:sz="6" w:space="0" w:color="000000"/>
              <w:bottom w:val="single" w:sz="6" w:space="0" w:color="000000"/>
              <w:right w:val="single" w:sz="6" w:space="0" w:color="000000"/>
            </w:tcBorders>
          </w:tcPr>
          <w:p w14:paraId="27178680" w14:textId="46AD5EF2" w:rsidR="00BB7838" w:rsidRPr="00D51778" w:rsidRDefault="00BB7838" w:rsidP="000539E7">
            <w:pPr>
              <w:jc w:val="right"/>
              <w:rPr>
                <w:sz w:val="22"/>
                <w:szCs w:val="22"/>
              </w:rPr>
            </w:pPr>
            <w:r w:rsidRPr="00D51778">
              <w:rPr>
                <w:rFonts w:cs="Calibri"/>
                <w:color w:val="000000"/>
                <w:sz w:val="22"/>
                <w:szCs w:val="22"/>
                <w:lang w:val="ga"/>
              </w:rPr>
              <w:t>1</w:t>
            </w:r>
          </w:p>
        </w:tc>
        <w:tc>
          <w:tcPr>
            <w:tcW w:w="1843" w:type="dxa"/>
            <w:tcBorders>
              <w:top w:val="single" w:sz="6" w:space="0" w:color="000000"/>
              <w:left w:val="single" w:sz="6" w:space="0" w:color="000000"/>
              <w:bottom w:val="single" w:sz="6" w:space="0" w:color="000000"/>
              <w:right w:val="single" w:sz="6" w:space="0" w:color="000000"/>
            </w:tcBorders>
          </w:tcPr>
          <w:p w14:paraId="4C8FB1FE" w14:textId="64235119" w:rsidR="00BB7838" w:rsidRPr="00D51778" w:rsidRDefault="00BB7838" w:rsidP="000539E7">
            <w:pPr>
              <w:jc w:val="right"/>
              <w:rPr>
                <w:sz w:val="22"/>
                <w:szCs w:val="22"/>
              </w:rPr>
            </w:pPr>
            <w:r w:rsidRPr="00D51778">
              <w:rPr>
                <w:rFonts w:cs="Calibri"/>
                <w:color w:val="000000"/>
                <w:sz w:val="22"/>
                <w:szCs w:val="22"/>
                <w:lang w:val="ga"/>
              </w:rPr>
              <w:t>7.7%</w:t>
            </w:r>
          </w:p>
        </w:tc>
        <w:tc>
          <w:tcPr>
            <w:tcW w:w="1559" w:type="dxa"/>
            <w:tcBorders>
              <w:top w:val="single" w:sz="6" w:space="0" w:color="000000"/>
              <w:left w:val="single" w:sz="6" w:space="0" w:color="000000"/>
              <w:bottom w:val="single" w:sz="6" w:space="0" w:color="000000"/>
              <w:right w:val="single" w:sz="6" w:space="0" w:color="000000"/>
            </w:tcBorders>
          </w:tcPr>
          <w:p w14:paraId="3FAC40C7" w14:textId="0624C8E0" w:rsidR="00BB7838" w:rsidRPr="00D51778" w:rsidRDefault="00BB7838" w:rsidP="000539E7">
            <w:pPr>
              <w:jc w:val="right"/>
              <w:rPr>
                <w:sz w:val="22"/>
                <w:szCs w:val="22"/>
              </w:rPr>
            </w:pPr>
            <w:r w:rsidRPr="00D51778">
              <w:rPr>
                <w:rFonts w:cs="Calibri"/>
                <w:color w:val="000000"/>
                <w:sz w:val="22"/>
                <w:szCs w:val="22"/>
                <w:lang w:val="ga"/>
              </w:rPr>
              <w:t>12</w:t>
            </w:r>
          </w:p>
        </w:tc>
        <w:tc>
          <w:tcPr>
            <w:tcW w:w="1560" w:type="dxa"/>
            <w:tcBorders>
              <w:top w:val="single" w:sz="6" w:space="0" w:color="000000"/>
              <w:left w:val="single" w:sz="6" w:space="0" w:color="000000"/>
              <w:bottom w:val="single" w:sz="6" w:space="0" w:color="000000"/>
              <w:right w:val="single" w:sz="6" w:space="0" w:color="000000"/>
            </w:tcBorders>
          </w:tcPr>
          <w:p w14:paraId="4E3DF486" w14:textId="3D4888F8" w:rsidR="00BB7838" w:rsidRPr="00D51778" w:rsidRDefault="00BB7838" w:rsidP="000539E7">
            <w:pPr>
              <w:jc w:val="right"/>
              <w:rPr>
                <w:sz w:val="22"/>
                <w:szCs w:val="22"/>
              </w:rPr>
            </w:pPr>
            <w:r w:rsidRPr="00D51778">
              <w:rPr>
                <w:rFonts w:cs="Calibri"/>
                <w:color w:val="000000"/>
                <w:sz w:val="22"/>
                <w:szCs w:val="22"/>
                <w:lang w:val="ga"/>
              </w:rPr>
              <w:t>1</w:t>
            </w:r>
          </w:p>
        </w:tc>
        <w:tc>
          <w:tcPr>
            <w:tcW w:w="1701" w:type="dxa"/>
            <w:tcBorders>
              <w:top w:val="single" w:sz="6" w:space="0" w:color="000000"/>
              <w:left w:val="single" w:sz="6" w:space="0" w:color="000000"/>
              <w:bottom w:val="single" w:sz="6" w:space="0" w:color="000000"/>
              <w:right w:val="single" w:sz="12" w:space="0" w:color="000000"/>
            </w:tcBorders>
          </w:tcPr>
          <w:p w14:paraId="39DA978A" w14:textId="41624D33" w:rsidR="00BB7838" w:rsidRPr="00D51778" w:rsidRDefault="00BB7838" w:rsidP="000539E7">
            <w:pPr>
              <w:jc w:val="right"/>
              <w:rPr>
                <w:sz w:val="22"/>
                <w:szCs w:val="22"/>
              </w:rPr>
            </w:pPr>
            <w:r w:rsidRPr="00D51778">
              <w:rPr>
                <w:rFonts w:cs="Calibri"/>
                <w:color w:val="000000"/>
                <w:sz w:val="22"/>
                <w:szCs w:val="22"/>
                <w:lang w:val="ga"/>
              </w:rPr>
              <w:t>8.3%</w:t>
            </w:r>
          </w:p>
        </w:tc>
      </w:tr>
      <w:tr w:rsidR="00865E82" w:rsidRPr="00D51778" w14:paraId="7870CA38" w14:textId="77777777" w:rsidTr="000560A6">
        <w:trPr>
          <w:trHeight w:val="455"/>
        </w:trPr>
        <w:tc>
          <w:tcPr>
            <w:tcW w:w="1962" w:type="dxa"/>
            <w:tcBorders>
              <w:top w:val="single" w:sz="6" w:space="0" w:color="000000"/>
              <w:left w:val="single" w:sz="12" w:space="0" w:color="000000"/>
              <w:bottom w:val="single" w:sz="6" w:space="0" w:color="000000"/>
              <w:right w:val="single" w:sz="6" w:space="0" w:color="000000"/>
            </w:tcBorders>
          </w:tcPr>
          <w:p w14:paraId="710D63F5" w14:textId="4FE5CBBD" w:rsidR="00865E82" w:rsidRPr="00D51778" w:rsidRDefault="00865E82" w:rsidP="000A2B2C">
            <w:pPr>
              <w:spacing w:after="0"/>
              <w:rPr>
                <w:sz w:val="22"/>
                <w:szCs w:val="22"/>
              </w:rPr>
            </w:pPr>
            <w:r w:rsidRPr="00D51778">
              <w:rPr>
                <w:b/>
                <w:bCs/>
                <w:sz w:val="22"/>
                <w:szCs w:val="22"/>
                <w:lang w:val="ga"/>
              </w:rPr>
              <w:t>Mór-Iomlán</w:t>
            </w:r>
          </w:p>
        </w:tc>
        <w:tc>
          <w:tcPr>
            <w:tcW w:w="1418" w:type="dxa"/>
            <w:tcBorders>
              <w:top w:val="single" w:sz="6" w:space="0" w:color="000000"/>
              <w:left w:val="single" w:sz="6" w:space="0" w:color="000000"/>
              <w:bottom w:val="single" w:sz="6" w:space="0" w:color="000000"/>
              <w:right w:val="single" w:sz="6" w:space="0" w:color="000000"/>
            </w:tcBorders>
          </w:tcPr>
          <w:p w14:paraId="29C0A30B" w14:textId="2136A53B" w:rsidR="00865E82" w:rsidRPr="00D51778" w:rsidRDefault="00F1200C" w:rsidP="000A2B2C">
            <w:pPr>
              <w:spacing w:after="0"/>
              <w:jc w:val="right"/>
              <w:rPr>
                <w:b/>
                <w:sz w:val="22"/>
                <w:szCs w:val="22"/>
              </w:rPr>
            </w:pPr>
            <w:r w:rsidRPr="00D51778">
              <w:rPr>
                <w:rFonts w:cs="Calibri"/>
                <w:b/>
                <w:bCs/>
                <w:color w:val="000000"/>
                <w:sz w:val="22"/>
                <w:szCs w:val="22"/>
                <w:lang w:val="ga"/>
              </w:rPr>
              <w:t>3,566</w:t>
            </w:r>
          </w:p>
        </w:tc>
        <w:tc>
          <w:tcPr>
            <w:tcW w:w="1417" w:type="dxa"/>
            <w:tcBorders>
              <w:top w:val="single" w:sz="6" w:space="0" w:color="000000"/>
              <w:left w:val="single" w:sz="6" w:space="0" w:color="000000"/>
              <w:bottom w:val="single" w:sz="6" w:space="0" w:color="000000"/>
              <w:right w:val="single" w:sz="6" w:space="0" w:color="000000"/>
            </w:tcBorders>
          </w:tcPr>
          <w:p w14:paraId="5FFAECCF" w14:textId="77777777"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162</w:t>
            </w:r>
          </w:p>
          <w:p w14:paraId="5E3BAC58" w14:textId="78E2EA45" w:rsidR="00865E82" w:rsidRPr="00D51778" w:rsidRDefault="00865E82" w:rsidP="000A2B2C">
            <w:pPr>
              <w:spacing w:after="0"/>
              <w:jc w:val="right"/>
              <w:rPr>
                <w:b/>
                <w:sz w:val="22"/>
                <w:szCs w:val="22"/>
              </w:rPr>
            </w:pPr>
          </w:p>
        </w:tc>
        <w:tc>
          <w:tcPr>
            <w:tcW w:w="1843" w:type="dxa"/>
            <w:tcBorders>
              <w:top w:val="single" w:sz="6" w:space="0" w:color="000000"/>
              <w:left w:val="single" w:sz="6" w:space="0" w:color="000000"/>
              <w:bottom w:val="single" w:sz="6" w:space="0" w:color="000000"/>
              <w:right w:val="single" w:sz="6" w:space="0" w:color="000000"/>
            </w:tcBorders>
          </w:tcPr>
          <w:p w14:paraId="324F9385" w14:textId="1FB1EFFC" w:rsidR="00865E82" w:rsidRPr="00D51778" w:rsidRDefault="00723C4D" w:rsidP="000A2B2C">
            <w:pPr>
              <w:spacing w:after="0"/>
              <w:jc w:val="right"/>
              <w:rPr>
                <w:b/>
                <w:sz w:val="22"/>
                <w:szCs w:val="22"/>
              </w:rPr>
            </w:pPr>
            <w:r w:rsidRPr="00D51778">
              <w:rPr>
                <w:b/>
                <w:bCs/>
                <w:sz w:val="22"/>
                <w:szCs w:val="22"/>
                <w:lang w:val="ga"/>
              </w:rPr>
              <w:t>4.5%</w:t>
            </w:r>
          </w:p>
        </w:tc>
        <w:tc>
          <w:tcPr>
            <w:tcW w:w="1559" w:type="dxa"/>
            <w:tcBorders>
              <w:top w:val="single" w:sz="6" w:space="0" w:color="000000"/>
              <w:left w:val="single" w:sz="6" w:space="0" w:color="000000"/>
              <w:bottom w:val="single" w:sz="6" w:space="0" w:color="000000"/>
              <w:right w:val="single" w:sz="6" w:space="0" w:color="000000"/>
            </w:tcBorders>
          </w:tcPr>
          <w:p w14:paraId="646496FF" w14:textId="3169DF27"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3,609</w:t>
            </w:r>
          </w:p>
          <w:p w14:paraId="31DB3035" w14:textId="5B8673FE" w:rsidR="00865E82" w:rsidRPr="00D51778" w:rsidRDefault="00865E82" w:rsidP="000A2B2C">
            <w:pPr>
              <w:spacing w:after="0"/>
              <w:jc w:val="right"/>
              <w:rPr>
                <w:b/>
                <w:sz w:val="22"/>
                <w:szCs w:val="22"/>
              </w:rPr>
            </w:pPr>
          </w:p>
        </w:tc>
        <w:tc>
          <w:tcPr>
            <w:tcW w:w="1560" w:type="dxa"/>
            <w:tcBorders>
              <w:top w:val="single" w:sz="6" w:space="0" w:color="000000"/>
              <w:left w:val="single" w:sz="6" w:space="0" w:color="000000"/>
              <w:bottom w:val="single" w:sz="6" w:space="0" w:color="000000"/>
              <w:right w:val="single" w:sz="6" w:space="0" w:color="000000"/>
            </w:tcBorders>
          </w:tcPr>
          <w:p w14:paraId="5A992113" w14:textId="77777777"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227</w:t>
            </w:r>
          </w:p>
          <w:p w14:paraId="40D52165" w14:textId="04F8E56F" w:rsidR="00865E82" w:rsidRPr="00D51778" w:rsidRDefault="00865E82" w:rsidP="000A2B2C">
            <w:pPr>
              <w:spacing w:after="0"/>
              <w:jc w:val="right"/>
              <w:rPr>
                <w:b/>
                <w:sz w:val="22"/>
                <w:szCs w:val="22"/>
              </w:rPr>
            </w:pPr>
          </w:p>
        </w:tc>
        <w:tc>
          <w:tcPr>
            <w:tcW w:w="1701" w:type="dxa"/>
            <w:tcBorders>
              <w:top w:val="single" w:sz="6" w:space="0" w:color="000000"/>
              <w:left w:val="single" w:sz="6" w:space="0" w:color="000000"/>
              <w:bottom w:val="single" w:sz="6" w:space="0" w:color="000000"/>
              <w:right w:val="single" w:sz="12" w:space="0" w:color="000000"/>
            </w:tcBorders>
          </w:tcPr>
          <w:p w14:paraId="4B6EE5C0" w14:textId="64F5F785" w:rsidR="00865E82" w:rsidRPr="00D51778" w:rsidRDefault="00723C4D" w:rsidP="000A2B2C">
            <w:pPr>
              <w:spacing w:after="0"/>
              <w:jc w:val="right"/>
              <w:rPr>
                <w:b/>
                <w:sz w:val="22"/>
                <w:szCs w:val="22"/>
              </w:rPr>
            </w:pPr>
            <w:r w:rsidRPr="00D51778">
              <w:rPr>
                <w:b/>
                <w:bCs/>
                <w:sz w:val="22"/>
                <w:szCs w:val="22"/>
                <w:lang w:val="ga"/>
              </w:rPr>
              <w:t>6.3%</w:t>
            </w:r>
          </w:p>
        </w:tc>
      </w:tr>
    </w:tbl>
    <w:p w14:paraId="72BBB24B" w14:textId="3A14A238" w:rsidR="009D42EA" w:rsidRPr="00D51778" w:rsidRDefault="009D42EA" w:rsidP="00D556A0">
      <w:pPr>
        <w:rPr>
          <w:rFonts w:cs="Arial"/>
          <w:b/>
        </w:rPr>
      </w:pPr>
    </w:p>
    <w:p w14:paraId="44A012A3" w14:textId="3480C881" w:rsidR="009D42EA" w:rsidRPr="00D51778" w:rsidRDefault="009D42EA">
      <w:pPr>
        <w:spacing w:after="0"/>
        <w:rPr>
          <w:rFonts w:cs="Arial"/>
          <w:b/>
        </w:rPr>
      </w:pPr>
    </w:p>
    <w:p w14:paraId="6A401D2A" w14:textId="77777777" w:rsidR="00A33D13" w:rsidRDefault="00A33D13" w:rsidP="001624B2">
      <w:pPr>
        <w:pStyle w:val="Heading2"/>
        <w:jc w:val="center"/>
        <w:rPr>
          <w:bCs/>
          <w:color w:val="000000" w:themeColor="text1"/>
          <w:lang w:val="ga"/>
        </w:rPr>
      </w:pPr>
    </w:p>
    <w:p w14:paraId="47A1CF10" w14:textId="77777777" w:rsidR="00A33D13" w:rsidRDefault="00A33D13" w:rsidP="001624B2">
      <w:pPr>
        <w:pStyle w:val="Heading2"/>
        <w:jc w:val="center"/>
        <w:rPr>
          <w:bCs/>
          <w:color w:val="000000" w:themeColor="text1"/>
          <w:lang w:val="ga"/>
        </w:rPr>
      </w:pPr>
    </w:p>
    <w:p w14:paraId="374714C3" w14:textId="6342E2EE" w:rsidR="00087AF1" w:rsidRDefault="00087AF1">
      <w:pPr>
        <w:spacing w:after="0"/>
        <w:rPr>
          <w:rFonts w:ascii="Rockwell" w:hAnsi="Rockwell"/>
          <w:b/>
          <w:bCs/>
          <w:color w:val="000000" w:themeColor="text1"/>
          <w:sz w:val="32"/>
          <w:szCs w:val="32"/>
          <w:lang w:val="ga"/>
        </w:rPr>
      </w:pPr>
      <w:r>
        <w:rPr>
          <w:bCs/>
          <w:color w:val="000000" w:themeColor="text1"/>
          <w:lang w:val="ga"/>
        </w:rPr>
        <w:br w:type="page"/>
      </w:r>
    </w:p>
    <w:p w14:paraId="6501D03E" w14:textId="324F7673" w:rsidR="00D556A0" w:rsidRPr="00D51778" w:rsidRDefault="00D556A0" w:rsidP="001624B2">
      <w:pPr>
        <w:pStyle w:val="Heading2"/>
        <w:jc w:val="center"/>
        <w:rPr>
          <w:color w:val="000000" w:themeColor="text1"/>
        </w:rPr>
      </w:pPr>
      <w:bookmarkStart w:id="82" w:name="_Toc124367430"/>
      <w:r w:rsidRPr="00D51778">
        <w:rPr>
          <w:bCs/>
          <w:color w:val="000000" w:themeColor="text1"/>
          <w:lang w:val="ga"/>
        </w:rPr>
        <w:lastRenderedPageBreak/>
        <w:t>An Roinn Iompair</w:t>
      </w:r>
      <w:bookmarkEnd w:id="82"/>
    </w:p>
    <w:p w14:paraId="2AF451CA" w14:textId="77777777" w:rsidR="001D6F34" w:rsidRPr="00D51778" w:rsidRDefault="001D6F34" w:rsidP="001D6F34">
      <w:pPr>
        <w:rPr>
          <w:sz w:val="6"/>
          <w:szCs w:val="6"/>
        </w:rPr>
      </w:pPr>
    </w:p>
    <w:tbl>
      <w:tblPr>
        <w:tblW w:w="1143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98"/>
        <w:gridCol w:w="1462"/>
        <w:gridCol w:w="1418"/>
        <w:gridCol w:w="1984"/>
        <w:gridCol w:w="1560"/>
        <w:gridCol w:w="1417"/>
        <w:gridCol w:w="1798"/>
      </w:tblGrid>
      <w:tr w:rsidR="00C77EBD" w:rsidRPr="00D51778" w14:paraId="4F00C04D" w14:textId="77777777" w:rsidTr="00C6651E">
        <w:trPr>
          <w:tblHeader/>
          <w:jc w:val="center"/>
        </w:trPr>
        <w:tc>
          <w:tcPr>
            <w:tcW w:w="1798" w:type="dxa"/>
          </w:tcPr>
          <w:p w14:paraId="54AC79F8" w14:textId="77777777" w:rsidR="00C77EBD" w:rsidRPr="00087AF1" w:rsidRDefault="00C77EBD" w:rsidP="00F11BF2">
            <w:pPr>
              <w:rPr>
                <w:b/>
                <w:sz w:val="22"/>
                <w:szCs w:val="22"/>
              </w:rPr>
            </w:pPr>
            <w:r w:rsidRPr="00087AF1">
              <w:rPr>
                <w:b/>
                <w:bCs/>
                <w:sz w:val="22"/>
                <w:szCs w:val="22"/>
                <w:lang w:val="ga"/>
              </w:rPr>
              <w:t>Comhlacht Poiblí</w:t>
            </w:r>
          </w:p>
        </w:tc>
        <w:tc>
          <w:tcPr>
            <w:tcW w:w="1462" w:type="dxa"/>
          </w:tcPr>
          <w:p w14:paraId="48C833A7" w14:textId="77777777" w:rsidR="00F50F03" w:rsidRPr="00087AF1" w:rsidRDefault="00844749" w:rsidP="00404431">
            <w:pPr>
              <w:spacing w:after="0"/>
              <w:rPr>
                <w:b/>
                <w:bCs/>
                <w:sz w:val="22"/>
                <w:szCs w:val="22"/>
                <w:lang w:val="ga"/>
              </w:rPr>
            </w:pPr>
            <w:r w:rsidRPr="00087AF1">
              <w:rPr>
                <w:b/>
                <w:bCs/>
                <w:sz w:val="22"/>
                <w:szCs w:val="22"/>
                <w:lang w:val="ga"/>
              </w:rPr>
              <w:t xml:space="preserve">An líon iomlán fostaithe </w:t>
            </w:r>
          </w:p>
          <w:p w14:paraId="77D00AD6" w14:textId="18DF478A" w:rsidR="00C77EBD" w:rsidRPr="00087AF1" w:rsidRDefault="00844749" w:rsidP="00F11BF2">
            <w:pPr>
              <w:rPr>
                <w:b/>
                <w:sz w:val="22"/>
                <w:szCs w:val="22"/>
              </w:rPr>
            </w:pPr>
            <w:r w:rsidRPr="00087AF1">
              <w:rPr>
                <w:b/>
                <w:bCs/>
                <w:sz w:val="22"/>
                <w:szCs w:val="22"/>
                <w:lang w:val="ga"/>
              </w:rPr>
              <w:t>2020</w:t>
            </w:r>
          </w:p>
        </w:tc>
        <w:tc>
          <w:tcPr>
            <w:tcW w:w="1418" w:type="dxa"/>
          </w:tcPr>
          <w:p w14:paraId="4A3B0909" w14:textId="77777777" w:rsidR="00F50F03" w:rsidRPr="00087AF1" w:rsidRDefault="00C77EBD" w:rsidP="00404431">
            <w:pPr>
              <w:spacing w:after="0"/>
              <w:rPr>
                <w:b/>
                <w:bCs/>
                <w:sz w:val="22"/>
                <w:szCs w:val="22"/>
                <w:lang w:val="ga"/>
              </w:rPr>
            </w:pPr>
            <w:r w:rsidRPr="00087AF1">
              <w:rPr>
                <w:b/>
                <w:bCs/>
                <w:sz w:val="22"/>
                <w:szCs w:val="22"/>
                <w:lang w:val="ga"/>
              </w:rPr>
              <w:t xml:space="preserve">An líon fostaithe a thuairiscigh míchumas </w:t>
            </w:r>
          </w:p>
          <w:p w14:paraId="033CBB97" w14:textId="3D92F7D9" w:rsidR="00C77EBD" w:rsidRPr="00087AF1" w:rsidRDefault="00C77EBD" w:rsidP="00F11BF2">
            <w:pPr>
              <w:rPr>
                <w:b/>
                <w:sz w:val="22"/>
                <w:szCs w:val="22"/>
              </w:rPr>
            </w:pPr>
            <w:r w:rsidRPr="00087AF1">
              <w:rPr>
                <w:b/>
                <w:bCs/>
                <w:sz w:val="22"/>
                <w:szCs w:val="22"/>
                <w:lang w:val="ga"/>
              </w:rPr>
              <w:t>2020</w:t>
            </w:r>
          </w:p>
        </w:tc>
        <w:tc>
          <w:tcPr>
            <w:tcW w:w="1984" w:type="dxa"/>
          </w:tcPr>
          <w:p w14:paraId="15935AC2" w14:textId="77777777" w:rsidR="00404431" w:rsidRDefault="00C77EBD" w:rsidP="00404431">
            <w:pPr>
              <w:spacing w:after="0"/>
              <w:rPr>
                <w:b/>
                <w:bCs/>
                <w:sz w:val="22"/>
                <w:szCs w:val="22"/>
                <w:lang w:val="ga"/>
              </w:rPr>
            </w:pPr>
            <w:r w:rsidRPr="00087AF1">
              <w:rPr>
                <w:b/>
                <w:bCs/>
                <w:sz w:val="22"/>
                <w:szCs w:val="22"/>
                <w:lang w:val="ga"/>
              </w:rPr>
              <w:t xml:space="preserve">An % d’fhostaithe a thuairiscigh míchumas </w:t>
            </w:r>
          </w:p>
          <w:p w14:paraId="4BF54F78" w14:textId="11196062" w:rsidR="00C77EBD" w:rsidRPr="00087AF1" w:rsidRDefault="00C77EBD" w:rsidP="00F11BF2">
            <w:pPr>
              <w:rPr>
                <w:b/>
                <w:sz w:val="22"/>
                <w:szCs w:val="22"/>
              </w:rPr>
            </w:pPr>
            <w:r w:rsidRPr="00087AF1">
              <w:rPr>
                <w:b/>
                <w:bCs/>
                <w:sz w:val="22"/>
                <w:szCs w:val="22"/>
                <w:lang w:val="ga"/>
              </w:rPr>
              <w:t>2020</w:t>
            </w:r>
          </w:p>
        </w:tc>
        <w:tc>
          <w:tcPr>
            <w:tcW w:w="1560" w:type="dxa"/>
          </w:tcPr>
          <w:p w14:paraId="1CF6909B" w14:textId="28F162A9" w:rsidR="00C77EBD" w:rsidRPr="00087AF1" w:rsidRDefault="00C77EBD" w:rsidP="00F11BF2">
            <w:pPr>
              <w:rPr>
                <w:b/>
                <w:sz w:val="22"/>
                <w:szCs w:val="22"/>
              </w:rPr>
            </w:pPr>
            <w:r w:rsidRPr="00087AF1">
              <w:rPr>
                <w:b/>
                <w:bCs/>
                <w:sz w:val="22"/>
                <w:szCs w:val="22"/>
                <w:lang w:val="ga"/>
              </w:rPr>
              <w:t>An líon iomlán fostaithe 2021</w:t>
            </w:r>
          </w:p>
        </w:tc>
        <w:tc>
          <w:tcPr>
            <w:tcW w:w="1417" w:type="dxa"/>
          </w:tcPr>
          <w:p w14:paraId="3A1644E7" w14:textId="71D02582" w:rsidR="00C77EBD" w:rsidRPr="00087AF1" w:rsidRDefault="00C77EBD" w:rsidP="00F11BF2">
            <w:pPr>
              <w:rPr>
                <w:b/>
                <w:sz w:val="22"/>
                <w:szCs w:val="22"/>
              </w:rPr>
            </w:pPr>
            <w:r w:rsidRPr="00087AF1">
              <w:rPr>
                <w:b/>
                <w:bCs/>
                <w:sz w:val="22"/>
                <w:szCs w:val="22"/>
                <w:lang w:val="ga"/>
              </w:rPr>
              <w:t>An líon fostaithe a thuairiscigh míchumas 2021</w:t>
            </w:r>
          </w:p>
        </w:tc>
        <w:tc>
          <w:tcPr>
            <w:tcW w:w="1798" w:type="dxa"/>
          </w:tcPr>
          <w:p w14:paraId="035E2D69" w14:textId="293AC399" w:rsidR="00C77EBD" w:rsidRPr="00087AF1" w:rsidRDefault="00C77EBD" w:rsidP="00F11BF2">
            <w:pPr>
              <w:rPr>
                <w:b/>
                <w:sz w:val="22"/>
                <w:szCs w:val="22"/>
              </w:rPr>
            </w:pPr>
            <w:r w:rsidRPr="00087AF1">
              <w:rPr>
                <w:b/>
                <w:bCs/>
                <w:sz w:val="22"/>
                <w:szCs w:val="22"/>
                <w:lang w:val="ga"/>
              </w:rPr>
              <w:t>An % d’fhostaithe a thuairiscigh míchumas 2021</w:t>
            </w:r>
          </w:p>
        </w:tc>
      </w:tr>
      <w:tr w:rsidR="00BB7838" w:rsidRPr="00D51778" w14:paraId="479AFAAD" w14:textId="77777777" w:rsidTr="00C6651E">
        <w:trPr>
          <w:jc w:val="center"/>
        </w:trPr>
        <w:tc>
          <w:tcPr>
            <w:tcW w:w="1798" w:type="dxa"/>
            <w:vAlign w:val="bottom"/>
          </w:tcPr>
          <w:p w14:paraId="6ADE3BC9" w14:textId="4E70D775" w:rsidR="00BB7838" w:rsidRPr="00D51778" w:rsidRDefault="00BB7838" w:rsidP="00BB7838">
            <w:pPr>
              <w:rPr>
                <w:sz w:val="22"/>
                <w:szCs w:val="22"/>
              </w:rPr>
            </w:pPr>
            <w:r w:rsidRPr="00D51778">
              <w:rPr>
                <w:rFonts w:cs="Calibri"/>
                <w:color w:val="000000"/>
                <w:sz w:val="22"/>
                <w:szCs w:val="22"/>
                <w:lang w:val="ga"/>
              </w:rPr>
              <w:t>Bus Éireann</w:t>
            </w:r>
          </w:p>
        </w:tc>
        <w:tc>
          <w:tcPr>
            <w:tcW w:w="1462" w:type="dxa"/>
          </w:tcPr>
          <w:p w14:paraId="6AA88AD9" w14:textId="313078DB" w:rsidR="00BB7838" w:rsidRPr="00D51778" w:rsidRDefault="00BB7838" w:rsidP="000539E7">
            <w:pPr>
              <w:jc w:val="right"/>
              <w:rPr>
                <w:sz w:val="22"/>
                <w:szCs w:val="22"/>
              </w:rPr>
            </w:pPr>
            <w:r w:rsidRPr="00D51778">
              <w:rPr>
                <w:rFonts w:cs="Calibri"/>
                <w:color w:val="000000"/>
                <w:sz w:val="22"/>
                <w:szCs w:val="22"/>
                <w:lang w:val="ga"/>
              </w:rPr>
              <w:t>2,711</w:t>
            </w:r>
          </w:p>
        </w:tc>
        <w:tc>
          <w:tcPr>
            <w:tcW w:w="1418" w:type="dxa"/>
          </w:tcPr>
          <w:p w14:paraId="5EE39859" w14:textId="5DD545C9" w:rsidR="00BB7838" w:rsidRPr="00D51778" w:rsidRDefault="00BB7838" w:rsidP="000539E7">
            <w:pPr>
              <w:jc w:val="right"/>
              <w:rPr>
                <w:sz w:val="22"/>
                <w:szCs w:val="22"/>
              </w:rPr>
            </w:pPr>
            <w:r w:rsidRPr="00D51778">
              <w:rPr>
                <w:rFonts w:cs="Calibri"/>
                <w:color w:val="000000"/>
                <w:sz w:val="22"/>
                <w:szCs w:val="22"/>
                <w:lang w:val="ga"/>
              </w:rPr>
              <w:t>83</w:t>
            </w:r>
          </w:p>
        </w:tc>
        <w:tc>
          <w:tcPr>
            <w:tcW w:w="1984" w:type="dxa"/>
          </w:tcPr>
          <w:p w14:paraId="5C586F4A" w14:textId="29EB1996" w:rsidR="00BB7838" w:rsidRPr="00D51778" w:rsidRDefault="00BB7838" w:rsidP="000539E7">
            <w:pPr>
              <w:jc w:val="right"/>
              <w:rPr>
                <w:sz w:val="22"/>
                <w:szCs w:val="22"/>
              </w:rPr>
            </w:pPr>
            <w:r w:rsidRPr="00D51778">
              <w:rPr>
                <w:rFonts w:cs="Calibri"/>
                <w:color w:val="000000"/>
                <w:sz w:val="22"/>
                <w:szCs w:val="22"/>
                <w:lang w:val="ga"/>
              </w:rPr>
              <w:t>3.1%</w:t>
            </w:r>
          </w:p>
        </w:tc>
        <w:tc>
          <w:tcPr>
            <w:tcW w:w="1560" w:type="dxa"/>
          </w:tcPr>
          <w:p w14:paraId="47B2455F" w14:textId="3C3115E9" w:rsidR="00BB7838" w:rsidRPr="00D51778" w:rsidRDefault="00BB7838" w:rsidP="000539E7">
            <w:pPr>
              <w:spacing w:after="0"/>
              <w:jc w:val="right"/>
              <w:rPr>
                <w:rFonts w:cs="Calibri"/>
                <w:color w:val="000000"/>
                <w:sz w:val="22"/>
                <w:szCs w:val="22"/>
              </w:rPr>
            </w:pPr>
            <w:r w:rsidRPr="00D51778">
              <w:rPr>
                <w:rFonts w:cs="Calibri"/>
                <w:color w:val="000000"/>
                <w:sz w:val="22"/>
                <w:szCs w:val="22"/>
                <w:lang w:val="ga"/>
              </w:rPr>
              <w:t>2,784</w:t>
            </w:r>
          </w:p>
        </w:tc>
        <w:tc>
          <w:tcPr>
            <w:tcW w:w="1417" w:type="dxa"/>
          </w:tcPr>
          <w:p w14:paraId="1D1C1F09" w14:textId="29B61EF5" w:rsidR="00BB7838" w:rsidRPr="00D51778" w:rsidRDefault="00BB7838" w:rsidP="000539E7">
            <w:pPr>
              <w:jc w:val="right"/>
              <w:rPr>
                <w:sz w:val="22"/>
                <w:szCs w:val="22"/>
              </w:rPr>
            </w:pPr>
            <w:r w:rsidRPr="00D51778">
              <w:rPr>
                <w:rFonts w:cs="Calibri"/>
                <w:color w:val="000000"/>
                <w:sz w:val="22"/>
                <w:szCs w:val="22"/>
                <w:lang w:val="ga"/>
              </w:rPr>
              <w:t>122</w:t>
            </w:r>
          </w:p>
        </w:tc>
        <w:tc>
          <w:tcPr>
            <w:tcW w:w="1798" w:type="dxa"/>
          </w:tcPr>
          <w:p w14:paraId="5ADF67B9" w14:textId="672E9B0D" w:rsidR="00BB7838" w:rsidRPr="00D51778" w:rsidRDefault="00BB7838" w:rsidP="000539E7">
            <w:pPr>
              <w:jc w:val="right"/>
              <w:rPr>
                <w:sz w:val="22"/>
                <w:szCs w:val="22"/>
              </w:rPr>
            </w:pPr>
            <w:r w:rsidRPr="00D51778">
              <w:rPr>
                <w:rFonts w:cs="Calibri"/>
                <w:color w:val="000000"/>
                <w:sz w:val="22"/>
                <w:szCs w:val="22"/>
                <w:lang w:val="ga"/>
              </w:rPr>
              <w:t>4.4%</w:t>
            </w:r>
          </w:p>
        </w:tc>
      </w:tr>
      <w:tr w:rsidR="00BB7838" w:rsidRPr="00D51778" w14:paraId="3AB64512" w14:textId="77777777" w:rsidTr="00C6651E">
        <w:trPr>
          <w:jc w:val="center"/>
        </w:trPr>
        <w:tc>
          <w:tcPr>
            <w:tcW w:w="1798" w:type="dxa"/>
            <w:vAlign w:val="bottom"/>
          </w:tcPr>
          <w:p w14:paraId="1F8F89DA" w14:textId="5A06794C" w:rsidR="00BB7838" w:rsidRPr="00D51778" w:rsidRDefault="00BB7838" w:rsidP="00BB7838">
            <w:pPr>
              <w:rPr>
                <w:sz w:val="22"/>
                <w:szCs w:val="22"/>
              </w:rPr>
            </w:pPr>
            <w:r w:rsidRPr="00D51778">
              <w:rPr>
                <w:rFonts w:cs="Calibri"/>
                <w:color w:val="000000"/>
                <w:sz w:val="22"/>
                <w:szCs w:val="22"/>
                <w:lang w:val="ga"/>
              </w:rPr>
              <w:t>An Coimisiún um Rialáil Eitlíochta</w:t>
            </w:r>
          </w:p>
        </w:tc>
        <w:tc>
          <w:tcPr>
            <w:tcW w:w="1462" w:type="dxa"/>
          </w:tcPr>
          <w:p w14:paraId="60A84337" w14:textId="0862F99D" w:rsidR="00BB7838" w:rsidRPr="00D51778" w:rsidRDefault="00BB7838" w:rsidP="000539E7">
            <w:pPr>
              <w:jc w:val="right"/>
              <w:rPr>
                <w:sz w:val="22"/>
                <w:szCs w:val="22"/>
              </w:rPr>
            </w:pPr>
            <w:r w:rsidRPr="00D51778">
              <w:rPr>
                <w:rFonts w:cs="Calibri"/>
                <w:color w:val="000000"/>
                <w:sz w:val="22"/>
                <w:szCs w:val="22"/>
                <w:lang w:val="ga"/>
              </w:rPr>
              <w:t>22</w:t>
            </w:r>
          </w:p>
        </w:tc>
        <w:tc>
          <w:tcPr>
            <w:tcW w:w="1418" w:type="dxa"/>
          </w:tcPr>
          <w:p w14:paraId="322778B6" w14:textId="59E30A02" w:rsidR="00BB7838" w:rsidRPr="00D51778" w:rsidRDefault="00BB7838" w:rsidP="000539E7">
            <w:pPr>
              <w:jc w:val="right"/>
              <w:rPr>
                <w:sz w:val="22"/>
                <w:szCs w:val="22"/>
              </w:rPr>
            </w:pPr>
            <w:r w:rsidRPr="00D51778">
              <w:rPr>
                <w:rFonts w:cs="Calibri"/>
                <w:color w:val="000000"/>
                <w:sz w:val="22"/>
                <w:szCs w:val="22"/>
                <w:lang w:val="ga"/>
              </w:rPr>
              <w:t>0</w:t>
            </w:r>
          </w:p>
        </w:tc>
        <w:tc>
          <w:tcPr>
            <w:tcW w:w="1984" w:type="dxa"/>
          </w:tcPr>
          <w:p w14:paraId="2F4EAEE4" w14:textId="3B4161FD" w:rsidR="00BB7838" w:rsidRPr="00D51778" w:rsidRDefault="00BB7838" w:rsidP="000539E7">
            <w:pPr>
              <w:jc w:val="right"/>
              <w:rPr>
                <w:sz w:val="22"/>
                <w:szCs w:val="22"/>
              </w:rPr>
            </w:pPr>
            <w:r w:rsidRPr="00D51778">
              <w:rPr>
                <w:rFonts w:cs="Calibri"/>
                <w:color w:val="000000"/>
                <w:sz w:val="22"/>
                <w:szCs w:val="22"/>
                <w:lang w:val="ga"/>
              </w:rPr>
              <w:t>0.0%</w:t>
            </w:r>
          </w:p>
        </w:tc>
        <w:tc>
          <w:tcPr>
            <w:tcW w:w="1560" w:type="dxa"/>
          </w:tcPr>
          <w:p w14:paraId="78983352" w14:textId="2953BA08" w:rsidR="00BB7838" w:rsidRPr="00D51778" w:rsidRDefault="00BB7838" w:rsidP="000539E7">
            <w:pPr>
              <w:jc w:val="right"/>
              <w:rPr>
                <w:rFonts w:cs="Calibri"/>
                <w:color w:val="000000"/>
                <w:sz w:val="22"/>
                <w:szCs w:val="22"/>
              </w:rPr>
            </w:pPr>
            <w:r w:rsidRPr="00D51778">
              <w:rPr>
                <w:rFonts w:cs="Calibri"/>
                <w:color w:val="000000"/>
                <w:sz w:val="22"/>
                <w:szCs w:val="22"/>
                <w:lang w:val="ga"/>
              </w:rPr>
              <w:t>25</w:t>
            </w:r>
          </w:p>
        </w:tc>
        <w:tc>
          <w:tcPr>
            <w:tcW w:w="1417" w:type="dxa"/>
          </w:tcPr>
          <w:p w14:paraId="01F5D079" w14:textId="4ACE6649" w:rsidR="00BB7838" w:rsidRPr="00D51778" w:rsidRDefault="00BB7838" w:rsidP="000539E7">
            <w:pPr>
              <w:jc w:val="right"/>
              <w:rPr>
                <w:sz w:val="22"/>
                <w:szCs w:val="22"/>
              </w:rPr>
            </w:pPr>
            <w:r w:rsidRPr="00D51778">
              <w:rPr>
                <w:rFonts w:cs="Calibri"/>
                <w:color w:val="000000"/>
                <w:sz w:val="22"/>
                <w:szCs w:val="22"/>
                <w:lang w:val="ga"/>
              </w:rPr>
              <w:t>0</w:t>
            </w:r>
          </w:p>
        </w:tc>
        <w:tc>
          <w:tcPr>
            <w:tcW w:w="1798" w:type="dxa"/>
          </w:tcPr>
          <w:p w14:paraId="4E4B52DA" w14:textId="01FF30B2" w:rsidR="00BB7838" w:rsidRPr="00D51778" w:rsidRDefault="00BB7838" w:rsidP="000539E7">
            <w:pPr>
              <w:jc w:val="right"/>
              <w:rPr>
                <w:sz w:val="22"/>
                <w:szCs w:val="22"/>
              </w:rPr>
            </w:pPr>
            <w:r w:rsidRPr="00D51778">
              <w:rPr>
                <w:rFonts w:cs="Calibri"/>
                <w:color w:val="000000"/>
                <w:sz w:val="22"/>
                <w:szCs w:val="22"/>
                <w:lang w:val="ga"/>
              </w:rPr>
              <w:t>0.0%</w:t>
            </w:r>
          </w:p>
        </w:tc>
      </w:tr>
      <w:tr w:rsidR="00BB7838" w:rsidRPr="00D51778" w14:paraId="20E34CB5" w14:textId="77777777" w:rsidTr="00C6651E">
        <w:trPr>
          <w:jc w:val="center"/>
        </w:trPr>
        <w:tc>
          <w:tcPr>
            <w:tcW w:w="1798" w:type="dxa"/>
            <w:vAlign w:val="bottom"/>
          </w:tcPr>
          <w:p w14:paraId="7D84A624" w14:textId="456831A0" w:rsidR="00BB7838" w:rsidRPr="00D51778" w:rsidRDefault="00BB7838" w:rsidP="00BB7838">
            <w:pPr>
              <w:rPr>
                <w:sz w:val="22"/>
                <w:szCs w:val="22"/>
              </w:rPr>
            </w:pPr>
            <w:r w:rsidRPr="00D51778">
              <w:rPr>
                <w:rFonts w:cs="Calibri"/>
                <w:color w:val="000000"/>
                <w:sz w:val="22"/>
                <w:szCs w:val="22"/>
                <w:lang w:val="ga"/>
              </w:rPr>
              <w:t>An Coimisiún um Rialáil Iarnróid</w:t>
            </w:r>
          </w:p>
        </w:tc>
        <w:tc>
          <w:tcPr>
            <w:tcW w:w="1462" w:type="dxa"/>
          </w:tcPr>
          <w:p w14:paraId="64E6B4C7" w14:textId="580EB907" w:rsidR="00BB7838" w:rsidRPr="00D51778" w:rsidRDefault="00BB7838" w:rsidP="000539E7">
            <w:pPr>
              <w:jc w:val="right"/>
              <w:rPr>
                <w:sz w:val="22"/>
                <w:szCs w:val="22"/>
              </w:rPr>
            </w:pPr>
            <w:r w:rsidRPr="00D51778">
              <w:rPr>
                <w:rFonts w:cs="Calibri"/>
                <w:color w:val="000000"/>
                <w:sz w:val="22"/>
                <w:szCs w:val="22"/>
                <w:lang w:val="ga"/>
              </w:rPr>
              <w:t>15</w:t>
            </w:r>
          </w:p>
        </w:tc>
        <w:tc>
          <w:tcPr>
            <w:tcW w:w="1418" w:type="dxa"/>
          </w:tcPr>
          <w:p w14:paraId="01B22052" w14:textId="7603CE55" w:rsidR="00BB7838" w:rsidRPr="00D51778" w:rsidRDefault="00BB7838" w:rsidP="000539E7">
            <w:pPr>
              <w:jc w:val="right"/>
              <w:rPr>
                <w:sz w:val="22"/>
                <w:szCs w:val="22"/>
              </w:rPr>
            </w:pPr>
            <w:r w:rsidRPr="00D51778">
              <w:rPr>
                <w:rFonts w:cs="Calibri"/>
                <w:color w:val="000000"/>
                <w:sz w:val="22"/>
                <w:szCs w:val="22"/>
                <w:lang w:val="ga"/>
              </w:rPr>
              <w:t>0</w:t>
            </w:r>
          </w:p>
        </w:tc>
        <w:tc>
          <w:tcPr>
            <w:tcW w:w="1984" w:type="dxa"/>
          </w:tcPr>
          <w:p w14:paraId="298E9E17" w14:textId="56590039" w:rsidR="00BB7838" w:rsidRPr="00D51778" w:rsidRDefault="00BB7838" w:rsidP="000539E7">
            <w:pPr>
              <w:jc w:val="right"/>
              <w:rPr>
                <w:sz w:val="22"/>
                <w:szCs w:val="22"/>
              </w:rPr>
            </w:pPr>
            <w:r w:rsidRPr="00D51778">
              <w:rPr>
                <w:rFonts w:cs="Calibri"/>
                <w:color w:val="000000"/>
                <w:sz w:val="22"/>
                <w:szCs w:val="22"/>
                <w:lang w:val="ga"/>
              </w:rPr>
              <w:t>0.0%</w:t>
            </w:r>
          </w:p>
        </w:tc>
        <w:tc>
          <w:tcPr>
            <w:tcW w:w="1560" w:type="dxa"/>
          </w:tcPr>
          <w:p w14:paraId="5F53A9F4" w14:textId="0C149C34" w:rsidR="00BB7838" w:rsidRPr="00D51778" w:rsidRDefault="00BB7838" w:rsidP="000539E7">
            <w:pPr>
              <w:jc w:val="right"/>
              <w:rPr>
                <w:rFonts w:cs="Calibri"/>
                <w:color w:val="000000"/>
                <w:sz w:val="22"/>
                <w:szCs w:val="22"/>
              </w:rPr>
            </w:pPr>
            <w:r w:rsidRPr="00D51778">
              <w:rPr>
                <w:rFonts w:cs="Calibri"/>
                <w:color w:val="000000"/>
                <w:sz w:val="22"/>
                <w:szCs w:val="22"/>
                <w:lang w:val="ga"/>
              </w:rPr>
              <w:t>16</w:t>
            </w:r>
          </w:p>
        </w:tc>
        <w:tc>
          <w:tcPr>
            <w:tcW w:w="1417" w:type="dxa"/>
          </w:tcPr>
          <w:p w14:paraId="27ABDF11" w14:textId="6B36CAB8" w:rsidR="00BB7838" w:rsidRPr="00D51778" w:rsidRDefault="00BB7838" w:rsidP="000539E7">
            <w:pPr>
              <w:jc w:val="right"/>
              <w:rPr>
                <w:sz w:val="22"/>
                <w:szCs w:val="22"/>
              </w:rPr>
            </w:pPr>
            <w:r w:rsidRPr="00D51778">
              <w:rPr>
                <w:rFonts w:cs="Calibri"/>
                <w:color w:val="000000"/>
                <w:sz w:val="22"/>
                <w:szCs w:val="22"/>
                <w:lang w:val="ga"/>
              </w:rPr>
              <w:t>0</w:t>
            </w:r>
          </w:p>
        </w:tc>
        <w:tc>
          <w:tcPr>
            <w:tcW w:w="1798" w:type="dxa"/>
          </w:tcPr>
          <w:p w14:paraId="07995876" w14:textId="35FBD084" w:rsidR="00BB7838" w:rsidRPr="00D51778" w:rsidRDefault="00BB7838" w:rsidP="000539E7">
            <w:pPr>
              <w:jc w:val="right"/>
              <w:rPr>
                <w:sz w:val="22"/>
                <w:szCs w:val="22"/>
              </w:rPr>
            </w:pPr>
            <w:r w:rsidRPr="00D51778">
              <w:rPr>
                <w:rFonts w:cs="Calibri"/>
                <w:color w:val="000000"/>
                <w:sz w:val="22"/>
                <w:szCs w:val="22"/>
                <w:lang w:val="ga"/>
              </w:rPr>
              <w:t>0.0%</w:t>
            </w:r>
          </w:p>
        </w:tc>
      </w:tr>
      <w:tr w:rsidR="00BB7838" w:rsidRPr="00D51778" w14:paraId="2FCD7691" w14:textId="77777777" w:rsidTr="00C6651E">
        <w:trPr>
          <w:jc w:val="center"/>
        </w:trPr>
        <w:tc>
          <w:tcPr>
            <w:tcW w:w="1798" w:type="dxa"/>
            <w:vAlign w:val="bottom"/>
          </w:tcPr>
          <w:p w14:paraId="4B028B2D" w14:textId="494498DF" w:rsidR="00BB7838" w:rsidRPr="00D51778" w:rsidRDefault="00BB7838" w:rsidP="00BB7838">
            <w:pPr>
              <w:rPr>
                <w:sz w:val="22"/>
                <w:szCs w:val="22"/>
              </w:rPr>
            </w:pPr>
            <w:r w:rsidRPr="00D51778">
              <w:rPr>
                <w:rFonts w:cs="Calibri"/>
                <w:color w:val="000000"/>
                <w:sz w:val="22"/>
                <w:szCs w:val="22"/>
                <w:lang w:val="ga"/>
              </w:rPr>
              <w:t>Córas Iompair Éireann</w:t>
            </w:r>
          </w:p>
        </w:tc>
        <w:tc>
          <w:tcPr>
            <w:tcW w:w="1462" w:type="dxa"/>
          </w:tcPr>
          <w:p w14:paraId="3BA22BDE" w14:textId="47DD15D6" w:rsidR="00BB7838" w:rsidRPr="00D51778" w:rsidRDefault="00BB7838" w:rsidP="000539E7">
            <w:pPr>
              <w:jc w:val="right"/>
              <w:rPr>
                <w:sz w:val="22"/>
                <w:szCs w:val="22"/>
              </w:rPr>
            </w:pPr>
            <w:r w:rsidRPr="00D51778">
              <w:rPr>
                <w:rFonts w:cs="Calibri"/>
                <w:color w:val="000000"/>
                <w:sz w:val="22"/>
                <w:szCs w:val="22"/>
                <w:lang w:val="ga"/>
              </w:rPr>
              <w:t>200</w:t>
            </w:r>
          </w:p>
        </w:tc>
        <w:tc>
          <w:tcPr>
            <w:tcW w:w="1418" w:type="dxa"/>
          </w:tcPr>
          <w:p w14:paraId="5779BA6A" w14:textId="0B0F8A65" w:rsidR="00BB7838" w:rsidRPr="00D51778" w:rsidRDefault="00BB7838" w:rsidP="000539E7">
            <w:pPr>
              <w:jc w:val="right"/>
              <w:rPr>
                <w:sz w:val="22"/>
                <w:szCs w:val="22"/>
              </w:rPr>
            </w:pPr>
            <w:r w:rsidRPr="00D51778">
              <w:rPr>
                <w:rFonts w:cs="Calibri"/>
                <w:color w:val="000000"/>
                <w:sz w:val="22"/>
                <w:szCs w:val="22"/>
                <w:lang w:val="ga"/>
              </w:rPr>
              <w:t>7</w:t>
            </w:r>
          </w:p>
        </w:tc>
        <w:tc>
          <w:tcPr>
            <w:tcW w:w="1984" w:type="dxa"/>
          </w:tcPr>
          <w:p w14:paraId="73F15B62" w14:textId="2F6A7854" w:rsidR="00BB7838" w:rsidRPr="00D51778" w:rsidRDefault="00BB7838" w:rsidP="000539E7">
            <w:pPr>
              <w:jc w:val="right"/>
              <w:rPr>
                <w:sz w:val="22"/>
                <w:szCs w:val="22"/>
              </w:rPr>
            </w:pPr>
            <w:r w:rsidRPr="00D51778">
              <w:rPr>
                <w:rFonts w:cs="Calibri"/>
                <w:color w:val="000000"/>
                <w:sz w:val="22"/>
                <w:szCs w:val="22"/>
                <w:lang w:val="ga"/>
              </w:rPr>
              <w:t>3.5%</w:t>
            </w:r>
          </w:p>
        </w:tc>
        <w:tc>
          <w:tcPr>
            <w:tcW w:w="1560" w:type="dxa"/>
          </w:tcPr>
          <w:p w14:paraId="0D4BA781" w14:textId="0DB91B76" w:rsidR="00BB7838" w:rsidRPr="00D51778" w:rsidRDefault="00BB7838" w:rsidP="000539E7">
            <w:pPr>
              <w:jc w:val="right"/>
              <w:rPr>
                <w:rFonts w:cs="Calibri"/>
                <w:color w:val="000000"/>
                <w:sz w:val="22"/>
                <w:szCs w:val="22"/>
              </w:rPr>
            </w:pPr>
            <w:r w:rsidRPr="00D51778">
              <w:rPr>
                <w:rFonts w:cs="Calibri"/>
                <w:color w:val="000000"/>
                <w:sz w:val="22"/>
                <w:szCs w:val="22"/>
                <w:lang w:val="ga"/>
              </w:rPr>
              <w:t>209</w:t>
            </w:r>
          </w:p>
        </w:tc>
        <w:tc>
          <w:tcPr>
            <w:tcW w:w="1417" w:type="dxa"/>
          </w:tcPr>
          <w:p w14:paraId="2A65BEBB" w14:textId="300BEAA2" w:rsidR="00BB7838" w:rsidRPr="00D51778" w:rsidRDefault="00BB7838" w:rsidP="000539E7">
            <w:pPr>
              <w:jc w:val="right"/>
              <w:rPr>
                <w:sz w:val="22"/>
                <w:szCs w:val="22"/>
              </w:rPr>
            </w:pPr>
            <w:r w:rsidRPr="00D51778">
              <w:rPr>
                <w:rFonts w:cs="Calibri"/>
                <w:color w:val="000000"/>
                <w:sz w:val="22"/>
                <w:szCs w:val="22"/>
                <w:lang w:val="ga"/>
              </w:rPr>
              <w:t>7</w:t>
            </w:r>
          </w:p>
        </w:tc>
        <w:tc>
          <w:tcPr>
            <w:tcW w:w="1798" w:type="dxa"/>
          </w:tcPr>
          <w:p w14:paraId="1C52CE9F" w14:textId="38B0408B" w:rsidR="00BB7838" w:rsidRPr="00D51778" w:rsidRDefault="00262D13" w:rsidP="000539E7">
            <w:pPr>
              <w:jc w:val="right"/>
              <w:rPr>
                <w:sz w:val="22"/>
                <w:szCs w:val="22"/>
              </w:rPr>
            </w:pPr>
            <w:r w:rsidRPr="00D51778">
              <w:rPr>
                <w:rFonts w:cs="Calibri"/>
                <w:color w:val="000000"/>
                <w:sz w:val="22"/>
                <w:szCs w:val="22"/>
                <w:lang w:val="ga"/>
              </w:rPr>
              <w:t>3.3%</w:t>
            </w:r>
          </w:p>
        </w:tc>
      </w:tr>
      <w:tr w:rsidR="00BB7838" w:rsidRPr="00D51778" w14:paraId="05208A5D" w14:textId="77777777" w:rsidTr="00C6651E">
        <w:trPr>
          <w:jc w:val="center"/>
        </w:trPr>
        <w:tc>
          <w:tcPr>
            <w:tcW w:w="1798" w:type="dxa"/>
            <w:vAlign w:val="bottom"/>
          </w:tcPr>
          <w:p w14:paraId="784A531E" w14:textId="67A9835E" w:rsidR="00BB7838" w:rsidRPr="00D51778" w:rsidRDefault="00BB7838" w:rsidP="00BB7838">
            <w:pPr>
              <w:rPr>
                <w:sz w:val="22"/>
                <w:szCs w:val="22"/>
              </w:rPr>
            </w:pPr>
            <w:r w:rsidRPr="00D51778">
              <w:rPr>
                <w:rFonts w:cs="Calibri"/>
                <w:color w:val="000000"/>
                <w:sz w:val="22"/>
                <w:szCs w:val="22"/>
                <w:lang w:val="ga"/>
              </w:rPr>
              <w:t>Údarás Aerfort Bhaile Átha Cliath cpt</w:t>
            </w:r>
          </w:p>
        </w:tc>
        <w:tc>
          <w:tcPr>
            <w:tcW w:w="1462" w:type="dxa"/>
          </w:tcPr>
          <w:p w14:paraId="566399D0" w14:textId="1B5559B7" w:rsidR="00BB7838" w:rsidRPr="00D51778" w:rsidRDefault="00BB7838" w:rsidP="000539E7">
            <w:pPr>
              <w:jc w:val="right"/>
              <w:rPr>
                <w:sz w:val="22"/>
                <w:szCs w:val="22"/>
              </w:rPr>
            </w:pPr>
            <w:r w:rsidRPr="00D51778">
              <w:rPr>
                <w:rFonts w:cs="Calibri"/>
                <w:color w:val="000000"/>
                <w:sz w:val="22"/>
                <w:szCs w:val="22"/>
                <w:lang w:val="ga"/>
              </w:rPr>
              <w:t>2,641</w:t>
            </w:r>
          </w:p>
        </w:tc>
        <w:tc>
          <w:tcPr>
            <w:tcW w:w="1418" w:type="dxa"/>
          </w:tcPr>
          <w:p w14:paraId="46109A67" w14:textId="6E3CED60" w:rsidR="00BB7838" w:rsidRPr="00D51778" w:rsidRDefault="00BB7838" w:rsidP="000539E7">
            <w:pPr>
              <w:jc w:val="right"/>
              <w:rPr>
                <w:sz w:val="22"/>
                <w:szCs w:val="22"/>
              </w:rPr>
            </w:pPr>
            <w:r w:rsidRPr="00D51778">
              <w:rPr>
                <w:rFonts w:cs="Calibri"/>
                <w:color w:val="000000"/>
                <w:sz w:val="22"/>
                <w:szCs w:val="22"/>
                <w:lang w:val="ga"/>
              </w:rPr>
              <w:t>182</w:t>
            </w:r>
          </w:p>
        </w:tc>
        <w:tc>
          <w:tcPr>
            <w:tcW w:w="1984" w:type="dxa"/>
          </w:tcPr>
          <w:p w14:paraId="06003318" w14:textId="2296FE64" w:rsidR="00BB7838" w:rsidRPr="00D51778" w:rsidRDefault="00BB7838" w:rsidP="000539E7">
            <w:pPr>
              <w:jc w:val="right"/>
              <w:rPr>
                <w:sz w:val="22"/>
                <w:szCs w:val="22"/>
              </w:rPr>
            </w:pPr>
            <w:r w:rsidRPr="00D51778">
              <w:rPr>
                <w:rFonts w:cs="Calibri"/>
                <w:color w:val="000000"/>
                <w:sz w:val="22"/>
                <w:szCs w:val="22"/>
                <w:lang w:val="ga"/>
              </w:rPr>
              <w:t>6.9%</w:t>
            </w:r>
          </w:p>
        </w:tc>
        <w:tc>
          <w:tcPr>
            <w:tcW w:w="1560" w:type="dxa"/>
          </w:tcPr>
          <w:p w14:paraId="50B4D2BF" w14:textId="6527EB74" w:rsidR="00BB7838" w:rsidRPr="00D51778" w:rsidRDefault="00BB7838" w:rsidP="000539E7">
            <w:pPr>
              <w:jc w:val="right"/>
              <w:rPr>
                <w:rFonts w:cs="Calibri"/>
                <w:color w:val="000000"/>
                <w:sz w:val="22"/>
                <w:szCs w:val="22"/>
              </w:rPr>
            </w:pPr>
            <w:r w:rsidRPr="00D51778">
              <w:rPr>
                <w:rFonts w:cs="Calibri"/>
                <w:color w:val="000000"/>
                <w:sz w:val="22"/>
                <w:szCs w:val="22"/>
                <w:lang w:val="ga"/>
              </w:rPr>
              <w:t>2,425</w:t>
            </w:r>
          </w:p>
        </w:tc>
        <w:tc>
          <w:tcPr>
            <w:tcW w:w="1417" w:type="dxa"/>
          </w:tcPr>
          <w:p w14:paraId="4405B79D" w14:textId="54351102" w:rsidR="00BB7838" w:rsidRPr="00D51778" w:rsidRDefault="00BB7838" w:rsidP="000539E7">
            <w:pPr>
              <w:jc w:val="right"/>
              <w:rPr>
                <w:sz w:val="22"/>
                <w:szCs w:val="22"/>
              </w:rPr>
            </w:pPr>
            <w:r w:rsidRPr="00D51778">
              <w:rPr>
                <w:rFonts w:cs="Calibri"/>
                <w:color w:val="000000"/>
                <w:sz w:val="22"/>
                <w:szCs w:val="22"/>
                <w:lang w:val="ga"/>
              </w:rPr>
              <w:t>151</w:t>
            </w:r>
          </w:p>
        </w:tc>
        <w:tc>
          <w:tcPr>
            <w:tcW w:w="1798" w:type="dxa"/>
          </w:tcPr>
          <w:p w14:paraId="2A61CDCA" w14:textId="4771B598" w:rsidR="00BB7838" w:rsidRPr="00D51778" w:rsidRDefault="00BB7838" w:rsidP="000539E7">
            <w:pPr>
              <w:jc w:val="right"/>
              <w:rPr>
                <w:sz w:val="22"/>
                <w:szCs w:val="22"/>
              </w:rPr>
            </w:pPr>
            <w:r w:rsidRPr="00D51778">
              <w:rPr>
                <w:rFonts w:cs="Calibri"/>
                <w:color w:val="000000"/>
                <w:sz w:val="22"/>
                <w:szCs w:val="22"/>
                <w:lang w:val="ga"/>
              </w:rPr>
              <w:t>6.2%</w:t>
            </w:r>
          </w:p>
        </w:tc>
      </w:tr>
      <w:tr w:rsidR="00BB7838" w:rsidRPr="00D51778" w14:paraId="664A5F0A" w14:textId="77777777" w:rsidTr="00C6651E">
        <w:trPr>
          <w:jc w:val="center"/>
        </w:trPr>
        <w:tc>
          <w:tcPr>
            <w:tcW w:w="1798" w:type="dxa"/>
            <w:vAlign w:val="bottom"/>
          </w:tcPr>
          <w:p w14:paraId="4C68CC4E" w14:textId="6D219D9D" w:rsidR="00BB7838" w:rsidRPr="00D51778" w:rsidRDefault="00BB7838" w:rsidP="00BB7838">
            <w:pPr>
              <w:rPr>
                <w:sz w:val="22"/>
                <w:szCs w:val="22"/>
              </w:rPr>
            </w:pPr>
            <w:r w:rsidRPr="00D51778">
              <w:rPr>
                <w:rFonts w:cs="Calibri"/>
                <w:color w:val="000000"/>
                <w:sz w:val="22"/>
                <w:szCs w:val="22"/>
                <w:lang w:val="ga"/>
              </w:rPr>
              <w:t>Bus Átha Cliath</w:t>
            </w:r>
          </w:p>
        </w:tc>
        <w:tc>
          <w:tcPr>
            <w:tcW w:w="1462" w:type="dxa"/>
          </w:tcPr>
          <w:p w14:paraId="6B72A0DA" w14:textId="040C5CEF" w:rsidR="00BB7838" w:rsidRPr="00D51778" w:rsidRDefault="00BB7838" w:rsidP="000539E7">
            <w:pPr>
              <w:jc w:val="right"/>
              <w:rPr>
                <w:sz w:val="22"/>
                <w:szCs w:val="22"/>
              </w:rPr>
            </w:pPr>
            <w:r w:rsidRPr="00D51778">
              <w:rPr>
                <w:rFonts w:cs="Calibri"/>
                <w:color w:val="000000"/>
                <w:sz w:val="22"/>
                <w:szCs w:val="22"/>
                <w:lang w:val="ga"/>
              </w:rPr>
              <w:t>3,590</w:t>
            </w:r>
          </w:p>
        </w:tc>
        <w:tc>
          <w:tcPr>
            <w:tcW w:w="1418" w:type="dxa"/>
          </w:tcPr>
          <w:p w14:paraId="2791C734" w14:textId="326B6DEB" w:rsidR="00BB7838" w:rsidRPr="00D51778" w:rsidRDefault="00BB7838" w:rsidP="000539E7">
            <w:pPr>
              <w:jc w:val="right"/>
              <w:rPr>
                <w:sz w:val="22"/>
                <w:szCs w:val="22"/>
              </w:rPr>
            </w:pPr>
            <w:r w:rsidRPr="00D51778">
              <w:rPr>
                <w:rFonts w:cs="Calibri"/>
                <w:color w:val="000000"/>
                <w:sz w:val="22"/>
                <w:szCs w:val="22"/>
                <w:lang w:val="ga"/>
              </w:rPr>
              <w:t>221</w:t>
            </w:r>
          </w:p>
        </w:tc>
        <w:tc>
          <w:tcPr>
            <w:tcW w:w="1984" w:type="dxa"/>
          </w:tcPr>
          <w:p w14:paraId="1E93E10C" w14:textId="15AA0DEF" w:rsidR="00BB7838" w:rsidRPr="00D51778" w:rsidRDefault="00BB7838" w:rsidP="000539E7">
            <w:pPr>
              <w:jc w:val="right"/>
              <w:rPr>
                <w:sz w:val="22"/>
                <w:szCs w:val="22"/>
              </w:rPr>
            </w:pPr>
            <w:r w:rsidRPr="00D51778">
              <w:rPr>
                <w:rFonts w:cs="Calibri"/>
                <w:color w:val="000000"/>
                <w:sz w:val="22"/>
                <w:szCs w:val="22"/>
                <w:lang w:val="ga"/>
              </w:rPr>
              <w:t>6.2%</w:t>
            </w:r>
          </w:p>
        </w:tc>
        <w:tc>
          <w:tcPr>
            <w:tcW w:w="1560" w:type="dxa"/>
          </w:tcPr>
          <w:p w14:paraId="2A2D43F4" w14:textId="6291867C" w:rsidR="00BB7838" w:rsidRPr="00D51778" w:rsidRDefault="00BB7838" w:rsidP="000539E7">
            <w:pPr>
              <w:jc w:val="right"/>
              <w:rPr>
                <w:rFonts w:cs="Calibri"/>
                <w:color w:val="000000"/>
                <w:sz w:val="22"/>
                <w:szCs w:val="22"/>
              </w:rPr>
            </w:pPr>
            <w:r w:rsidRPr="00D51778">
              <w:rPr>
                <w:rFonts w:cs="Calibri"/>
                <w:color w:val="000000"/>
                <w:sz w:val="22"/>
                <w:szCs w:val="22"/>
                <w:lang w:val="ga"/>
              </w:rPr>
              <w:t>3,680</w:t>
            </w:r>
          </w:p>
        </w:tc>
        <w:tc>
          <w:tcPr>
            <w:tcW w:w="1417" w:type="dxa"/>
          </w:tcPr>
          <w:p w14:paraId="2594C321" w14:textId="12DA507F" w:rsidR="00BB7838" w:rsidRPr="00D51778" w:rsidRDefault="00BB7838" w:rsidP="000539E7">
            <w:pPr>
              <w:jc w:val="right"/>
              <w:rPr>
                <w:sz w:val="22"/>
                <w:szCs w:val="22"/>
              </w:rPr>
            </w:pPr>
            <w:r w:rsidRPr="00D51778">
              <w:rPr>
                <w:rFonts w:cs="Calibri"/>
                <w:color w:val="000000"/>
                <w:sz w:val="22"/>
                <w:szCs w:val="22"/>
                <w:lang w:val="ga"/>
              </w:rPr>
              <w:t>241</w:t>
            </w:r>
          </w:p>
        </w:tc>
        <w:tc>
          <w:tcPr>
            <w:tcW w:w="1798" w:type="dxa"/>
          </w:tcPr>
          <w:p w14:paraId="570E9A82" w14:textId="388386E3" w:rsidR="00BB7838" w:rsidRPr="00D51778" w:rsidRDefault="00262D13" w:rsidP="000539E7">
            <w:pPr>
              <w:jc w:val="right"/>
              <w:rPr>
                <w:sz w:val="22"/>
                <w:szCs w:val="22"/>
              </w:rPr>
            </w:pPr>
            <w:r w:rsidRPr="00D51778">
              <w:rPr>
                <w:rFonts w:cs="Calibri"/>
                <w:color w:val="000000"/>
                <w:sz w:val="22"/>
                <w:szCs w:val="22"/>
                <w:lang w:val="ga"/>
              </w:rPr>
              <w:t>6.5%</w:t>
            </w:r>
          </w:p>
        </w:tc>
      </w:tr>
      <w:tr w:rsidR="00BB7838" w:rsidRPr="00D51778" w14:paraId="26C00D6C" w14:textId="77777777" w:rsidTr="00C6651E">
        <w:trPr>
          <w:jc w:val="center"/>
        </w:trPr>
        <w:tc>
          <w:tcPr>
            <w:tcW w:w="1798" w:type="dxa"/>
            <w:vAlign w:val="bottom"/>
          </w:tcPr>
          <w:p w14:paraId="4E2CFF76" w14:textId="3DA88287" w:rsidR="00BB7838" w:rsidRPr="00D51778" w:rsidRDefault="00BB7838" w:rsidP="00BB7838">
            <w:pPr>
              <w:rPr>
                <w:sz w:val="22"/>
                <w:szCs w:val="22"/>
              </w:rPr>
            </w:pPr>
            <w:r w:rsidRPr="00D51778">
              <w:rPr>
                <w:rFonts w:cs="Calibri"/>
                <w:color w:val="000000"/>
                <w:sz w:val="22"/>
                <w:szCs w:val="22"/>
                <w:lang w:val="ga"/>
              </w:rPr>
              <w:t>Cuideachta Poirt Bhaile Átha Cliath</w:t>
            </w:r>
          </w:p>
        </w:tc>
        <w:tc>
          <w:tcPr>
            <w:tcW w:w="1462" w:type="dxa"/>
          </w:tcPr>
          <w:p w14:paraId="2F51433C" w14:textId="309A2583" w:rsidR="00BB7838" w:rsidRPr="00D51778" w:rsidRDefault="00BB7838" w:rsidP="000539E7">
            <w:pPr>
              <w:jc w:val="right"/>
              <w:rPr>
                <w:sz w:val="22"/>
                <w:szCs w:val="22"/>
              </w:rPr>
            </w:pPr>
            <w:r w:rsidRPr="00D51778">
              <w:rPr>
                <w:rFonts w:cs="Calibri"/>
                <w:color w:val="000000"/>
                <w:sz w:val="22"/>
                <w:szCs w:val="22"/>
                <w:lang w:val="ga"/>
              </w:rPr>
              <w:t>156</w:t>
            </w:r>
          </w:p>
        </w:tc>
        <w:tc>
          <w:tcPr>
            <w:tcW w:w="1418" w:type="dxa"/>
          </w:tcPr>
          <w:p w14:paraId="5B8D27D1" w14:textId="5E649587" w:rsidR="00BB7838" w:rsidRPr="00D51778" w:rsidRDefault="00BB7838" w:rsidP="000539E7">
            <w:pPr>
              <w:jc w:val="right"/>
              <w:rPr>
                <w:sz w:val="22"/>
                <w:szCs w:val="22"/>
              </w:rPr>
            </w:pPr>
            <w:r w:rsidRPr="00D51778">
              <w:rPr>
                <w:rFonts w:cs="Calibri"/>
                <w:color w:val="000000"/>
                <w:sz w:val="22"/>
                <w:szCs w:val="22"/>
                <w:lang w:val="ga"/>
              </w:rPr>
              <w:t>5</w:t>
            </w:r>
          </w:p>
        </w:tc>
        <w:tc>
          <w:tcPr>
            <w:tcW w:w="1984" w:type="dxa"/>
          </w:tcPr>
          <w:p w14:paraId="513D60A8" w14:textId="37E547DE" w:rsidR="00BB7838" w:rsidRPr="00D51778" w:rsidRDefault="00BB7838" w:rsidP="000539E7">
            <w:pPr>
              <w:jc w:val="right"/>
              <w:rPr>
                <w:sz w:val="22"/>
                <w:szCs w:val="22"/>
              </w:rPr>
            </w:pPr>
            <w:r w:rsidRPr="00D51778">
              <w:rPr>
                <w:rFonts w:cs="Calibri"/>
                <w:color w:val="000000"/>
                <w:sz w:val="22"/>
                <w:szCs w:val="22"/>
                <w:lang w:val="ga"/>
              </w:rPr>
              <w:t>3.2%</w:t>
            </w:r>
          </w:p>
        </w:tc>
        <w:tc>
          <w:tcPr>
            <w:tcW w:w="1560" w:type="dxa"/>
          </w:tcPr>
          <w:p w14:paraId="3AB1DDCE" w14:textId="070C2717" w:rsidR="00BB7838" w:rsidRPr="00D51778" w:rsidRDefault="00BB7838" w:rsidP="000539E7">
            <w:pPr>
              <w:jc w:val="right"/>
              <w:rPr>
                <w:rFonts w:cs="Calibri"/>
                <w:color w:val="000000"/>
                <w:sz w:val="22"/>
                <w:szCs w:val="22"/>
              </w:rPr>
            </w:pPr>
            <w:r w:rsidRPr="00D51778">
              <w:rPr>
                <w:rFonts w:cs="Calibri"/>
                <w:color w:val="000000"/>
                <w:sz w:val="22"/>
                <w:szCs w:val="22"/>
                <w:lang w:val="ga"/>
              </w:rPr>
              <w:t>153</w:t>
            </w:r>
          </w:p>
        </w:tc>
        <w:tc>
          <w:tcPr>
            <w:tcW w:w="1417" w:type="dxa"/>
          </w:tcPr>
          <w:p w14:paraId="5496FA55" w14:textId="5C4ED8A6" w:rsidR="00BB7838" w:rsidRPr="00D51778" w:rsidRDefault="00BB7838" w:rsidP="000539E7">
            <w:pPr>
              <w:jc w:val="right"/>
              <w:rPr>
                <w:sz w:val="22"/>
                <w:szCs w:val="22"/>
              </w:rPr>
            </w:pPr>
            <w:r w:rsidRPr="00D51778">
              <w:rPr>
                <w:rFonts w:cs="Calibri"/>
                <w:color w:val="000000"/>
                <w:sz w:val="22"/>
                <w:szCs w:val="22"/>
                <w:lang w:val="ga"/>
              </w:rPr>
              <w:t>5</w:t>
            </w:r>
          </w:p>
        </w:tc>
        <w:tc>
          <w:tcPr>
            <w:tcW w:w="1798" w:type="dxa"/>
          </w:tcPr>
          <w:p w14:paraId="3F0E6832" w14:textId="59BCE95E" w:rsidR="00BB7838" w:rsidRPr="00D51778" w:rsidRDefault="00BB7838" w:rsidP="000539E7">
            <w:pPr>
              <w:jc w:val="right"/>
              <w:rPr>
                <w:sz w:val="22"/>
                <w:szCs w:val="22"/>
              </w:rPr>
            </w:pPr>
            <w:r w:rsidRPr="00D51778">
              <w:rPr>
                <w:rFonts w:cs="Calibri"/>
                <w:color w:val="000000"/>
                <w:sz w:val="22"/>
                <w:szCs w:val="22"/>
                <w:lang w:val="ga"/>
              </w:rPr>
              <w:t>3.3%</w:t>
            </w:r>
          </w:p>
        </w:tc>
      </w:tr>
      <w:tr w:rsidR="00BB7838" w:rsidRPr="00D51778" w14:paraId="10866F66" w14:textId="77777777" w:rsidTr="00C6651E">
        <w:trPr>
          <w:jc w:val="center"/>
        </w:trPr>
        <w:tc>
          <w:tcPr>
            <w:tcW w:w="1798" w:type="dxa"/>
            <w:vAlign w:val="bottom"/>
          </w:tcPr>
          <w:p w14:paraId="30CFB81C" w14:textId="04A43D81" w:rsidR="00BB7838" w:rsidRPr="00D51778" w:rsidRDefault="00BB7838" w:rsidP="00BB7838">
            <w:pPr>
              <w:rPr>
                <w:sz w:val="22"/>
                <w:szCs w:val="22"/>
              </w:rPr>
            </w:pPr>
            <w:r w:rsidRPr="00D51778">
              <w:rPr>
                <w:rFonts w:cs="Calibri"/>
                <w:color w:val="000000"/>
                <w:sz w:val="22"/>
                <w:szCs w:val="22"/>
                <w:lang w:val="ga"/>
              </w:rPr>
              <w:t>Iarnród Éireann</w:t>
            </w:r>
          </w:p>
        </w:tc>
        <w:tc>
          <w:tcPr>
            <w:tcW w:w="1462" w:type="dxa"/>
          </w:tcPr>
          <w:p w14:paraId="2BD6D5C7" w14:textId="0374E5F9" w:rsidR="00BB7838" w:rsidRPr="00D51778" w:rsidRDefault="00BB7838" w:rsidP="000539E7">
            <w:pPr>
              <w:jc w:val="right"/>
              <w:rPr>
                <w:sz w:val="22"/>
                <w:szCs w:val="22"/>
              </w:rPr>
            </w:pPr>
            <w:r w:rsidRPr="00D51778">
              <w:rPr>
                <w:rFonts w:cs="Calibri"/>
                <w:color w:val="000000"/>
                <w:sz w:val="22"/>
                <w:szCs w:val="22"/>
                <w:lang w:val="ga"/>
              </w:rPr>
              <w:t>4,142</w:t>
            </w:r>
          </w:p>
        </w:tc>
        <w:tc>
          <w:tcPr>
            <w:tcW w:w="1418" w:type="dxa"/>
          </w:tcPr>
          <w:p w14:paraId="6BD3F155" w14:textId="53C94EFB" w:rsidR="00BB7838" w:rsidRPr="00D51778" w:rsidRDefault="00BB7838" w:rsidP="000539E7">
            <w:pPr>
              <w:jc w:val="right"/>
              <w:rPr>
                <w:sz w:val="22"/>
                <w:szCs w:val="22"/>
              </w:rPr>
            </w:pPr>
            <w:r w:rsidRPr="00D51778">
              <w:rPr>
                <w:rFonts w:cs="Calibri"/>
                <w:color w:val="000000"/>
                <w:sz w:val="22"/>
                <w:szCs w:val="22"/>
                <w:lang w:val="ga"/>
              </w:rPr>
              <w:t>215</w:t>
            </w:r>
          </w:p>
        </w:tc>
        <w:tc>
          <w:tcPr>
            <w:tcW w:w="1984" w:type="dxa"/>
          </w:tcPr>
          <w:p w14:paraId="3CDE3301" w14:textId="7202D268" w:rsidR="00BB7838" w:rsidRPr="00D51778" w:rsidRDefault="00BB7838" w:rsidP="000539E7">
            <w:pPr>
              <w:jc w:val="right"/>
              <w:rPr>
                <w:sz w:val="22"/>
                <w:szCs w:val="22"/>
              </w:rPr>
            </w:pPr>
            <w:r w:rsidRPr="00D51778">
              <w:rPr>
                <w:rFonts w:cs="Calibri"/>
                <w:color w:val="000000"/>
                <w:sz w:val="22"/>
                <w:szCs w:val="22"/>
                <w:lang w:val="ga"/>
              </w:rPr>
              <w:t>5.2%</w:t>
            </w:r>
          </w:p>
        </w:tc>
        <w:tc>
          <w:tcPr>
            <w:tcW w:w="1560" w:type="dxa"/>
          </w:tcPr>
          <w:p w14:paraId="33578136" w14:textId="22198EA2" w:rsidR="00BB7838" w:rsidRPr="00D51778" w:rsidRDefault="00BB7838" w:rsidP="000539E7">
            <w:pPr>
              <w:jc w:val="right"/>
              <w:rPr>
                <w:rFonts w:cs="Calibri"/>
                <w:color w:val="000000"/>
                <w:sz w:val="22"/>
                <w:szCs w:val="22"/>
              </w:rPr>
            </w:pPr>
            <w:r w:rsidRPr="00D51778">
              <w:rPr>
                <w:rFonts w:cs="Calibri"/>
                <w:color w:val="000000"/>
                <w:sz w:val="22"/>
                <w:szCs w:val="22"/>
                <w:lang w:val="ga"/>
              </w:rPr>
              <w:t>4,244</w:t>
            </w:r>
          </w:p>
        </w:tc>
        <w:tc>
          <w:tcPr>
            <w:tcW w:w="1417" w:type="dxa"/>
          </w:tcPr>
          <w:p w14:paraId="3F04B1E9" w14:textId="57DA4134" w:rsidR="00BB7838" w:rsidRPr="00D51778" w:rsidRDefault="00BB7838" w:rsidP="000539E7">
            <w:pPr>
              <w:jc w:val="right"/>
              <w:rPr>
                <w:sz w:val="22"/>
                <w:szCs w:val="22"/>
              </w:rPr>
            </w:pPr>
            <w:r w:rsidRPr="00D51778">
              <w:rPr>
                <w:rFonts w:cs="Calibri"/>
                <w:color w:val="000000"/>
                <w:sz w:val="22"/>
                <w:szCs w:val="22"/>
                <w:lang w:val="ga"/>
              </w:rPr>
              <w:t>199</w:t>
            </w:r>
          </w:p>
        </w:tc>
        <w:tc>
          <w:tcPr>
            <w:tcW w:w="1798" w:type="dxa"/>
          </w:tcPr>
          <w:p w14:paraId="322A0173" w14:textId="3F519331" w:rsidR="00BB7838" w:rsidRPr="00D51778" w:rsidRDefault="00BB7838" w:rsidP="000539E7">
            <w:pPr>
              <w:jc w:val="right"/>
              <w:rPr>
                <w:sz w:val="22"/>
                <w:szCs w:val="22"/>
              </w:rPr>
            </w:pPr>
            <w:r w:rsidRPr="00D51778">
              <w:rPr>
                <w:rFonts w:cs="Calibri"/>
                <w:color w:val="000000"/>
                <w:sz w:val="22"/>
                <w:szCs w:val="22"/>
                <w:lang w:val="ga"/>
              </w:rPr>
              <w:t>4.7%</w:t>
            </w:r>
          </w:p>
        </w:tc>
      </w:tr>
      <w:tr w:rsidR="00BB7838" w:rsidRPr="00D51778" w14:paraId="26A1907D" w14:textId="77777777" w:rsidTr="00C6651E">
        <w:trPr>
          <w:jc w:val="center"/>
        </w:trPr>
        <w:tc>
          <w:tcPr>
            <w:tcW w:w="1798" w:type="dxa"/>
            <w:vAlign w:val="bottom"/>
          </w:tcPr>
          <w:p w14:paraId="106C4EA2" w14:textId="2BD823C7" w:rsidR="00BB7838" w:rsidRPr="00D51778" w:rsidRDefault="00BB7838" w:rsidP="00BB7838">
            <w:pPr>
              <w:rPr>
                <w:sz w:val="22"/>
                <w:szCs w:val="22"/>
              </w:rPr>
            </w:pPr>
            <w:r w:rsidRPr="00D51778">
              <w:rPr>
                <w:rFonts w:cs="Calibri"/>
                <w:color w:val="000000"/>
                <w:sz w:val="22"/>
                <w:szCs w:val="22"/>
                <w:lang w:val="ga"/>
              </w:rPr>
              <w:t>Údarás Eitlíochta na hÉireann</w:t>
            </w:r>
          </w:p>
        </w:tc>
        <w:tc>
          <w:tcPr>
            <w:tcW w:w="1462" w:type="dxa"/>
          </w:tcPr>
          <w:p w14:paraId="261167A2" w14:textId="563CAF65" w:rsidR="00BB7838" w:rsidRPr="00D51778" w:rsidRDefault="00BB7838" w:rsidP="000539E7">
            <w:pPr>
              <w:jc w:val="right"/>
              <w:rPr>
                <w:sz w:val="22"/>
                <w:szCs w:val="22"/>
              </w:rPr>
            </w:pPr>
            <w:r w:rsidRPr="00D51778">
              <w:rPr>
                <w:rFonts w:cs="Calibri"/>
                <w:color w:val="000000"/>
                <w:sz w:val="22"/>
                <w:szCs w:val="22"/>
                <w:lang w:val="ga"/>
              </w:rPr>
              <w:t>723</w:t>
            </w:r>
          </w:p>
        </w:tc>
        <w:tc>
          <w:tcPr>
            <w:tcW w:w="1418" w:type="dxa"/>
          </w:tcPr>
          <w:p w14:paraId="04C16FF9" w14:textId="6CE7E572" w:rsidR="00BB7838" w:rsidRPr="00D51778" w:rsidRDefault="00BB7838" w:rsidP="000539E7">
            <w:pPr>
              <w:jc w:val="right"/>
              <w:rPr>
                <w:sz w:val="22"/>
                <w:szCs w:val="22"/>
              </w:rPr>
            </w:pPr>
            <w:r w:rsidRPr="00D51778">
              <w:rPr>
                <w:rFonts w:cs="Calibri"/>
                <w:color w:val="000000"/>
                <w:sz w:val="22"/>
                <w:szCs w:val="22"/>
                <w:lang w:val="ga"/>
              </w:rPr>
              <w:t>0</w:t>
            </w:r>
          </w:p>
        </w:tc>
        <w:tc>
          <w:tcPr>
            <w:tcW w:w="1984" w:type="dxa"/>
          </w:tcPr>
          <w:p w14:paraId="0BF146D4" w14:textId="714ED9E9" w:rsidR="00BB7838" w:rsidRPr="00D51778" w:rsidRDefault="00BB7838" w:rsidP="000539E7">
            <w:pPr>
              <w:jc w:val="right"/>
              <w:rPr>
                <w:sz w:val="22"/>
                <w:szCs w:val="22"/>
              </w:rPr>
            </w:pPr>
            <w:r w:rsidRPr="00D51778">
              <w:rPr>
                <w:rFonts w:cs="Calibri"/>
                <w:color w:val="000000"/>
                <w:sz w:val="22"/>
                <w:szCs w:val="22"/>
                <w:lang w:val="ga"/>
              </w:rPr>
              <w:t>0.0%</w:t>
            </w:r>
          </w:p>
        </w:tc>
        <w:tc>
          <w:tcPr>
            <w:tcW w:w="1560" w:type="dxa"/>
          </w:tcPr>
          <w:p w14:paraId="4236DC4D" w14:textId="6F4B33A5" w:rsidR="00BB7838" w:rsidRPr="00D51778" w:rsidRDefault="00BB7838" w:rsidP="000539E7">
            <w:pPr>
              <w:jc w:val="right"/>
              <w:rPr>
                <w:sz w:val="22"/>
                <w:szCs w:val="22"/>
              </w:rPr>
            </w:pPr>
            <w:r w:rsidRPr="00D51778">
              <w:rPr>
                <w:rFonts w:cs="Calibri"/>
                <w:color w:val="000000"/>
                <w:sz w:val="22"/>
                <w:szCs w:val="22"/>
                <w:lang w:val="ga"/>
              </w:rPr>
              <w:t>711</w:t>
            </w:r>
          </w:p>
        </w:tc>
        <w:tc>
          <w:tcPr>
            <w:tcW w:w="1417" w:type="dxa"/>
          </w:tcPr>
          <w:p w14:paraId="4DAE5308" w14:textId="6B044D1E" w:rsidR="00BB7838" w:rsidRPr="00D51778" w:rsidRDefault="00BB7838" w:rsidP="000539E7">
            <w:pPr>
              <w:jc w:val="right"/>
              <w:rPr>
                <w:sz w:val="22"/>
                <w:szCs w:val="22"/>
              </w:rPr>
            </w:pPr>
            <w:r w:rsidRPr="00D51778">
              <w:rPr>
                <w:rFonts w:cs="Calibri"/>
                <w:color w:val="000000"/>
                <w:sz w:val="22"/>
                <w:szCs w:val="22"/>
                <w:lang w:val="ga"/>
              </w:rPr>
              <w:t>37</w:t>
            </w:r>
          </w:p>
        </w:tc>
        <w:tc>
          <w:tcPr>
            <w:tcW w:w="1798" w:type="dxa"/>
          </w:tcPr>
          <w:p w14:paraId="33B44AAD" w14:textId="378882B0" w:rsidR="00BB7838" w:rsidRPr="00D51778" w:rsidRDefault="00BB7838" w:rsidP="000539E7">
            <w:pPr>
              <w:jc w:val="right"/>
              <w:rPr>
                <w:sz w:val="22"/>
                <w:szCs w:val="22"/>
              </w:rPr>
            </w:pPr>
            <w:r w:rsidRPr="00D51778">
              <w:rPr>
                <w:rFonts w:cs="Calibri"/>
                <w:color w:val="000000"/>
                <w:sz w:val="22"/>
                <w:szCs w:val="22"/>
                <w:lang w:val="ga"/>
              </w:rPr>
              <w:t>5.2%</w:t>
            </w:r>
          </w:p>
        </w:tc>
      </w:tr>
      <w:tr w:rsidR="00BB7838" w:rsidRPr="00D51778" w14:paraId="167566D9" w14:textId="77777777" w:rsidTr="00C6651E">
        <w:trPr>
          <w:jc w:val="center"/>
        </w:trPr>
        <w:tc>
          <w:tcPr>
            <w:tcW w:w="1798" w:type="dxa"/>
            <w:vAlign w:val="bottom"/>
          </w:tcPr>
          <w:p w14:paraId="1F30C362" w14:textId="1DE15FB0" w:rsidR="00BB7838" w:rsidRPr="00D51778" w:rsidRDefault="00BB7838" w:rsidP="00BB7838">
            <w:pPr>
              <w:rPr>
                <w:sz w:val="22"/>
                <w:szCs w:val="22"/>
              </w:rPr>
            </w:pPr>
            <w:r w:rsidRPr="00D51778">
              <w:rPr>
                <w:rFonts w:cs="Calibri"/>
                <w:color w:val="000000"/>
                <w:sz w:val="22"/>
                <w:szCs w:val="22"/>
                <w:lang w:val="ga"/>
              </w:rPr>
              <w:t>Údarás Náisiúnta Iompair</w:t>
            </w:r>
          </w:p>
        </w:tc>
        <w:tc>
          <w:tcPr>
            <w:tcW w:w="1462" w:type="dxa"/>
          </w:tcPr>
          <w:p w14:paraId="2CC45461" w14:textId="71219D2A" w:rsidR="00BB7838" w:rsidRPr="00D51778" w:rsidRDefault="00BB7838" w:rsidP="000539E7">
            <w:pPr>
              <w:jc w:val="right"/>
              <w:rPr>
                <w:sz w:val="22"/>
                <w:szCs w:val="22"/>
              </w:rPr>
            </w:pPr>
            <w:r w:rsidRPr="00D51778">
              <w:rPr>
                <w:rFonts w:cs="Calibri"/>
                <w:color w:val="000000"/>
                <w:sz w:val="22"/>
                <w:szCs w:val="22"/>
                <w:lang w:val="ga"/>
              </w:rPr>
              <w:t>161</w:t>
            </w:r>
          </w:p>
        </w:tc>
        <w:tc>
          <w:tcPr>
            <w:tcW w:w="1418" w:type="dxa"/>
          </w:tcPr>
          <w:p w14:paraId="02E5D58C" w14:textId="175A46B2" w:rsidR="00BB7838" w:rsidRPr="00D51778" w:rsidRDefault="00BB7838" w:rsidP="000539E7">
            <w:pPr>
              <w:jc w:val="right"/>
              <w:rPr>
                <w:sz w:val="22"/>
                <w:szCs w:val="22"/>
              </w:rPr>
            </w:pPr>
            <w:r w:rsidRPr="00D51778">
              <w:rPr>
                <w:rFonts w:cs="Calibri"/>
                <w:color w:val="000000"/>
                <w:sz w:val="22"/>
                <w:szCs w:val="22"/>
                <w:lang w:val="ga"/>
              </w:rPr>
              <w:t>7</w:t>
            </w:r>
          </w:p>
        </w:tc>
        <w:tc>
          <w:tcPr>
            <w:tcW w:w="1984" w:type="dxa"/>
          </w:tcPr>
          <w:p w14:paraId="463E1A33" w14:textId="790AC2D7" w:rsidR="00BB7838" w:rsidRPr="00D51778" w:rsidRDefault="00BB7838" w:rsidP="000539E7">
            <w:pPr>
              <w:jc w:val="right"/>
              <w:rPr>
                <w:sz w:val="22"/>
                <w:szCs w:val="22"/>
              </w:rPr>
            </w:pPr>
            <w:r w:rsidRPr="00D51778">
              <w:rPr>
                <w:rFonts w:cs="Calibri"/>
                <w:color w:val="000000"/>
                <w:sz w:val="22"/>
                <w:szCs w:val="22"/>
                <w:lang w:val="ga"/>
              </w:rPr>
              <w:t>4.3%</w:t>
            </w:r>
          </w:p>
        </w:tc>
        <w:tc>
          <w:tcPr>
            <w:tcW w:w="1560" w:type="dxa"/>
          </w:tcPr>
          <w:p w14:paraId="577FF52A" w14:textId="33092CC4" w:rsidR="00BB7838" w:rsidRPr="00D51778" w:rsidRDefault="00BB7838" w:rsidP="000539E7">
            <w:pPr>
              <w:jc w:val="right"/>
              <w:rPr>
                <w:sz w:val="22"/>
                <w:szCs w:val="22"/>
              </w:rPr>
            </w:pPr>
            <w:r w:rsidRPr="00D51778">
              <w:rPr>
                <w:rFonts w:cs="Calibri"/>
                <w:color w:val="000000"/>
                <w:sz w:val="22"/>
                <w:szCs w:val="22"/>
                <w:lang w:val="ga"/>
              </w:rPr>
              <w:t>211</w:t>
            </w:r>
          </w:p>
        </w:tc>
        <w:tc>
          <w:tcPr>
            <w:tcW w:w="1417" w:type="dxa"/>
          </w:tcPr>
          <w:p w14:paraId="62ED268B" w14:textId="1F0F60F3" w:rsidR="00BB7838" w:rsidRPr="00D51778" w:rsidRDefault="00BB7838" w:rsidP="000539E7">
            <w:pPr>
              <w:jc w:val="right"/>
              <w:rPr>
                <w:sz w:val="22"/>
                <w:szCs w:val="22"/>
              </w:rPr>
            </w:pPr>
            <w:r w:rsidRPr="00D51778">
              <w:rPr>
                <w:rFonts w:cs="Calibri"/>
                <w:color w:val="000000"/>
                <w:sz w:val="22"/>
                <w:szCs w:val="22"/>
                <w:lang w:val="ga"/>
              </w:rPr>
              <w:t>11</w:t>
            </w:r>
          </w:p>
        </w:tc>
        <w:tc>
          <w:tcPr>
            <w:tcW w:w="1798" w:type="dxa"/>
          </w:tcPr>
          <w:p w14:paraId="3EEC9DFA" w14:textId="0B0A6325" w:rsidR="00BB7838" w:rsidRPr="00D51778" w:rsidRDefault="00BB7838" w:rsidP="000539E7">
            <w:pPr>
              <w:jc w:val="right"/>
              <w:rPr>
                <w:sz w:val="22"/>
                <w:szCs w:val="22"/>
              </w:rPr>
            </w:pPr>
            <w:r w:rsidRPr="00D51778">
              <w:rPr>
                <w:rFonts w:cs="Calibri"/>
                <w:color w:val="000000"/>
                <w:sz w:val="22"/>
                <w:szCs w:val="22"/>
                <w:lang w:val="ga"/>
              </w:rPr>
              <w:t>5.2%</w:t>
            </w:r>
          </w:p>
        </w:tc>
      </w:tr>
      <w:tr w:rsidR="00BB7838" w:rsidRPr="00D51778" w14:paraId="74209BFF" w14:textId="77777777" w:rsidTr="00C6651E">
        <w:trPr>
          <w:jc w:val="center"/>
        </w:trPr>
        <w:tc>
          <w:tcPr>
            <w:tcW w:w="1798" w:type="dxa"/>
            <w:vAlign w:val="bottom"/>
          </w:tcPr>
          <w:p w14:paraId="30F7634E" w14:textId="6A20A6F8" w:rsidR="00BB7838" w:rsidRPr="00D51778" w:rsidRDefault="00BB7838" w:rsidP="00BB7838">
            <w:pPr>
              <w:rPr>
                <w:sz w:val="22"/>
                <w:szCs w:val="22"/>
              </w:rPr>
            </w:pPr>
            <w:r w:rsidRPr="00D51778">
              <w:rPr>
                <w:rFonts w:cs="Calibri"/>
                <w:color w:val="000000"/>
                <w:sz w:val="22"/>
                <w:szCs w:val="22"/>
                <w:lang w:val="ga"/>
              </w:rPr>
              <w:t>Cuideachta Phort Chorcaí</w:t>
            </w:r>
          </w:p>
        </w:tc>
        <w:tc>
          <w:tcPr>
            <w:tcW w:w="1462" w:type="dxa"/>
          </w:tcPr>
          <w:p w14:paraId="1DA98453" w14:textId="31974E8B" w:rsidR="00BB7838" w:rsidRPr="00D51778" w:rsidRDefault="00BB7838" w:rsidP="000539E7">
            <w:pPr>
              <w:jc w:val="right"/>
              <w:rPr>
                <w:sz w:val="22"/>
                <w:szCs w:val="22"/>
              </w:rPr>
            </w:pPr>
            <w:r w:rsidRPr="00D51778">
              <w:rPr>
                <w:rFonts w:cs="Calibri"/>
                <w:color w:val="000000"/>
                <w:sz w:val="22"/>
                <w:szCs w:val="22"/>
                <w:lang w:val="ga"/>
              </w:rPr>
              <w:t>148</w:t>
            </w:r>
          </w:p>
        </w:tc>
        <w:tc>
          <w:tcPr>
            <w:tcW w:w="1418" w:type="dxa"/>
          </w:tcPr>
          <w:p w14:paraId="0B462797" w14:textId="7D56CCF0" w:rsidR="00BB7838" w:rsidRPr="00D51778" w:rsidRDefault="00BB7838" w:rsidP="000539E7">
            <w:pPr>
              <w:jc w:val="right"/>
              <w:rPr>
                <w:sz w:val="22"/>
                <w:szCs w:val="22"/>
              </w:rPr>
            </w:pPr>
            <w:r w:rsidRPr="00D51778">
              <w:rPr>
                <w:rFonts w:cs="Calibri"/>
                <w:color w:val="000000"/>
                <w:sz w:val="22"/>
                <w:szCs w:val="22"/>
                <w:lang w:val="ga"/>
              </w:rPr>
              <w:t>6</w:t>
            </w:r>
          </w:p>
        </w:tc>
        <w:tc>
          <w:tcPr>
            <w:tcW w:w="1984" w:type="dxa"/>
          </w:tcPr>
          <w:p w14:paraId="1D69919E" w14:textId="2CE1B468" w:rsidR="00BB7838" w:rsidRPr="00D51778" w:rsidRDefault="00BB7838" w:rsidP="000539E7">
            <w:pPr>
              <w:jc w:val="right"/>
              <w:rPr>
                <w:sz w:val="22"/>
                <w:szCs w:val="22"/>
              </w:rPr>
            </w:pPr>
            <w:r w:rsidRPr="00D51778">
              <w:rPr>
                <w:rFonts w:cs="Calibri"/>
                <w:color w:val="000000"/>
                <w:sz w:val="22"/>
                <w:szCs w:val="22"/>
                <w:lang w:val="ga"/>
              </w:rPr>
              <w:t>4.1%</w:t>
            </w:r>
          </w:p>
        </w:tc>
        <w:tc>
          <w:tcPr>
            <w:tcW w:w="1560" w:type="dxa"/>
          </w:tcPr>
          <w:p w14:paraId="760411FE" w14:textId="02071D5E" w:rsidR="00BB7838" w:rsidRPr="00D51778" w:rsidRDefault="00BB7838" w:rsidP="000539E7">
            <w:pPr>
              <w:jc w:val="right"/>
              <w:rPr>
                <w:sz w:val="22"/>
                <w:szCs w:val="22"/>
              </w:rPr>
            </w:pPr>
            <w:r w:rsidRPr="00D51778">
              <w:rPr>
                <w:rFonts w:cs="Calibri"/>
                <w:color w:val="000000"/>
                <w:sz w:val="22"/>
                <w:szCs w:val="22"/>
                <w:lang w:val="ga"/>
              </w:rPr>
              <w:t>150</w:t>
            </w:r>
          </w:p>
        </w:tc>
        <w:tc>
          <w:tcPr>
            <w:tcW w:w="1417" w:type="dxa"/>
          </w:tcPr>
          <w:p w14:paraId="153334F0" w14:textId="2C07173B" w:rsidR="00BB7838" w:rsidRPr="00D51778" w:rsidRDefault="00BB7838" w:rsidP="000539E7">
            <w:pPr>
              <w:jc w:val="right"/>
              <w:rPr>
                <w:sz w:val="22"/>
                <w:szCs w:val="22"/>
              </w:rPr>
            </w:pPr>
            <w:r w:rsidRPr="00D51778">
              <w:rPr>
                <w:rFonts w:cs="Calibri"/>
                <w:color w:val="000000"/>
                <w:sz w:val="22"/>
                <w:szCs w:val="22"/>
                <w:lang w:val="ga"/>
              </w:rPr>
              <w:t>6</w:t>
            </w:r>
          </w:p>
        </w:tc>
        <w:tc>
          <w:tcPr>
            <w:tcW w:w="1798" w:type="dxa"/>
          </w:tcPr>
          <w:p w14:paraId="688291CF" w14:textId="288A47AD" w:rsidR="00BB7838" w:rsidRPr="00D51778" w:rsidRDefault="00BB7838" w:rsidP="000539E7">
            <w:pPr>
              <w:jc w:val="right"/>
              <w:rPr>
                <w:sz w:val="22"/>
                <w:szCs w:val="22"/>
              </w:rPr>
            </w:pPr>
            <w:r w:rsidRPr="00D51778">
              <w:rPr>
                <w:rFonts w:cs="Calibri"/>
                <w:color w:val="000000"/>
                <w:sz w:val="22"/>
                <w:szCs w:val="22"/>
                <w:lang w:val="ga"/>
              </w:rPr>
              <w:t>4.0%</w:t>
            </w:r>
          </w:p>
        </w:tc>
      </w:tr>
      <w:tr w:rsidR="00BB7838" w:rsidRPr="00D51778" w14:paraId="7C53BC79" w14:textId="77777777" w:rsidTr="00C6651E">
        <w:trPr>
          <w:jc w:val="center"/>
        </w:trPr>
        <w:tc>
          <w:tcPr>
            <w:tcW w:w="1798" w:type="dxa"/>
            <w:vAlign w:val="bottom"/>
          </w:tcPr>
          <w:p w14:paraId="220D71C3" w14:textId="6956ED6E" w:rsidR="00BB7838" w:rsidRPr="00D51778" w:rsidRDefault="00BB7838" w:rsidP="00BB7838">
            <w:pPr>
              <w:rPr>
                <w:sz w:val="22"/>
                <w:szCs w:val="22"/>
              </w:rPr>
            </w:pPr>
            <w:r w:rsidRPr="00D51778">
              <w:rPr>
                <w:color w:val="000000"/>
                <w:sz w:val="22"/>
                <w:szCs w:val="22"/>
                <w:lang w:val="ga"/>
              </w:rPr>
              <w:t xml:space="preserve">Calafort na Gaillimhe </w:t>
            </w:r>
            <w:r w:rsidRPr="00D51778">
              <w:rPr>
                <w:b/>
                <w:bCs/>
                <w:sz w:val="22"/>
                <w:szCs w:val="22"/>
                <w:lang w:val="ga"/>
              </w:rPr>
              <w:t xml:space="preserve">(Cónascadh an comhlacht poiblí seo isteach i gComhairle Cathrach na Gaillimhe sa </w:t>
            </w:r>
            <w:r w:rsidRPr="00D51778">
              <w:rPr>
                <w:b/>
                <w:bCs/>
                <w:sz w:val="22"/>
                <w:szCs w:val="22"/>
                <w:lang w:val="ga"/>
              </w:rPr>
              <w:lastRenderedPageBreak/>
              <w:t>bhliain 2021 agus ní dhearna sé tuairisceán leithleach Chuid 5 don bhliain 2021)</w:t>
            </w:r>
          </w:p>
        </w:tc>
        <w:tc>
          <w:tcPr>
            <w:tcW w:w="1462" w:type="dxa"/>
          </w:tcPr>
          <w:p w14:paraId="78D1FD82" w14:textId="14ACEEC2" w:rsidR="00BB7838" w:rsidRPr="00D51778" w:rsidRDefault="00BB7838" w:rsidP="000539E7">
            <w:pPr>
              <w:jc w:val="right"/>
              <w:rPr>
                <w:sz w:val="22"/>
                <w:szCs w:val="22"/>
              </w:rPr>
            </w:pPr>
            <w:r w:rsidRPr="00D51778">
              <w:rPr>
                <w:rFonts w:cs="Calibri"/>
                <w:color w:val="000000"/>
                <w:sz w:val="22"/>
                <w:szCs w:val="22"/>
                <w:lang w:val="ga"/>
              </w:rPr>
              <w:lastRenderedPageBreak/>
              <w:t>15</w:t>
            </w:r>
          </w:p>
        </w:tc>
        <w:tc>
          <w:tcPr>
            <w:tcW w:w="1418" w:type="dxa"/>
          </w:tcPr>
          <w:p w14:paraId="2AF762DB" w14:textId="06010ED3" w:rsidR="00BB7838" w:rsidRPr="00D51778" w:rsidRDefault="00BB7838" w:rsidP="000539E7">
            <w:pPr>
              <w:jc w:val="right"/>
              <w:rPr>
                <w:sz w:val="22"/>
                <w:szCs w:val="22"/>
              </w:rPr>
            </w:pPr>
            <w:r w:rsidRPr="00D51778">
              <w:rPr>
                <w:rFonts w:cs="Calibri"/>
                <w:color w:val="000000"/>
                <w:sz w:val="22"/>
                <w:szCs w:val="22"/>
                <w:lang w:val="ga"/>
              </w:rPr>
              <w:t>0</w:t>
            </w:r>
          </w:p>
        </w:tc>
        <w:tc>
          <w:tcPr>
            <w:tcW w:w="1984" w:type="dxa"/>
          </w:tcPr>
          <w:p w14:paraId="6F98447F" w14:textId="69D2CED3" w:rsidR="00BB7838" w:rsidRPr="00D51778" w:rsidRDefault="00BB7838" w:rsidP="000539E7">
            <w:pPr>
              <w:jc w:val="right"/>
              <w:rPr>
                <w:sz w:val="22"/>
                <w:szCs w:val="22"/>
              </w:rPr>
            </w:pPr>
            <w:r w:rsidRPr="00D51778">
              <w:rPr>
                <w:rFonts w:cs="Calibri"/>
                <w:color w:val="000000"/>
                <w:sz w:val="22"/>
                <w:szCs w:val="22"/>
                <w:lang w:val="ga"/>
              </w:rPr>
              <w:t>0.0%</w:t>
            </w:r>
          </w:p>
        </w:tc>
        <w:tc>
          <w:tcPr>
            <w:tcW w:w="1560" w:type="dxa"/>
          </w:tcPr>
          <w:p w14:paraId="3F88AD47" w14:textId="1A2CF00D" w:rsidR="00BB7838" w:rsidRPr="00D51778" w:rsidRDefault="000539E7" w:rsidP="000539E7">
            <w:pPr>
              <w:jc w:val="right"/>
              <w:rPr>
                <w:sz w:val="22"/>
                <w:szCs w:val="22"/>
              </w:rPr>
            </w:pPr>
            <w:r w:rsidRPr="00D51778">
              <w:rPr>
                <w:sz w:val="22"/>
                <w:szCs w:val="22"/>
                <w:lang w:val="ga"/>
              </w:rPr>
              <w:t>-</w:t>
            </w:r>
          </w:p>
        </w:tc>
        <w:tc>
          <w:tcPr>
            <w:tcW w:w="1417" w:type="dxa"/>
          </w:tcPr>
          <w:p w14:paraId="796C616B" w14:textId="47A0BFB0" w:rsidR="00BB7838" w:rsidRPr="00D51778" w:rsidRDefault="000539E7" w:rsidP="000539E7">
            <w:pPr>
              <w:jc w:val="right"/>
              <w:rPr>
                <w:sz w:val="22"/>
                <w:szCs w:val="22"/>
              </w:rPr>
            </w:pPr>
            <w:r w:rsidRPr="00D51778">
              <w:rPr>
                <w:sz w:val="22"/>
                <w:szCs w:val="22"/>
                <w:lang w:val="ga"/>
              </w:rPr>
              <w:t>-</w:t>
            </w:r>
          </w:p>
        </w:tc>
        <w:tc>
          <w:tcPr>
            <w:tcW w:w="1798" w:type="dxa"/>
          </w:tcPr>
          <w:p w14:paraId="4DE243E6" w14:textId="4BA49F72" w:rsidR="00BB7838" w:rsidRPr="00D51778" w:rsidRDefault="000539E7" w:rsidP="000539E7">
            <w:pPr>
              <w:jc w:val="right"/>
              <w:rPr>
                <w:sz w:val="22"/>
                <w:szCs w:val="22"/>
              </w:rPr>
            </w:pPr>
            <w:r w:rsidRPr="00D51778">
              <w:rPr>
                <w:sz w:val="22"/>
                <w:szCs w:val="22"/>
                <w:lang w:val="ga"/>
              </w:rPr>
              <w:t>-</w:t>
            </w:r>
          </w:p>
        </w:tc>
      </w:tr>
      <w:tr w:rsidR="00BB7838" w:rsidRPr="00D51778" w14:paraId="7243F611" w14:textId="77777777" w:rsidTr="00C6651E">
        <w:trPr>
          <w:jc w:val="center"/>
        </w:trPr>
        <w:tc>
          <w:tcPr>
            <w:tcW w:w="1798" w:type="dxa"/>
            <w:vAlign w:val="bottom"/>
          </w:tcPr>
          <w:p w14:paraId="337259B4" w14:textId="365651F0" w:rsidR="00BB7838" w:rsidRPr="00D51778" w:rsidRDefault="00BB7838" w:rsidP="00BB7838">
            <w:pPr>
              <w:rPr>
                <w:sz w:val="22"/>
                <w:szCs w:val="22"/>
              </w:rPr>
            </w:pPr>
            <w:r w:rsidRPr="00D51778">
              <w:rPr>
                <w:rFonts w:cs="Calibri"/>
                <w:color w:val="000000"/>
                <w:sz w:val="22"/>
                <w:szCs w:val="22"/>
                <w:lang w:val="ga"/>
              </w:rPr>
              <w:t>Cuideachta Chuan Phort Láirge</w:t>
            </w:r>
          </w:p>
        </w:tc>
        <w:tc>
          <w:tcPr>
            <w:tcW w:w="1462" w:type="dxa"/>
          </w:tcPr>
          <w:p w14:paraId="44E83006" w14:textId="49504E29" w:rsidR="00BB7838" w:rsidRPr="00D51778" w:rsidRDefault="00BB7838" w:rsidP="000539E7">
            <w:pPr>
              <w:jc w:val="right"/>
              <w:rPr>
                <w:sz w:val="22"/>
                <w:szCs w:val="22"/>
              </w:rPr>
            </w:pPr>
            <w:r w:rsidRPr="00D51778">
              <w:rPr>
                <w:rFonts w:cs="Calibri"/>
                <w:color w:val="000000"/>
                <w:sz w:val="22"/>
                <w:szCs w:val="22"/>
                <w:lang w:val="ga"/>
              </w:rPr>
              <w:t>43</w:t>
            </w:r>
          </w:p>
        </w:tc>
        <w:tc>
          <w:tcPr>
            <w:tcW w:w="1418" w:type="dxa"/>
          </w:tcPr>
          <w:p w14:paraId="1A8723A8" w14:textId="71A25D09" w:rsidR="00BB7838" w:rsidRPr="00D51778" w:rsidRDefault="00BB7838" w:rsidP="000539E7">
            <w:pPr>
              <w:jc w:val="right"/>
              <w:rPr>
                <w:sz w:val="22"/>
                <w:szCs w:val="22"/>
              </w:rPr>
            </w:pPr>
            <w:r w:rsidRPr="00D51778">
              <w:rPr>
                <w:rFonts w:cs="Calibri"/>
                <w:color w:val="000000"/>
                <w:sz w:val="22"/>
                <w:szCs w:val="22"/>
                <w:lang w:val="ga"/>
              </w:rPr>
              <w:t>3</w:t>
            </w:r>
          </w:p>
        </w:tc>
        <w:tc>
          <w:tcPr>
            <w:tcW w:w="1984" w:type="dxa"/>
          </w:tcPr>
          <w:p w14:paraId="4D6FB6D4" w14:textId="575554B6" w:rsidR="00BB7838" w:rsidRPr="00D51778" w:rsidRDefault="00BB7838" w:rsidP="000539E7">
            <w:pPr>
              <w:jc w:val="right"/>
              <w:rPr>
                <w:sz w:val="22"/>
                <w:szCs w:val="22"/>
              </w:rPr>
            </w:pPr>
            <w:r w:rsidRPr="00D51778">
              <w:rPr>
                <w:rFonts w:cs="Calibri"/>
                <w:color w:val="000000"/>
                <w:sz w:val="22"/>
                <w:szCs w:val="22"/>
                <w:lang w:val="ga"/>
              </w:rPr>
              <w:t>7.0%</w:t>
            </w:r>
          </w:p>
        </w:tc>
        <w:tc>
          <w:tcPr>
            <w:tcW w:w="1560" w:type="dxa"/>
          </w:tcPr>
          <w:p w14:paraId="51C5B1D7" w14:textId="6AF09C10" w:rsidR="00BB7838" w:rsidRPr="00D51778" w:rsidRDefault="00BB7838" w:rsidP="000539E7">
            <w:pPr>
              <w:jc w:val="right"/>
              <w:rPr>
                <w:sz w:val="22"/>
                <w:szCs w:val="22"/>
              </w:rPr>
            </w:pPr>
            <w:r w:rsidRPr="00D51778">
              <w:rPr>
                <w:rFonts w:cs="Calibri"/>
                <w:color w:val="000000"/>
                <w:sz w:val="22"/>
                <w:szCs w:val="22"/>
                <w:lang w:val="ga"/>
              </w:rPr>
              <w:t>42</w:t>
            </w:r>
          </w:p>
        </w:tc>
        <w:tc>
          <w:tcPr>
            <w:tcW w:w="1417" w:type="dxa"/>
          </w:tcPr>
          <w:p w14:paraId="2844623E" w14:textId="1E2CE93D" w:rsidR="00BB7838" w:rsidRPr="00D51778" w:rsidRDefault="00BB7838" w:rsidP="000539E7">
            <w:pPr>
              <w:jc w:val="right"/>
              <w:rPr>
                <w:sz w:val="22"/>
                <w:szCs w:val="22"/>
              </w:rPr>
            </w:pPr>
            <w:r w:rsidRPr="00D51778">
              <w:rPr>
                <w:rFonts w:cs="Calibri"/>
                <w:color w:val="000000"/>
                <w:sz w:val="22"/>
                <w:szCs w:val="22"/>
                <w:lang w:val="ga"/>
              </w:rPr>
              <w:t>3</w:t>
            </w:r>
          </w:p>
        </w:tc>
        <w:tc>
          <w:tcPr>
            <w:tcW w:w="1798" w:type="dxa"/>
          </w:tcPr>
          <w:p w14:paraId="6279B5E5" w14:textId="1CAC697A" w:rsidR="00BB7838" w:rsidRPr="00D51778" w:rsidRDefault="00BB7838" w:rsidP="000539E7">
            <w:pPr>
              <w:jc w:val="right"/>
              <w:rPr>
                <w:sz w:val="22"/>
                <w:szCs w:val="22"/>
              </w:rPr>
            </w:pPr>
            <w:r w:rsidRPr="00D51778">
              <w:rPr>
                <w:rFonts w:cs="Calibri"/>
                <w:color w:val="000000"/>
                <w:sz w:val="22"/>
                <w:szCs w:val="22"/>
                <w:lang w:val="ga"/>
              </w:rPr>
              <w:t>7.1%</w:t>
            </w:r>
          </w:p>
        </w:tc>
      </w:tr>
      <w:tr w:rsidR="00BB7838" w:rsidRPr="00D51778" w14:paraId="61513E83" w14:textId="77777777" w:rsidTr="00C6651E">
        <w:trPr>
          <w:jc w:val="center"/>
        </w:trPr>
        <w:tc>
          <w:tcPr>
            <w:tcW w:w="1798" w:type="dxa"/>
            <w:vAlign w:val="bottom"/>
          </w:tcPr>
          <w:p w14:paraId="3443EF40" w14:textId="2892387C" w:rsidR="00BB7838" w:rsidRPr="00D51778" w:rsidRDefault="00BB7838" w:rsidP="00BB7838">
            <w:pPr>
              <w:rPr>
                <w:sz w:val="22"/>
                <w:szCs w:val="22"/>
              </w:rPr>
            </w:pPr>
            <w:r w:rsidRPr="00D51778">
              <w:rPr>
                <w:rFonts w:cs="Calibri"/>
                <w:color w:val="000000"/>
                <w:sz w:val="22"/>
                <w:szCs w:val="22"/>
                <w:lang w:val="ga"/>
              </w:rPr>
              <w:t>An tÚdarás um Shábháilteacht ar Bhóithre</w:t>
            </w:r>
          </w:p>
        </w:tc>
        <w:tc>
          <w:tcPr>
            <w:tcW w:w="1462" w:type="dxa"/>
          </w:tcPr>
          <w:p w14:paraId="2D3E3481" w14:textId="28D351E3" w:rsidR="00BB7838" w:rsidRPr="00D51778" w:rsidRDefault="00BB7838" w:rsidP="000539E7">
            <w:pPr>
              <w:jc w:val="right"/>
              <w:rPr>
                <w:sz w:val="22"/>
                <w:szCs w:val="22"/>
              </w:rPr>
            </w:pPr>
            <w:r w:rsidRPr="00D51778">
              <w:rPr>
                <w:rFonts w:cs="Calibri"/>
                <w:color w:val="000000"/>
                <w:sz w:val="22"/>
                <w:szCs w:val="22"/>
                <w:lang w:val="ga"/>
              </w:rPr>
              <w:t>411</w:t>
            </w:r>
          </w:p>
        </w:tc>
        <w:tc>
          <w:tcPr>
            <w:tcW w:w="1418" w:type="dxa"/>
          </w:tcPr>
          <w:p w14:paraId="467112ED" w14:textId="7CD81ECC" w:rsidR="00BB7838" w:rsidRPr="00D51778" w:rsidRDefault="00BB7838" w:rsidP="000539E7">
            <w:pPr>
              <w:jc w:val="right"/>
              <w:rPr>
                <w:sz w:val="22"/>
                <w:szCs w:val="22"/>
              </w:rPr>
            </w:pPr>
            <w:r w:rsidRPr="00D51778">
              <w:rPr>
                <w:rFonts w:cs="Calibri"/>
                <w:color w:val="000000"/>
                <w:sz w:val="22"/>
                <w:szCs w:val="22"/>
                <w:lang w:val="ga"/>
              </w:rPr>
              <w:t>21</w:t>
            </w:r>
          </w:p>
        </w:tc>
        <w:tc>
          <w:tcPr>
            <w:tcW w:w="1984" w:type="dxa"/>
          </w:tcPr>
          <w:p w14:paraId="7AEFF4AC" w14:textId="7F9F9EB5" w:rsidR="00BB7838" w:rsidRPr="00D51778" w:rsidRDefault="00BB7838" w:rsidP="000539E7">
            <w:pPr>
              <w:jc w:val="right"/>
              <w:rPr>
                <w:sz w:val="22"/>
                <w:szCs w:val="22"/>
              </w:rPr>
            </w:pPr>
            <w:r w:rsidRPr="00D51778">
              <w:rPr>
                <w:rFonts w:cs="Calibri"/>
                <w:color w:val="000000"/>
                <w:sz w:val="22"/>
                <w:szCs w:val="22"/>
                <w:lang w:val="ga"/>
              </w:rPr>
              <w:t>5.1%</w:t>
            </w:r>
          </w:p>
        </w:tc>
        <w:tc>
          <w:tcPr>
            <w:tcW w:w="1560" w:type="dxa"/>
          </w:tcPr>
          <w:p w14:paraId="628A5DDF" w14:textId="2B9FF3BF" w:rsidR="00BB7838" w:rsidRPr="00D51778" w:rsidRDefault="00BB7838" w:rsidP="000539E7">
            <w:pPr>
              <w:jc w:val="right"/>
              <w:rPr>
                <w:sz w:val="22"/>
                <w:szCs w:val="22"/>
              </w:rPr>
            </w:pPr>
            <w:r w:rsidRPr="00D51778">
              <w:rPr>
                <w:rFonts w:cs="Calibri"/>
                <w:color w:val="000000"/>
                <w:sz w:val="22"/>
                <w:szCs w:val="22"/>
                <w:lang w:val="ga"/>
              </w:rPr>
              <w:t>430</w:t>
            </w:r>
          </w:p>
        </w:tc>
        <w:tc>
          <w:tcPr>
            <w:tcW w:w="1417" w:type="dxa"/>
          </w:tcPr>
          <w:p w14:paraId="714029B9" w14:textId="3BFC7D50" w:rsidR="00BB7838" w:rsidRPr="00D51778" w:rsidRDefault="00BB7838" w:rsidP="000539E7">
            <w:pPr>
              <w:jc w:val="right"/>
              <w:rPr>
                <w:sz w:val="22"/>
                <w:szCs w:val="22"/>
              </w:rPr>
            </w:pPr>
            <w:r w:rsidRPr="00D51778">
              <w:rPr>
                <w:rFonts w:cs="Calibri"/>
                <w:color w:val="000000"/>
                <w:sz w:val="22"/>
                <w:szCs w:val="22"/>
                <w:lang w:val="ga"/>
              </w:rPr>
              <w:t>23</w:t>
            </w:r>
          </w:p>
        </w:tc>
        <w:tc>
          <w:tcPr>
            <w:tcW w:w="1798" w:type="dxa"/>
          </w:tcPr>
          <w:p w14:paraId="458D85C2" w14:textId="1D572140" w:rsidR="00BB7838" w:rsidRPr="00D51778" w:rsidRDefault="00BB7838" w:rsidP="000539E7">
            <w:pPr>
              <w:jc w:val="right"/>
              <w:rPr>
                <w:sz w:val="22"/>
                <w:szCs w:val="22"/>
              </w:rPr>
            </w:pPr>
            <w:r w:rsidRPr="00D51778">
              <w:rPr>
                <w:rFonts w:cs="Calibri"/>
                <w:color w:val="000000"/>
                <w:sz w:val="22"/>
                <w:szCs w:val="22"/>
                <w:lang w:val="ga"/>
              </w:rPr>
              <w:t>5.4%</w:t>
            </w:r>
          </w:p>
        </w:tc>
      </w:tr>
      <w:tr w:rsidR="00BB7838" w:rsidRPr="00D51778" w14:paraId="53D60921" w14:textId="77777777" w:rsidTr="00C6651E">
        <w:trPr>
          <w:jc w:val="center"/>
        </w:trPr>
        <w:tc>
          <w:tcPr>
            <w:tcW w:w="1798" w:type="dxa"/>
            <w:vAlign w:val="bottom"/>
          </w:tcPr>
          <w:p w14:paraId="04D81C08" w14:textId="0C8DC4CB" w:rsidR="00BB7838" w:rsidRPr="00D51778" w:rsidRDefault="00BB7838" w:rsidP="00BB7838">
            <w:pPr>
              <w:rPr>
                <w:sz w:val="22"/>
                <w:szCs w:val="22"/>
              </w:rPr>
            </w:pPr>
            <w:r w:rsidRPr="00D51778">
              <w:rPr>
                <w:rFonts w:cs="Calibri"/>
                <w:color w:val="000000"/>
                <w:sz w:val="22"/>
                <w:szCs w:val="22"/>
                <w:lang w:val="ga"/>
              </w:rPr>
              <w:t>Cuideachta Phort na Sionainne agus Fhainge</w:t>
            </w:r>
          </w:p>
        </w:tc>
        <w:tc>
          <w:tcPr>
            <w:tcW w:w="1462" w:type="dxa"/>
          </w:tcPr>
          <w:p w14:paraId="71B81CB8" w14:textId="4DF946E2" w:rsidR="00BB7838" w:rsidRPr="00D51778" w:rsidRDefault="00BB7838" w:rsidP="000539E7">
            <w:pPr>
              <w:jc w:val="right"/>
              <w:rPr>
                <w:sz w:val="22"/>
                <w:szCs w:val="22"/>
              </w:rPr>
            </w:pPr>
            <w:r w:rsidRPr="00D51778">
              <w:rPr>
                <w:rFonts w:cs="Calibri"/>
                <w:color w:val="000000"/>
                <w:sz w:val="22"/>
                <w:szCs w:val="22"/>
                <w:lang w:val="ga"/>
              </w:rPr>
              <w:t>63</w:t>
            </w:r>
          </w:p>
        </w:tc>
        <w:tc>
          <w:tcPr>
            <w:tcW w:w="1418" w:type="dxa"/>
          </w:tcPr>
          <w:p w14:paraId="3F32B96D" w14:textId="0A22741F" w:rsidR="00BB7838" w:rsidRPr="00D51778" w:rsidRDefault="00BB7838" w:rsidP="000539E7">
            <w:pPr>
              <w:jc w:val="right"/>
              <w:rPr>
                <w:sz w:val="22"/>
                <w:szCs w:val="22"/>
              </w:rPr>
            </w:pPr>
            <w:r w:rsidRPr="00D51778">
              <w:rPr>
                <w:rFonts w:cs="Calibri"/>
                <w:color w:val="000000"/>
                <w:sz w:val="22"/>
                <w:szCs w:val="22"/>
                <w:lang w:val="ga"/>
              </w:rPr>
              <w:t>2</w:t>
            </w:r>
          </w:p>
        </w:tc>
        <w:tc>
          <w:tcPr>
            <w:tcW w:w="1984" w:type="dxa"/>
          </w:tcPr>
          <w:p w14:paraId="18006ABC" w14:textId="299888BB" w:rsidR="00BB7838" w:rsidRPr="00D51778" w:rsidRDefault="00BB7838" w:rsidP="000539E7">
            <w:pPr>
              <w:jc w:val="right"/>
              <w:rPr>
                <w:sz w:val="22"/>
                <w:szCs w:val="22"/>
              </w:rPr>
            </w:pPr>
            <w:r w:rsidRPr="00D51778">
              <w:rPr>
                <w:rFonts w:cs="Calibri"/>
                <w:color w:val="000000"/>
                <w:sz w:val="22"/>
                <w:szCs w:val="22"/>
                <w:lang w:val="ga"/>
              </w:rPr>
              <w:t>3.2%</w:t>
            </w:r>
          </w:p>
        </w:tc>
        <w:tc>
          <w:tcPr>
            <w:tcW w:w="1560" w:type="dxa"/>
          </w:tcPr>
          <w:p w14:paraId="630B637F" w14:textId="3256A973" w:rsidR="00BB7838" w:rsidRPr="00D51778" w:rsidRDefault="00BB7838" w:rsidP="000539E7">
            <w:pPr>
              <w:jc w:val="right"/>
              <w:rPr>
                <w:sz w:val="22"/>
                <w:szCs w:val="22"/>
              </w:rPr>
            </w:pPr>
            <w:r w:rsidRPr="00D51778">
              <w:rPr>
                <w:rFonts w:cs="Calibri"/>
                <w:color w:val="000000"/>
                <w:sz w:val="22"/>
                <w:szCs w:val="22"/>
                <w:lang w:val="ga"/>
              </w:rPr>
              <w:t>63</w:t>
            </w:r>
          </w:p>
        </w:tc>
        <w:tc>
          <w:tcPr>
            <w:tcW w:w="1417" w:type="dxa"/>
          </w:tcPr>
          <w:p w14:paraId="46F4D7A0" w14:textId="606029B9" w:rsidR="00BB7838" w:rsidRPr="00D51778" w:rsidRDefault="00BB7838" w:rsidP="000539E7">
            <w:pPr>
              <w:jc w:val="right"/>
              <w:rPr>
                <w:sz w:val="22"/>
                <w:szCs w:val="22"/>
              </w:rPr>
            </w:pPr>
            <w:r w:rsidRPr="00D51778">
              <w:rPr>
                <w:rFonts w:cs="Calibri"/>
                <w:color w:val="000000"/>
                <w:sz w:val="22"/>
                <w:szCs w:val="22"/>
                <w:lang w:val="ga"/>
              </w:rPr>
              <w:t>2</w:t>
            </w:r>
          </w:p>
        </w:tc>
        <w:tc>
          <w:tcPr>
            <w:tcW w:w="1798" w:type="dxa"/>
          </w:tcPr>
          <w:p w14:paraId="3A0102D2" w14:textId="32A34302" w:rsidR="00BB7838" w:rsidRPr="00D51778" w:rsidRDefault="00BB7838" w:rsidP="000539E7">
            <w:pPr>
              <w:jc w:val="right"/>
              <w:rPr>
                <w:sz w:val="22"/>
                <w:szCs w:val="22"/>
              </w:rPr>
            </w:pPr>
            <w:r w:rsidRPr="00D51778">
              <w:rPr>
                <w:rFonts w:cs="Calibri"/>
                <w:color w:val="000000"/>
                <w:sz w:val="22"/>
                <w:szCs w:val="22"/>
                <w:lang w:val="ga"/>
              </w:rPr>
              <w:t>3.2%</w:t>
            </w:r>
          </w:p>
        </w:tc>
      </w:tr>
      <w:tr w:rsidR="00BB7838" w:rsidRPr="00D51778" w14:paraId="29DC3523" w14:textId="77777777" w:rsidTr="00C6651E">
        <w:trPr>
          <w:jc w:val="center"/>
        </w:trPr>
        <w:tc>
          <w:tcPr>
            <w:tcW w:w="1798" w:type="dxa"/>
            <w:vAlign w:val="bottom"/>
          </w:tcPr>
          <w:p w14:paraId="552924D5" w14:textId="79438842" w:rsidR="00BB7838" w:rsidRPr="00D51778" w:rsidRDefault="00BB7838" w:rsidP="00BB7838">
            <w:pPr>
              <w:rPr>
                <w:sz w:val="22"/>
                <w:szCs w:val="22"/>
              </w:rPr>
            </w:pPr>
            <w:r w:rsidRPr="00D51778">
              <w:rPr>
                <w:rFonts w:cs="Calibri"/>
                <w:color w:val="000000"/>
                <w:sz w:val="22"/>
                <w:szCs w:val="22"/>
                <w:lang w:val="ga"/>
              </w:rPr>
              <w:t>Grúpa na Sionainne cpt</w:t>
            </w:r>
          </w:p>
        </w:tc>
        <w:tc>
          <w:tcPr>
            <w:tcW w:w="1462" w:type="dxa"/>
          </w:tcPr>
          <w:p w14:paraId="2676E429" w14:textId="6F2128A3" w:rsidR="00BB7838" w:rsidRPr="00D51778" w:rsidRDefault="00BB7838" w:rsidP="000539E7">
            <w:pPr>
              <w:jc w:val="right"/>
              <w:rPr>
                <w:sz w:val="22"/>
                <w:szCs w:val="22"/>
              </w:rPr>
            </w:pPr>
            <w:r w:rsidRPr="00D51778">
              <w:rPr>
                <w:rFonts w:cs="Calibri"/>
                <w:color w:val="000000"/>
                <w:sz w:val="22"/>
                <w:szCs w:val="22"/>
                <w:lang w:val="ga"/>
              </w:rPr>
              <w:t>450</w:t>
            </w:r>
          </w:p>
        </w:tc>
        <w:tc>
          <w:tcPr>
            <w:tcW w:w="1418" w:type="dxa"/>
          </w:tcPr>
          <w:p w14:paraId="3A1BB822" w14:textId="66CD6E0D" w:rsidR="00BB7838" w:rsidRPr="00D51778" w:rsidRDefault="00BB7838" w:rsidP="000539E7">
            <w:pPr>
              <w:jc w:val="right"/>
              <w:rPr>
                <w:sz w:val="22"/>
                <w:szCs w:val="22"/>
              </w:rPr>
            </w:pPr>
            <w:r w:rsidRPr="00D51778">
              <w:rPr>
                <w:rFonts w:cs="Calibri"/>
                <w:color w:val="000000"/>
                <w:sz w:val="22"/>
                <w:szCs w:val="22"/>
                <w:lang w:val="ga"/>
              </w:rPr>
              <w:t>20</w:t>
            </w:r>
          </w:p>
        </w:tc>
        <w:tc>
          <w:tcPr>
            <w:tcW w:w="1984" w:type="dxa"/>
          </w:tcPr>
          <w:p w14:paraId="5473D5E1" w14:textId="5BC234E4" w:rsidR="00BB7838" w:rsidRPr="00D51778" w:rsidRDefault="00BB7838" w:rsidP="000539E7">
            <w:pPr>
              <w:jc w:val="right"/>
              <w:rPr>
                <w:sz w:val="22"/>
                <w:szCs w:val="22"/>
              </w:rPr>
            </w:pPr>
            <w:r w:rsidRPr="00D51778">
              <w:rPr>
                <w:rFonts w:cs="Calibri"/>
                <w:color w:val="000000"/>
                <w:sz w:val="22"/>
                <w:szCs w:val="22"/>
                <w:lang w:val="ga"/>
              </w:rPr>
              <w:t>4.4%</w:t>
            </w:r>
          </w:p>
        </w:tc>
        <w:tc>
          <w:tcPr>
            <w:tcW w:w="1560" w:type="dxa"/>
          </w:tcPr>
          <w:p w14:paraId="7AE0F74B" w14:textId="41AF6A0F" w:rsidR="00BB7838" w:rsidRPr="00D51778" w:rsidRDefault="00BB7838" w:rsidP="000539E7">
            <w:pPr>
              <w:jc w:val="right"/>
              <w:rPr>
                <w:sz w:val="22"/>
                <w:szCs w:val="22"/>
              </w:rPr>
            </w:pPr>
            <w:r w:rsidRPr="00D51778">
              <w:rPr>
                <w:rFonts w:cs="Calibri"/>
                <w:color w:val="000000"/>
                <w:sz w:val="22"/>
                <w:szCs w:val="22"/>
                <w:lang w:val="ga"/>
              </w:rPr>
              <w:t>430</w:t>
            </w:r>
          </w:p>
        </w:tc>
        <w:tc>
          <w:tcPr>
            <w:tcW w:w="1417" w:type="dxa"/>
          </w:tcPr>
          <w:p w14:paraId="237C014B" w14:textId="642D78DE" w:rsidR="00BB7838" w:rsidRPr="00D51778" w:rsidRDefault="00BB7838" w:rsidP="000539E7">
            <w:pPr>
              <w:jc w:val="right"/>
              <w:rPr>
                <w:sz w:val="22"/>
                <w:szCs w:val="22"/>
              </w:rPr>
            </w:pPr>
            <w:r w:rsidRPr="00D51778">
              <w:rPr>
                <w:rFonts w:cs="Calibri"/>
                <w:color w:val="000000"/>
                <w:sz w:val="22"/>
                <w:szCs w:val="22"/>
                <w:lang w:val="ga"/>
              </w:rPr>
              <w:t>16</w:t>
            </w:r>
          </w:p>
        </w:tc>
        <w:tc>
          <w:tcPr>
            <w:tcW w:w="1798" w:type="dxa"/>
          </w:tcPr>
          <w:p w14:paraId="674A5643" w14:textId="3C4E6464" w:rsidR="00BB7838" w:rsidRPr="00D51778" w:rsidRDefault="00BB7838" w:rsidP="000539E7">
            <w:pPr>
              <w:jc w:val="right"/>
              <w:rPr>
                <w:sz w:val="22"/>
                <w:szCs w:val="22"/>
              </w:rPr>
            </w:pPr>
            <w:r w:rsidRPr="00D51778">
              <w:rPr>
                <w:rFonts w:cs="Calibri"/>
                <w:color w:val="000000"/>
                <w:sz w:val="22"/>
                <w:szCs w:val="22"/>
                <w:lang w:val="ga"/>
              </w:rPr>
              <w:t>3.7%</w:t>
            </w:r>
          </w:p>
        </w:tc>
      </w:tr>
      <w:tr w:rsidR="00BB7838" w:rsidRPr="00D51778" w14:paraId="16ECB405" w14:textId="77777777" w:rsidTr="00C6651E">
        <w:trPr>
          <w:jc w:val="center"/>
        </w:trPr>
        <w:tc>
          <w:tcPr>
            <w:tcW w:w="1798" w:type="dxa"/>
            <w:vAlign w:val="bottom"/>
          </w:tcPr>
          <w:p w14:paraId="7FEF4FA9" w14:textId="2ECF5279" w:rsidR="00BB7838" w:rsidRPr="00D51778" w:rsidRDefault="00BB7838" w:rsidP="00BB7838">
            <w:pPr>
              <w:rPr>
                <w:sz w:val="22"/>
                <w:szCs w:val="22"/>
              </w:rPr>
            </w:pPr>
            <w:r w:rsidRPr="00D51778">
              <w:rPr>
                <w:rFonts w:cs="Calibri"/>
                <w:color w:val="000000"/>
                <w:sz w:val="22"/>
                <w:szCs w:val="22"/>
                <w:lang w:val="ga"/>
              </w:rPr>
              <w:t>Bonneagar Iompair Éireann</w:t>
            </w:r>
          </w:p>
        </w:tc>
        <w:tc>
          <w:tcPr>
            <w:tcW w:w="1462" w:type="dxa"/>
          </w:tcPr>
          <w:p w14:paraId="1ACFFF55" w14:textId="6620DB91" w:rsidR="00BB7838" w:rsidRPr="00D51778" w:rsidRDefault="00BB7838" w:rsidP="000539E7">
            <w:pPr>
              <w:jc w:val="right"/>
              <w:rPr>
                <w:sz w:val="22"/>
                <w:szCs w:val="22"/>
              </w:rPr>
            </w:pPr>
            <w:r w:rsidRPr="00D51778">
              <w:rPr>
                <w:rFonts w:cs="Calibri"/>
                <w:color w:val="000000"/>
                <w:sz w:val="22"/>
                <w:szCs w:val="22"/>
                <w:lang w:val="ga"/>
              </w:rPr>
              <w:t>274</w:t>
            </w:r>
          </w:p>
        </w:tc>
        <w:tc>
          <w:tcPr>
            <w:tcW w:w="1418" w:type="dxa"/>
          </w:tcPr>
          <w:p w14:paraId="388319F3" w14:textId="7203C9AD" w:rsidR="00BB7838" w:rsidRPr="00D51778" w:rsidRDefault="00BB7838" w:rsidP="000539E7">
            <w:pPr>
              <w:jc w:val="right"/>
              <w:rPr>
                <w:sz w:val="22"/>
                <w:szCs w:val="22"/>
              </w:rPr>
            </w:pPr>
            <w:r w:rsidRPr="00D51778">
              <w:rPr>
                <w:rFonts w:cs="Calibri"/>
                <w:color w:val="000000"/>
                <w:sz w:val="22"/>
                <w:szCs w:val="22"/>
                <w:lang w:val="ga"/>
              </w:rPr>
              <w:t>11</w:t>
            </w:r>
          </w:p>
        </w:tc>
        <w:tc>
          <w:tcPr>
            <w:tcW w:w="1984" w:type="dxa"/>
          </w:tcPr>
          <w:p w14:paraId="1887505A" w14:textId="4473E931" w:rsidR="00BB7838" w:rsidRPr="00D51778" w:rsidRDefault="00BB7838" w:rsidP="000539E7">
            <w:pPr>
              <w:jc w:val="right"/>
              <w:rPr>
                <w:sz w:val="22"/>
                <w:szCs w:val="22"/>
              </w:rPr>
            </w:pPr>
            <w:r w:rsidRPr="00D51778">
              <w:rPr>
                <w:rFonts w:cs="Calibri"/>
                <w:color w:val="000000"/>
                <w:sz w:val="22"/>
                <w:szCs w:val="22"/>
                <w:lang w:val="ga"/>
              </w:rPr>
              <w:t>4.0%</w:t>
            </w:r>
          </w:p>
        </w:tc>
        <w:tc>
          <w:tcPr>
            <w:tcW w:w="1560" w:type="dxa"/>
          </w:tcPr>
          <w:p w14:paraId="1A2254B4" w14:textId="01848DA8" w:rsidR="00BB7838" w:rsidRPr="00D51778" w:rsidRDefault="00BB7838" w:rsidP="000539E7">
            <w:pPr>
              <w:jc w:val="right"/>
              <w:rPr>
                <w:sz w:val="22"/>
                <w:szCs w:val="22"/>
              </w:rPr>
            </w:pPr>
            <w:r w:rsidRPr="00D51778">
              <w:rPr>
                <w:rFonts w:cs="Calibri"/>
                <w:color w:val="000000"/>
                <w:sz w:val="22"/>
                <w:szCs w:val="22"/>
                <w:lang w:val="ga"/>
              </w:rPr>
              <w:t>281</w:t>
            </w:r>
          </w:p>
        </w:tc>
        <w:tc>
          <w:tcPr>
            <w:tcW w:w="1417" w:type="dxa"/>
          </w:tcPr>
          <w:p w14:paraId="32184639" w14:textId="3F82D49C" w:rsidR="00BB7838" w:rsidRPr="00D51778" w:rsidRDefault="00BB7838" w:rsidP="000539E7">
            <w:pPr>
              <w:jc w:val="right"/>
              <w:rPr>
                <w:sz w:val="22"/>
                <w:szCs w:val="22"/>
              </w:rPr>
            </w:pPr>
            <w:r w:rsidRPr="00D51778">
              <w:rPr>
                <w:rFonts w:cs="Calibri"/>
                <w:color w:val="000000"/>
                <w:sz w:val="22"/>
                <w:szCs w:val="22"/>
                <w:lang w:val="ga"/>
              </w:rPr>
              <w:t>12</w:t>
            </w:r>
          </w:p>
        </w:tc>
        <w:tc>
          <w:tcPr>
            <w:tcW w:w="1798" w:type="dxa"/>
          </w:tcPr>
          <w:p w14:paraId="684AC176" w14:textId="266E20CE" w:rsidR="00BB7838" w:rsidRPr="00D51778" w:rsidRDefault="00BB7838" w:rsidP="000539E7">
            <w:pPr>
              <w:jc w:val="right"/>
              <w:rPr>
                <w:sz w:val="22"/>
                <w:szCs w:val="22"/>
              </w:rPr>
            </w:pPr>
            <w:r w:rsidRPr="00D51778">
              <w:rPr>
                <w:rFonts w:cs="Calibri"/>
                <w:color w:val="000000"/>
                <w:sz w:val="22"/>
                <w:szCs w:val="22"/>
                <w:lang w:val="ga"/>
              </w:rPr>
              <w:t>4.3%</w:t>
            </w:r>
          </w:p>
        </w:tc>
      </w:tr>
      <w:tr w:rsidR="00C77EBD" w:rsidRPr="00D51778" w14:paraId="211D042A" w14:textId="77777777" w:rsidTr="00C6651E">
        <w:trPr>
          <w:trHeight w:val="529"/>
          <w:jc w:val="center"/>
        </w:trPr>
        <w:tc>
          <w:tcPr>
            <w:tcW w:w="1798" w:type="dxa"/>
            <w:vAlign w:val="bottom"/>
          </w:tcPr>
          <w:p w14:paraId="45F72AB0" w14:textId="77777777" w:rsidR="00C77EBD" w:rsidRPr="00D51778" w:rsidRDefault="00C77EBD" w:rsidP="000A2B2C">
            <w:pPr>
              <w:spacing w:after="0"/>
              <w:rPr>
                <w:b/>
                <w:sz w:val="22"/>
                <w:szCs w:val="22"/>
              </w:rPr>
            </w:pPr>
            <w:r w:rsidRPr="00D51778">
              <w:rPr>
                <w:b/>
                <w:bCs/>
                <w:sz w:val="22"/>
                <w:szCs w:val="22"/>
                <w:lang w:val="ga"/>
              </w:rPr>
              <w:t xml:space="preserve">Mór-Iomlán </w:t>
            </w:r>
          </w:p>
          <w:p w14:paraId="169F8CFA" w14:textId="6B15FF7C" w:rsidR="00C55ED5" w:rsidRPr="00D51778" w:rsidRDefault="00C55ED5" w:rsidP="000A2B2C">
            <w:pPr>
              <w:spacing w:after="0"/>
              <w:rPr>
                <w:sz w:val="22"/>
                <w:szCs w:val="22"/>
              </w:rPr>
            </w:pPr>
          </w:p>
        </w:tc>
        <w:tc>
          <w:tcPr>
            <w:tcW w:w="1462" w:type="dxa"/>
          </w:tcPr>
          <w:p w14:paraId="147ABF0C" w14:textId="455CD4B5"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15,765</w:t>
            </w:r>
          </w:p>
          <w:p w14:paraId="01EFFEA8" w14:textId="6004B94A" w:rsidR="00C77EBD" w:rsidRPr="00D51778" w:rsidRDefault="00C77EBD" w:rsidP="000A2B2C">
            <w:pPr>
              <w:spacing w:after="0"/>
              <w:jc w:val="right"/>
              <w:rPr>
                <w:b/>
                <w:sz w:val="22"/>
                <w:szCs w:val="22"/>
              </w:rPr>
            </w:pPr>
          </w:p>
        </w:tc>
        <w:tc>
          <w:tcPr>
            <w:tcW w:w="1418" w:type="dxa"/>
          </w:tcPr>
          <w:p w14:paraId="43A05A79" w14:textId="77777777"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783</w:t>
            </w:r>
          </w:p>
          <w:p w14:paraId="6F093078" w14:textId="4792A65B" w:rsidR="00C77EBD" w:rsidRPr="00D51778" w:rsidRDefault="00C77EBD" w:rsidP="000A2B2C">
            <w:pPr>
              <w:spacing w:after="0"/>
              <w:jc w:val="right"/>
              <w:rPr>
                <w:b/>
                <w:sz w:val="22"/>
                <w:szCs w:val="22"/>
              </w:rPr>
            </w:pPr>
          </w:p>
        </w:tc>
        <w:tc>
          <w:tcPr>
            <w:tcW w:w="1984" w:type="dxa"/>
          </w:tcPr>
          <w:p w14:paraId="4E9569B3" w14:textId="6092729A" w:rsidR="00C77EBD" w:rsidRPr="00D51778" w:rsidRDefault="00723C4D" w:rsidP="000A2B2C">
            <w:pPr>
              <w:spacing w:after="0"/>
              <w:jc w:val="right"/>
              <w:rPr>
                <w:b/>
                <w:sz w:val="22"/>
                <w:szCs w:val="22"/>
              </w:rPr>
            </w:pPr>
            <w:r w:rsidRPr="00D51778">
              <w:rPr>
                <w:b/>
                <w:bCs/>
                <w:sz w:val="22"/>
                <w:szCs w:val="22"/>
                <w:lang w:val="ga"/>
              </w:rPr>
              <w:t>5.0%</w:t>
            </w:r>
          </w:p>
        </w:tc>
        <w:tc>
          <w:tcPr>
            <w:tcW w:w="1560" w:type="dxa"/>
          </w:tcPr>
          <w:p w14:paraId="3781AD70" w14:textId="19A7D033"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15,854</w:t>
            </w:r>
          </w:p>
          <w:p w14:paraId="5504DD68" w14:textId="738F4940" w:rsidR="00C77EBD" w:rsidRPr="00D51778" w:rsidRDefault="00C77EBD" w:rsidP="000A2B2C">
            <w:pPr>
              <w:spacing w:after="0"/>
              <w:jc w:val="right"/>
              <w:rPr>
                <w:b/>
                <w:sz w:val="22"/>
                <w:szCs w:val="22"/>
              </w:rPr>
            </w:pPr>
          </w:p>
        </w:tc>
        <w:tc>
          <w:tcPr>
            <w:tcW w:w="1417" w:type="dxa"/>
          </w:tcPr>
          <w:p w14:paraId="4E3AAF8F" w14:textId="77777777" w:rsidR="00F1200C" w:rsidRPr="00D51778" w:rsidRDefault="00F1200C" w:rsidP="000A2B2C">
            <w:pPr>
              <w:spacing w:after="0"/>
              <w:jc w:val="right"/>
              <w:rPr>
                <w:rFonts w:cs="Calibri"/>
                <w:b/>
                <w:bCs/>
                <w:color w:val="000000"/>
                <w:sz w:val="22"/>
                <w:szCs w:val="22"/>
              </w:rPr>
            </w:pPr>
            <w:r w:rsidRPr="00D51778">
              <w:rPr>
                <w:rFonts w:cs="Calibri"/>
                <w:b/>
                <w:bCs/>
                <w:color w:val="000000"/>
                <w:sz w:val="22"/>
                <w:szCs w:val="22"/>
                <w:lang w:val="ga"/>
              </w:rPr>
              <w:t>835</w:t>
            </w:r>
          </w:p>
          <w:p w14:paraId="36AEAF68" w14:textId="33D7A986" w:rsidR="00C77EBD" w:rsidRPr="00D51778" w:rsidRDefault="00C77EBD" w:rsidP="000A2B2C">
            <w:pPr>
              <w:spacing w:after="0"/>
              <w:jc w:val="right"/>
              <w:rPr>
                <w:b/>
                <w:sz w:val="22"/>
                <w:szCs w:val="22"/>
              </w:rPr>
            </w:pPr>
          </w:p>
        </w:tc>
        <w:tc>
          <w:tcPr>
            <w:tcW w:w="1798" w:type="dxa"/>
          </w:tcPr>
          <w:p w14:paraId="668BED57" w14:textId="38A63315" w:rsidR="00C77EBD" w:rsidRPr="00D51778" w:rsidRDefault="00723C4D" w:rsidP="000A2B2C">
            <w:pPr>
              <w:spacing w:after="0"/>
              <w:jc w:val="right"/>
              <w:rPr>
                <w:b/>
                <w:sz w:val="22"/>
                <w:szCs w:val="22"/>
              </w:rPr>
            </w:pPr>
            <w:r w:rsidRPr="00D51778">
              <w:rPr>
                <w:b/>
                <w:bCs/>
                <w:sz w:val="22"/>
                <w:szCs w:val="22"/>
                <w:lang w:val="ga"/>
              </w:rPr>
              <w:t>5.3%</w:t>
            </w:r>
          </w:p>
        </w:tc>
      </w:tr>
    </w:tbl>
    <w:p w14:paraId="22B0434A" w14:textId="3C7F08FA" w:rsidR="00973B13" w:rsidRPr="00D51778" w:rsidRDefault="005D2DC5" w:rsidP="00092F8C">
      <w:pPr>
        <w:jc w:val="both"/>
      </w:pPr>
      <w:r w:rsidRPr="00D51778">
        <w:rPr>
          <w:lang w:val="ga"/>
        </w:rPr>
        <w:br w:type="page"/>
      </w:r>
    </w:p>
    <w:p w14:paraId="1D9C6174" w14:textId="7B77C184" w:rsidR="00113CEE" w:rsidRPr="00D51778" w:rsidRDefault="00113CEE" w:rsidP="00973B13">
      <w:pPr>
        <w:rPr>
          <w:sz w:val="22"/>
          <w:szCs w:val="22"/>
        </w:rPr>
      </w:pPr>
    </w:p>
    <w:p w14:paraId="3C47D98B" w14:textId="35EC2B85" w:rsidR="00456933" w:rsidRPr="00D51778" w:rsidRDefault="00456933" w:rsidP="00973B13">
      <w:pPr>
        <w:rPr>
          <w:sz w:val="22"/>
          <w:szCs w:val="22"/>
        </w:rPr>
      </w:pPr>
    </w:p>
    <w:p w14:paraId="404E5C4B" w14:textId="116B51CC" w:rsidR="00456933" w:rsidRPr="00D51778" w:rsidRDefault="00456933" w:rsidP="00973B13">
      <w:pPr>
        <w:rPr>
          <w:sz w:val="22"/>
          <w:szCs w:val="22"/>
        </w:rPr>
      </w:pPr>
    </w:p>
    <w:p w14:paraId="5D2DADA3" w14:textId="12D1D03F" w:rsidR="00456933" w:rsidRPr="00D51778" w:rsidRDefault="00456933" w:rsidP="00973B13">
      <w:pPr>
        <w:rPr>
          <w:sz w:val="22"/>
          <w:szCs w:val="22"/>
        </w:rPr>
      </w:pPr>
    </w:p>
    <w:p w14:paraId="162ECA78" w14:textId="77777777" w:rsidR="00456933" w:rsidRPr="00D51778" w:rsidRDefault="00456933" w:rsidP="00973B13">
      <w:pPr>
        <w:rPr>
          <w:sz w:val="22"/>
          <w:szCs w:val="22"/>
        </w:rPr>
      </w:pPr>
    </w:p>
    <w:p w14:paraId="7EB9E877" w14:textId="5397BF8B" w:rsidR="00113CEE" w:rsidRPr="00D51778" w:rsidRDefault="00113CEE" w:rsidP="00973B13">
      <w:pPr>
        <w:rPr>
          <w:rFonts w:ascii="Rockwell" w:hAnsi="Rockwell"/>
        </w:rPr>
      </w:pPr>
    </w:p>
    <w:p w14:paraId="7F9C26D6" w14:textId="5B10434C" w:rsidR="00113CEE" w:rsidRPr="00D51778" w:rsidRDefault="00113CEE" w:rsidP="00973B13">
      <w:pPr>
        <w:rPr>
          <w:rFonts w:ascii="Rockwell" w:hAnsi="Rockwell"/>
        </w:rPr>
      </w:pPr>
    </w:p>
    <w:p w14:paraId="19F29BA5" w14:textId="2FC26BC5" w:rsidR="00113CEE" w:rsidRPr="00D51778" w:rsidRDefault="00113CEE" w:rsidP="00973B13">
      <w:pPr>
        <w:rPr>
          <w:rFonts w:ascii="Rockwell" w:hAnsi="Rockwell"/>
        </w:rPr>
      </w:pPr>
    </w:p>
    <w:p w14:paraId="50AD41A0" w14:textId="1A26E5E7" w:rsidR="00113CEE" w:rsidRPr="00D51778" w:rsidRDefault="00113CEE" w:rsidP="00973B13">
      <w:pPr>
        <w:rPr>
          <w:rFonts w:ascii="Rockwell" w:hAnsi="Rockwell"/>
        </w:rPr>
      </w:pPr>
    </w:p>
    <w:p w14:paraId="614E8EC1" w14:textId="4EA1C26F" w:rsidR="00113CEE" w:rsidRPr="00D51778" w:rsidRDefault="00113CEE" w:rsidP="00973B13">
      <w:pPr>
        <w:rPr>
          <w:rFonts w:ascii="Rockwell" w:hAnsi="Rockwell"/>
        </w:rPr>
      </w:pPr>
    </w:p>
    <w:p w14:paraId="777A139D" w14:textId="657A8AEF" w:rsidR="00C85DAB" w:rsidRPr="00D51778" w:rsidRDefault="00C85DAB" w:rsidP="00973B13">
      <w:pPr>
        <w:rPr>
          <w:rFonts w:ascii="Rockwell" w:hAnsi="Rockwell"/>
        </w:rPr>
      </w:pPr>
    </w:p>
    <w:p w14:paraId="5D2D3C50" w14:textId="4DF2CB23" w:rsidR="00973B13" w:rsidRPr="00D51778" w:rsidRDefault="00973B13" w:rsidP="00973B13">
      <w:pPr>
        <w:rPr>
          <w:rFonts w:ascii="Rockwell" w:hAnsi="Rockwell"/>
        </w:rPr>
      </w:pPr>
      <w:r w:rsidRPr="00D51778">
        <w:rPr>
          <w:noProof/>
          <w:lang w:eastAsia="en-IE"/>
        </w:rPr>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D51778" w:rsidRDefault="00973B13" w:rsidP="00973B13">
      <w:pPr>
        <w:rPr>
          <w:rFonts w:ascii="Rockwell" w:hAnsi="Rockwell"/>
        </w:rPr>
      </w:pPr>
    </w:p>
    <w:p w14:paraId="40FE3F27" w14:textId="77777777" w:rsidR="00973B13" w:rsidRPr="00D51778" w:rsidRDefault="00973B13" w:rsidP="00973B13">
      <w:pPr>
        <w:rPr>
          <w:rFonts w:ascii="Rockwell" w:hAnsi="Rockwell"/>
          <w:b/>
        </w:rPr>
      </w:pPr>
      <w:r w:rsidRPr="00D51778">
        <w:rPr>
          <w:rFonts w:ascii="Rockwell" w:hAnsi="Rockwell"/>
          <w:b/>
          <w:bCs/>
          <w:lang w:val="ga"/>
        </w:rPr>
        <w:t>An tÚdarás Náisiúnta Míchumais</w:t>
      </w:r>
    </w:p>
    <w:p w14:paraId="74C98053" w14:textId="77777777" w:rsidR="00973B13" w:rsidRPr="00D51778" w:rsidRDefault="00973B13" w:rsidP="00973B13">
      <w:pPr>
        <w:rPr>
          <w:rFonts w:ascii="Rockwell" w:hAnsi="Rockwell"/>
        </w:rPr>
      </w:pPr>
      <w:r w:rsidRPr="00D51778">
        <w:rPr>
          <w:rFonts w:ascii="Rockwell" w:hAnsi="Rockwell"/>
          <w:lang w:val="ga"/>
        </w:rPr>
        <w:t>25 Bóthar Chluaidh, Baile Átha Cliath 4</w:t>
      </w:r>
    </w:p>
    <w:p w14:paraId="714CE317" w14:textId="77777777" w:rsidR="00973B13" w:rsidRPr="00D51778" w:rsidRDefault="00973B13" w:rsidP="00973B13">
      <w:pPr>
        <w:rPr>
          <w:rFonts w:ascii="Rockwell" w:hAnsi="Rockwell"/>
        </w:rPr>
      </w:pPr>
      <w:r w:rsidRPr="00D51778">
        <w:rPr>
          <w:rFonts w:ascii="Rockwell" w:hAnsi="Rockwell"/>
          <w:b/>
          <w:bCs/>
          <w:lang w:val="ga"/>
        </w:rPr>
        <w:t>Teileafón</w:t>
      </w:r>
      <w:r w:rsidRPr="00D51778">
        <w:rPr>
          <w:rFonts w:ascii="Rockwell" w:hAnsi="Rockwell"/>
          <w:lang w:val="ga"/>
        </w:rPr>
        <w:t>: (01) 608 0400</w:t>
      </w:r>
    </w:p>
    <w:p w14:paraId="1FB5BC0D" w14:textId="77777777" w:rsidR="00072B1D" w:rsidRPr="00D51778" w:rsidRDefault="00973B13" w:rsidP="00072B1D">
      <w:pPr>
        <w:rPr>
          <w:rFonts w:ascii="Rockwell" w:hAnsi="Rockwell"/>
        </w:rPr>
      </w:pPr>
      <w:r w:rsidRPr="00D51778">
        <w:rPr>
          <w:rFonts w:ascii="Rockwell" w:hAnsi="Rockwell"/>
          <w:b/>
          <w:bCs/>
          <w:lang w:val="ga"/>
        </w:rPr>
        <w:t>Facs</w:t>
      </w:r>
      <w:r w:rsidRPr="00D51778">
        <w:rPr>
          <w:rFonts w:ascii="Rockwell" w:hAnsi="Rockwell"/>
          <w:lang w:val="ga"/>
        </w:rPr>
        <w:t>: (01) 660 9935</w:t>
      </w:r>
    </w:p>
    <w:p w14:paraId="4AE67706" w14:textId="2A1AE3CE" w:rsidR="00072B1D" w:rsidRPr="00D51778" w:rsidRDefault="00B63BFC" w:rsidP="00072B1D">
      <w:pPr>
        <w:rPr>
          <w:rFonts w:ascii="Rockwell" w:hAnsi="Rockwell"/>
          <w:b/>
          <w:color w:val="0000FF"/>
          <w:u w:val="single"/>
        </w:rPr>
      </w:pPr>
      <w:hyperlink r:id="rId12" w:history="1">
        <w:r w:rsidRPr="00D51778">
          <w:rPr>
            <w:rStyle w:val="Hyperlink"/>
            <w:rFonts w:ascii="Rockwell" w:hAnsi="Rockwell"/>
            <w:b/>
            <w:bCs/>
            <w:lang w:val="ga"/>
          </w:rPr>
          <w:t>www.nda.ie</w:t>
        </w:r>
      </w:hyperlink>
    </w:p>
    <w:p w14:paraId="519B5A91" w14:textId="2A16E1F0" w:rsidR="00973B13" w:rsidRPr="00FA5EF5" w:rsidRDefault="00973B13" w:rsidP="00072B1D">
      <w:pPr>
        <w:rPr>
          <w:rFonts w:ascii="Rockwell" w:hAnsi="Rockwell"/>
        </w:rPr>
      </w:pPr>
      <w:r w:rsidRPr="00D51778">
        <w:rPr>
          <w:rFonts w:ascii="Rockwell" w:hAnsi="Rockwell"/>
          <w:b/>
          <w:bCs/>
          <w:sz w:val="32"/>
          <w:szCs w:val="32"/>
          <w:lang w:val="ga"/>
        </w:rPr>
        <w:t>Is é an tÚdarás Náisiúnta Míchumais an comhlacht neamhspleách stáit a sholáthraíonn comhairle fhianaisebhunaithe don Rialtas maidir leis an mbeartas míchumais agus le cleachtais mhíchumais agus a chuireann an Dearadh Uilíoch chun cinn in Éirinn.</w:t>
      </w:r>
    </w:p>
    <w:p w14:paraId="43F041D8" w14:textId="4B98D3EE" w:rsidR="00973B13" w:rsidRPr="00A970B1" w:rsidRDefault="00973B13" w:rsidP="00973B13">
      <w:pPr>
        <w:rPr>
          <w:rFonts w:ascii="Rockwell" w:hAnsi="Rockwell"/>
          <w:b/>
          <w:sz w:val="32"/>
          <w:szCs w:val="32"/>
        </w:rPr>
      </w:pPr>
    </w:p>
    <w:sectPr w:rsidR="00973B13" w:rsidRPr="00A970B1">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EB41" w14:textId="77777777" w:rsidR="00B13116" w:rsidRDefault="00B13116">
      <w:r>
        <w:separator/>
      </w:r>
    </w:p>
  </w:endnote>
  <w:endnote w:type="continuationSeparator" w:id="0">
    <w:p w14:paraId="00B95078" w14:textId="77777777" w:rsidR="00B13116" w:rsidRDefault="00B13116">
      <w:r>
        <w:continuationSeparator/>
      </w:r>
    </w:p>
  </w:endnote>
  <w:endnote w:type="continuationNotice" w:id="1">
    <w:p w14:paraId="11944BAF" w14:textId="77777777" w:rsidR="00B13116" w:rsidRDefault="00B131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B13116" w:rsidRDefault="00B13116" w:rsidP="00D316AD">
    <w:pPr>
      <w:pStyle w:val="Footer"/>
      <w:jc w:val="right"/>
    </w:pPr>
    <w:r>
      <w:rPr>
        <w:lang w:val="ga"/>
      </w:rPr>
      <w:tab/>
    </w:r>
    <w:r>
      <w:rPr>
        <w:lang w:val="g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6C529AF7" w:rsidR="00B13116" w:rsidRDefault="00B13116">
        <w:pPr>
          <w:pStyle w:val="Footer"/>
          <w:jc w:val="right"/>
        </w:pPr>
        <w:r>
          <w:rPr>
            <w:lang w:val="ga"/>
          </w:rPr>
          <w:fldChar w:fldCharType="begin"/>
        </w:r>
        <w:r>
          <w:rPr>
            <w:lang w:val="ga"/>
          </w:rPr>
          <w:instrText xml:space="preserve"> PAGE   \* MERGEFORMAT </w:instrText>
        </w:r>
        <w:r>
          <w:rPr>
            <w:lang w:val="ga"/>
          </w:rPr>
          <w:fldChar w:fldCharType="separate"/>
        </w:r>
        <w:r w:rsidR="00332B9C">
          <w:rPr>
            <w:noProof/>
            <w:lang w:val="ga"/>
          </w:rPr>
          <w:t>3</w:t>
        </w:r>
        <w:r>
          <w:rPr>
            <w:noProof/>
            <w:lang w:val="ga"/>
          </w:rPr>
          <w:fldChar w:fldCharType="end"/>
        </w:r>
      </w:p>
    </w:sdtContent>
  </w:sdt>
  <w:p w14:paraId="0597C103" w14:textId="77777777" w:rsidR="00B13116" w:rsidRDefault="00B13116"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19F19E88" w:rsidR="00B13116" w:rsidRDefault="00B13116">
        <w:pPr>
          <w:pStyle w:val="Footer"/>
          <w:jc w:val="right"/>
        </w:pPr>
        <w:r>
          <w:rPr>
            <w:lang w:val="ga"/>
          </w:rPr>
          <w:fldChar w:fldCharType="begin"/>
        </w:r>
        <w:r>
          <w:rPr>
            <w:lang w:val="ga"/>
          </w:rPr>
          <w:instrText xml:space="preserve"> PAGE   \* MERGEFORMAT </w:instrText>
        </w:r>
        <w:r>
          <w:rPr>
            <w:lang w:val="ga"/>
          </w:rPr>
          <w:fldChar w:fldCharType="separate"/>
        </w:r>
        <w:r w:rsidR="00332B9C">
          <w:rPr>
            <w:noProof/>
            <w:lang w:val="ga"/>
          </w:rPr>
          <w:t>31</w:t>
        </w:r>
        <w:r>
          <w:rPr>
            <w:noProof/>
            <w:lang w:val="ga"/>
          </w:rPr>
          <w:fldChar w:fldCharType="end"/>
        </w:r>
      </w:p>
    </w:sdtContent>
  </w:sdt>
  <w:p w14:paraId="48F84672" w14:textId="1CFE189F" w:rsidR="00B13116" w:rsidRDefault="00B13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226A5" w14:textId="77777777" w:rsidR="00B13116" w:rsidRDefault="00B13116">
      <w:r>
        <w:separator/>
      </w:r>
    </w:p>
  </w:footnote>
  <w:footnote w:type="continuationSeparator" w:id="0">
    <w:p w14:paraId="2BC08EEF" w14:textId="77777777" w:rsidR="00B13116" w:rsidRDefault="00B13116">
      <w:r>
        <w:continuationSeparator/>
      </w:r>
    </w:p>
  </w:footnote>
  <w:footnote w:type="continuationNotice" w:id="1">
    <w:p w14:paraId="28FEB7FA" w14:textId="77777777" w:rsidR="00B13116" w:rsidRDefault="00B13116">
      <w:pPr>
        <w:spacing w:after="0"/>
      </w:pPr>
    </w:p>
  </w:footnote>
  <w:footnote w:id="2">
    <w:p w14:paraId="2A33A871" w14:textId="09CF6D42" w:rsidR="00B13116" w:rsidRDefault="00B13116">
      <w:pPr>
        <w:pStyle w:val="FootnoteText"/>
      </w:pPr>
      <w:r>
        <w:rPr>
          <w:rStyle w:val="FootnoteReference"/>
          <w:lang w:val="ga"/>
        </w:rPr>
        <w:footnoteRef/>
      </w:r>
      <w:r>
        <w:rPr>
          <w:lang w:val="ga"/>
        </w:rPr>
        <w:t xml:space="preserve"> </w:t>
      </w:r>
      <w:hyperlink r:id="rId1" w:history="1">
        <w:r>
          <w:rPr>
            <w:rStyle w:val="Hyperlink"/>
            <w:lang w:val="ga"/>
          </w:rPr>
          <w:t>CPSA-Code-of-Practice-2022.pdf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66E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D4F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4" w15:restartNumberingAfterBreak="0">
    <w:nsid w:val="FFFFFF80"/>
    <w:multiLevelType w:val="singleLevel"/>
    <w:tmpl w:val="568CB6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813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7"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8"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86A0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0" w15:restartNumberingAfterBreak="0">
    <w:nsid w:val="048A55B0"/>
    <w:multiLevelType w:val="hybridMultilevel"/>
    <w:tmpl w:val="09EE7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8BD6ADA"/>
    <w:multiLevelType w:val="hybridMultilevel"/>
    <w:tmpl w:val="137272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A5F7F70"/>
    <w:multiLevelType w:val="multilevel"/>
    <w:tmpl w:val="A56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FE4408"/>
    <w:multiLevelType w:val="hybridMultilevel"/>
    <w:tmpl w:val="511C1690"/>
    <w:lvl w:ilvl="0" w:tplc="120471AA">
      <w:start w:val="1"/>
      <w:numFmt w:val="bullet"/>
      <w:lvlText w:val="•"/>
      <w:lvlJc w:val="left"/>
      <w:pPr>
        <w:tabs>
          <w:tab w:val="num" w:pos="720"/>
        </w:tabs>
        <w:ind w:left="720" w:hanging="360"/>
      </w:pPr>
      <w:rPr>
        <w:rFonts w:ascii="Times New Roman" w:hAnsi="Times New Roman" w:hint="default"/>
      </w:rPr>
    </w:lvl>
    <w:lvl w:ilvl="1" w:tplc="EA64A122" w:tentative="1">
      <w:start w:val="1"/>
      <w:numFmt w:val="bullet"/>
      <w:lvlText w:val="•"/>
      <w:lvlJc w:val="left"/>
      <w:pPr>
        <w:tabs>
          <w:tab w:val="num" w:pos="1440"/>
        </w:tabs>
        <w:ind w:left="1440" w:hanging="360"/>
      </w:pPr>
      <w:rPr>
        <w:rFonts w:ascii="Times New Roman" w:hAnsi="Times New Roman" w:hint="default"/>
      </w:rPr>
    </w:lvl>
    <w:lvl w:ilvl="2" w:tplc="13B43C02" w:tentative="1">
      <w:start w:val="1"/>
      <w:numFmt w:val="bullet"/>
      <w:lvlText w:val="•"/>
      <w:lvlJc w:val="left"/>
      <w:pPr>
        <w:tabs>
          <w:tab w:val="num" w:pos="2160"/>
        </w:tabs>
        <w:ind w:left="2160" w:hanging="360"/>
      </w:pPr>
      <w:rPr>
        <w:rFonts w:ascii="Times New Roman" w:hAnsi="Times New Roman" w:hint="default"/>
      </w:rPr>
    </w:lvl>
    <w:lvl w:ilvl="3" w:tplc="6318168E" w:tentative="1">
      <w:start w:val="1"/>
      <w:numFmt w:val="bullet"/>
      <w:lvlText w:val="•"/>
      <w:lvlJc w:val="left"/>
      <w:pPr>
        <w:tabs>
          <w:tab w:val="num" w:pos="2880"/>
        </w:tabs>
        <w:ind w:left="2880" w:hanging="360"/>
      </w:pPr>
      <w:rPr>
        <w:rFonts w:ascii="Times New Roman" w:hAnsi="Times New Roman" w:hint="default"/>
      </w:rPr>
    </w:lvl>
    <w:lvl w:ilvl="4" w:tplc="BA3077D4" w:tentative="1">
      <w:start w:val="1"/>
      <w:numFmt w:val="bullet"/>
      <w:lvlText w:val="•"/>
      <w:lvlJc w:val="left"/>
      <w:pPr>
        <w:tabs>
          <w:tab w:val="num" w:pos="3600"/>
        </w:tabs>
        <w:ind w:left="3600" w:hanging="360"/>
      </w:pPr>
      <w:rPr>
        <w:rFonts w:ascii="Times New Roman" w:hAnsi="Times New Roman" w:hint="default"/>
      </w:rPr>
    </w:lvl>
    <w:lvl w:ilvl="5" w:tplc="74347B70" w:tentative="1">
      <w:start w:val="1"/>
      <w:numFmt w:val="bullet"/>
      <w:lvlText w:val="•"/>
      <w:lvlJc w:val="left"/>
      <w:pPr>
        <w:tabs>
          <w:tab w:val="num" w:pos="4320"/>
        </w:tabs>
        <w:ind w:left="4320" w:hanging="360"/>
      </w:pPr>
      <w:rPr>
        <w:rFonts w:ascii="Times New Roman" w:hAnsi="Times New Roman" w:hint="default"/>
      </w:rPr>
    </w:lvl>
    <w:lvl w:ilvl="6" w:tplc="F5649278" w:tentative="1">
      <w:start w:val="1"/>
      <w:numFmt w:val="bullet"/>
      <w:lvlText w:val="•"/>
      <w:lvlJc w:val="left"/>
      <w:pPr>
        <w:tabs>
          <w:tab w:val="num" w:pos="5040"/>
        </w:tabs>
        <w:ind w:left="5040" w:hanging="360"/>
      </w:pPr>
      <w:rPr>
        <w:rFonts w:ascii="Times New Roman" w:hAnsi="Times New Roman" w:hint="default"/>
      </w:rPr>
    </w:lvl>
    <w:lvl w:ilvl="7" w:tplc="99E2ED36" w:tentative="1">
      <w:start w:val="1"/>
      <w:numFmt w:val="bullet"/>
      <w:lvlText w:val="•"/>
      <w:lvlJc w:val="left"/>
      <w:pPr>
        <w:tabs>
          <w:tab w:val="num" w:pos="5760"/>
        </w:tabs>
        <w:ind w:left="5760" w:hanging="360"/>
      </w:pPr>
      <w:rPr>
        <w:rFonts w:ascii="Times New Roman" w:hAnsi="Times New Roman" w:hint="default"/>
      </w:rPr>
    </w:lvl>
    <w:lvl w:ilvl="8" w:tplc="D884BA3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9900D9"/>
    <w:multiLevelType w:val="hybridMultilevel"/>
    <w:tmpl w:val="6FEE9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4610937"/>
    <w:multiLevelType w:val="hybridMultilevel"/>
    <w:tmpl w:val="6158D1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87E4960"/>
    <w:multiLevelType w:val="hybridMultilevel"/>
    <w:tmpl w:val="34CA79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8ED62C2"/>
    <w:multiLevelType w:val="hybridMultilevel"/>
    <w:tmpl w:val="2766F2FE"/>
    <w:lvl w:ilvl="0" w:tplc="B04E373A">
      <w:start w:val="3"/>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606520"/>
    <w:multiLevelType w:val="hybridMultilevel"/>
    <w:tmpl w:val="3BE4015C"/>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41701A"/>
    <w:multiLevelType w:val="hybridMultilevel"/>
    <w:tmpl w:val="BC6AAD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6472599"/>
    <w:multiLevelType w:val="hybridMultilevel"/>
    <w:tmpl w:val="2BFE1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7006070"/>
    <w:multiLevelType w:val="hybridMultilevel"/>
    <w:tmpl w:val="018252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8770C45"/>
    <w:multiLevelType w:val="hybridMultilevel"/>
    <w:tmpl w:val="ACFE2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D72337A"/>
    <w:multiLevelType w:val="hybridMultilevel"/>
    <w:tmpl w:val="1DAEDD3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33EE76A7"/>
    <w:multiLevelType w:val="hybridMultilevel"/>
    <w:tmpl w:val="70BA1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576369C"/>
    <w:multiLevelType w:val="hybridMultilevel"/>
    <w:tmpl w:val="6D5A7FC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822361F"/>
    <w:multiLevelType w:val="hybridMultilevel"/>
    <w:tmpl w:val="F598659E"/>
    <w:lvl w:ilvl="0" w:tplc="B78029B0">
      <w:start w:val="1"/>
      <w:numFmt w:val="bullet"/>
      <w:lvlText w:val="•"/>
      <w:lvlJc w:val="left"/>
      <w:pPr>
        <w:tabs>
          <w:tab w:val="num" w:pos="720"/>
        </w:tabs>
        <w:ind w:left="720" w:hanging="360"/>
      </w:pPr>
      <w:rPr>
        <w:rFonts w:ascii="Times New Roman" w:hAnsi="Times New Roman" w:hint="default"/>
      </w:rPr>
    </w:lvl>
    <w:lvl w:ilvl="1" w:tplc="8D3CB6EA" w:tentative="1">
      <w:start w:val="1"/>
      <w:numFmt w:val="bullet"/>
      <w:lvlText w:val="•"/>
      <w:lvlJc w:val="left"/>
      <w:pPr>
        <w:tabs>
          <w:tab w:val="num" w:pos="1440"/>
        </w:tabs>
        <w:ind w:left="1440" w:hanging="360"/>
      </w:pPr>
      <w:rPr>
        <w:rFonts w:ascii="Times New Roman" w:hAnsi="Times New Roman" w:hint="default"/>
      </w:rPr>
    </w:lvl>
    <w:lvl w:ilvl="2" w:tplc="E036F1E8" w:tentative="1">
      <w:start w:val="1"/>
      <w:numFmt w:val="bullet"/>
      <w:lvlText w:val="•"/>
      <w:lvlJc w:val="left"/>
      <w:pPr>
        <w:tabs>
          <w:tab w:val="num" w:pos="2160"/>
        </w:tabs>
        <w:ind w:left="2160" w:hanging="360"/>
      </w:pPr>
      <w:rPr>
        <w:rFonts w:ascii="Times New Roman" w:hAnsi="Times New Roman" w:hint="default"/>
      </w:rPr>
    </w:lvl>
    <w:lvl w:ilvl="3" w:tplc="130E7810" w:tentative="1">
      <w:start w:val="1"/>
      <w:numFmt w:val="bullet"/>
      <w:lvlText w:val="•"/>
      <w:lvlJc w:val="left"/>
      <w:pPr>
        <w:tabs>
          <w:tab w:val="num" w:pos="2880"/>
        </w:tabs>
        <w:ind w:left="2880" w:hanging="360"/>
      </w:pPr>
      <w:rPr>
        <w:rFonts w:ascii="Times New Roman" w:hAnsi="Times New Roman" w:hint="default"/>
      </w:rPr>
    </w:lvl>
    <w:lvl w:ilvl="4" w:tplc="7048096C" w:tentative="1">
      <w:start w:val="1"/>
      <w:numFmt w:val="bullet"/>
      <w:lvlText w:val="•"/>
      <w:lvlJc w:val="left"/>
      <w:pPr>
        <w:tabs>
          <w:tab w:val="num" w:pos="3600"/>
        </w:tabs>
        <w:ind w:left="3600" w:hanging="360"/>
      </w:pPr>
      <w:rPr>
        <w:rFonts w:ascii="Times New Roman" w:hAnsi="Times New Roman" w:hint="default"/>
      </w:rPr>
    </w:lvl>
    <w:lvl w:ilvl="5" w:tplc="F474A87A" w:tentative="1">
      <w:start w:val="1"/>
      <w:numFmt w:val="bullet"/>
      <w:lvlText w:val="•"/>
      <w:lvlJc w:val="left"/>
      <w:pPr>
        <w:tabs>
          <w:tab w:val="num" w:pos="4320"/>
        </w:tabs>
        <w:ind w:left="4320" w:hanging="360"/>
      </w:pPr>
      <w:rPr>
        <w:rFonts w:ascii="Times New Roman" w:hAnsi="Times New Roman" w:hint="default"/>
      </w:rPr>
    </w:lvl>
    <w:lvl w:ilvl="6" w:tplc="FC36284C" w:tentative="1">
      <w:start w:val="1"/>
      <w:numFmt w:val="bullet"/>
      <w:lvlText w:val="•"/>
      <w:lvlJc w:val="left"/>
      <w:pPr>
        <w:tabs>
          <w:tab w:val="num" w:pos="5040"/>
        </w:tabs>
        <w:ind w:left="5040" w:hanging="360"/>
      </w:pPr>
      <w:rPr>
        <w:rFonts w:ascii="Times New Roman" w:hAnsi="Times New Roman" w:hint="default"/>
      </w:rPr>
    </w:lvl>
    <w:lvl w:ilvl="7" w:tplc="4920C364" w:tentative="1">
      <w:start w:val="1"/>
      <w:numFmt w:val="bullet"/>
      <w:lvlText w:val="•"/>
      <w:lvlJc w:val="left"/>
      <w:pPr>
        <w:tabs>
          <w:tab w:val="num" w:pos="5760"/>
        </w:tabs>
        <w:ind w:left="5760" w:hanging="360"/>
      </w:pPr>
      <w:rPr>
        <w:rFonts w:ascii="Times New Roman" w:hAnsi="Times New Roman" w:hint="default"/>
      </w:rPr>
    </w:lvl>
    <w:lvl w:ilvl="8" w:tplc="844E305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3A1038A4"/>
    <w:multiLevelType w:val="hybridMultilevel"/>
    <w:tmpl w:val="6B9820E2"/>
    <w:lvl w:ilvl="0" w:tplc="DB608928">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52E3561"/>
    <w:multiLevelType w:val="hybridMultilevel"/>
    <w:tmpl w:val="3286C4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6F03B0A"/>
    <w:multiLevelType w:val="hybridMultilevel"/>
    <w:tmpl w:val="5224B534"/>
    <w:lvl w:ilvl="0" w:tplc="26E47992">
      <w:start w:val="1"/>
      <w:numFmt w:val="bullet"/>
      <w:lvlText w:val="•"/>
      <w:lvlJc w:val="left"/>
      <w:pPr>
        <w:tabs>
          <w:tab w:val="num" w:pos="720"/>
        </w:tabs>
        <w:ind w:left="720" w:hanging="360"/>
      </w:pPr>
      <w:rPr>
        <w:rFonts w:ascii="Times New Roman" w:hAnsi="Times New Roman" w:hint="default"/>
      </w:rPr>
    </w:lvl>
    <w:lvl w:ilvl="1" w:tplc="721C1810" w:tentative="1">
      <w:start w:val="1"/>
      <w:numFmt w:val="bullet"/>
      <w:lvlText w:val="•"/>
      <w:lvlJc w:val="left"/>
      <w:pPr>
        <w:tabs>
          <w:tab w:val="num" w:pos="1440"/>
        </w:tabs>
        <w:ind w:left="1440" w:hanging="360"/>
      </w:pPr>
      <w:rPr>
        <w:rFonts w:ascii="Times New Roman" w:hAnsi="Times New Roman" w:hint="default"/>
      </w:rPr>
    </w:lvl>
    <w:lvl w:ilvl="2" w:tplc="8BAE3E9E" w:tentative="1">
      <w:start w:val="1"/>
      <w:numFmt w:val="bullet"/>
      <w:lvlText w:val="•"/>
      <w:lvlJc w:val="left"/>
      <w:pPr>
        <w:tabs>
          <w:tab w:val="num" w:pos="2160"/>
        </w:tabs>
        <w:ind w:left="2160" w:hanging="360"/>
      </w:pPr>
      <w:rPr>
        <w:rFonts w:ascii="Times New Roman" w:hAnsi="Times New Roman" w:hint="default"/>
      </w:rPr>
    </w:lvl>
    <w:lvl w:ilvl="3" w:tplc="B038FF6C" w:tentative="1">
      <w:start w:val="1"/>
      <w:numFmt w:val="bullet"/>
      <w:lvlText w:val="•"/>
      <w:lvlJc w:val="left"/>
      <w:pPr>
        <w:tabs>
          <w:tab w:val="num" w:pos="2880"/>
        </w:tabs>
        <w:ind w:left="2880" w:hanging="360"/>
      </w:pPr>
      <w:rPr>
        <w:rFonts w:ascii="Times New Roman" w:hAnsi="Times New Roman" w:hint="default"/>
      </w:rPr>
    </w:lvl>
    <w:lvl w:ilvl="4" w:tplc="604E2AA2" w:tentative="1">
      <w:start w:val="1"/>
      <w:numFmt w:val="bullet"/>
      <w:lvlText w:val="•"/>
      <w:lvlJc w:val="left"/>
      <w:pPr>
        <w:tabs>
          <w:tab w:val="num" w:pos="3600"/>
        </w:tabs>
        <w:ind w:left="3600" w:hanging="360"/>
      </w:pPr>
      <w:rPr>
        <w:rFonts w:ascii="Times New Roman" w:hAnsi="Times New Roman" w:hint="default"/>
      </w:rPr>
    </w:lvl>
    <w:lvl w:ilvl="5" w:tplc="D436D78E" w:tentative="1">
      <w:start w:val="1"/>
      <w:numFmt w:val="bullet"/>
      <w:lvlText w:val="•"/>
      <w:lvlJc w:val="left"/>
      <w:pPr>
        <w:tabs>
          <w:tab w:val="num" w:pos="4320"/>
        </w:tabs>
        <w:ind w:left="4320" w:hanging="360"/>
      </w:pPr>
      <w:rPr>
        <w:rFonts w:ascii="Times New Roman" w:hAnsi="Times New Roman" w:hint="default"/>
      </w:rPr>
    </w:lvl>
    <w:lvl w:ilvl="6" w:tplc="FBF0D75C" w:tentative="1">
      <w:start w:val="1"/>
      <w:numFmt w:val="bullet"/>
      <w:lvlText w:val="•"/>
      <w:lvlJc w:val="left"/>
      <w:pPr>
        <w:tabs>
          <w:tab w:val="num" w:pos="5040"/>
        </w:tabs>
        <w:ind w:left="5040" w:hanging="360"/>
      </w:pPr>
      <w:rPr>
        <w:rFonts w:ascii="Times New Roman" w:hAnsi="Times New Roman" w:hint="default"/>
      </w:rPr>
    </w:lvl>
    <w:lvl w:ilvl="7" w:tplc="9B00DAEC" w:tentative="1">
      <w:start w:val="1"/>
      <w:numFmt w:val="bullet"/>
      <w:lvlText w:val="•"/>
      <w:lvlJc w:val="left"/>
      <w:pPr>
        <w:tabs>
          <w:tab w:val="num" w:pos="5760"/>
        </w:tabs>
        <w:ind w:left="5760" w:hanging="360"/>
      </w:pPr>
      <w:rPr>
        <w:rFonts w:ascii="Times New Roman" w:hAnsi="Times New Roman" w:hint="default"/>
      </w:rPr>
    </w:lvl>
    <w:lvl w:ilvl="8" w:tplc="2118F24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82D3D52"/>
    <w:multiLevelType w:val="hybridMultilevel"/>
    <w:tmpl w:val="46083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9574727"/>
    <w:multiLevelType w:val="hybridMultilevel"/>
    <w:tmpl w:val="7B1EA946"/>
    <w:lvl w:ilvl="0" w:tplc="B1D245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C84704"/>
    <w:multiLevelType w:val="hybridMultilevel"/>
    <w:tmpl w:val="6B7A8CA6"/>
    <w:lvl w:ilvl="0" w:tplc="588C6636">
      <w:start w:val="1"/>
      <w:numFmt w:val="bullet"/>
      <w:lvlText w:val="•"/>
      <w:lvlJc w:val="left"/>
      <w:pPr>
        <w:tabs>
          <w:tab w:val="num" w:pos="720"/>
        </w:tabs>
        <w:ind w:left="720" w:hanging="360"/>
      </w:pPr>
      <w:rPr>
        <w:rFonts w:ascii="Times New Roman" w:hAnsi="Times New Roman" w:hint="default"/>
      </w:rPr>
    </w:lvl>
    <w:lvl w:ilvl="1" w:tplc="9ACACE94" w:tentative="1">
      <w:start w:val="1"/>
      <w:numFmt w:val="bullet"/>
      <w:lvlText w:val="•"/>
      <w:lvlJc w:val="left"/>
      <w:pPr>
        <w:tabs>
          <w:tab w:val="num" w:pos="1440"/>
        </w:tabs>
        <w:ind w:left="1440" w:hanging="360"/>
      </w:pPr>
      <w:rPr>
        <w:rFonts w:ascii="Times New Roman" w:hAnsi="Times New Roman" w:hint="default"/>
      </w:rPr>
    </w:lvl>
    <w:lvl w:ilvl="2" w:tplc="AA840F60" w:tentative="1">
      <w:start w:val="1"/>
      <w:numFmt w:val="bullet"/>
      <w:lvlText w:val="•"/>
      <w:lvlJc w:val="left"/>
      <w:pPr>
        <w:tabs>
          <w:tab w:val="num" w:pos="2160"/>
        </w:tabs>
        <w:ind w:left="2160" w:hanging="360"/>
      </w:pPr>
      <w:rPr>
        <w:rFonts w:ascii="Times New Roman" w:hAnsi="Times New Roman" w:hint="default"/>
      </w:rPr>
    </w:lvl>
    <w:lvl w:ilvl="3" w:tplc="2EA626BA" w:tentative="1">
      <w:start w:val="1"/>
      <w:numFmt w:val="bullet"/>
      <w:lvlText w:val="•"/>
      <w:lvlJc w:val="left"/>
      <w:pPr>
        <w:tabs>
          <w:tab w:val="num" w:pos="2880"/>
        </w:tabs>
        <w:ind w:left="2880" w:hanging="360"/>
      </w:pPr>
      <w:rPr>
        <w:rFonts w:ascii="Times New Roman" w:hAnsi="Times New Roman" w:hint="default"/>
      </w:rPr>
    </w:lvl>
    <w:lvl w:ilvl="4" w:tplc="391E96CA" w:tentative="1">
      <w:start w:val="1"/>
      <w:numFmt w:val="bullet"/>
      <w:lvlText w:val="•"/>
      <w:lvlJc w:val="left"/>
      <w:pPr>
        <w:tabs>
          <w:tab w:val="num" w:pos="3600"/>
        </w:tabs>
        <w:ind w:left="3600" w:hanging="360"/>
      </w:pPr>
      <w:rPr>
        <w:rFonts w:ascii="Times New Roman" w:hAnsi="Times New Roman" w:hint="default"/>
      </w:rPr>
    </w:lvl>
    <w:lvl w:ilvl="5" w:tplc="2AEE3550" w:tentative="1">
      <w:start w:val="1"/>
      <w:numFmt w:val="bullet"/>
      <w:lvlText w:val="•"/>
      <w:lvlJc w:val="left"/>
      <w:pPr>
        <w:tabs>
          <w:tab w:val="num" w:pos="4320"/>
        </w:tabs>
        <w:ind w:left="4320" w:hanging="360"/>
      </w:pPr>
      <w:rPr>
        <w:rFonts w:ascii="Times New Roman" w:hAnsi="Times New Roman" w:hint="default"/>
      </w:rPr>
    </w:lvl>
    <w:lvl w:ilvl="6" w:tplc="904AFA4A" w:tentative="1">
      <w:start w:val="1"/>
      <w:numFmt w:val="bullet"/>
      <w:lvlText w:val="•"/>
      <w:lvlJc w:val="left"/>
      <w:pPr>
        <w:tabs>
          <w:tab w:val="num" w:pos="5040"/>
        </w:tabs>
        <w:ind w:left="5040" w:hanging="360"/>
      </w:pPr>
      <w:rPr>
        <w:rFonts w:ascii="Times New Roman" w:hAnsi="Times New Roman" w:hint="default"/>
      </w:rPr>
    </w:lvl>
    <w:lvl w:ilvl="7" w:tplc="9FEA7F20" w:tentative="1">
      <w:start w:val="1"/>
      <w:numFmt w:val="bullet"/>
      <w:lvlText w:val="•"/>
      <w:lvlJc w:val="left"/>
      <w:pPr>
        <w:tabs>
          <w:tab w:val="num" w:pos="5760"/>
        </w:tabs>
        <w:ind w:left="5760" w:hanging="360"/>
      </w:pPr>
      <w:rPr>
        <w:rFonts w:ascii="Times New Roman" w:hAnsi="Times New Roman" w:hint="default"/>
      </w:rPr>
    </w:lvl>
    <w:lvl w:ilvl="8" w:tplc="8E98F50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E780F89"/>
    <w:multiLevelType w:val="hybridMultilevel"/>
    <w:tmpl w:val="44140DA6"/>
    <w:lvl w:ilvl="0" w:tplc="F6662710">
      <w:start w:val="1"/>
      <w:numFmt w:val="bullet"/>
      <w:lvlText w:val="•"/>
      <w:lvlJc w:val="left"/>
      <w:pPr>
        <w:tabs>
          <w:tab w:val="num" w:pos="720"/>
        </w:tabs>
        <w:ind w:left="720" w:hanging="360"/>
      </w:pPr>
      <w:rPr>
        <w:rFonts w:ascii="Times New Roman" w:hAnsi="Times New Roman" w:hint="default"/>
      </w:rPr>
    </w:lvl>
    <w:lvl w:ilvl="1" w:tplc="0AA005F4" w:tentative="1">
      <w:start w:val="1"/>
      <w:numFmt w:val="bullet"/>
      <w:lvlText w:val="•"/>
      <w:lvlJc w:val="left"/>
      <w:pPr>
        <w:tabs>
          <w:tab w:val="num" w:pos="1440"/>
        </w:tabs>
        <w:ind w:left="1440" w:hanging="360"/>
      </w:pPr>
      <w:rPr>
        <w:rFonts w:ascii="Times New Roman" w:hAnsi="Times New Roman" w:hint="default"/>
      </w:rPr>
    </w:lvl>
    <w:lvl w:ilvl="2" w:tplc="AAC00A34" w:tentative="1">
      <w:start w:val="1"/>
      <w:numFmt w:val="bullet"/>
      <w:lvlText w:val="•"/>
      <w:lvlJc w:val="left"/>
      <w:pPr>
        <w:tabs>
          <w:tab w:val="num" w:pos="2160"/>
        </w:tabs>
        <w:ind w:left="2160" w:hanging="360"/>
      </w:pPr>
      <w:rPr>
        <w:rFonts w:ascii="Times New Roman" w:hAnsi="Times New Roman" w:hint="default"/>
      </w:rPr>
    </w:lvl>
    <w:lvl w:ilvl="3" w:tplc="B9E64ED6" w:tentative="1">
      <w:start w:val="1"/>
      <w:numFmt w:val="bullet"/>
      <w:lvlText w:val="•"/>
      <w:lvlJc w:val="left"/>
      <w:pPr>
        <w:tabs>
          <w:tab w:val="num" w:pos="2880"/>
        </w:tabs>
        <w:ind w:left="2880" w:hanging="360"/>
      </w:pPr>
      <w:rPr>
        <w:rFonts w:ascii="Times New Roman" w:hAnsi="Times New Roman" w:hint="default"/>
      </w:rPr>
    </w:lvl>
    <w:lvl w:ilvl="4" w:tplc="D276BABE" w:tentative="1">
      <w:start w:val="1"/>
      <w:numFmt w:val="bullet"/>
      <w:lvlText w:val="•"/>
      <w:lvlJc w:val="left"/>
      <w:pPr>
        <w:tabs>
          <w:tab w:val="num" w:pos="3600"/>
        </w:tabs>
        <w:ind w:left="3600" w:hanging="360"/>
      </w:pPr>
      <w:rPr>
        <w:rFonts w:ascii="Times New Roman" w:hAnsi="Times New Roman" w:hint="default"/>
      </w:rPr>
    </w:lvl>
    <w:lvl w:ilvl="5" w:tplc="7BD28488" w:tentative="1">
      <w:start w:val="1"/>
      <w:numFmt w:val="bullet"/>
      <w:lvlText w:val="•"/>
      <w:lvlJc w:val="left"/>
      <w:pPr>
        <w:tabs>
          <w:tab w:val="num" w:pos="4320"/>
        </w:tabs>
        <w:ind w:left="4320" w:hanging="360"/>
      </w:pPr>
      <w:rPr>
        <w:rFonts w:ascii="Times New Roman" w:hAnsi="Times New Roman" w:hint="default"/>
      </w:rPr>
    </w:lvl>
    <w:lvl w:ilvl="6" w:tplc="D4BA8B24" w:tentative="1">
      <w:start w:val="1"/>
      <w:numFmt w:val="bullet"/>
      <w:lvlText w:val="•"/>
      <w:lvlJc w:val="left"/>
      <w:pPr>
        <w:tabs>
          <w:tab w:val="num" w:pos="5040"/>
        </w:tabs>
        <w:ind w:left="5040" w:hanging="360"/>
      </w:pPr>
      <w:rPr>
        <w:rFonts w:ascii="Times New Roman" w:hAnsi="Times New Roman" w:hint="default"/>
      </w:rPr>
    </w:lvl>
    <w:lvl w:ilvl="7" w:tplc="862015A6" w:tentative="1">
      <w:start w:val="1"/>
      <w:numFmt w:val="bullet"/>
      <w:lvlText w:val="•"/>
      <w:lvlJc w:val="left"/>
      <w:pPr>
        <w:tabs>
          <w:tab w:val="num" w:pos="5760"/>
        </w:tabs>
        <w:ind w:left="5760" w:hanging="360"/>
      </w:pPr>
      <w:rPr>
        <w:rFonts w:ascii="Times New Roman" w:hAnsi="Times New Roman" w:hint="default"/>
      </w:rPr>
    </w:lvl>
    <w:lvl w:ilvl="8" w:tplc="D39ECF0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4EE26A15"/>
    <w:multiLevelType w:val="hybridMultilevel"/>
    <w:tmpl w:val="FFA652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F3E3FE1"/>
    <w:multiLevelType w:val="hybridMultilevel"/>
    <w:tmpl w:val="D9D45010"/>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260769E"/>
    <w:multiLevelType w:val="hybridMultilevel"/>
    <w:tmpl w:val="BEFC7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77F6375"/>
    <w:multiLevelType w:val="hybridMultilevel"/>
    <w:tmpl w:val="B1A473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88C3447"/>
    <w:multiLevelType w:val="hybridMultilevel"/>
    <w:tmpl w:val="87B0ED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ABE6447"/>
    <w:multiLevelType w:val="hybridMultilevel"/>
    <w:tmpl w:val="8E24A3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7F6966"/>
    <w:multiLevelType w:val="hybridMultilevel"/>
    <w:tmpl w:val="071E5672"/>
    <w:lvl w:ilvl="0" w:tplc="0F3EFCA0">
      <w:numFmt w:val="bullet"/>
      <w:lvlText w:val="•"/>
      <w:lvlJc w:val="left"/>
      <w:pPr>
        <w:ind w:left="1080" w:hanging="720"/>
      </w:pPr>
      <w:rPr>
        <w:rFonts w:ascii="Gill Sans" w:eastAsia="Times New Roman" w:hAnsi="Gill San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F45234"/>
    <w:multiLevelType w:val="hybridMultilevel"/>
    <w:tmpl w:val="C2FA73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A265059"/>
    <w:multiLevelType w:val="multilevel"/>
    <w:tmpl w:val="78D86D7C"/>
    <w:lvl w:ilvl="0">
      <w:start w:val="2"/>
      <w:numFmt w:val="decimal"/>
      <w:lvlText w:val="%1"/>
      <w:lvlJc w:val="left"/>
      <w:pPr>
        <w:ind w:left="360" w:hanging="360"/>
      </w:pPr>
      <w:rPr>
        <w:rFonts w:cs="Arial" w:hint="default"/>
        <w:color w:val="auto"/>
      </w:rPr>
    </w:lvl>
    <w:lvl w:ilvl="1">
      <w:start w:val="1"/>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num w:numId="1" w16cid:durableId="1308901786">
    <w:abstractNumId w:val="9"/>
  </w:num>
  <w:num w:numId="2" w16cid:durableId="514685017">
    <w:abstractNumId w:val="9"/>
  </w:num>
  <w:num w:numId="3" w16cid:durableId="2110080569">
    <w:abstractNumId w:val="7"/>
  </w:num>
  <w:num w:numId="4" w16cid:durableId="671296684">
    <w:abstractNumId w:val="7"/>
  </w:num>
  <w:num w:numId="5" w16cid:durableId="992566906">
    <w:abstractNumId w:val="6"/>
  </w:num>
  <w:num w:numId="6" w16cid:durableId="837381986">
    <w:abstractNumId w:val="6"/>
  </w:num>
  <w:num w:numId="7" w16cid:durableId="312292399">
    <w:abstractNumId w:val="8"/>
  </w:num>
  <w:num w:numId="8" w16cid:durableId="1954744800">
    <w:abstractNumId w:val="8"/>
  </w:num>
  <w:num w:numId="9" w16cid:durableId="2143959425">
    <w:abstractNumId w:val="3"/>
  </w:num>
  <w:num w:numId="10" w16cid:durableId="427192820">
    <w:abstractNumId w:val="3"/>
  </w:num>
  <w:num w:numId="11" w16cid:durableId="1016154071">
    <w:abstractNumId w:val="2"/>
  </w:num>
  <w:num w:numId="12" w16cid:durableId="527909918">
    <w:abstractNumId w:val="2"/>
  </w:num>
  <w:num w:numId="13" w16cid:durableId="866990179">
    <w:abstractNumId w:val="5"/>
  </w:num>
  <w:num w:numId="14" w16cid:durableId="1392390840">
    <w:abstractNumId w:val="4"/>
  </w:num>
  <w:num w:numId="15" w16cid:durableId="1002391332">
    <w:abstractNumId w:val="1"/>
  </w:num>
  <w:num w:numId="16" w16cid:durableId="646252860">
    <w:abstractNumId w:val="0"/>
  </w:num>
  <w:num w:numId="17" w16cid:durableId="1644963456">
    <w:abstractNumId w:val="28"/>
  </w:num>
  <w:num w:numId="18" w16cid:durableId="390159548">
    <w:abstractNumId w:val="18"/>
  </w:num>
  <w:num w:numId="19" w16cid:durableId="2130003982">
    <w:abstractNumId w:val="35"/>
  </w:num>
  <w:num w:numId="20" w16cid:durableId="568154895">
    <w:abstractNumId w:val="40"/>
  </w:num>
  <w:num w:numId="21" w16cid:durableId="1243446971">
    <w:abstractNumId w:val="41"/>
  </w:num>
  <w:num w:numId="22" w16cid:durableId="1998338509">
    <w:abstractNumId w:val="14"/>
  </w:num>
  <w:num w:numId="23" w16cid:durableId="1230076826">
    <w:abstractNumId w:val="34"/>
  </w:num>
  <w:num w:numId="24" w16cid:durableId="384834507">
    <w:abstractNumId w:val="21"/>
  </w:num>
  <w:num w:numId="25" w16cid:durableId="2139949241">
    <w:abstractNumId w:val="22"/>
  </w:num>
  <w:num w:numId="26" w16cid:durableId="553005677">
    <w:abstractNumId w:val="31"/>
  </w:num>
  <w:num w:numId="27" w16cid:durableId="204296474">
    <w:abstractNumId w:val="25"/>
  </w:num>
  <w:num w:numId="28" w16cid:durableId="301346786">
    <w:abstractNumId w:val="20"/>
  </w:num>
  <w:num w:numId="29" w16cid:durableId="775448449">
    <w:abstractNumId w:val="29"/>
  </w:num>
  <w:num w:numId="30" w16cid:durableId="297297757">
    <w:abstractNumId w:val="26"/>
  </w:num>
  <w:num w:numId="31" w16cid:durableId="2020690729">
    <w:abstractNumId w:val="36"/>
  </w:num>
  <w:num w:numId="32" w16cid:durableId="2134322184">
    <w:abstractNumId w:val="12"/>
  </w:num>
  <w:num w:numId="33" w16cid:durableId="1380670616">
    <w:abstractNumId w:val="16"/>
  </w:num>
  <w:num w:numId="34" w16cid:durableId="272514864">
    <w:abstractNumId w:val="17"/>
  </w:num>
  <w:num w:numId="35" w16cid:durableId="923336712">
    <w:abstractNumId w:val="10"/>
  </w:num>
  <w:num w:numId="36" w16cid:durableId="192769752">
    <w:abstractNumId w:val="37"/>
  </w:num>
  <w:num w:numId="37" w16cid:durableId="1678117344">
    <w:abstractNumId w:val="38"/>
  </w:num>
  <w:num w:numId="38" w16cid:durableId="1714304862">
    <w:abstractNumId w:val="9"/>
  </w:num>
  <w:num w:numId="39" w16cid:durableId="1013383262">
    <w:abstractNumId w:val="32"/>
  </w:num>
  <w:num w:numId="40" w16cid:durableId="390926859">
    <w:abstractNumId w:val="33"/>
  </w:num>
  <w:num w:numId="41" w16cid:durableId="751899844">
    <w:abstractNumId w:val="13"/>
  </w:num>
  <w:num w:numId="42" w16cid:durableId="1688673647">
    <w:abstractNumId w:val="19"/>
  </w:num>
  <w:num w:numId="43" w16cid:durableId="1483042655">
    <w:abstractNumId w:val="27"/>
  </w:num>
  <w:num w:numId="44" w16cid:durableId="1063521864">
    <w:abstractNumId w:val="11"/>
  </w:num>
  <w:num w:numId="45" w16cid:durableId="610893342">
    <w:abstractNumId w:val="39"/>
  </w:num>
  <w:num w:numId="46" w16cid:durableId="1293561817">
    <w:abstractNumId w:val="24"/>
  </w:num>
  <w:num w:numId="47" w16cid:durableId="1203400839">
    <w:abstractNumId w:val="30"/>
  </w:num>
  <w:num w:numId="48" w16cid:durableId="555051033">
    <w:abstractNumId w:val="15"/>
  </w:num>
  <w:num w:numId="49" w16cid:durableId="946233869">
    <w:abstractNumId w:val="23"/>
  </w:num>
  <w:num w:numId="50" w16cid:durableId="194892360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B1"/>
    <w:rsid w:val="0000030A"/>
    <w:rsid w:val="0000058A"/>
    <w:rsid w:val="00000AA3"/>
    <w:rsid w:val="00001536"/>
    <w:rsid w:val="00002558"/>
    <w:rsid w:val="00002A59"/>
    <w:rsid w:val="00002F5E"/>
    <w:rsid w:val="00002F98"/>
    <w:rsid w:val="0000574F"/>
    <w:rsid w:val="00006408"/>
    <w:rsid w:val="000064E4"/>
    <w:rsid w:val="0000656D"/>
    <w:rsid w:val="00007218"/>
    <w:rsid w:val="00007289"/>
    <w:rsid w:val="000076BF"/>
    <w:rsid w:val="000077BB"/>
    <w:rsid w:val="00010945"/>
    <w:rsid w:val="000125BA"/>
    <w:rsid w:val="000140BF"/>
    <w:rsid w:val="000164E0"/>
    <w:rsid w:val="00017C18"/>
    <w:rsid w:val="00020671"/>
    <w:rsid w:val="00020926"/>
    <w:rsid w:val="000219F1"/>
    <w:rsid w:val="0002335B"/>
    <w:rsid w:val="000235A2"/>
    <w:rsid w:val="00023D3B"/>
    <w:rsid w:val="000247A1"/>
    <w:rsid w:val="00024C62"/>
    <w:rsid w:val="0002687C"/>
    <w:rsid w:val="0002701D"/>
    <w:rsid w:val="00031890"/>
    <w:rsid w:val="00032A59"/>
    <w:rsid w:val="00035466"/>
    <w:rsid w:val="00037518"/>
    <w:rsid w:val="00037CCE"/>
    <w:rsid w:val="0004098B"/>
    <w:rsid w:val="00040DE2"/>
    <w:rsid w:val="00041B93"/>
    <w:rsid w:val="00042640"/>
    <w:rsid w:val="00043DE3"/>
    <w:rsid w:val="0004587D"/>
    <w:rsid w:val="00045EE6"/>
    <w:rsid w:val="0004646A"/>
    <w:rsid w:val="00046B63"/>
    <w:rsid w:val="00046D0A"/>
    <w:rsid w:val="00050A05"/>
    <w:rsid w:val="00051512"/>
    <w:rsid w:val="00051C8E"/>
    <w:rsid w:val="0005358C"/>
    <w:rsid w:val="0005374F"/>
    <w:rsid w:val="000539E7"/>
    <w:rsid w:val="0005435B"/>
    <w:rsid w:val="000560A6"/>
    <w:rsid w:val="00056CCB"/>
    <w:rsid w:val="000574F3"/>
    <w:rsid w:val="00057FD3"/>
    <w:rsid w:val="00061230"/>
    <w:rsid w:val="000630A2"/>
    <w:rsid w:val="000637E5"/>
    <w:rsid w:val="00064706"/>
    <w:rsid w:val="00064C1F"/>
    <w:rsid w:val="00064C9A"/>
    <w:rsid w:val="00064EA5"/>
    <w:rsid w:val="00067205"/>
    <w:rsid w:val="00067891"/>
    <w:rsid w:val="00070557"/>
    <w:rsid w:val="000709BB"/>
    <w:rsid w:val="00072B1D"/>
    <w:rsid w:val="00072FAF"/>
    <w:rsid w:val="00073764"/>
    <w:rsid w:val="000752EB"/>
    <w:rsid w:val="00075814"/>
    <w:rsid w:val="0007589F"/>
    <w:rsid w:val="00076C0A"/>
    <w:rsid w:val="000818DA"/>
    <w:rsid w:val="00082A56"/>
    <w:rsid w:val="00083790"/>
    <w:rsid w:val="00084043"/>
    <w:rsid w:val="00084E46"/>
    <w:rsid w:val="00085803"/>
    <w:rsid w:val="00085905"/>
    <w:rsid w:val="00085FEC"/>
    <w:rsid w:val="0008678C"/>
    <w:rsid w:val="00086831"/>
    <w:rsid w:val="0008719B"/>
    <w:rsid w:val="00087AF1"/>
    <w:rsid w:val="00087B1C"/>
    <w:rsid w:val="00090438"/>
    <w:rsid w:val="00090DB2"/>
    <w:rsid w:val="000912DC"/>
    <w:rsid w:val="000926B0"/>
    <w:rsid w:val="00092F8C"/>
    <w:rsid w:val="00093658"/>
    <w:rsid w:val="00093B58"/>
    <w:rsid w:val="00094E7B"/>
    <w:rsid w:val="00095871"/>
    <w:rsid w:val="0009590E"/>
    <w:rsid w:val="000960BA"/>
    <w:rsid w:val="00096552"/>
    <w:rsid w:val="000A10D6"/>
    <w:rsid w:val="000A2B2C"/>
    <w:rsid w:val="000A2CE4"/>
    <w:rsid w:val="000A35E0"/>
    <w:rsid w:val="000A3D5D"/>
    <w:rsid w:val="000A4C28"/>
    <w:rsid w:val="000A51D8"/>
    <w:rsid w:val="000A557C"/>
    <w:rsid w:val="000A67A8"/>
    <w:rsid w:val="000A7075"/>
    <w:rsid w:val="000B0430"/>
    <w:rsid w:val="000B0FE6"/>
    <w:rsid w:val="000B0FEA"/>
    <w:rsid w:val="000B2489"/>
    <w:rsid w:val="000B3A00"/>
    <w:rsid w:val="000B4CF0"/>
    <w:rsid w:val="000B53E0"/>
    <w:rsid w:val="000B736B"/>
    <w:rsid w:val="000C008E"/>
    <w:rsid w:val="000C179B"/>
    <w:rsid w:val="000C265F"/>
    <w:rsid w:val="000C3091"/>
    <w:rsid w:val="000C679C"/>
    <w:rsid w:val="000C6B3A"/>
    <w:rsid w:val="000D2293"/>
    <w:rsid w:val="000D2658"/>
    <w:rsid w:val="000D33B9"/>
    <w:rsid w:val="000D3FF4"/>
    <w:rsid w:val="000D5483"/>
    <w:rsid w:val="000D54FF"/>
    <w:rsid w:val="000D5865"/>
    <w:rsid w:val="000D5C5D"/>
    <w:rsid w:val="000D7504"/>
    <w:rsid w:val="000E0655"/>
    <w:rsid w:val="000E0AC4"/>
    <w:rsid w:val="000E613B"/>
    <w:rsid w:val="000E645B"/>
    <w:rsid w:val="000E6CE9"/>
    <w:rsid w:val="000F04DC"/>
    <w:rsid w:val="000F0BC1"/>
    <w:rsid w:val="000F0D35"/>
    <w:rsid w:val="000F3792"/>
    <w:rsid w:val="000F383F"/>
    <w:rsid w:val="000F3B1D"/>
    <w:rsid w:val="000F3E3A"/>
    <w:rsid w:val="000F503F"/>
    <w:rsid w:val="000F55F4"/>
    <w:rsid w:val="000F5B4A"/>
    <w:rsid w:val="000F621E"/>
    <w:rsid w:val="000F66D5"/>
    <w:rsid w:val="000F7F95"/>
    <w:rsid w:val="00100447"/>
    <w:rsid w:val="001015D3"/>
    <w:rsid w:val="00103655"/>
    <w:rsid w:val="00104E7A"/>
    <w:rsid w:val="00105678"/>
    <w:rsid w:val="00105C6F"/>
    <w:rsid w:val="00105C91"/>
    <w:rsid w:val="00106CFA"/>
    <w:rsid w:val="00107309"/>
    <w:rsid w:val="00107646"/>
    <w:rsid w:val="00107D01"/>
    <w:rsid w:val="00111E83"/>
    <w:rsid w:val="001120E7"/>
    <w:rsid w:val="00112AAE"/>
    <w:rsid w:val="00113CEE"/>
    <w:rsid w:val="00113E99"/>
    <w:rsid w:val="00114AEC"/>
    <w:rsid w:val="00116AE6"/>
    <w:rsid w:val="00120038"/>
    <w:rsid w:val="001206B4"/>
    <w:rsid w:val="0012077F"/>
    <w:rsid w:val="00120DBF"/>
    <w:rsid w:val="00121498"/>
    <w:rsid w:val="001221EB"/>
    <w:rsid w:val="001223B4"/>
    <w:rsid w:val="0012246F"/>
    <w:rsid w:val="00123497"/>
    <w:rsid w:val="00123AE0"/>
    <w:rsid w:val="00124804"/>
    <w:rsid w:val="00125C81"/>
    <w:rsid w:val="0012624E"/>
    <w:rsid w:val="0012634A"/>
    <w:rsid w:val="001263B4"/>
    <w:rsid w:val="0013006C"/>
    <w:rsid w:val="00130320"/>
    <w:rsid w:val="0013047D"/>
    <w:rsid w:val="00130AAF"/>
    <w:rsid w:val="0013116C"/>
    <w:rsid w:val="0013124E"/>
    <w:rsid w:val="00132DF2"/>
    <w:rsid w:val="001333D5"/>
    <w:rsid w:val="001335D7"/>
    <w:rsid w:val="0013362E"/>
    <w:rsid w:val="0013624C"/>
    <w:rsid w:val="00136ADD"/>
    <w:rsid w:val="001412CD"/>
    <w:rsid w:val="001418ED"/>
    <w:rsid w:val="001429E8"/>
    <w:rsid w:val="00142A52"/>
    <w:rsid w:val="00142BC0"/>
    <w:rsid w:val="00142F17"/>
    <w:rsid w:val="0014329A"/>
    <w:rsid w:val="00144713"/>
    <w:rsid w:val="00144B30"/>
    <w:rsid w:val="00145C2D"/>
    <w:rsid w:val="00147927"/>
    <w:rsid w:val="00150F8A"/>
    <w:rsid w:val="001522CF"/>
    <w:rsid w:val="00152B08"/>
    <w:rsid w:val="001535FF"/>
    <w:rsid w:val="00153D9C"/>
    <w:rsid w:val="00153F7E"/>
    <w:rsid w:val="001547C7"/>
    <w:rsid w:val="001549C7"/>
    <w:rsid w:val="00162458"/>
    <w:rsid w:val="001624B2"/>
    <w:rsid w:val="00162AC6"/>
    <w:rsid w:val="00163B58"/>
    <w:rsid w:val="00164014"/>
    <w:rsid w:val="0016455A"/>
    <w:rsid w:val="00166A0B"/>
    <w:rsid w:val="00167CF2"/>
    <w:rsid w:val="00171543"/>
    <w:rsid w:val="0017214A"/>
    <w:rsid w:val="001727EA"/>
    <w:rsid w:val="00173E62"/>
    <w:rsid w:val="001741EF"/>
    <w:rsid w:val="001768A4"/>
    <w:rsid w:val="00176F36"/>
    <w:rsid w:val="00177FE8"/>
    <w:rsid w:val="00181FE6"/>
    <w:rsid w:val="00182475"/>
    <w:rsid w:val="001834A8"/>
    <w:rsid w:val="00183D42"/>
    <w:rsid w:val="00186771"/>
    <w:rsid w:val="001900FA"/>
    <w:rsid w:val="00190ABA"/>
    <w:rsid w:val="001912F0"/>
    <w:rsid w:val="001921C6"/>
    <w:rsid w:val="001923DB"/>
    <w:rsid w:val="00194902"/>
    <w:rsid w:val="001970E8"/>
    <w:rsid w:val="001A15E6"/>
    <w:rsid w:val="001A21B2"/>
    <w:rsid w:val="001A2883"/>
    <w:rsid w:val="001A317C"/>
    <w:rsid w:val="001A3442"/>
    <w:rsid w:val="001A39F4"/>
    <w:rsid w:val="001A4390"/>
    <w:rsid w:val="001A6526"/>
    <w:rsid w:val="001A6694"/>
    <w:rsid w:val="001B1427"/>
    <w:rsid w:val="001B3AE8"/>
    <w:rsid w:val="001B414E"/>
    <w:rsid w:val="001B4E13"/>
    <w:rsid w:val="001B5AC7"/>
    <w:rsid w:val="001B6DD4"/>
    <w:rsid w:val="001B6E03"/>
    <w:rsid w:val="001B71D4"/>
    <w:rsid w:val="001C0291"/>
    <w:rsid w:val="001C18C6"/>
    <w:rsid w:val="001C302C"/>
    <w:rsid w:val="001C3B19"/>
    <w:rsid w:val="001C6E14"/>
    <w:rsid w:val="001C6E77"/>
    <w:rsid w:val="001C73E6"/>
    <w:rsid w:val="001C7B63"/>
    <w:rsid w:val="001D04D5"/>
    <w:rsid w:val="001D0C5F"/>
    <w:rsid w:val="001D0F4A"/>
    <w:rsid w:val="001D114B"/>
    <w:rsid w:val="001D1A05"/>
    <w:rsid w:val="001D1C7F"/>
    <w:rsid w:val="001D234F"/>
    <w:rsid w:val="001D2A38"/>
    <w:rsid w:val="001D2C89"/>
    <w:rsid w:val="001D2F16"/>
    <w:rsid w:val="001D3F3A"/>
    <w:rsid w:val="001D4642"/>
    <w:rsid w:val="001D54DB"/>
    <w:rsid w:val="001D5817"/>
    <w:rsid w:val="001D5A35"/>
    <w:rsid w:val="001D6F34"/>
    <w:rsid w:val="001D73A8"/>
    <w:rsid w:val="001D782D"/>
    <w:rsid w:val="001E2258"/>
    <w:rsid w:val="001E2558"/>
    <w:rsid w:val="001E2E41"/>
    <w:rsid w:val="001E3B99"/>
    <w:rsid w:val="001E4254"/>
    <w:rsid w:val="001E587B"/>
    <w:rsid w:val="001E620E"/>
    <w:rsid w:val="001E6820"/>
    <w:rsid w:val="001F1901"/>
    <w:rsid w:val="001F2A92"/>
    <w:rsid w:val="001F3310"/>
    <w:rsid w:val="001F3F7F"/>
    <w:rsid w:val="001F4090"/>
    <w:rsid w:val="001F452B"/>
    <w:rsid w:val="001F59D5"/>
    <w:rsid w:val="001F62E6"/>
    <w:rsid w:val="001F6ABD"/>
    <w:rsid w:val="001F6DFE"/>
    <w:rsid w:val="001F70F3"/>
    <w:rsid w:val="0020053F"/>
    <w:rsid w:val="00201D70"/>
    <w:rsid w:val="00203395"/>
    <w:rsid w:val="00204F92"/>
    <w:rsid w:val="00206F80"/>
    <w:rsid w:val="00210813"/>
    <w:rsid w:val="0021087F"/>
    <w:rsid w:val="0021140B"/>
    <w:rsid w:val="0021273E"/>
    <w:rsid w:val="002132B0"/>
    <w:rsid w:val="00213311"/>
    <w:rsid w:val="00214048"/>
    <w:rsid w:val="00221216"/>
    <w:rsid w:val="0022342F"/>
    <w:rsid w:val="00224E4E"/>
    <w:rsid w:val="00226355"/>
    <w:rsid w:val="002271B6"/>
    <w:rsid w:val="0023336D"/>
    <w:rsid w:val="00233CBD"/>
    <w:rsid w:val="0023464B"/>
    <w:rsid w:val="00240B41"/>
    <w:rsid w:val="00241603"/>
    <w:rsid w:val="00242AC9"/>
    <w:rsid w:val="00246A78"/>
    <w:rsid w:val="00247B81"/>
    <w:rsid w:val="00247C53"/>
    <w:rsid w:val="0025009F"/>
    <w:rsid w:val="00250ACB"/>
    <w:rsid w:val="002527A1"/>
    <w:rsid w:val="00253FF3"/>
    <w:rsid w:val="0025475D"/>
    <w:rsid w:val="00254A95"/>
    <w:rsid w:val="002550BC"/>
    <w:rsid w:val="00256188"/>
    <w:rsid w:val="00256BA3"/>
    <w:rsid w:val="00261766"/>
    <w:rsid w:val="0026187D"/>
    <w:rsid w:val="00261D63"/>
    <w:rsid w:val="00261E48"/>
    <w:rsid w:val="00262D13"/>
    <w:rsid w:val="00265831"/>
    <w:rsid w:val="002659BA"/>
    <w:rsid w:val="002659DC"/>
    <w:rsid w:val="00265BC0"/>
    <w:rsid w:val="00267544"/>
    <w:rsid w:val="002678F1"/>
    <w:rsid w:val="00271BFC"/>
    <w:rsid w:val="00273A1F"/>
    <w:rsid w:val="002746C8"/>
    <w:rsid w:val="00275267"/>
    <w:rsid w:val="00275477"/>
    <w:rsid w:val="00275554"/>
    <w:rsid w:val="002806FA"/>
    <w:rsid w:val="0028135B"/>
    <w:rsid w:val="00282574"/>
    <w:rsid w:val="00283897"/>
    <w:rsid w:val="00283F98"/>
    <w:rsid w:val="00286E85"/>
    <w:rsid w:val="00287B8E"/>
    <w:rsid w:val="002904F5"/>
    <w:rsid w:val="002920B7"/>
    <w:rsid w:val="0029467A"/>
    <w:rsid w:val="00294C73"/>
    <w:rsid w:val="00294DB6"/>
    <w:rsid w:val="00295761"/>
    <w:rsid w:val="002973AC"/>
    <w:rsid w:val="002A0F8C"/>
    <w:rsid w:val="002A28AE"/>
    <w:rsid w:val="002A4F43"/>
    <w:rsid w:val="002A5D0C"/>
    <w:rsid w:val="002A6A08"/>
    <w:rsid w:val="002A6B70"/>
    <w:rsid w:val="002A6C0B"/>
    <w:rsid w:val="002A7FB3"/>
    <w:rsid w:val="002B0485"/>
    <w:rsid w:val="002B1305"/>
    <w:rsid w:val="002B447B"/>
    <w:rsid w:val="002B51F0"/>
    <w:rsid w:val="002B6DA1"/>
    <w:rsid w:val="002C09E5"/>
    <w:rsid w:val="002C0F78"/>
    <w:rsid w:val="002C192B"/>
    <w:rsid w:val="002C3293"/>
    <w:rsid w:val="002C3CFF"/>
    <w:rsid w:val="002C42CE"/>
    <w:rsid w:val="002C49F3"/>
    <w:rsid w:val="002C4EE1"/>
    <w:rsid w:val="002C599C"/>
    <w:rsid w:val="002C6A96"/>
    <w:rsid w:val="002D0056"/>
    <w:rsid w:val="002D1CE0"/>
    <w:rsid w:val="002D24C0"/>
    <w:rsid w:val="002D2C69"/>
    <w:rsid w:val="002D2D8D"/>
    <w:rsid w:val="002D33E4"/>
    <w:rsid w:val="002D3866"/>
    <w:rsid w:val="002D500C"/>
    <w:rsid w:val="002D5413"/>
    <w:rsid w:val="002D6240"/>
    <w:rsid w:val="002D649D"/>
    <w:rsid w:val="002E0681"/>
    <w:rsid w:val="002E2D78"/>
    <w:rsid w:val="002E56E4"/>
    <w:rsid w:val="002E630A"/>
    <w:rsid w:val="002E63E1"/>
    <w:rsid w:val="002E6A10"/>
    <w:rsid w:val="002E6D7C"/>
    <w:rsid w:val="002E7537"/>
    <w:rsid w:val="002E75D1"/>
    <w:rsid w:val="002F00C8"/>
    <w:rsid w:val="002F2D37"/>
    <w:rsid w:val="002F41F3"/>
    <w:rsid w:val="002F4694"/>
    <w:rsid w:val="002F6015"/>
    <w:rsid w:val="002F77F2"/>
    <w:rsid w:val="0030142C"/>
    <w:rsid w:val="0030203D"/>
    <w:rsid w:val="003023BF"/>
    <w:rsid w:val="0030252A"/>
    <w:rsid w:val="00303D47"/>
    <w:rsid w:val="00304710"/>
    <w:rsid w:val="003060EF"/>
    <w:rsid w:val="00310871"/>
    <w:rsid w:val="003109AC"/>
    <w:rsid w:val="0031262B"/>
    <w:rsid w:val="00312CB9"/>
    <w:rsid w:val="00313569"/>
    <w:rsid w:val="00313DB4"/>
    <w:rsid w:val="0031511D"/>
    <w:rsid w:val="0032105F"/>
    <w:rsid w:val="00321B97"/>
    <w:rsid w:val="003240CD"/>
    <w:rsid w:val="00325D22"/>
    <w:rsid w:val="003279BA"/>
    <w:rsid w:val="003279F7"/>
    <w:rsid w:val="003309AC"/>
    <w:rsid w:val="00330D21"/>
    <w:rsid w:val="00330E96"/>
    <w:rsid w:val="003312CF"/>
    <w:rsid w:val="00332B9C"/>
    <w:rsid w:val="003339C2"/>
    <w:rsid w:val="00334C20"/>
    <w:rsid w:val="00336A4C"/>
    <w:rsid w:val="00336E51"/>
    <w:rsid w:val="00341BFB"/>
    <w:rsid w:val="00342734"/>
    <w:rsid w:val="003441A9"/>
    <w:rsid w:val="0034469D"/>
    <w:rsid w:val="00345114"/>
    <w:rsid w:val="003453C0"/>
    <w:rsid w:val="00345518"/>
    <w:rsid w:val="00345C40"/>
    <w:rsid w:val="00345C75"/>
    <w:rsid w:val="0034625E"/>
    <w:rsid w:val="00347573"/>
    <w:rsid w:val="00347648"/>
    <w:rsid w:val="00351B85"/>
    <w:rsid w:val="00353979"/>
    <w:rsid w:val="00355A51"/>
    <w:rsid w:val="00356110"/>
    <w:rsid w:val="00356CFC"/>
    <w:rsid w:val="00357265"/>
    <w:rsid w:val="00357D45"/>
    <w:rsid w:val="00360DB1"/>
    <w:rsid w:val="003615AA"/>
    <w:rsid w:val="00362156"/>
    <w:rsid w:val="003624D3"/>
    <w:rsid w:val="00362FDD"/>
    <w:rsid w:val="00364FBA"/>
    <w:rsid w:val="00365667"/>
    <w:rsid w:val="003657B5"/>
    <w:rsid w:val="00366C86"/>
    <w:rsid w:val="00367DCE"/>
    <w:rsid w:val="003708EB"/>
    <w:rsid w:val="00370DD0"/>
    <w:rsid w:val="00371006"/>
    <w:rsid w:val="00371279"/>
    <w:rsid w:val="00371D14"/>
    <w:rsid w:val="003730DB"/>
    <w:rsid w:val="00374AED"/>
    <w:rsid w:val="00374EE8"/>
    <w:rsid w:val="0037514E"/>
    <w:rsid w:val="00375F3E"/>
    <w:rsid w:val="00376220"/>
    <w:rsid w:val="0037778A"/>
    <w:rsid w:val="00377883"/>
    <w:rsid w:val="00377F9C"/>
    <w:rsid w:val="00381416"/>
    <w:rsid w:val="00381C22"/>
    <w:rsid w:val="00382E41"/>
    <w:rsid w:val="003852EB"/>
    <w:rsid w:val="003853AE"/>
    <w:rsid w:val="00385CD0"/>
    <w:rsid w:val="00385DA8"/>
    <w:rsid w:val="00386353"/>
    <w:rsid w:val="00387E18"/>
    <w:rsid w:val="003905C6"/>
    <w:rsid w:val="00391A14"/>
    <w:rsid w:val="0039264D"/>
    <w:rsid w:val="00397498"/>
    <w:rsid w:val="003974E0"/>
    <w:rsid w:val="00397955"/>
    <w:rsid w:val="003A04B0"/>
    <w:rsid w:val="003A066E"/>
    <w:rsid w:val="003A1279"/>
    <w:rsid w:val="003A1FD3"/>
    <w:rsid w:val="003A3AD3"/>
    <w:rsid w:val="003A3EF1"/>
    <w:rsid w:val="003A44C8"/>
    <w:rsid w:val="003A4E4D"/>
    <w:rsid w:val="003A5392"/>
    <w:rsid w:val="003B04CC"/>
    <w:rsid w:val="003B10EC"/>
    <w:rsid w:val="003B28CA"/>
    <w:rsid w:val="003B2E65"/>
    <w:rsid w:val="003B3405"/>
    <w:rsid w:val="003B4033"/>
    <w:rsid w:val="003B450B"/>
    <w:rsid w:val="003B65F7"/>
    <w:rsid w:val="003B6669"/>
    <w:rsid w:val="003C02A5"/>
    <w:rsid w:val="003C0BDD"/>
    <w:rsid w:val="003C2728"/>
    <w:rsid w:val="003C308B"/>
    <w:rsid w:val="003C3527"/>
    <w:rsid w:val="003C36A0"/>
    <w:rsid w:val="003C37E1"/>
    <w:rsid w:val="003C4E39"/>
    <w:rsid w:val="003C56EF"/>
    <w:rsid w:val="003C574B"/>
    <w:rsid w:val="003C5C2B"/>
    <w:rsid w:val="003D0375"/>
    <w:rsid w:val="003D0D98"/>
    <w:rsid w:val="003D2C9D"/>
    <w:rsid w:val="003D3498"/>
    <w:rsid w:val="003D34CD"/>
    <w:rsid w:val="003D3FA6"/>
    <w:rsid w:val="003D40B3"/>
    <w:rsid w:val="003D4261"/>
    <w:rsid w:val="003D5376"/>
    <w:rsid w:val="003D539E"/>
    <w:rsid w:val="003D5AD7"/>
    <w:rsid w:val="003D6B4C"/>
    <w:rsid w:val="003E1B0B"/>
    <w:rsid w:val="003E1F65"/>
    <w:rsid w:val="003E2859"/>
    <w:rsid w:val="003E2A8E"/>
    <w:rsid w:val="003E2B28"/>
    <w:rsid w:val="003E36BD"/>
    <w:rsid w:val="003E39CE"/>
    <w:rsid w:val="003E4395"/>
    <w:rsid w:val="003E454F"/>
    <w:rsid w:val="003E4967"/>
    <w:rsid w:val="003E5646"/>
    <w:rsid w:val="003E746C"/>
    <w:rsid w:val="003F0267"/>
    <w:rsid w:val="003F2D20"/>
    <w:rsid w:val="003F2F4B"/>
    <w:rsid w:val="003F62BE"/>
    <w:rsid w:val="003F7E2E"/>
    <w:rsid w:val="004013BB"/>
    <w:rsid w:val="004039C0"/>
    <w:rsid w:val="00404431"/>
    <w:rsid w:val="00404683"/>
    <w:rsid w:val="00405CB3"/>
    <w:rsid w:val="004101AC"/>
    <w:rsid w:val="004115DC"/>
    <w:rsid w:val="004127EA"/>
    <w:rsid w:val="00413E55"/>
    <w:rsid w:val="00415080"/>
    <w:rsid w:val="00415104"/>
    <w:rsid w:val="004153E6"/>
    <w:rsid w:val="00421B04"/>
    <w:rsid w:val="00422693"/>
    <w:rsid w:val="0042320D"/>
    <w:rsid w:val="00423924"/>
    <w:rsid w:val="004254C8"/>
    <w:rsid w:val="0042558F"/>
    <w:rsid w:val="004257DB"/>
    <w:rsid w:val="0042694D"/>
    <w:rsid w:val="004273F9"/>
    <w:rsid w:val="00430CA5"/>
    <w:rsid w:val="00430DF2"/>
    <w:rsid w:val="00431E43"/>
    <w:rsid w:val="00431FA9"/>
    <w:rsid w:val="00433C3E"/>
    <w:rsid w:val="004359A7"/>
    <w:rsid w:val="004370B2"/>
    <w:rsid w:val="004379AD"/>
    <w:rsid w:val="0044042B"/>
    <w:rsid w:val="00442EF0"/>
    <w:rsid w:val="00443276"/>
    <w:rsid w:val="00444A59"/>
    <w:rsid w:val="00446F2A"/>
    <w:rsid w:val="0044707D"/>
    <w:rsid w:val="004474BB"/>
    <w:rsid w:val="004505F6"/>
    <w:rsid w:val="0045321B"/>
    <w:rsid w:val="0045413E"/>
    <w:rsid w:val="00454707"/>
    <w:rsid w:val="00454880"/>
    <w:rsid w:val="0045514D"/>
    <w:rsid w:val="004553AE"/>
    <w:rsid w:val="004556A1"/>
    <w:rsid w:val="00455976"/>
    <w:rsid w:val="00456933"/>
    <w:rsid w:val="004575EF"/>
    <w:rsid w:val="00462453"/>
    <w:rsid w:val="00463BA2"/>
    <w:rsid w:val="0046554A"/>
    <w:rsid w:val="004659B0"/>
    <w:rsid w:val="0046742D"/>
    <w:rsid w:val="00471C58"/>
    <w:rsid w:val="0047321E"/>
    <w:rsid w:val="00476274"/>
    <w:rsid w:val="0047650F"/>
    <w:rsid w:val="00477E6D"/>
    <w:rsid w:val="00480DF0"/>
    <w:rsid w:val="00482406"/>
    <w:rsid w:val="004826AE"/>
    <w:rsid w:val="00483595"/>
    <w:rsid w:val="00483A4E"/>
    <w:rsid w:val="00484242"/>
    <w:rsid w:val="00484470"/>
    <w:rsid w:val="004846CB"/>
    <w:rsid w:val="0048590D"/>
    <w:rsid w:val="004865AB"/>
    <w:rsid w:val="00487309"/>
    <w:rsid w:val="0048730B"/>
    <w:rsid w:val="00487BFE"/>
    <w:rsid w:val="004908F9"/>
    <w:rsid w:val="00491A9C"/>
    <w:rsid w:val="00492AC6"/>
    <w:rsid w:val="004934C9"/>
    <w:rsid w:val="0049458C"/>
    <w:rsid w:val="004950EA"/>
    <w:rsid w:val="0049671C"/>
    <w:rsid w:val="00496ACE"/>
    <w:rsid w:val="004A04BB"/>
    <w:rsid w:val="004A0AEC"/>
    <w:rsid w:val="004A1740"/>
    <w:rsid w:val="004A1BF9"/>
    <w:rsid w:val="004A1CEC"/>
    <w:rsid w:val="004A318D"/>
    <w:rsid w:val="004A32AB"/>
    <w:rsid w:val="004A383D"/>
    <w:rsid w:val="004A3D55"/>
    <w:rsid w:val="004A58E7"/>
    <w:rsid w:val="004A59E2"/>
    <w:rsid w:val="004B0B9F"/>
    <w:rsid w:val="004B15A9"/>
    <w:rsid w:val="004B1F4D"/>
    <w:rsid w:val="004B379F"/>
    <w:rsid w:val="004B38ED"/>
    <w:rsid w:val="004B3F62"/>
    <w:rsid w:val="004B474D"/>
    <w:rsid w:val="004B5A29"/>
    <w:rsid w:val="004B6A85"/>
    <w:rsid w:val="004B7771"/>
    <w:rsid w:val="004B79C8"/>
    <w:rsid w:val="004C3F48"/>
    <w:rsid w:val="004C4820"/>
    <w:rsid w:val="004C49F9"/>
    <w:rsid w:val="004C538B"/>
    <w:rsid w:val="004C56B2"/>
    <w:rsid w:val="004C5836"/>
    <w:rsid w:val="004C5894"/>
    <w:rsid w:val="004C7B78"/>
    <w:rsid w:val="004D036D"/>
    <w:rsid w:val="004D10CE"/>
    <w:rsid w:val="004D16C1"/>
    <w:rsid w:val="004D39D1"/>
    <w:rsid w:val="004D5A64"/>
    <w:rsid w:val="004D667A"/>
    <w:rsid w:val="004D6C51"/>
    <w:rsid w:val="004E08E3"/>
    <w:rsid w:val="004E0EA6"/>
    <w:rsid w:val="004E2314"/>
    <w:rsid w:val="004E2443"/>
    <w:rsid w:val="004E3552"/>
    <w:rsid w:val="004E4140"/>
    <w:rsid w:val="004E4606"/>
    <w:rsid w:val="004E4BC4"/>
    <w:rsid w:val="004E5286"/>
    <w:rsid w:val="004E5FD1"/>
    <w:rsid w:val="004F1D8A"/>
    <w:rsid w:val="004F285A"/>
    <w:rsid w:val="004F3E6B"/>
    <w:rsid w:val="004F4F08"/>
    <w:rsid w:val="004F4FCD"/>
    <w:rsid w:val="004F5E7A"/>
    <w:rsid w:val="00500B72"/>
    <w:rsid w:val="00500BF2"/>
    <w:rsid w:val="00500E1B"/>
    <w:rsid w:val="005050A9"/>
    <w:rsid w:val="00507EBA"/>
    <w:rsid w:val="00511773"/>
    <w:rsid w:val="00511B14"/>
    <w:rsid w:val="00511BAB"/>
    <w:rsid w:val="00512B67"/>
    <w:rsid w:val="005136C6"/>
    <w:rsid w:val="00513775"/>
    <w:rsid w:val="005140A2"/>
    <w:rsid w:val="00514ED1"/>
    <w:rsid w:val="00514F57"/>
    <w:rsid w:val="005151D4"/>
    <w:rsid w:val="0051618C"/>
    <w:rsid w:val="005178EE"/>
    <w:rsid w:val="00520057"/>
    <w:rsid w:val="00520755"/>
    <w:rsid w:val="005227E6"/>
    <w:rsid w:val="00522C25"/>
    <w:rsid w:val="00522ECC"/>
    <w:rsid w:val="005232E2"/>
    <w:rsid w:val="005233B0"/>
    <w:rsid w:val="00524157"/>
    <w:rsid w:val="00524B71"/>
    <w:rsid w:val="005302E2"/>
    <w:rsid w:val="0053078C"/>
    <w:rsid w:val="00530C14"/>
    <w:rsid w:val="00530CFB"/>
    <w:rsid w:val="00531EF6"/>
    <w:rsid w:val="00532B8B"/>
    <w:rsid w:val="005331C2"/>
    <w:rsid w:val="005338A5"/>
    <w:rsid w:val="005340FD"/>
    <w:rsid w:val="00536540"/>
    <w:rsid w:val="00537CC0"/>
    <w:rsid w:val="00537D21"/>
    <w:rsid w:val="00541353"/>
    <w:rsid w:val="00543502"/>
    <w:rsid w:val="00544AF4"/>
    <w:rsid w:val="00547454"/>
    <w:rsid w:val="00550783"/>
    <w:rsid w:val="005520AA"/>
    <w:rsid w:val="00553392"/>
    <w:rsid w:val="005550E1"/>
    <w:rsid w:val="00556E84"/>
    <w:rsid w:val="00560323"/>
    <w:rsid w:val="00560F6C"/>
    <w:rsid w:val="005614CE"/>
    <w:rsid w:val="005629B1"/>
    <w:rsid w:val="00562B27"/>
    <w:rsid w:val="0056424D"/>
    <w:rsid w:val="00565769"/>
    <w:rsid w:val="00565807"/>
    <w:rsid w:val="00565E78"/>
    <w:rsid w:val="00570132"/>
    <w:rsid w:val="00570324"/>
    <w:rsid w:val="005723F6"/>
    <w:rsid w:val="005727D0"/>
    <w:rsid w:val="005728B0"/>
    <w:rsid w:val="005738C1"/>
    <w:rsid w:val="00574A2A"/>
    <w:rsid w:val="0057606A"/>
    <w:rsid w:val="005762D6"/>
    <w:rsid w:val="005808AC"/>
    <w:rsid w:val="005816C6"/>
    <w:rsid w:val="0058240B"/>
    <w:rsid w:val="00582893"/>
    <w:rsid w:val="00582D13"/>
    <w:rsid w:val="00583555"/>
    <w:rsid w:val="00584908"/>
    <w:rsid w:val="00584DA6"/>
    <w:rsid w:val="00585A1C"/>
    <w:rsid w:val="00585D46"/>
    <w:rsid w:val="005907B8"/>
    <w:rsid w:val="0059095E"/>
    <w:rsid w:val="0059108A"/>
    <w:rsid w:val="005917B7"/>
    <w:rsid w:val="00591F80"/>
    <w:rsid w:val="00593405"/>
    <w:rsid w:val="00593580"/>
    <w:rsid w:val="005935B4"/>
    <w:rsid w:val="005938EC"/>
    <w:rsid w:val="00594387"/>
    <w:rsid w:val="00595347"/>
    <w:rsid w:val="00595E25"/>
    <w:rsid w:val="005961E4"/>
    <w:rsid w:val="00596372"/>
    <w:rsid w:val="005970D7"/>
    <w:rsid w:val="005A1776"/>
    <w:rsid w:val="005A19F6"/>
    <w:rsid w:val="005A266C"/>
    <w:rsid w:val="005A29F4"/>
    <w:rsid w:val="005A313A"/>
    <w:rsid w:val="005A4F25"/>
    <w:rsid w:val="005A5959"/>
    <w:rsid w:val="005B1BCA"/>
    <w:rsid w:val="005B2DBF"/>
    <w:rsid w:val="005B3052"/>
    <w:rsid w:val="005B401F"/>
    <w:rsid w:val="005B468C"/>
    <w:rsid w:val="005B4CF2"/>
    <w:rsid w:val="005B57CC"/>
    <w:rsid w:val="005B670C"/>
    <w:rsid w:val="005B6C9B"/>
    <w:rsid w:val="005B6E0D"/>
    <w:rsid w:val="005C02F0"/>
    <w:rsid w:val="005C07AB"/>
    <w:rsid w:val="005C2263"/>
    <w:rsid w:val="005C2542"/>
    <w:rsid w:val="005C3631"/>
    <w:rsid w:val="005C3644"/>
    <w:rsid w:val="005C66E2"/>
    <w:rsid w:val="005D020E"/>
    <w:rsid w:val="005D28F2"/>
    <w:rsid w:val="005D2DC5"/>
    <w:rsid w:val="005D740F"/>
    <w:rsid w:val="005D787C"/>
    <w:rsid w:val="005D7AE1"/>
    <w:rsid w:val="005E10D0"/>
    <w:rsid w:val="005E157F"/>
    <w:rsid w:val="005E1EF3"/>
    <w:rsid w:val="005E2A39"/>
    <w:rsid w:val="005E376D"/>
    <w:rsid w:val="005E3C2C"/>
    <w:rsid w:val="005E46E3"/>
    <w:rsid w:val="005E5586"/>
    <w:rsid w:val="005E56F9"/>
    <w:rsid w:val="005E6DA9"/>
    <w:rsid w:val="005E70A7"/>
    <w:rsid w:val="005F0FAA"/>
    <w:rsid w:val="005F17DA"/>
    <w:rsid w:val="005F2530"/>
    <w:rsid w:val="005F445D"/>
    <w:rsid w:val="005F49ED"/>
    <w:rsid w:val="005F4BC8"/>
    <w:rsid w:val="005F4DBC"/>
    <w:rsid w:val="005F660B"/>
    <w:rsid w:val="005F6769"/>
    <w:rsid w:val="005F7696"/>
    <w:rsid w:val="00600937"/>
    <w:rsid w:val="006009BB"/>
    <w:rsid w:val="00600D33"/>
    <w:rsid w:val="0060114B"/>
    <w:rsid w:val="006013C5"/>
    <w:rsid w:val="006016C5"/>
    <w:rsid w:val="00601875"/>
    <w:rsid w:val="00602E1A"/>
    <w:rsid w:val="006047F4"/>
    <w:rsid w:val="00605AC6"/>
    <w:rsid w:val="00605BDB"/>
    <w:rsid w:val="006112C2"/>
    <w:rsid w:val="00611530"/>
    <w:rsid w:val="00611D18"/>
    <w:rsid w:val="00613280"/>
    <w:rsid w:val="00613290"/>
    <w:rsid w:val="00613BAD"/>
    <w:rsid w:val="006146C0"/>
    <w:rsid w:val="006146C2"/>
    <w:rsid w:val="00615643"/>
    <w:rsid w:val="00615A38"/>
    <w:rsid w:val="0061607D"/>
    <w:rsid w:val="00616B9A"/>
    <w:rsid w:val="00621006"/>
    <w:rsid w:val="00621F58"/>
    <w:rsid w:val="006234E4"/>
    <w:rsid w:val="00624403"/>
    <w:rsid w:val="0062688F"/>
    <w:rsid w:val="00626F32"/>
    <w:rsid w:val="00627DAD"/>
    <w:rsid w:val="00627DF6"/>
    <w:rsid w:val="006308E2"/>
    <w:rsid w:val="00634303"/>
    <w:rsid w:val="006349ED"/>
    <w:rsid w:val="0063593A"/>
    <w:rsid w:val="00637F22"/>
    <w:rsid w:val="00640354"/>
    <w:rsid w:val="006403C3"/>
    <w:rsid w:val="00641AB0"/>
    <w:rsid w:val="00642A82"/>
    <w:rsid w:val="006437D0"/>
    <w:rsid w:val="00643909"/>
    <w:rsid w:val="006471EB"/>
    <w:rsid w:val="00647327"/>
    <w:rsid w:val="00647A00"/>
    <w:rsid w:val="006512FE"/>
    <w:rsid w:val="00651304"/>
    <w:rsid w:val="0065188A"/>
    <w:rsid w:val="0065247B"/>
    <w:rsid w:val="00652720"/>
    <w:rsid w:val="00653253"/>
    <w:rsid w:val="0065478F"/>
    <w:rsid w:val="00654CB5"/>
    <w:rsid w:val="00656F9A"/>
    <w:rsid w:val="00657D08"/>
    <w:rsid w:val="00661B22"/>
    <w:rsid w:val="00661F84"/>
    <w:rsid w:val="00662C8A"/>
    <w:rsid w:val="00663BBC"/>
    <w:rsid w:val="00664A11"/>
    <w:rsid w:val="00664AD2"/>
    <w:rsid w:val="00666F86"/>
    <w:rsid w:val="00672A70"/>
    <w:rsid w:val="00673ADF"/>
    <w:rsid w:val="00675088"/>
    <w:rsid w:val="00675ADB"/>
    <w:rsid w:val="00675BF3"/>
    <w:rsid w:val="00675E15"/>
    <w:rsid w:val="006776C9"/>
    <w:rsid w:val="00681135"/>
    <w:rsid w:val="00682752"/>
    <w:rsid w:val="0068304F"/>
    <w:rsid w:val="00683956"/>
    <w:rsid w:val="006910EB"/>
    <w:rsid w:val="006912FE"/>
    <w:rsid w:val="0069147A"/>
    <w:rsid w:val="00692A75"/>
    <w:rsid w:val="006941DE"/>
    <w:rsid w:val="006962AC"/>
    <w:rsid w:val="0069671B"/>
    <w:rsid w:val="00697982"/>
    <w:rsid w:val="006A0ADF"/>
    <w:rsid w:val="006A1426"/>
    <w:rsid w:val="006A186C"/>
    <w:rsid w:val="006A1BCE"/>
    <w:rsid w:val="006A38AE"/>
    <w:rsid w:val="006A3E29"/>
    <w:rsid w:val="006A3E8D"/>
    <w:rsid w:val="006A4ABD"/>
    <w:rsid w:val="006B0828"/>
    <w:rsid w:val="006B2707"/>
    <w:rsid w:val="006B4DB6"/>
    <w:rsid w:val="006B55A1"/>
    <w:rsid w:val="006B7CE3"/>
    <w:rsid w:val="006C3A06"/>
    <w:rsid w:val="006C5B1E"/>
    <w:rsid w:val="006C7C82"/>
    <w:rsid w:val="006D024A"/>
    <w:rsid w:val="006D3B9C"/>
    <w:rsid w:val="006D3EFD"/>
    <w:rsid w:val="006E0F84"/>
    <w:rsid w:val="006E1284"/>
    <w:rsid w:val="006E245E"/>
    <w:rsid w:val="006E2A95"/>
    <w:rsid w:val="006E2E9D"/>
    <w:rsid w:val="006E531F"/>
    <w:rsid w:val="006E5CEB"/>
    <w:rsid w:val="006E7A7A"/>
    <w:rsid w:val="006E7C0E"/>
    <w:rsid w:val="006F3B82"/>
    <w:rsid w:val="006F5733"/>
    <w:rsid w:val="006F6147"/>
    <w:rsid w:val="006F658A"/>
    <w:rsid w:val="006F7B88"/>
    <w:rsid w:val="006F7F0C"/>
    <w:rsid w:val="006F7F69"/>
    <w:rsid w:val="0070210C"/>
    <w:rsid w:val="00702CC8"/>
    <w:rsid w:val="00704EE4"/>
    <w:rsid w:val="00705309"/>
    <w:rsid w:val="00705706"/>
    <w:rsid w:val="00710985"/>
    <w:rsid w:val="00710F62"/>
    <w:rsid w:val="0071228F"/>
    <w:rsid w:val="00713209"/>
    <w:rsid w:val="007145D7"/>
    <w:rsid w:val="00715626"/>
    <w:rsid w:val="00717613"/>
    <w:rsid w:val="00721576"/>
    <w:rsid w:val="00721BCE"/>
    <w:rsid w:val="00722290"/>
    <w:rsid w:val="00722A86"/>
    <w:rsid w:val="00723C4D"/>
    <w:rsid w:val="0072463C"/>
    <w:rsid w:val="00724D99"/>
    <w:rsid w:val="00730F2E"/>
    <w:rsid w:val="00731882"/>
    <w:rsid w:val="00731F22"/>
    <w:rsid w:val="007320E1"/>
    <w:rsid w:val="00732860"/>
    <w:rsid w:val="007333CD"/>
    <w:rsid w:val="0073429F"/>
    <w:rsid w:val="0073448A"/>
    <w:rsid w:val="007366FE"/>
    <w:rsid w:val="00736BCF"/>
    <w:rsid w:val="007403D9"/>
    <w:rsid w:val="00740AD2"/>
    <w:rsid w:val="00741801"/>
    <w:rsid w:val="00744AAD"/>
    <w:rsid w:val="0074557C"/>
    <w:rsid w:val="007455FF"/>
    <w:rsid w:val="00746B11"/>
    <w:rsid w:val="0074731C"/>
    <w:rsid w:val="00751519"/>
    <w:rsid w:val="00752203"/>
    <w:rsid w:val="00752A1D"/>
    <w:rsid w:val="00752BD2"/>
    <w:rsid w:val="00752C31"/>
    <w:rsid w:val="007545EF"/>
    <w:rsid w:val="00755309"/>
    <w:rsid w:val="0076121D"/>
    <w:rsid w:val="0076141E"/>
    <w:rsid w:val="00761E1C"/>
    <w:rsid w:val="007651EC"/>
    <w:rsid w:val="00765D4E"/>
    <w:rsid w:val="00765F4B"/>
    <w:rsid w:val="007666BD"/>
    <w:rsid w:val="00766EFC"/>
    <w:rsid w:val="007677FD"/>
    <w:rsid w:val="007700A4"/>
    <w:rsid w:val="007710F7"/>
    <w:rsid w:val="00772E45"/>
    <w:rsid w:val="007743E0"/>
    <w:rsid w:val="00775755"/>
    <w:rsid w:val="007757B2"/>
    <w:rsid w:val="00775BE5"/>
    <w:rsid w:val="00780267"/>
    <w:rsid w:val="007811A6"/>
    <w:rsid w:val="007816D3"/>
    <w:rsid w:val="00782F2C"/>
    <w:rsid w:val="007833D3"/>
    <w:rsid w:val="007878F6"/>
    <w:rsid w:val="007916F3"/>
    <w:rsid w:val="00791B6B"/>
    <w:rsid w:val="007932AA"/>
    <w:rsid w:val="007954C1"/>
    <w:rsid w:val="007963DC"/>
    <w:rsid w:val="007971E0"/>
    <w:rsid w:val="00797CE1"/>
    <w:rsid w:val="00797F96"/>
    <w:rsid w:val="007A17B4"/>
    <w:rsid w:val="007A1887"/>
    <w:rsid w:val="007A2747"/>
    <w:rsid w:val="007A3097"/>
    <w:rsid w:val="007A56D0"/>
    <w:rsid w:val="007A5ACC"/>
    <w:rsid w:val="007B3257"/>
    <w:rsid w:val="007B4AA4"/>
    <w:rsid w:val="007B4DD8"/>
    <w:rsid w:val="007B50FA"/>
    <w:rsid w:val="007B5B68"/>
    <w:rsid w:val="007B7047"/>
    <w:rsid w:val="007B7229"/>
    <w:rsid w:val="007C0618"/>
    <w:rsid w:val="007C1D90"/>
    <w:rsid w:val="007C23D1"/>
    <w:rsid w:val="007C38AF"/>
    <w:rsid w:val="007C3C53"/>
    <w:rsid w:val="007C473F"/>
    <w:rsid w:val="007C526A"/>
    <w:rsid w:val="007C63E7"/>
    <w:rsid w:val="007D059E"/>
    <w:rsid w:val="007D0A7B"/>
    <w:rsid w:val="007D0C8A"/>
    <w:rsid w:val="007D3343"/>
    <w:rsid w:val="007D33CE"/>
    <w:rsid w:val="007D4E36"/>
    <w:rsid w:val="007D50AE"/>
    <w:rsid w:val="007D59A4"/>
    <w:rsid w:val="007D5C13"/>
    <w:rsid w:val="007D6728"/>
    <w:rsid w:val="007D7AA6"/>
    <w:rsid w:val="007E02F0"/>
    <w:rsid w:val="007E0A68"/>
    <w:rsid w:val="007E15BF"/>
    <w:rsid w:val="007E17A4"/>
    <w:rsid w:val="007E23C7"/>
    <w:rsid w:val="007E3296"/>
    <w:rsid w:val="007E32B9"/>
    <w:rsid w:val="007E58C1"/>
    <w:rsid w:val="007E5AD2"/>
    <w:rsid w:val="007E63B4"/>
    <w:rsid w:val="007E64ED"/>
    <w:rsid w:val="007E6D08"/>
    <w:rsid w:val="007E7CE3"/>
    <w:rsid w:val="007F0405"/>
    <w:rsid w:val="007F1026"/>
    <w:rsid w:val="007F177E"/>
    <w:rsid w:val="007F2508"/>
    <w:rsid w:val="007F2F90"/>
    <w:rsid w:val="007F4313"/>
    <w:rsid w:val="007F4396"/>
    <w:rsid w:val="007F5DC6"/>
    <w:rsid w:val="00800F04"/>
    <w:rsid w:val="00800F0B"/>
    <w:rsid w:val="008012B6"/>
    <w:rsid w:val="008032AC"/>
    <w:rsid w:val="008043DB"/>
    <w:rsid w:val="008047FB"/>
    <w:rsid w:val="00805CDC"/>
    <w:rsid w:val="0081107B"/>
    <w:rsid w:val="00812E67"/>
    <w:rsid w:val="00813069"/>
    <w:rsid w:val="008130EA"/>
    <w:rsid w:val="00813D20"/>
    <w:rsid w:val="00813DFF"/>
    <w:rsid w:val="00814EB1"/>
    <w:rsid w:val="008159DE"/>
    <w:rsid w:val="00816151"/>
    <w:rsid w:val="00816BDF"/>
    <w:rsid w:val="00820C0F"/>
    <w:rsid w:val="008212E7"/>
    <w:rsid w:val="00825506"/>
    <w:rsid w:val="00827E2C"/>
    <w:rsid w:val="0083038D"/>
    <w:rsid w:val="008312C8"/>
    <w:rsid w:val="0083149F"/>
    <w:rsid w:val="0083185F"/>
    <w:rsid w:val="00831C9A"/>
    <w:rsid w:val="00831FA1"/>
    <w:rsid w:val="00832E22"/>
    <w:rsid w:val="00833509"/>
    <w:rsid w:val="00841963"/>
    <w:rsid w:val="00844749"/>
    <w:rsid w:val="008447EA"/>
    <w:rsid w:val="00844979"/>
    <w:rsid w:val="008463D4"/>
    <w:rsid w:val="008528D0"/>
    <w:rsid w:val="00854962"/>
    <w:rsid w:val="00854F02"/>
    <w:rsid w:val="00855760"/>
    <w:rsid w:val="008558C3"/>
    <w:rsid w:val="008562AC"/>
    <w:rsid w:val="00856487"/>
    <w:rsid w:val="00856861"/>
    <w:rsid w:val="00860956"/>
    <w:rsid w:val="00861269"/>
    <w:rsid w:val="00861445"/>
    <w:rsid w:val="00861606"/>
    <w:rsid w:val="00861661"/>
    <w:rsid w:val="008618C2"/>
    <w:rsid w:val="00863AC2"/>
    <w:rsid w:val="00865C71"/>
    <w:rsid w:val="00865E82"/>
    <w:rsid w:val="008660B8"/>
    <w:rsid w:val="00866172"/>
    <w:rsid w:val="00867F62"/>
    <w:rsid w:val="00870EBF"/>
    <w:rsid w:val="00871657"/>
    <w:rsid w:val="0087270C"/>
    <w:rsid w:val="00872E3F"/>
    <w:rsid w:val="00872FF0"/>
    <w:rsid w:val="00873ABC"/>
    <w:rsid w:val="008743D4"/>
    <w:rsid w:val="00874B4A"/>
    <w:rsid w:val="00875527"/>
    <w:rsid w:val="00876916"/>
    <w:rsid w:val="00876C9B"/>
    <w:rsid w:val="008773D7"/>
    <w:rsid w:val="0088130A"/>
    <w:rsid w:val="008816C4"/>
    <w:rsid w:val="00881730"/>
    <w:rsid w:val="008817C6"/>
    <w:rsid w:val="008832DF"/>
    <w:rsid w:val="00885139"/>
    <w:rsid w:val="008870E9"/>
    <w:rsid w:val="00890267"/>
    <w:rsid w:val="00890B36"/>
    <w:rsid w:val="00891D23"/>
    <w:rsid w:val="0089235D"/>
    <w:rsid w:val="00892B8B"/>
    <w:rsid w:val="00892BCD"/>
    <w:rsid w:val="008947EC"/>
    <w:rsid w:val="00895BB4"/>
    <w:rsid w:val="0089638A"/>
    <w:rsid w:val="008966CC"/>
    <w:rsid w:val="008A0082"/>
    <w:rsid w:val="008A0386"/>
    <w:rsid w:val="008A0762"/>
    <w:rsid w:val="008A0BBE"/>
    <w:rsid w:val="008A2403"/>
    <w:rsid w:val="008A25BC"/>
    <w:rsid w:val="008A3999"/>
    <w:rsid w:val="008A418A"/>
    <w:rsid w:val="008A490A"/>
    <w:rsid w:val="008A5089"/>
    <w:rsid w:val="008A54B1"/>
    <w:rsid w:val="008A6636"/>
    <w:rsid w:val="008A675C"/>
    <w:rsid w:val="008A7171"/>
    <w:rsid w:val="008B322B"/>
    <w:rsid w:val="008B3A43"/>
    <w:rsid w:val="008B4BF8"/>
    <w:rsid w:val="008B57D5"/>
    <w:rsid w:val="008B60FE"/>
    <w:rsid w:val="008B77BF"/>
    <w:rsid w:val="008C12F2"/>
    <w:rsid w:val="008C24A0"/>
    <w:rsid w:val="008C39DC"/>
    <w:rsid w:val="008C427C"/>
    <w:rsid w:val="008C4768"/>
    <w:rsid w:val="008C4872"/>
    <w:rsid w:val="008C5013"/>
    <w:rsid w:val="008C5B57"/>
    <w:rsid w:val="008C5C88"/>
    <w:rsid w:val="008D0381"/>
    <w:rsid w:val="008D0465"/>
    <w:rsid w:val="008D172A"/>
    <w:rsid w:val="008D2D22"/>
    <w:rsid w:val="008D3993"/>
    <w:rsid w:val="008D41C4"/>
    <w:rsid w:val="008D4408"/>
    <w:rsid w:val="008D6512"/>
    <w:rsid w:val="008D6788"/>
    <w:rsid w:val="008D6798"/>
    <w:rsid w:val="008D6A9A"/>
    <w:rsid w:val="008D720C"/>
    <w:rsid w:val="008E1055"/>
    <w:rsid w:val="008E1781"/>
    <w:rsid w:val="008E2264"/>
    <w:rsid w:val="008E4980"/>
    <w:rsid w:val="008E580D"/>
    <w:rsid w:val="008E67A2"/>
    <w:rsid w:val="008E6A83"/>
    <w:rsid w:val="008E7550"/>
    <w:rsid w:val="008E78A8"/>
    <w:rsid w:val="008E7ACF"/>
    <w:rsid w:val="008E7EB0"/>
    <w:rsid w:val="008E7EF0"/>
    <w:rsid w:val="008E7F2D"/>
    <w:rsid w:val="008F04CC"/>
    <w:rsid w:val="008F076E"/>
    <w:rsid w:val="008F0CA8"/>
    <w:rsid w:val="008F29EC"/>
    <w:rsid w:val="008F2F06"/>
    <w:rsid w:val="008F64F6"/>
    <w:rsid w:val="008F73C9"/>
    <w:rsid w:val="008F7435"/>
    <w:rsid w:val="00900CB0"/>
    <w:rsid w:val="009017D3"/>
    <w:rsid w:val="00901A4A"/>
    <w:rsid w:val="00902228"/>
    <w:rsid w:val="009029CD"/>
    <w:rsid w:val="009038EB"/>
    <w:rsid w:val="00903C4E"/>
    <w:rsid w:val="00904F57"/>
    <w:rsid w:val="00905946"/>
    <w:rsid w:val="00907922"/>
    <w:rsid w:val="009108F0"/>
    <w:rsid w:val="0091277C"/>
    <w:rsid w:val="00913A8C"/>
    <w:rsid w:val="00915C85"/>
    <w:rsid w:val="009164AC"/>
    <w:rsid w:val="00916C83"/>
    <w:rsid w:val="009219EA"/>
    <w:rsid w:val="00922FC2"/>
    <w:rsid w:val="009248D3"/>
    <w:rsid w:val="00924A45"/>
    <w:rsid w:val="00926F6A"/>
    <w:rsid w:val="00927185"/>
    <w:rsid w:val="009303EF"/>
    <w:rsid w:val="00930703"/>
    <w:rsid w:val="009318FE"/>
    <w:rsid w:val="009348AF"/>
    <w:rsid w:val="00934D47"/>
    <w:rsid w:val="0093502D"/>
    <w:rsid w:val="009368A7"/>
    <w:rsid w:val="009374E5"/>
    <w:rsid w:val="009379C3"/>
    <w:rsid w:val="00937A5D"/>
    <w:rsid w:val="00940619"/>
    <w:rsid w:val="009409EB"/>
    <w:rsid w:val="009410DF"/>
    <w:rsid w:val="009413F4"/>
    <w:rsid w:val="0094154F"/>
    <w:rsid w:val="009448C1"/>
    <w:rsid w:val="00945C89"/>
    <w:rsid w:val="00946572"/>
    <w:rsid w:val="00946757"/>
    <w:rsid w:val="009469BD"/>
    <w:rsid w:val="00946FD5"/>
    <w:rsid w:val="009473D9"/>
    <w:rsid w:val="00947ABA"/>
    <w:rsid w:val="00947B66"/>
    <w:rsid w:val="00947CC0"/>
    <w:rsid w:val="00947F8C"/>
    <w:rsid w:val="009502D9"/>
    <w:rsid w:val="00951CCB"/>
    <w:rsid w:val="00953992"/>
    <w:rsid w:val="00954662"/>
    <w:rsid w:val="00954D98"/>
    <w:rsid w:val="00954F05"/>
    <w:rsid w:val="00956937"/>
    <w:rsid w:val="00956A21"/>
    <w:rsid w:val="00956ECD"/>
    <w:rsid w:val="00956FF5"/>
    <w:rsid w:val="00957036"/>
    <w:rsid w:val="00960828"/>
    <w:rsid w:val="00960861"/>
    <w:rsid w:val="00961DC1"/>
    <w:rsid w:val="00961E1F"/>
    <w:rsid w:val="009620B0"/>
    <w:rsid w:val="00963545"/>
    <w:rsid w:val="00963BE0"/>
    <w:rsid w:val="00964CEE"/>
    <w:rsid w:val="00965AB0"/>
    <w:rsid w:val="009663BF"/>
    <w:rsid w:val="009669E2"/>
    <w:rsid w:val="00971024"/>
    <w:rsid w:val="009715E4"/>
    <w:rsid w:val="0097168F"/>
    <w:rsid w:val="00971805"/>
    <w:rsid w:val="00971E73"/>
    <w:rsid w:val="009724C0"/>
    <w:rsid w:val="00973B13"/>
    <w:rsid w:val="00973BE6"/>
    <w:rsid w:val="00974115"/>
    <w:rsid w:val="00974B86"/>
    <w:rsid w:val="00974C88"/>
    <w:rsid w:val="00976331"/>
    <w:rsid w:val="0098006F"/>
    <w:rsid w:val="00981B96"/>
    <w:rsid w:val="00981FDB"/>
    <w:rsid w:val="009820C9"/>
    <w:rsid w:val="00982409"/>
    <w:rsid w:val="00982A25"/>
    <w:rsid w:val="009845ED"/>
    <w:rsid w:val="0098496A"/>
    <w:rsid w:val="00984D04"/>
    <w:rsid w:val="00986077"/>
    <w:rsid w:val="00987187"/>
    <w:rsid w:val="00990894"/>
    <w:rsid w:val="00991942"/>
    <w:rsid w:val="00993A0F"/>
    <w:rsid w:val="009948B3"/>
    <w:rsid w:val="0099519F"/>
    <w:rsid w:val="00995760"/>
    <w:rsid w:val="009957E0"/>
    <w:rsid w:val="00995EAD"/>
    <w:rsid w:val="00997450"/>
    <w:rsid w:val="009A1166"/>
    <w:rsid w:val="009A30D9"/>
    <w:rsid w:val="009A3AE4"/>
    <w:rsid w:val="009A4DAA"/>
    <w:rsid w:val="009A5D36"/>
    <w:rsid w:val="009A74E1"/>
    <w:rsid w:val="009B0769"/>
    <w:rsid w:val="009B105F"/>
    <w:rsid w:val="009B1D46"/>
    <w:rsid w:val="009B2455"/>
    <w:rsid w:val="009B3AAB"/>
    <w:rsid w:val="009B48C5"/>
    <w:rsid w:val="009B4BE8"/>
    <w:rsid w:val="009B6401"/>
    <w:rsid w:val="009B76B9"/>
    <w:rsid w:val="009C1F67"/>
    <w:rsid w:val="009C2599"/>
    <w:rsid w:val="009C3631"/>
    <w:rsid w:val="009C3BD7"/>
    <w:rsid w:val="009C43B1"/>
    <w:rsid w:val="009C4860"/>
    <w:rsid w:val="009C49D4"/>
    <w:rsid w:val="009C4ACF"/>
    <w:rsid w:val="009C4D62"/>
    <w:rsid w:val="009C5605"/>
    <w:rsid w:val="009C6D45"/>
    <w:rsid w:val="009C77ED"/>
    <w:rsid w:val="009C7870"/>
    <w:rsid w:val="009D0E6B"/>
    <w:rsid w:val="009D3626"/>
    <w:rsid w:val="009D390D"/>
    <w:rsid w:val="009D42EA"/>
    <w:rsid w:val="009D4481"/>
    <w:rsid w:val="009D56AC"/>
    <w:rsid w:val="009D5A73"/>
    <w:rsid w:val="009D6E05"/>
    <w:rsid w:val="009E0529"/>
    <w:rsid w:val="009E06FD"/>
    <w:rsid w:val="009E1B98"/>
    <w:rsid w:val="009E35D9"/>
    <w:rsid w:val="009E42FD"/>
    <w:rsid w:val="009E6DE2"/>
    <w:rsid w:val="009E6E52"/>
    <w:rsid w:val="009E7994"/>
    <w:rsid w:val="009E7D96"/>
    <w:rsid w:val="009F0604"/>
    <w:rsid w:val="009F0784"/>
    <w:rsid w:val="009F0796"/>
    <w:rsid w:val="009F3CCD"/>
    <w:rsid w:val="009F4E89"/>
    <w:rsid w:val="009F75EC"/>
    <w:rsid w:val="009F7788"/>
    <w:rsid w:val="009F7947"/>
    <w:rsid w:val="00A02789"/>
    <w:rsid w:val="00A02819"/>
    <w:rsid w:val="00A02970"/>
    <w:rsid w:val="00A0404F"/>
    <w:rsid w:val="00A04319"/>
    <w:rsid w:val="00A05270"/>
    <w:rsid w:val="00A052C6"/>
    <w:rsid w:val="00A055AB"/>
    <w:rsid w:val="00A1299F"/>
    <w:rsid w:val="00A137A2"/>
    <w:rsid w:val="00A13FED"/>
    <w:rsid w:val="00A16597"/>
    <w:rsid w:val="00A16989"/>
    <w:rsid w:val="00A173C3"/>
    <w:rsid w:val="00A1741A"/>
    <w:rsid w:val="00A1797E"/>
    <w:rsid w:val="00A17FE8"/>
    <w:rsid w:val="00A2310F"/>
    <w:rsid w:val="00A234EA"/>
    <w:rsid w:val="00A25333"/>
    <w:rsid w:val="00A268FD"/>
    <w:rsid w:val="00A2740C"/>
    <w:rsid w:val="00A300EA"/>
    <w:rsid w:val="00A305B6"/>
    <w:rsid w:val="00A30852"/>
    <w:rsid w:val="00A30B55"/>
    <w:rsid w:val="00A31B9D"/>
    <w:rsid w:val="00A32247"/>
    <w:rsid w:val="00A32644"/>
    <w:rsid w:val="00A32E79"/>
    <w:rsid w:val="00A33223"/>
    <w:rsid w:val="00A33D13"/>
    <w:rsid w:val="00A34A68"/>
    <w:rsid w:val="00A34C13"/>
    <w:rsid w:val="00A35282"/>
    <w:rsid w:val="00A356D8"/>
    <w:rsid w:val="00A3653B"/>
    <w:rsid w:val="00A3676D"/>
    <w:rsid w:val="00A375E8"/>
    <w:rsid w:val="00A408CB"/>
    <w:rsid w:val="00A41A27"/>
    <w:rsid w:val="00A41AA8"/>
    <w:rsid w:val="00A41AF4"/>
    <w:rsid w:val="00A42FCC"/>
    <w:rsid w:val="00A43B11"/>
    <w:rsid w:val="00A4588D"/>
    <w:rsid w:val="00A46D82"/>
    <w:rsid w:val="00A47B92"/>
    <w:rsid w:val="00A5041D"/>
    <w:rsid w:val="00A55E9E"/>
    <w:rsid w:val="00A57819"/>
    <w:rsid w:val="00A608AE"/>
    <w:rsid w:val="00A6261A"/>
    <w:rsid w:val="00A631DB"/>
    <w:rsid w:val="00A6356A"/>
    <w:rsid w:val="00A6419B"/>
    <w:rsid w:val="00A64A7D"/>
    <w:rsid w:val="00A64B0D"/>
    <w:rsid w:val="00A64EDB"/>
    <w:rsid w:val="00A650CC"/>
    <w:rsid w:val="00A66C9B"/>
    <w:rsid w:val="00A67879"/>
    <w:rsid w:val="00A71926"/>
    <w:rsid w:val="00A71D44"/>
    <w:rsid w:val="00A73CFA"/>
    <w:rsid w:val="00A73D0A"/>
    <w:rsid w:val="00A74935"/>
    <w:rsid w:val="00A75C42"/>
    <w:rsid w:val="00A76BBC"/>
    <w:rsid w:val="00A77D86"/>
    <w:rsid w:val="00A8097B"/>
    <w:rsid w:val="00A81979"/>
    <w:rsid w:val="00A85BD7"/>
    <w:rsid w:val="00A86AB1"/>
    <w:rsid w:val="00A86D8F"/>
    <w:rsid w:val="00A8711A"/>
    <w:rsid w:val="00A8775F"/>
    <w:rsid w:val="00A9052A"/>
    <w:rsid w:val="00A90958"/>
    <w:rsid w:val="00A90D29"/>
    <w:rsid w:val="00A9181D"/>
    <w:rsid w:val="00A91E54"/>
    <w:rsid w:val="00A92F11"/>
    <w:rsid w:val="00A931B1"/>
    <w:rsid w:val="00A933E7"/>
    <w:rsid w:val="00A9467A"/>
    <w:rsid w:val="00A94AD8"/>
    <w:rsid w:val="00A94AED"/>
    <w:rsid w:val="00A954F5"/>
    <w:rsid w:val="00A96855"/>
    <w:rsid w:val="00A970B1"/>
    <w:rsid w:val="00A97B12"/>
    <w:rsid w:val="00AA11CB"/>
    <w:rsid w:val="00AA3F21"/>
    <w:rsid w:val="00AA4246"/>
    <w:rsid w:val="00AA4B28"/>
    <w:rsid w:val="00AA4CD5"/>
    <w:rsid w:val="00AA6DDF"/>
    <w:rsid w:val="00AA6FEF"/>
    <w:rsid w:val="00AB001F"/>
    <w:rsid w:val="00AB151D"/>
    <w:rsid w:val="00AB1709"/>
    <w:rsid w:val="00AB2059"/>
    <w:rsid w:val="00AB29D1"/>
    <w:rsid w:val="00AB2E38"/>
    <w:rsid w:val="00AB30F9"/>
    <w:rsid w:val="00AB38A1"/>
    <w:rsid w:val="00AB478F"/>
    <w:rsid w:val="00AB5C9B"/>
    <w:rsid w:val="00AB64F8"/>
    <w:rsid w:val="00AB749D"/>
    <w:rsid w:val="00AC073E"/>
    <w:rsid w:val="00AC0B0F"/>
    <w:rsid w:val="00AC0B99"/>
    <w:rsid w:val="00AC1BE5"/>
    <w:rsid w:val="00AC1DDB"/>
    <w:rsid w:val="00AC5047"/>
    <w:rsid w:val="00AC6339"/>
    <w:rsid w:val="00AC6DB1"/>
    <w:rsid w:val="00AC7042"/>
    <w:rsid w:val="00AD1334"/>
    <w:rsid w:val="00AD19DB"/>
    <w:rsid w:val="00AD2F28"/>
    <w:rsid w:val="00AD3844"/>
    <w:rsid w:val="00AD516D"/>
    <w:rsid w:val="00AD641E"/>
    <w:rsid w:val="00AD6872"/>
    <w:rsid w:val="00AE050D"/>
    <w:rsid w:val="00AE193F"/>
    <w:rsid w:val="00AE1DFE"/>
    <w:rsid w:val="00AE2472"/>
    <w:rsid w:val="00AE3663"/>
    <w:rsid w:val="00AE44DA"/>
    <w:rsid w:val="00AE45F8"/>
    <w:rsid w:val="00AE5E61"/>
    <w:rsid w:val="00AE6088"/>
    <w:rsid w:val="00AE63A1"/>
    <w:rsid w:val="00AE7522"/>
    <w:rsid w:val="00AF15F7"/>
    <w:rsid w:val="00AF34D2"/>
    <w:rsid w:val="00AF37DC"/>
    <w:rsid w:val="00AF470B"/>
    <w:rsid w:val="00AF48EC"/>
    <w:rsid w:val="00AF54D4"/>
    <w:rsid w:val="00AF6A79"/>
    <w:rsid w:val="00AF6DF1"/>
    <w:rsid w:val="00AF7E8F"/>
    <w:rsid w:val="00B00097"/>
    <w:rsid w:val="00B00498"/>
    <w:rsid w:val="00B01DCD"/>
    <w:rsid w:val="00B03F63"/>
    <w:rsid w:val="00B05A2D"/>
    <w:rsid w:val="00B0629E"/>
    <w:rsid w:val="00B10D40"/>
    <w:rsid w:val="00B1120B"/>
    <w:rsid w:val="00B12223"/>
    <w:rsid w:val="00B12ADA"/>
    <w:rsid w:val="00B12C05"/>
    <w:rsid w:val="00B12D03"/>
    <w:rsid w:val="00B13116"/>
    <w:rsid w:val="00B137F2"/>
    <w:rsid w:val="00B13CD6"/>
    <w:rsid w:val="00B14599"/>
    <w:rsid w:val="00B14618"/>
    <w:rsid w:val="00B14E6C"/>
    <w:rsid w:val="00B16315"/>
    <w:rsid w:val="00B1762E"/>
    <w:rsid w:val="00B21969"/>
    <w:rsid w:val="00B23091"/>
    <w:rsid w:val="00B240CD"/>
    <w:rsid w:val="00B240E9"/>
    <w:rsid w:val="00B255DF"/>
    <w:rsid w:val="00B26149"/>
    <w:rsid w:val="00B2790D"/>
    <w:rsid w:val="00B30568"/>
    <w:rsid w:val="00B3235C"/>
    <w:rsid w:val="00B340BB"/>
    <w:rsid w:val="00B34E84"/>
    <w:rsid w:val="00B3524D"/>
    <w:rsid w:val="00B366D4"/>
    <w:rsid w:val="00B3692D"/>
    <w:rsid w:val="00B36E57"/>
    <w:rsid w:val="00B41C9D"/>
    <w:rsid w:val="00B41CAD"/>
    <w:rsid w:val="00B41FC4"/>
    <w:rsid w:val="00B42D82"/>
    <w:rsid w:val="00B43DA3"/>
    <w:rsid w:val="00B43EBA"/>
    <w:rsid w:val="00B45046"/>
    <w:rsid w:val="00B4516A"/>
    <w:rsid w:val="00B4739B"/>
    <w:rsid w:val="00B508D4"/>
    <w:rsid w:val="00B50BAB"/>
    <w:rsid w:val="00B5216E"/>
    <w:rsid w:val="00B5253D"/>
    <w:rsid w:val="00B525C7"/>
    <w:rsid w:val="00B529BB"/>
    <w:rsid w:val="00B53F36"/>
    <w:rsid w:val="00B56669"/>
    <w:rsid w:val="00B57262"/>
    <w:rsid w:val="00B576E3"/>
    <w:rsid w:val="00B57CEE"/>
    <w:rsid w:val="00B57E81"/>
    <w:rsid w:val="00B6096B"/>
    <w:rsid w:val="00B60C97"/>
    <w:rsid w:val="00B60CCC"/>
    <w:rsid w:val="00B62484"/>
    <w:rsid w:val="00B62A61"/>
    <w:rsid w:val="00B62EFB"/>
    <w:rsid w:val="00B63B06"/>
    <w:rsid w:val="00B63BFC"/>
    <w:rsid w:val="00B64E8F"/>
    <w:rsid w:val="00B67BBE"/>
    <w:rsid w:val="00B7124E"/>
    <w:rsid w:val="00B72430"/>
    <w:rsid w:val="00B72518"/>
    <w:rsid w:val="00B72A0D"/>
    <w:rsid w:val="00B73CE0"/>
    <w:rsid w:val="00B74127"/>
    <w:rsid w:val="00B74663"/>
    <w:rsid w:val="00B750D4"/>
    <w:rsid w:val="00B754EA"/>
    <w:rsid w:val="00B75AE3"/>
    <w:rsid w:val="00B76547"/>
    <w:rsid w:val="00B77B72"/>
    <w:rsid w:val="00B801B5"/>
    <w:rsid w:val="00B80C9F"/>
    <w:rsid w:val="00B819F2"/>
    <w:rsid w:val="00B81D15"/>
    <w:rsid w:val="00B833E4"/>
    <w:rsid w:val="00B8356C"/>
    <w:rsid w:val="00B85154"/>
    <w:rsid w:val="00B86977"/>
    <w:rsid w:val="00B87E23"/>
    <w:rsid w:val="00B87EFA"/>
    <w:rsid w:val="00B91B47"/>
    <w:rsid w:val="00B92B99"/>
    <w:rsid w:val="00B92D2A"/>
    <w:rsid w:val="00B93AB4"/>
    <w:rsid w:val="00B95CCB"/>
    <w:rsid w:val="00BA13F9"/>
    <w:rsid w:val="00BA14CD"/>
    <w:rsid w:val="00BA1D1B"/>
    <w:rsid w:val="00BA2579"/>
    <w:rsid w:val="00BA5255"/>
    <w:rsid w:val="00BA6840"/>
    <w:rsid w:val="00BA72C6"/>
    <w:rsid w:val="00BA7BE8"/>
    <w:rsid w:val="00BB061B"/>
    <w:rsid w:val="00BB35CE"/>
    <w:rsid w:val="00BB3A97"/>
    <w:rsid w:val="00BB3CB3"/>
    <w:rsid w:val="00BB4C53"/>
    <w:rsid w:val="00BB7838"/>
    <w:rsid w:val="00BC1BDB"/>
    <w:rsid w:val="00BC21A2"/>
    <w:rsid w:val="00BC74C2"/>
    <w:rsid w:val="00BC7577"/>
    <w:rsid w:val="00BC7704"/>
    <w:rsid w:val="00BC7850"/>
    <w:rsid w:val="00BC7F55"/>
    <w:rsid w:val="00BD03B6"/>
    <w:rsid w:val="00BD03E2"/>
    <w:rsid w:val="00BD143C"/>
    <w:rsid w:val="00BD154D"/>
    <w:rsid w:val="00BD318B"/>
    <w:rsid w:val="00BD32A8"/>
    <w:rsid w:val="00BD46D0"/>
    <w:rsid w:val="00BD4B7D"/>
    <w:rsid w:val="00BD55F8"/>
    <w:rsid w:val="00BE035D"/>
    <w:rsid w:val="00BE19A1"/>
    <w:rsid w:val="00BE2299"/>
    <w:rsid w:val="00BE2639"/>
    <w:rsid w:val="00BE3DCC"/>
    <w:rsid w:val="00BE42D7"/>
    <w:rsid w:val="00BE55D1"/>
    <w:rsid w:val="00BE597B"/>
    <w:rsid w:val="00BE5FD8"/>
    <w:rsid w:val="00BE6B11"/>
    <w:rsid w:val="00BE6B75"/>
    <w:rsid w:val="00BE6B81"/>
    <w:rsid w:val="00BF030F"/>
    <w:rsid w:val="00BF0D8F"/>
    <w:rsid w:val="00BF0F3B"/>
    <w:rsid w:val="00BF2128"/>
    <w:rsid w:val="00BF25A5"/>
    <w:rsid w:val="00BF6D7C"/>
    <w:rsid w:val="00C001EC"/>
    <w:rsid w:val="00C00261"/>
    <w:rsid w:val="00C00670"/>
    <w:rsid w:val="00C015A4"/>
    <w:rsid w:val="00C01651"/>
    <w:rsid w:val="00C01946"/>
    <w:rsid w:val="00C04D79"/>
    <w:rsid w:val="00C0523C"/>
    <w:rsid w:val="00C065D1"/>
    <w:rsid w:val="00C066D9"/>
    <w:rsid w:val="00C10E43"/>
    <w:rsid w:val="00C11EEF"/>
    <w:rsid w:val="00C12779"/>
    <w:rsid w:val="00C154AE"/>
    <w:rsid w:val="00C15B61"/>
    <w:rsid w:val="00C20C85"/>
    <w:rsid w:val="00C20FA3"/>
    <w:rsid w:val="00C22556"/>
    <w:rsid w:val="00C2277C"/>
    <w:rsid w:val="00C22CCA"/>
    <w:rsid w:val="00C24804"/>
    <w:rsid w:val="00C27149"/>
    <w:rsid w:val="00C2777F"/>
    <w:rsid w:val="00C302FD"/>
    <w:rsid w:val="00C30E64"/>
    <w:rsid w:val="00C31209"/>
    <w:rsid w:val="00C31245"/>
    <w:rsid w:val="00C312D0"/>
    <w:rsid w:val="00C31D87"/>
    <w:rsid w:val="00C3271B"/>
    <w:rsid w:val="00C33663"/>
    <w:rsid w:val="00C36506"/>
    <w:rsid w:val="00C36A50"/>
    <w:rsid w:val="00C36E15"/>
    <w:rsid w:val="00C370C6"/>
    <w:rsid w:val="00C3715B"/>
    <w:rsid w:val="00C37B90"/>
    <w:rsid w:val="00C41D6C"/>
    <w:rsid w:val="00C42B4D"/>
    <w:rsid w:val="00C432B5"/>
    <w:rsid w:val="00C43709"/>
    <w:rsid w:val="00C43FD8"/>
    <w:rsid w:val="00C47132"/>
    <w:rsid w:val="00C478BB"/>
    <w:rsid w:val="00C508F2"/>
    <w:rsid w:val="00C51A89"/>
    <w:rsid w:val="00C52BEF"/>
    <w:rsid w:val="00C5539F"/>
    <w:rsid w:val="00C5548A"/>
    <w:rsid w:val="00C55ED5"/>
    <w:rsid w:val="00C56B26"/>
    <w:rsid w:val="00C57BEB"/>
    <w:rsid w:val="00C61290"/>
    <w:rsid w:val="00C61A56"/>
    <w:rsid w:val="00C63EB5"/>
    <w:rsid w:val="00C64032"/>
    <w:rsid w:val="00C64544"/>
    <w:rsid w:val="00C65686"/>
    <w:rsid w:val="00C65ECC"/>
    <w:rsid w:val="00C6651E"/>
    <w:rsid w:val="00C67524"/>
    <w:rsid w:val="00C7026F"/>
    <w:rsid w:val="00C70761"/>
    <w:rsid w:val="00C70A5F"/>
    <w:rsid w:val="00C70AD3"/>
    <w:rsid w:val="00C70D0C"/>
    <w:rsid w:val="00C714D6"/>
    <w:rsid w:val="00C71545"/>
    <w:rsid w:val="00C71899"/>
    <w:rsid w:val="00C71BF6"/>
    <w:rsid w:val="00C71E60"/>
    <w:rsid w:val="00C71FD4"/>
    <w:rsid w:val="00C72274"/>
    <w:rsid w:val="00C72643"/>
    <w:rsid w:val="00C72D77"/>
    <w:rsid w:val="00C739A0"/>
    <w:rsid w:val="00C73C02"/>
    <w:rsid w:val="00C74E0B"/>
    <w:rsid w:val="00C75B07"/>
    <w:rsid w:val="00C76372"/>
    <w:rsid w:val="00C77EBD"/>
    <w:rsid w:val="00C824D8"/>
    <w:rsid w:val="00C8292A"/>
    <w:rsid w:val="00C82B0E"/>
    <w:rsid w:val="00C82DBE"/>
    <w:rsid w:val="00C83975"/>
    <w:rsid w:val="00C844FA"/>
    <w:rsid w:val="00C84739"/>
    <w:rsid w:val="00C849F3"/>
    <w:rsid w:val="00C85DAB"/>
    <w:rsid w:val="00C86129"/>
    <w:rsid w:val="00C866FC"/>
    <w:rsid w:val="00C867C9"/>
    <w:rsid w:val="00C87448"/>
    <w:rsid w:val="00C95275"/>
    <w:rsid w:val="00C952D4"/>
    <w:rsid w:val="00C96476"/>
    <w:rsid w:val="00C9781D"/>
    <w:rsid w:val="00CA0188"/>
    <w:rsid w:val="00CA01F7"/>
    <w:rsid w:val="00CA06D6"/>
    <w:rsid w:val="00CA15E2"/>
    <w:rsid w:val="00CA2631"/>
    <w:rsid w:val="00CA36B5"/>
    <w:rsid w:val="00CA4CCB"/>
    <w:rsid w:val="00CB0267"/>
    <w:rsid w:val="00CB07F5"/>
    <w:rsid w:val="00CB0F94"/>
    <w:rsid w:val="00CB43E3"/>
    <w:rsid w:val="00CB4DF8"/>
    <w:rsid w:val="00CB5F3F"/>
    <w:rsid w:val="00CB6380"/>
    <w:rsid w:val="00CB6D76"/>
    <w:rsid w:val="00CC04A9"/>
    <w:rsid w:val="00CC75BB"/>
    <w:rsid w:val="00CD02F1"/>
    <w:rsid w:val="00CD04A9"/>
    <w:rsid w:val="00CD0C9D"/>
    <w:rsid w:val="00CD196A"/>
    <w:rsid w:val="00CD2763"/>
    <w:rsid w:val="00CD348A"/>
    <w:rsid w:val="00CD3D38"/>
    <w:rsid w:val="00CD4698"/>
    <w:rsid w:val="00CD582A"/>
    <w:rsid w:val="00CD7485"/>
    <w:rsid w:val="00CD75BD"/>
    <w:rsid w:val="00CE1040"/>
    <w:rsid w:val="00CE12A9"/>
    <w:rsid w:val="00CE16B9"/>
    <w:rsid w:val="00CE3025"/>
    <w:rsid w:val="00CE36DC"/>
    <w:rsid w:val="00CE46E9"/>
    <w:rsid w:val="00CE52C2"/>
    <w:rsid w:val="00CE5EAD"/>
    <w:rsid w:val="00CF04AD"/>
    <w:rsid w:val="00CF05C9"/>
    <w:rsid w:val="00CF1159"/>
    <w:rsid w:val="00CF2D48"/>
    <w:rsid w:val="00CF4424"/>
    <w:rsid w:val="00CF4E8A"/>
    <w:rsid w:val="00CF50BB"/>
    <w:rsid w:val="00CF530D"/>
    <w:rsid w:val="00CF693E"/>
    <w:rsid w:val="00CF6A7F"/>
    <w:rsid w:val="00CF72E1"/>
    <w:rsid w:val="00CF740E"/>
    <w:rsid w:val="00D00AB4"/>
    <w:rsid w:val="00D01F5E"/>
    <w:rsid w:val="00D021A8"/>
    <w:rsid w:val="00D023E8"/>
    <w:rsid w:val="00D03BAE"/>
    <w:rsid w:val="00D0484A"/>
    <w:rsid w:val="00D05F4C"/>
    <w:rsid w:val="00D06774"/>
    <w:rsid w:val="00D06E98"/>
    <w:rsid w:val="00D141EB"/>
    <w:rsid w:val="00D146E7"/>
    <w:rsid w:val="00D16689"/>
    <w:rsid w:val="00D20D29"/>
    <w:rsid w:val="00D20DA4"/>
    <w:rsid w:val="00D218EE"/>
    <w:rsid w:val="00D22999"/>
    <w:rsid w:val="00D234F8"/>
    <w:rsid w:val="00D2484D"/>
    <w:rsid w:val="00D25102"/>
    <w:rsid w:val="00D257DB"/>
    <w:rsid w:val="00D3034D"/>
    <w:rsid w:val="00D30CB7"/>
    <w:rsid w:val="00D31113"/>
    <w:rsid w:val="00D312F1"/>
    <w:rsid w:val="00D316AD"/>
    <w:rsid w:val="00D31ED6"/>
    <w:rsid w:val="00D32268"/>
    <w:rsid w:val="00D34C26"/>
    <w:rsid w:val="00D3533F"/>
    <w:rsid w:val="00D37454"/>
    <w:rsid w:val="00D379F8"/>
    <w:rsid w:val="00D37EF2"/>
    <w:rsid w:val="00D41228"/>
    <w:rsid w:val="00D43DE9"/>
    <w:rsid w:val="00D44E5C"/>
    <w:rsid w:val="00D45D3C"/>
    <w:rsid w:val="00D4633D"/>
    <w:rsid w:val="00D4648F"/>
    <w:rsid w:val="00D46A41"/>
    <w:rsid w:val="00D478E8"/>
    <w:rsid w:val="00D47A70"/>
    <w:rsid w:val="00D50EDC"/>
    <w:rsid w:val="00D51778"/>
    <w:rsid w:val="00D53D91"/>
    <w:rsid w:val="00D54FC1"/>
    <w:rsid w:val="00D551B6"/>
    <w:rsid w:val="00D55203"/>
    <w:rsid w:val="00D556A0"/>
    <w:rsid w:val="00D55D90"/>
    <w:rsid w:val="00D62B8B"/>
    <w:rsid w:val="00D65208"/>
    <w:rsid w:val="00D66EA1"/>
    <w:rsid w:val="00D67199"/>
    <w:rsid w:val="00D70522"/>
    <w:rsid w:val="00D707DB"/>
    <w:rsid w:val="00D71F05"/>
    <w:rsid w:val="00D7415A"/>
    <w:rsid w:val="00D7450A"/>
    <w:rsid w:val="00D745F6"/>
    <w:rsid w:val="00D75C11"/>
    <w:rsid w:val="00D77446"/>
    <w:rsid w:val="00D77C26"/>
    <w:rsid w:val="00D77CB5"/>
    <w:rsid w:val="00D80604"/>
    <w:rsid w:val="00D80EB3"/>
    <w:rsid w:val="00D814B3"/>
    <w:rsid w:val="00D83E3F"/>
    <w:rsid w:val="00D90B62"/>
    <w:rsid w:val="00D90C8D"/>
    <w:rsid w:val="00D91863"/>
    <w:rsid w:val="00D9207D"/>
    <w:rsid w:val="00D93B0D"/>
    <w:rsid w:val="00D948F5"/>
    <w:rsid w:val="00D94AE2"/>
    <w:rsid w:val="00D95884"/>
    <w:rsid w:val="00D9613A"/>
    <w:rsid w:val="00D9633F"/>
    <w:rsid w:val="00D97702"/>
    <w:rsid w:val="00DA01C4"/>
    <w:rsid w:val="00DA0EF8"/>
    <w:rsid w:val="00DA248F"/>
    <w:rsid w:val="00DA2FB1"/>
    <w:rsid w:val="00DA33E0"/>
    <w:rsid w:val="00DA4BB4"/>
    <w:rsid w:val="00DA4FCD"/>
    <w:rsid w:val="00DA6BDC"/>
    <w:rsid w:val="00DA73C5"/>
    <w:rsid w:val="00DA7868"/>
    <w:rsid w:val="00DA7F72"/>
    <w:rsid w:val="00DB02AC"/>
    <w:rsid w:val="00DB0862"/>
    <w:rsid w:val="00DB19B4"/>
    <w:rsid w:val="00DB3545"/>
    <w:rsid w:val="00DB3708"/>
    <w:rsid w:val="00DB3AEC"/>
    <w:rsid w:val="00DB3E56"/>
    <w:rsid w:val="00DB645E"/>
    <w:rsid w:val="00DB713F"/>
    <w:rsid w:val="00DB7509"/>
    <w:rsid w:val="00DB7F48"/>
    <w:rsid w:val="00DC03A4"/>
    <w:rsid w:val="00DC0681"/>
    <w:rsid w:val="00DC1609"/>
    <w:rsid w:val="00DC1C18"/>
    <w:rsid w:val="00DC28DB"/>
    <w:rsid w:val="00DC295F"/>
    <w:rsid w:val="00DC2B93"/>
    <w:rsid w:val="00DC498B"/>
    <w:rsid w:val="00DC4BCD"/>
    <w:rsid w:val="00DC4C1F"/>
    <w:rsid w:val="00DC561C"/>
    <w:rsid w:val="00DD0094"/>
    <w:rsid w:val="00DD0904"/>
    <w:rsid w:val="00DD1EE1"/>
    <w:rsid w:val="00DD6DB8"/>
    <w:rsid w:val="00DE0E28"/>
    <w:rsid w:val="00DE24E2"/>
    <w:rsid w:val="00DE33B3"/>
    <w:rsid w:val="00DE3C9D"/>
    <w:rsid w:val="00DE3DC8"/>
    <w:rsid w:val="00DE6FAE"/>
    <w:rsid w:val="00DE712B"/>
    <w:rsid w:val="00DE7FAA"/>
    <w:rsid w:val="00DF00F3"/>
    <w:rsid w:val="00DF078A"/>
    <w:rsid w:val="00DF0A5A"/>
    <w:rsid w:val="00DF0D19"/>
    <w:rsid w:val="00DF2086"/>
    <w:rsid w:val="00DF209E"/>
    <w:rsid w:val="00DF2EBC"/>
    <w:rsid w:val="00DF3A97"/>
    <w:rsid w:val="00DF3EC3"/>
    <w:rsid w:val="00DF4239"/>
    <w:rsid w:val="00DF4DC5"/>
    <w:rsid w:val="00DF54CB"/>
    <w:rsid w:val="00DF61D5"/>
    <w:rsid w:val="00DF7382"/>
    <w:rsid w:val="00DF7DDA"/>
    <w:rsid w:val="00E00244"/>
    <w:rsid w:val="00E00453"/>
    <w:rsid w:val="00E00578"/>
    <w:rsid w:val="00E008BD"/>
    <w:rsid w:val="00E011F1"/>
    <w:rsid w:val="00E02294"/>
    <w:rsid w:val="00E025B6"/>
    <w:rsid w:val="00E02B70"/>
    <w:rsid w:val="00E0441E"/>
    <w:rsid w:val="00E054C4"/>
    <w:rsid w:val="00E062A8"/>
    <w:rsid w:val="00E07F35"/>
    <w:rsid w:val="00E10A22"/>
    <w:rsid w:val="00E118F5"/>
    <w:rsid w:val="00E122E9"/>
    <w:rsid w:val="00E1467E"/>
    <w:rsid w:val="00E1558A"/>
    <w:rsid w:val="00E16035"/>
    <w:rsid w:val="00E163EF"/>
    <w:rsid w:val="00E20CAD"/>
    <w:rsid w:val="00E215C2"/>
    <w:rsid w:val="00E21704"/>
    <w:rsid w:val="00E22DE3"/>
    <w:rsid w:val="00E230AC"/>
    <w:rsid w:val="00E23888"/>
    <w:rsid w:val="00E25FF8"/>
    <w:rsid w:val="00E31327"/>
    <w:rsid w:val="00E32004"/>
    <w:rsid w:val="00E329DE"/>
    <w:rsid w:val="00E33123"/>
    <w:rsid w:val="00E333A9"/>
    <w:rsid w:val="00E33DC4"/>
    <w:rsid w:val="00E3525E"/>
    <w:rsid w:val="00E35F30"/>
    <w:rsid w:val="00E36125"/>
    <w:rsid w:val="00E36609"/>
    <w:rsid w:val="00E376B3"/>
    <w:rsid w:val="00E40140"/>
    <w:rsid w:val="00E41CCF"/>
    <w:rsid w:val="00E41F51"/>
    <w:rsid w:val="00E43520"/>
    <w:rsid w:val="00E44C25"/>
    <w:rsid w:val="00E455DE"/>
    <w:rsid w:val="00E4645C"/>
    <w:rsid w:val="00E46520"/>
    <w:rsid w:val="00E46F95"/>
    <w:rsid w:val="00E47731"/>
    <w:rsid w:val="00E50598"/>
    <w:rsid w:val="00E52B9F"/>
    <w:rsid w:val="00E5304D"/>
    <w:rsid w:val="00E53D44"/>
    <w:rsid w:val="00E53E8D"/>
    <w:rsid w:val="00E55E06"/>
    <w:rsid w:val="00E560D2"/>
    <w:rsid w:val="00E561E3"/>
    <w:rsid w:val="00E5773D"/>
    <w:rsid w:val="00E57A4D"/>
    <w:rsid w:val="00E609CD"/>
    <w:rsid w:val="00E6211F"/>
    <w:rsid w:val="00E6225B"/>
    <w:rsid w:val="00E625BC"/>
    <w:rsid w:val="00E6294F"/>
    <w:rsid w:val="00E62AFE"/>
    <w:rsid w:val="00E631B8"/>
    <w:rsid w:val="00E6340D"/>
    <w:rsid w:val="00E6354C"/>
    <w:rsid w:val="00E65B66"/>
    <w:rsid w:val="00E65C97"/>
    <w:rsid w:val="00E66C39"/>
    <w:rsid w:val="00E70358"/>
    <w:rsid w:val="00E70DA0"/>
    <w:rsid w:val="00E70F7C"/>
    <w:rsid w:val="00E71E36"/>
    <w:rsid w:val="00E72EBC"/>
    <w:rsid w:val="00E747D4"/>
    <w:rsid w:val="00E804C7"/>
    <w:rsid w:val="00E857F0"/>
    <w:rsid w:val="00E85957"/>
    <w:rsid w:val="00E87513"/>
    <w:rsid w:val="00E87B24"/>
    <w:rsid w:val="00E90A29"/>
    <w:rsid w:val="00E90B35"/>
    <w:rsid w:val="00E90F80"/>
    <w:rsid w:val="00E9439E"/>
    <w:rsid w:val="00E9499C"/>
    <w:rsid w:val="00E9589F"/>
    <w:rsid w:val="00E96525"/>
    <w:rsid w:val="00E97C9B"/>
    <w:rsid w:val="00EA0892"/>
    <w:rsid w:val="00EA105A"/>
    <w:rsid w:val="00EA276E"/>
    <w:rsid w:val="00EA54D1"/>
    <w:rsid w:val="00EA7B9A"/>
    <w:rsid w:val="00EB0FD6"/>
    <w:rsid w:val="00EB134E"/>
    <w:rsid w:val="00EB2734"/>
    <w:rsid w:val="00EB340F"/>
    <w:rsid w:val="00EB3513"/>
    <w:rsid w:val="00EB35AF"/>
    <w:rsid w:val="00EB49DE"/>
    <w:rsid w:val="00EB5667"/>
    <w:rsid w:val="00EB5C46"/>
    <w:rsid w:val="00EB617B"/>
    <w:rsid w:val="00EB68F2"/>
    <w:rsid w:val="00EB76BB"/>
    <w:rsid w:val="00EB7FD8"/>
    <w:rsid w:val="00EC17B6"/>
    <w:rsid w:val="00EC2468"/>
    <w:rsid w:val="00EC46E2"/>
    <w:rsid w:val="00EC4B44"/>
    <w:rsid w:val="00EC4DC6"/>
    <w:rsid w:val="00EC58FA"/>
    <w:rsid w:val="00EC64E5"/>
    <w:rsid w:val="00ED0D00"/>
    <w:rsid w:val="00ED138D"/>
    <w:rsid w:val="00ED1A9E"/>
    <w:rsid w:val="00ED2BDC"/>
    <w:rsid w:val="00ED310C"/>
    <w:rsid w:val="00ED4DAC"/>
    <w:rsid w:val="00ED5909"/>
    <w:rsid w:val="00ED6843"/>
    <w:rsid w:val="00EE015A"/>
    <w:rsid w:val="00EE064F"/>
    <w:rsid w:val="00EE1EE4"/>
    <w:rsid w:val="00EE27ED"/>
    <w:rsid w:val="00EE380C"/>
    <w:rsid w:val="00EE4468"/>
    <w:rsid w:val="00EE4F37"/>
    <w:rsid w:val="00EE52B9"/>
    <w:rsid w:val="00EE5BC6"/>
    <w:rsid w:val="00EF04A9"/>
    <w:rsid w:val="00EF0682"/>
    <w:rsid w:val="00EF0FA0"/>
    <w:rsid w:val="00EF1F6B"/>
    <w:rsid w:val="00EF2BDB"/>
    <w:rsid w:val="00EF2C8B"/>
    <w:rsid w:val="00EF3CDD"/>
    <w:rsid w:val="00EF47E9"/>
    <w:rsid w:val="00EF4821"/>
    <w:rsid w:val="00EF4B43"/>
    <w:rsid w:val="00EF4FE7"/>
    <w:rsid w:val="00EF5EA4"/>
    <w:rsid w:val="00EF60F0"/>
    <w:rsid w:val="00EF71A8"/>
    <w:rsid w:val="00F00BCE"/>
    <w:rsid w:val="00F01925"/>
    <w:rsid w:val="00F01992"/>
    <w:rsid w:val="00F03F9F"/>
    <w:rsid w:val="00F04722"/>
    <w:rsid w:val="00F04C84"/>
    <w:rsid w:val="00F05DDD"/>
    <w:rsid w:val="00F0630C"/>
    <w:rsid w:val="00F0716A"/>
    <w:rsid w:val="00F10CD8"/>
    <w:rsid w:val="00F11BF2"/>
    <w:rsid w:val="00F1200C"/>
    <w:rsid w:val="00F1261F"/>
    <w:rsid w:val="00F1305F"/>
    <w:rsid w:val="00F133AA"/>
    <w:rsid w:val="00F13469"/>
    <w:rsid w:val="00F13842"/>
    <w:rsid w:val="00F13C69"/>
    <w:rsid w:val="00F14C6B"/>
    <w:rsid w:val="00F20989"/>
    <w:rsid w:val="00F20BB5"/>
    <w:rsid w:val="00F20CF2"/>
    <w:rsid w:val="00F21B8D"/>
    <w:rsid w:val="00F22C59"/>
    <w:rsid w:val="00F24177"/>
    <w:rsid w:val="00F2503C"/>
    <w:rsid w:val="00F2589D"/>
    <w:rsid w:val="00F259A8"/>
    <w:rsid w:val="00F25E62"/>
    <w:rsid w:val="00F26316"/>
    <w:rsid w:val="00F2736D"/>
    <w:rsid w:val="00F27AFB"/>
    <w:rsid w:val="00F304A6"/>
    <w:rsid w:val="00F3195B"/>
    <w:rsid w:val="00F31BE8"/>
    <w:rsid w:val="00F32377"/>
    <w:rsid w:val="00F32E22"/>
    <w:rsid w:val="00F333D9"/>
    <w:rsid w:val="00F33D1D"/>
    <w:rsid w:val="00F341C3"/>
    <w:rsid w:val="00F3436C"/>
    <w:rsid w:val="00F351D6"/>
    <w:rsid w:val="00F35959"/>
    <w:rsid w:val="00F41AB5"/>
    <w:rsid w:val="00F4281B"/>
    <w:rsid w:val="00F42F15"/>
    <w:rsid w:val="00F44F3C"/>
    <w:rsid w:val="00F45339"/>
    <w:rsid w:val="00F468B7"/>
    <w:rsid w:val="00F50F03"/>
    <w:rsid w:val="00F516B8"/>
    <w:rsid w:val="00F51C0B"/>
    <w:rsid w:val="00F51FA6"/>
    <w:rsid w:val="00F529F5"/>
    <w:rsid w:val="00F54BFE"/>
    <w:rsid w:val="00F567BA"/>
    <w:rsid w:val="00F60131"/>
    <w:rsid w:val="00F60BDA"/>
    <w:rsid w:val="00F60F15"/>
    <w:rsid w:val="00F61C98"/>
    <w:rsid w:val="00F62166"/>
    <w:rsid w:val="00F626C3"/>
    <w:rsid w:val="00F63D7C"/>
    <w:rsid w:val="00F653D4"/>
    <w:rsid w:val="00F66C03"/>
    <w:rsid w:val="00F700A2"/>
    <w:rsid w:val="00F7020D"/>
    <w:rsid w:val="00F706B1"/>
    <w:rsid w:val="00F72B59"/>
    <w:rsid w:val="00F73BFB"/>
    <w:rsid w:val="00F74B1F"/>
    <w:rsid w:val="00F75150"/>
    <w:rsid w:val="00F7547F"/>
    <w:rsid w:val="00F772F9"/>
    <w:rsid w:val="00F779A3"/>
    <w:rsid w:val="00F8074A"/>
    <w:rsid w:val="00F818E4"/>
    <w:rsid w:val="00F81913"/>
    <w:rsid w:val="00F82E5E"/>
    <w:rsid w:val="00F84358"/>
    <w:rsid w:val="00F84925"/>
    <w:rsid w:val="00F8495D"/>
    <w:rsid w:val="00F84B24"/>
    <w:rsid w:val="00F84F98"/>
    <w:rsid w:val="00F90129"/>
    <w:rsid w:val="00F90ED9"/>
    <w:rsid w:val="00F9209C"/>
    <w:rsid w:val="00F920D4"/>
    <w:rsid w:val="00F921D3"/>
    <w:rsid w:val="00F927DC"/>
    <w:rsid w:val="00F92A4C"/>
    <w:rsid w:val="00F936E0"/>
    <w:rsid w:val="00F937CF"/>
    <w:rsid w:val="00F93C8B"/>
    <w:rsid w:val="00F94AE5"/>
    <w:rsid w:val="00F94F9C"/>
    <w:rsid w:val="00F95850"/>
    <w:rsid w:val="00F95CC3"/>
    <w:rsid w:val="00F96393"/>
    <w:rsid w:val="00F96CCB"/>
    <w:rsid w:val="00F97302"/>
    <w:rsid w:val="00F975B3"/>
    <w:rsid w:val="00FA020F"/>
    <w:rsid w:val="00FA0390"/>
    <w:rsid w:val="00FA0981"/>
    <w:rsid w:val="00FA126D"/>
    <w:rsid w:val="00FA3B18"/>
    <w:rsid w:val="00FA4861"/>
    <w:rsid w:val="00FA5A92"/>
    <w:rsid w:val="00FA5EF5"/>
    <w:rsid w:val="00FA646D"/>
    <w:rsid w:val="00FA6C0F"/>
    <w:rsid w:val="00FB01C5"/>
    <w:rsid w:val="00FB02CC"/>
    <w:rsid w:val="00FB2B62"/>
    <w:rsid w:val="00FB3682"/>
    <w:rsid w:val="00FB4491"/>
    <w:rsid w:val="00FB5636"/>
    <w:rsid w:val="00FB57B2"/>
    <w:rsid w:val="00FB5B59"/>
    <w:rsid w:val="00FB66AC"/>
    <w:rsid w:val="00FB7E2F"/>
    <w:rsid w:val="00FC0298"/>
    <w:rsid w:val="00FC1120"/>
    <w:rsid w:val="00FC1205"/>
    <w:rsid w:val="00FC26F5"/>
    <w:rsid w:val="00FC2CF6"/>
    <w:rsid w:val="00FC2EB9"/>
    <w:rsid w:val="00FC6C1A"/>
    <w:rsid w:val="00FD140B"/>
    <w:rsid w:val="00FD1C67"/>
    <w:rsid w:val="00FD22DC"/>
    <w:rsid w:val="00FD2D17"/>
    <w:rsid w:val="00FD2DA5"/>
    <w:rsid w:val="00FD34FC"/>
    <w:rsid w:val="00FD48A0"/>
    <w:rsid w:val="00FD4D06"/>
    <w:rsid w:val="00FD5794"/>
    <w:rsid w:val="00FD644D"/>
    <w:rsid w:val="00FD64F1"/>
    <w:rsid w:val="00FD6C7E"/>
    <w:rsid w:val="00FE0837"/>
    <w:rsid w:val="00FE0C9B"/>
    <w:rsid w:val="00FE10D6"/>
    <w:rsid w:val="00FE1DF5"/>
    <w:rsid w:val="00FE26B8"/>
    <w:rsid w:val="00FE3231"/>
    <w:rsid w:val="00FE49DE"/>
    <w:rsid w:val="00FE5912"/>
    <w:rsid w:val="00FE5E97"/>
    <w:rsid w:val="00FE708A"/>
    <w:rsid w:val="00FF01A1"/>
    <w:rsid w:val="00FF0485"/>
    <w:rsid w:val="00FF094B"/>
    <w:rsid w:val="00FF0EB1"/>
    <w:rsid w:val="00FF1067"/>
    <w:rsid w:val="00FF12CB"/>
    <w:rsid w:val="00FF305B"/>
    <w:rsid w:val="00FF730A"/>
    <w:rsid w:val="00FF7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B1495"/>
  <w15:chartTrackingRefBased/>
  <w15:docId w15:val="{0488EE48-125D-43C6-A790-3A3EDB27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link w:val="Heading2Char"/>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1"/>
      </w:numPr>
      <w:spacing w:before="120" w:after="120"/>
    </w:pPr>
  </w:style>
  <w:style w:type="paragraph" w:styleId="ListBullet2">
    <w:name w:val="List Bullet 2"/>
    <w:basedOn w:val="Normal"/>
    <w:pPr>
      <w:numPr>
        <w:numId w:val="4"/>
      </w:numPr>
      <w:spacing w:before="60" w:after="60"/>
    </w:pPr>
  </w:style>
  <w:style w:type="paragraph" w:styleId="ListBullet3">
    <w:name w:val="List Bullet 3"/>
    <w:basedOn w:val="Normal"/>
    <w:pPr>
      <w:numPr>
        <w:numId w:val="6"/>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8"/>
      </w:numPr>
      <w:tabs>
        <w:tab w:val="clear" w:pos="360"/>
      </w:tabs>
      <w:spacing w:after="120"/>
    </w:pPr>
  </w:style>
  <w:style w:type="paragraph" w:styleId="ListNumber2">
    <w:name w:val="List Number 2"/>
    <w:basedOn w:val="Normal"/>
    <w:pPr>
      <w:numPr>
        <w:numId w:val="10"/>
      </w:numPr>
      <w:tabs>
        <w:tab w:val="clear" w:pos="641"/>
        <w:tab w:val="num" w:pos="643"/>
      </w:tabs>
      <w:spacing w:before="60" w:after="60"/>
    </w:pPr>
  </w:style>
  <w:style w:type="paragraph" w:styleId="ListNumber3">
    <w:name w:val="List Number 3"/>
    <w:basedOn w:val="Normal"/>
    <w:pPr>
      <w:numPr>
        <w:numId w:val="12"/>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F351D6"/>
    <w:pPr>
      <w:keepLine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 w:type="paragraph" w:styleId="EndnoteText">
    <w:name w:val="endnote text"/>
    <w:basedOn w:val="Normal"/>
    <w:link w:val="EndnoteTextChar"/>
    <w:rsid w:val="005E6DA9"/>
    <w:pPr>
      <w:spacing w:after="0"/>
    </w:pPr>
    <w:rPr>
      <w:sz w:val="20"/>
      <w:szCs w:val="20"/>
    </w:rPr>
  </w:style>
  <w:style w:type="character" w:customStyle="1" w:styleId="EndnoteTextChar">
    <w:name w:val="Endnote Text Char"/>
    <w:basedOn w:val="DefaultParagraphFont"/>
    <w:link w:val="EndnoteText"/>
    <w:rsid w:val="005E6DA9"/>
    <w:rPr>
      <w:rFonts w:ascii="Gill Sans MT" w:eastAsia="Times New Roman" w:hAnsi="Gill Sans MT"/>
      <w:lang w:eastAsia="en-US"/>
    </w:rPr>
  </w:style>
  <w:style w:type="character" w:styleId="EndnoteReference">
    <w:name w:val="endnote reference"/>
    <w:basedOn w:val="DefaultParagraphFont"/>
    <w:rsid w:val="005E6DA9"/>
    <w:rPr>
      <w:vertAlign w:val="superscript"/>
    </w:rPr>
  </w:style>
  <w:style w:type="character" w:customStyle="1" w:styleId="Heading2Char">
    <w:name w:val="Heading 2 Char"/>
    <w:basedOn w:val="DefaultParagraphFont"/>
    <w:link w:val="Heading2"/>
    <w:rsid w:val="003A5392"/>
    <w:rPr>
      <w:rFonts w:ascii="Rockwell" w:eastAsia="Times New Roman" w:hAnsi="Rockwell"/>
      <w:b/>
      <w:color w:val="CC3399"/>
      <w:sz w:val="32"/>
      <w:szCs w:val="32"/>
      <w:lang w:eastAsia="en-US"/>
    </w:rPr>
  </w:style>
  <w:style w:type="character" w:customStyle="1" w:styleId="TitleChar">
    <w:name w:val="Title Char"/>
    <w:basedOn w:val="DefaultParagraphFont"/>
    <w:link w:val="Title"/>
    <w:rsid w:val="00F920D4"/>
    <w:rPr>
      <w:rFonts w:ascii="Gill Sans MT" w:eastAsia="Times New Roman" w:hAnsi="Gill Sans MT" w:cs="Arial"/>
      <w:b/>
      <w:bCs/>
      <w:kern w:val="28"/>
      <w:sz w:val="36"/>
      <w:szCs w:val="32"/>
      <w:lang w:eastAsia="en-US"/>
    </w:rPr>
  </w:style>
  <w:style w:type="paragraph" w:styleId="HTMLPreformatted">
    <w:name w:val="HTML Preformatted"/>
    <w:basedOn w:val="Normal"/>
    <w:link w:val="HTMLPreformattedChar"/>
    <w:uiPriority w:val="99"/>
    <w:unhideWhenUsed/>
    <w:rsid w:val="00831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8312C8"/>
    <w:rPr>
      <w:rFonts w:ascii="Courier New" w:eastAsia="Times New Roman" w:hAnsi="Courier New" w:cs="Courier New"/>
    </w:rPr>
  </w:style>
  <w:style w:type="character" w:customStyle="1" w:styleId="y2iqfc">
    <w:name w:val="y2iqfc"/>
    <w:basedOn w:val="DefaultParagraphFont"/>
    <w:rsid w:val="0083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342">
      <w:bodyDiv w:val="1"/>
      <w:marLeft w:val="0"/>
      <w:marRight w:val="0"/>
      <w:marTop w:val="0"/>
      <w:marBottom w:val="0"/>
      <w:divBdr>
        <w:top w:val="none" w:sz="0" w:space="0" w:color="auto"/>
        <w:left w:val="none" w:sz="0" w:space="0" w:color="auto"/>
        <w:bottom w:val="none" w:sz="0" w:space="0" w:color="auto"/>
        <w:right w:val="none" w:sz="0" w:space="0" w:color="auto"/>
      </w:divBdr>
    </w:div>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32536114">
      <w:bodyDiv w:val="1"/>
      <w:marLeft w:val="0"/>
      <w:marRight w:val="0"/>
      <w:marTop w:val="0"/>
      <w:marBottom w:val="0"/>
      <w:divBdr>
        <w:top w:val="none" w:sz="0" w:space="0" w:color="auto"/>
        <w:left w:val="none" w:sz="0" w:space="0" w:color="auto"/>
        <w:bottom w:val="none" w:sz="0" w:space="0" w:color="auto"/>
        <w:right w:val="none" w:sz="0" w:space="0" w:color="auto"/>
      </w:divBdr>
    </w:div>
    <w:div w:id="32971946">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48188934">
      <w:bodyDiv w:val="1"/>
      <w:marLeft w:val="0"/>
      <w:marRight w:val="0"/>
      <w:marTop w:val="0"/>
      <w:marBottom w:val="0"/>
      <w:divBdr>
        <w:top w:val="none" w:sz="0" w:space="0" w:color="auto"/>
        <w:left w:val="none" w:sz="0" w:space="0" w:color="auto"/>
        <w:bottom w:val="none" w:sz="0" w:space="0" w:color="auto"/>
        <w:right w:val="none" w:sz="0" w:space="0" w:color="auto"/>
      </w:divBdr>
    </w:div>
    <w:div w:id="56050381">
      <w:bodyDiv w:val="1"/>
      <w:marLeft w:val="0"/>
      <w:marRight w:val="0"/>
      <w:marTop w:val="0"/>
      <w:marBottom w:val="0"/>
      <w:divBdr>
        <w:top w:val="none" w:sz="0" w:space="0" w:color="auto"/>
        <w:left w:val="none" w:sz="0" w:space="0" w:color="auto"/>
        <w:bottom w:val="none" w:sz="0" w:space="0" w:color="auto"/>
        <w:right w:val="none" w:sz="0" w:space="0" w:color="auto"/>
      </w:divBdr>
    </w:div>
    <w:div w:id="62530575">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87167119">
      <w:bodyDiv w:val="1"/>
      <w:marLeft w:val="0"/>
      <w:marRight w:val="0"/>
      <w:marTop w:val="0"/>
      <w:marBottom w:val="0"/>
      <w:divBdr>
        <w:top w:val="none" w:sz="0" w:space="0" w:color="auto"/>
        <w:left w:val="none" w:sz="0" w:space="0" w:color="auto"/>
        <w:bottom w:val="none" w:sz="0" w:space="0" w:color="auto"/>
        <w:right w:val="none" w:sz="0" w:space="0" w:color="auto"/>
      </w:divBdr>
    </w:div>
    <w:div w:id="103185781">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26317448">
      <w:bodyDiv w:val="1"/>
      <w:marLeft w:val="0"/>
      <w:marRight w:val="0"/>
      <w:marTop w:val="0"/>
      <w:marBottom w:val="0"/>
      <w:divBdr>
        <w:top w:val="none" w:sz="0" w:space="0" w:color="auto"/>
        <w:left w:val="none" w:sz="0" w:space="0" w:color="auto"/>
        <w:bottom w:val="none" w:sz="0" w:space="0" w:color="auto"/>
        <w:right w:val="none" w:sz="0" w:space="0" w:color="auto"/>
      </w:divBdr>
    </w:div>
    <w:div w:id="128480374">
      <w:bodyDiv w:val="1"/>
      <w:marLeft w:val="0"/>
      <w:marRight w:val="0"/>
      <w:marTop w:val="0"/>
      <w:marBottom w:val="0"/>
      <w:divBdr>
        <w:top w:val="none" w:sz="0" w:space="0" w:color="auto"/>
        <w:left w:val="none" w:sz="0" w:space="0" w:color="auto"/>
        <w:bottom w:val="none" w:sz="0" w:space="0" w:color="auto"/>
        <w:right w:val="none" w:sz="0" w:space="0" w:color="auto"/>
      </w:divBdr>
    </w:div>
    <w:div w:id="134614442">
      <w:bodyDiv w:val="1"/>
      <w:marLeft w:val="0"/>
      <w:marRight w:val="0"/>
      <w:marTop w:val="0"/>
      <w:marBottom w:val="0"/>
      <w:divBdr>
        <w:top w:val="none" w:sz="0" w:space="0" w:color="auto"/>
        <w:left w:val="none" w:sz="0" w:space="0" w:color="auto"/>
        <w:bottom w:val="none" w:sz="0" w:space="0" w:color="auto"/>
        <w:right w:val="none" w:sz="0" w:space="0" w:color="auto"/>
      </w:divBdr>
    </w:div>
    <w:div w:id="142548513">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54229983">
      <w:bodyDiv w:val="1"/>
      <w:marLeft w:val="0"/>
      <w:marRight w:val="0"/>
      <w:marTop w:val="0"/>
      <w:marBottom w:val="0"/>
      <w:divBdr>
        <w:top w:val="none" w:sz="0" w:space="0" w:color="auto"/>
        <w:left w:val="none" w:sz="0" w:space="0" w:color="auto"/>
        <w:bottom w:val="none" w:sz="0" w:space="0" w:color="auto"/>
        <w:right w:val="none" w:sz="0" w:space="0" w:color="auto"/>
      </w:divBdr>
    </w:div>
    <w:div w:id="162746902">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86988594">
      <w:bodyDiv w:val="1"/>
      <w:marLeft w:val="0"/>
      <w:marRight w:val="0"/>
      <w:marTop w:val="0"/>
      <w:marBottom w:val="0"/>
      <w:divBdr>
        <w:top w:val="none" w:sz="0" w:space="0" w:color="auto"/>
        <w:left w:val="none" w:sz="0" w:space="0" w:color="auto"/>
        <w:bottom w:val="none" w:sz="0" w:space="0" w:color="auto"/>
        <w:right w:val="none" w:sz="0" w:space="0" w:color="auto"/>
      </w:divBdr>
    </w:div>
    <w:div w:id="195315922">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13397647">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35097586">
      <w:bodyDiv w:val="1"/>
      <w:marLeft w:val="0"/>
      <w:marRight w:val="0"/>
      <w:marTop w:val="0"/>
      <w:marBottom w:val="0"/>
      <w:divBdr>
        <w:top w:val="none" w:sz="0" w:space="0" w:color="auto"/>
        <w:left w:val="none" w:sz="0" w:space="0" w:color="auto"/>
        <w:bottom w:val="none" w:sz="0" w:space="0" w:color="auto"/>
        <w:right w:val="none" w:sz="0" w:space="0" w:color="auto"/>
      </w:divBdr>
    </w:div>
    <w:div w:id="236745742">
      <w:bodyDiv w:val="1"/>
      <w:marLeft w:val="0"/>
      <w:marRight w:val="0"/>
      <w:marTop w:val="0"/>
      <w:marBottom w:val="0"/>
      <w:divBdr>
        <w:top w:val="none" w:sz="0" w:space="0" w:color="auto"/>
        <w:left w:val="none" w:sz="0" w:space="0" w:color="auto"/>
        <w:bottom w:val="none" w:sz="0" w:space="0" w:color="auto"/>
        <w:right w:val="none" w:sz="0" w:space="0" w:color="auto"/>
      </w:divBdr>
    </w:div>
    <w:div w:id="245265410">
      <w:bodyDiv w:val="1"/>
      <w:marLeft w:val="0"/>
      <w:marRight w:val="0"/>
      <w:marTop w:val="0"/>
      <w:marBottom w:val="0"/>
      <w:divBdr>
        <w:top w:val="none" w:sz="0" w:space="0" w:color="auto"/>
        <w:left w:val="none" w:sz="0" w:space="0" w:color="auto"/>
        <w:bottom w:val="none" w:sz="0" w:space="0" w:color="auto"/>
        <w:right w:val="none" w:sz="0" w:space="0" w:color="auto"/>
      </w:divBdr>
    </w:div>
    <w:div w:id="248271297">
      <w:bodyDiv w:val="1"/>
      <w:marLeft w:val="0"/>
      <w:marRight w:val="0"/>
      <w:marTop w:val="0"/>
      <w:marBottom w:val="0"/>
      <w:divBdr>
        <w:top w:val="none" w:sz="0" w:space="0" w:color="auto"/>
        <w:left w:val="none" w:sz="0" w:space="0" w:color="auto"/>
        <w:bottom w:val="none" w:sz="0" w:space="0" w:color="auto"/>
        <w:right w:val="none" w:sz="0" w:space="0" w:color="auto"/>
      </w:divBdr>
    </w:div>
    <w:div w:id="249198040">
      <w:bodyDiv w:val="1"/>
      <w:marLeft w:val="0"/>
      <w:marRight w:val="0"/>
      <w:marTop w:val="0"/>
      <w:marBottom w:val="0"/>
      <w:divBdr>
        <w:top w:val="none" w:sz="0" w:space="0" w:color="auto"/>
        <w:left w:val="none" w:sz="0" w:space="0" w:color="auto"/>
        <w:bottom w:val="none" w:sz="0" w:space="0" w:color="auto"/>
        <w:right w:val="none" w:sz="0" w:space="0" w:color="auto"/>
      </w:divBdr>
    </w:div>
    <w:div w:id="251160015">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68894644">
      <w:bodyDiv w:val="1"/>
      <w:marLeft w:val="0"/>
      <w:marRight w:val="0"/>
      <w:marTop w:val="0"/>
      <w:marBottom w:val="0"/>
      <w:divBdr>
        <w:top w:val="none" w:sz="0" w:space="0" w:color="auto"/>
        <w:left w:val="none" w:sz="0" w:space="0" w:color="auto"/>
        <w:bottom w:val="none" w:sz="0" w:space="0" w:color="auto"/>
        <w:right w:val="none" w:sz="0" w:space="0" w:color="auto"/>
      </w:divBdr>
    </w:div>
    <w:div w:id="274992887">
      <w:bodyDiv w:val="1"/>
      <w:marLeft w:val="0"/>
      <w:marRight w:val="0"/>
      <w:marTop w:val="0"/>
      <w:marBottom w:val="0"/>
      <w:divBdr>
        <w:top w:val="none" w:sz="0" w:space="0" w:color="auto"/>
        <w:left w:val="none" w:sz="0" w:space="0" w:color="auto"/>
        <w:bottom w:val="none" w:sz="0" w:space="0" w:color="auto"/>
        <w:right w:val="none" w:sz="0" w:space="0" w:color="auto"/>
      </w:divBdr>
    </w:div>
    <w:div w:id="276178630">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02077122">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47677007">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05958734">
      <w:bodyDiv w:val="1"/>
      <w:marLeft w:val="0"/>
      <w:marRight w:val="0"/>
      <w:marTop w:val="0"/>
      <w:marBottom w:val="0"/>
      <w:divBdr>
        <w:top w:val="none" w:sz="0" w:space="0" w:color="auto"/>
        <w:left w:val="none" w:sz="0" w:space="0" w:color="auto"/>
        <w:bottom w:val="none" w:sz="0" w:space="0" w:color="auto"/>
        <w:right w:val="none" w:sz="0" w:space="0" w:color="auto"/>
      </w:divBdr>
    </w:div>
    <w:div w:id="406270949">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456724952">
      <w:bodyDiv w:val="1"/>
      <w:marLeft w:val="0"/>
      <w:marRight w:val="0"/>
      <w:marTop w:val="0"/>
      <w:marBottom w:val="0"/>
      <w:divBdr>
        <w:top w:val="none" w:sz="0" w:space="0" w:color="auto"/>
        <w:left w:val="none" w:sz="0" w:space="0" w:color="auto"/>
        <w:bottom w:val="none" w:sz="0" w:space="0" w:color="auto"/>
        <w:right w:val="none" w:sz="0" w:space="0" w:color="auto"/>
      </w:divBdr>
    </w:div>
    <w:div w:id="478111331">
      <w:bodyDiv w:val="1"/>
      <w:marLeft w:val="0"/>
      <w:marRight w:val="0"/>
      <w:marTop w:val="0"/>
      <w:marBottom w:val="0"/>
      <w:divBdr>
        <w:top w:val="none" w:sz="0" w:space="0" w:color="auto"/>
        <w:left w:val="none" w:sz="0" w:space="0" w:color="auto"/>
        <w:bottom w:val="none" w:sz="0" w:space="0" w:color="auto"/>
        <w:right w:val="none" w:sz="0" w:space="0" w:color="auto"/>
      </w:divBdr>
    </w:div>
    <w:div w:id="487790571">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10341338">
      <w:bodyDiv w:val="1"/>
      <w:marLeft w:val="0"/>
      <w:marRight w:val="0"/>
      <w:marTop w:val="0"/>
      <w:marBottom w:val="0"/>
      <w:divBdr>
        <w:top w:val="none" w:sz="0" w:space="0" w:color="auto"/>
        <w:left w:val="none" w:sz="0" w:space="0" w:color="auto"/>
        <w:bottom w:val="none" w:sz="0" w:space="0" w:color="auto"/>
        <w:right w:val="none" w:sz="0" w:space="0" w:color="auto"/>
      </w:divBdr>
    </w:div>
    <w:div w:id="512720252">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1792365">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2934387">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59560235">
      <w:bodyDiv w:val="1"/>
      <w:marLeft w:val="0"/>
      <w:marRight w:val="0"/>
      <w:marTop w:val="0"/>
      <w:marBottom w:val="0"/>
      <w:divBdr>
        <w:top w:val="none" w:sz="0" w:space="0" w:color="auto"/>
        <w:left w:val="none" w:sz="0" w:space="0" w:color="auto"/>
        <w:bottom w:val="none" w:sz="0" w:space="0" w:color="auto"/>
        <w:right w:val="none" w:sz="0" w:space="0" w:color="auto"/>
      </w:divBdr>
    </w:div>
    <w:div w:id="560673484">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24895526">
      <w:bodyDiv w:val="1"/>
      <w:marLeft w:val="0"/>
      <w:marRight w:val="0"/>
      <w:marTop w:val="0"/>
      <w:marBottom w:val="0"/>
      <w:divBdr>
        <w:top w:val="none" w:sz="0" w:space="0" w:color="auto"/>
        <w:left w:val="none" w:sz="0" w:space="0" w:color="auto"/>
        <w:bottom w:val="none" w:sz="0" w:space="0" w:color="auto"/>
        <w:right w:val="none" w:sz="0" w:space="0" w:color="auto"/>
      </w:divBdr>
    </w:div>
    <w:div w:id="633679110">
      <w:bodyDiv w:val="1"/>
      <w:marLeft w:val="0"/>
      <w:marRight w:val="0"/>
      <w:marTop w:val="0"/>
      <w:marBottom w:val="0"/>
      <w:divBdr>
        <w:top w:val="none" w:sz="0" w:space="0" w:color="auto"/>
        <w:left w:val="none" w:sz="0" w:space="0" w:color="auto"/>
        <w:bottom w:val="none" w:sz="0" w:space="0" w:color="auto"/>
        <w:right w:val="none" w:sz="0" w:space="0" w:color="auto"/>
      </w:divBdr>
    </w:div>
    <w:div w:id="643435204">
      <w:bodyDiv w:val="1"/>
      <w:marLeft w:val="0"/>
      <w:marRight w:val="0"/>
      <w:marTop w:val="0"/>
      <w:marBottom w:val="0"/>
      <w:divBdr>
        <w:top w:val="none" w:sz="0" w:space="0" w:color="auto"/>
        <w:left w:val="none" w:sz="0" w:space="0" w:color="auto"/>
        <w:bottom w:val="none" w:sz="0" w:space="0" w:color="auto"/>
        <w:right w:val="none" w:sz="0" w:space="0" w:color="auto"/>
      </w:divBdr>
    </w:div>
    <w:div w:id="655963001">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69674548">
      <w:bodyDiv w:val="1"/>
      <w:marLeft w:val="0"/>
      <w:marRight w:val="0"/>
      <w:marTop w:val="0"/>
      <w:marBottom w:val="0"/>
      <w:divBdr>
        <w:top w:val="none" w:sz="0" w:space="0" w:color="auto"/>
        <w:left w:val="none" w:sz="0" w:space="0" w:color="auto"/>
        <w:bottom w:val="none" w:sz="0" w:space="0" w:color="auto"/>
        <w:right w:val="none" w:sz="0" w:space="0" w:color="auto"/>
      </w:divBdr>
    </w:div>
    <w:div w:id="670567452">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4620946">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43720093">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67500850">
      <w:bodyDiv w:val="1"/>
      <w:marLeft w:val="0"/>
      <w:marRight w:val="0"/>
      <w:marTop w:val="0"/>
      <w:marBottom w:val="0"/>
      <w:divBdr>
        <w:top w:val="none" w:sz="0" w:space="0" w:color="auto"/>
        <w:left w:val="none" w:sz="0" w:space="0" w:color="auto"/>
        <w:bottom w:val="none" w:sz="0" w:space="0" w:color="auto"/>
        <w:right w:val="none" w:sz="0" w:space="0" w:color="auto"/>
      </w:divBdr>
    </w:div>
    <w:div w:id="768160819">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796921242">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23162535">
      <w:bodyDiv w:val="1"/>
      <w:marLeft w:val="0"/>
      <w:marRight w:val="0"/>
      <w:marTop w:val="0"/>
      <w:marBottom w:val="0"/>
      <w:divBdr>
        <w:top w:val="none" w:sz="0" w:space="0" w:color="auto"/>
        <w:left w:val="none" w:sz="0" w:space="0" w:color="auto"/>
        <w:bottom w:val="none" w:sz="0" w:space="0" w:color="auto"/>
        <w:right w:val="none" w:sz="0" w:space="0" w:color="auto"/>
      </w:divBdr>
    </w:div>
    <w:div w:id="830750860">
      <w:bodyDiv w:val="1"/>
      <w:marLeft w:val="0"/>
      <w:marRight w:val="0"/>
      <w:marTop w:val="0"/>
      <w:marBottom w:val="0"/>
      <w:divBdr>
        <w:top w:val="none" w:sz="0" w:space="0" w:color="auto"/>
        <w:left w:val="none" w:sz="0" w:space="0" w:color="auto"/>
        <w:bottom w:val="none" w:sz="0" w:space="0" w:color="auto"/>
        <w:right w:val="none" w:sz="0" w:space="0" w:color="auto"/>
      </w:divBdr>
    </w:div>
    <w:div w:id="842862928">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0751458">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1258894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55329496">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61688982">
      <w:bodyDiv w:val="1"/>
      <w:marLeft w:val="0"/>
      <w:marRight w:val="0"/>
      <w:marTop w:val="0"/>
      <w:marBottom w:val="0"/>
      <w:divBdr>
        <w:top w:val="none" w:sz="0" w:space="0" w:color="auto"/>
        <w:left w:val="none" w:sz="0" w:space="0" w:color="auto"/>
        <w:bottom w:val="none" w:sz="0" w:space="0" w:color="auto"/>
        <w:right w:val="none" w:sz="0" w:space="0" w:color="auto"/>
      </w:divBdr>
    </w:div>
    <w:div w:id="964388945">
      <w:bodyDiv w:val="1"/>
      <w:marLeft w:val="0"/>
      <w:marRight w:val="0"/>
      <w:marTop w:val="0"/>
      <w:marBottom w:val="0"/>
      <w:divBdr>
        <w:top w:val="none" w:sz="0" w:space="0" w:color="auto"/>
        <w:left w:val="none" w:sz="0" w:space="0" w:color="auto"/>
        <w:bottom w:val="none" w:sz="0" w:space="0" w:color="auto"/>
        <w:right w:val="none" w:sz="0" w:space="0" w:color="auto"/>
      </w:divBdr>
    </w:div>
    <w:div w:id="970131479">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1012074910">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47873973">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6608882">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104378800">
      <w:bodyDiv w:val="1"/>
      <w:marLeft w:val="0"/>
      <w:marRight w:val="0"/>
      <w:marTop w:val="0"/>
      <w:marBottom w:val="0"/>
      <w:divBdr>
        <w:top w:val="none" w:sz="0" w:space="0" w:color="auto"/>
        <w:left w:val="none" w:sz="0" w:space="0" w:color="auto"/>
        <w:bottom w:val="none" w:sz="0" w:space="0" w:color="auto"/>
        <w:right w:val="none" w:sz="0" w:space="0" w:color="auto"/>
      </w:divBdr>
    </w:div>
    <w:div w:id="1110010284">
      <w:bodyDiv w:val="1"/>
      <w:marLeft w:val="0"/>
      <w:marRight w:val="0"/>
      <w:marTop w:val="0"/>
      <w:marBottom w:val="0"/>
      <w:divBdr>
        <w:top w:val="none" w:sz="0" w:space="0" w:color="auto"/>
        <w:left w:val="none" w:sz="0" w:space="0" w:color="auto"/>
        <w:bottom w:val="none" w:sz="0" w:space="0" w:color="auto"/>
        <w:right w:val="none" w:sz="0" w:space="0" w:color="auto"/>
      </w:divBdr>
    </w:div>
    <w:div w:id="1110322779">
      <w:bodyDiv w:val="1"/>
      <w:marLeft w:val="0"/>
      <w:marRight w:val="0"/>
      <w:marTop w:val="0"/>
      <w:marBottom w:val="0"/>
      <w:divBdr>
        <w:top w:val="none" w:sz="0" w:space="0" w:color="auto"/>
        <w:left w:val="none" w:sz="0" w:space="0" w:color="auto"/>
        <w:bottom w:val="none" w:sz="0" w:space="0" w:color="auto"/>
        <w:right w:val="none" w:sz="0" w:space="0" w:color="auto"/>
      </w:divBdr>
    </w:div>
    <w:div w:id="1111513133">
      <w:bodyDiv w:val="1"/>
      <w:marLeft w:val="0"/>
      <w:marRight w:val="0"/>
      <w:marTop w:val="0"/>
      <w:marBottom w:val="0"/>
      <w:divBdr>
        <w:top w:val="none" w:sz="0" w:space="0" w:color="auto"/>
        <w:left w:val="none" w:sz="0" w:space="0" w:color="auto"/>
        <w:bottom w:val="none" w:sz="0" w:space="0" w:color="auto"/>
        <w:right w:val="none" w:sz="0" w:space="0" w:color="auto"/>
      </w:divBdr>
    </w:div>
    <w:div w:id="1122965107">
      <w:bodyDiv w:val="1"/>
      <w:marLeft w:val="0"/>
      <w:marRight w:val="0"/>
      <w:marTop w:val="0"/>
      <w:marBottom w:val="0"/>
      <w:divBdr>
        <w:top w:val="none" w:sz="0" w:space="0" w:color="auto"/>
        <w:left w:val="none" w:sz="0" w:space="0" w:color="auto"/>
        <w:bottom w:val="none" w:sz="0" w:space="0" w:color="auto"/>
        <w:right w:val="none" w:sz="0" w:space="0" w:color="auto"/>
      </w:divBdr>
    </w:div>
    <w:div w:id="1123770087">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33258347">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1652412">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75537397">
      <w:bodyDiv w:val="1"/>
      <w:marLeft w:val="0"/>
      <w:marRight w:val="0"/>
      <w:marTop w:val="0"/>
      <w:marBottom w:val="0"/>
      <w:divBdr>
        <w:top w:val="none" w:sz="0" w:space="0" w:color="auto"/>
        <w:left w:val="none" w:sz="0" w:space="0" w:color="auto"/>
        <w:bottom w:val="none" w:sz="0" w:space="0" w:color="auto"/>
        <w:right w:val="none" w:sz="0" w:space="0" w:color="auto"/>
      </w:divBdr>
    </w:div>
    <w:div w:id="1180895550">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2383485">
      <w:bodyDiv w:val="1"/>
      <w:marLeft w:val="0"/>
      <w:marRight w:val="0"/>
      <w:marTop w:val="0"/>
      <w:marBottom w:val="0"/>
      <w:divBdr>
        <w:top w:val="none" w:sz="0" w:space="0" w:color="auto"/>
        <w:left w:val="none" w:sz="0" w:space="0" w:color="auto"/>
        <w:bottom w:val="none" w:sz="0" w:space="0" w:color="auto"/>
        <w:right w:val="none" w:sz="0" w:space="0" w:color="auto"/>
      </w:divBdr>
    </w:div>
    <w:div w:id="1193156405">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3169586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61185822">
      <w:bodyDiv w:val="1"/>
      <w:marLeft w:val="0"/>
      <w:marRight w:val="0"/>
      <w:marTop w:val="0"/>
      <w:marBottom w:val="0"/>
      <w:divBdr>
        <w:top w:val="none" w:sz="0" w:space="0" w:color="auto"/>
        <w:left w:val="none" w:sz="0" w:space="0" w:color="auto"/>
        <w:bottom w:val="none" w:sz="0" w:space="0" w:color="auto"/>
        <w:right w:val="none" w:sz="0" w:space="0" w:color="auto"/>
      </w:divBdr>
    </w:div>
    <w:div w:id="1267077522">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286230675">
      <w:bodyDiv w:val="1"/>
      <w:marLeft w:val="0"/>
      <w:marRight w:val="0"/>
      <w:marTop w:val="0"/>
      <w:marBottom w:val="0"/>
      <w:divBdr>
        <w:top w:val="none" w:sz="0" w:space="0" w:color="auto"/>
        <w:left w:val="none" w:sz="0" w:space="0" w:color="auto"/>
        <w:bottom w:val="none" w:sz="0" w:space="0" w:color="auto"/>
        <w:right w:val="none" w:sz="0" w:space="0" w:color="auto"/>
      </w:divBdr>
    </w:div>
    <w:div w:id="1294406893">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30060608">
      <w:bodyDiv w:val="1"/>
      <w:marLeft w:val="0"/>
      <w:marRight w:val="0"/>
      <w:marTop w:val="0"/>
      <w:marBottom w:val="0"/>
      <w:divBdr>
        <w:top w:val="none" w:sz="0" w:space="0" w:color="auto"/>
        <w:left w:val="none" w:sz="0" w:space="0" w:color="auto"/>
        <w:bottom w:val="none" w:sz="0" w:space="0" w:color="auto"/>
        <w:right w:val="none" w:sz="0" w:space="0" w:color="auto"/>
      </w:divBdr>
    </w:div>
    <w:div w:id="1351102896">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397389297">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2853672">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16170068">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4326102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4378125">
      <w:bodyDiv w:val="1"/>
      <w:marLeft w:val="0"/>
      <w:marRight w:val="0"/>
      <w:marTop w:val="0"/>
      <w:marBottom w:val="0"/>
      <w:divBdr>
        <w:top w:val="none" w:sz="0" w:space="0" w:color="auto"/>
        <w:left w:val="none" w:sz="0" w:space="0" w:color="auto"/>
        <w:bottom w:val="none" w:sz="0" w:space="0" w:color="auto"/>
        <w:right w:val="none" w:sz="0" w:space="0" w:color="auto"/>
      </w:divBdr>
    </w:div>
    <w:div w:id="1447430435">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68082828">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4637736">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2159354">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50070382">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5479164">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597715465">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51321733">
      <w:bodyDiv w:val="1"/>
      <w:marLeft w:val="0"/>
      <w:marRight w:val="0"/>
      <w:marTop w:val="0"/>
      <w:marBottom w:val="0"/>
      <w:divBdr>
        <w:top w:val="none" w:sz="0" w:space="0" w:color="auto"/>
        <w:left w:val="none" w:sz="0" w:space="0" w:color="auto"/>
        <w:bottom w:val="none" w:sz="0" w:space="0" w:color="auto"/>
        <w:right w:val="none" w:sz="0" w:space="0" w:color="auto"/>
      </w:divBdr>
    </w:div>
    <w:div w:id="1651521161">
      <w:bodyDiv w:val="1"/>
      <w:marLeft w:val="0"/>
      <w:marRight w:val="0"/>
      <w:marTop w:val="0"/>
      <w:marBottom w:val="0"/>
      <w:divBdr>
        <w:top w:val="none" w:sz="0" w:space="0" w:color="auto"/>
        <w:left w:val="none" w:sz="0" w:space="0" w:color="auto"/>
        <w:bottom w:val="none" w:sz="0" w:space="0" w:color="auto"/>
        <w:right w:val="none" w:sz="0" w:space="0" w:color="auto"/>
      </w:divBdr>
    </w:div>
    <w:div w:id="165722767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8945369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694964241">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2073832">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1880158">
      <w:bodyDiv w:val="1"/>
      <w:marLeft w:val="0"/>
      <w:marRight w:val="0"/>
      <w:marTop w:val="0"/>
      <w:marBottom w:val="0"/>
      <w:divBdr>
        <w:top w:val="none" w:sz="0" w:space="0" w:color="auto"/>
        <w:left w:val="none" w:sz="0" w:space="0" w:color="auto"/>
        <w:bottom w:val="none" w:sz="0" w:space="0" w:color="auto"/>
        <w:right w:val="none" w:sz="0" w:space="0" w:color="auto"/>
      </w:divBdr>
    </w:div>
    <w:div w:id="1732458589">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51080343">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72823503">
      <w:bodyDiv w:val="1"/>
      <w:marLeft w:val="0"/>
      <w:marRight w:val="0"/>
      <w:marTop w:val="0"/>
      <w:marBottom w:val="0"/>
      <w:divBdr>
        <w:top w:val="none" w:sz="0" w:space="0" w:color="auto"/>
        <w:left w:val="none" w:sz="0" w:space="0" w:color="auto"/>
        <w:bottom w:val="none" w:sz="0" w:space="0" w:color="auto"/>
        <w:right w:val="none" w:sz="0" w:space="0" w:color="auto"/>
      </w:divBdr>
    </w:div>
    <w:div w:id="1778717985">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416">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08353487">
      <w:bodyDiv w:val="1"/>
      <w:marLeft w:val="0"/>
      <w:marRight w:val="0"/>
      <w:marTop w:val="0"/>
      <w:marBottom w:val="0"/>
      <w:divBdr>
        <w:top w:val="none" w:sz="0" w:space="0" w:color="auto"/>
        <w:left w:val="none" w:sz="0" w:space="0" w:color="auto"/>
        <w:bottom w:val="none" w:sz="0" w:space="0" w:color="auto"/>
        <w:right w:val="none" w:sz="0" w:space="0" w:color="auto"/>
      </w:divBdr>
    </w:div>
    <w:div w:id="1813598083">
      <w:bodyDiv w:val="1"/>
      <w:marLeft w:val="0"/>
      <w:marRight w:val="0"/>
      <w:marTop w:val="0"/>
      <w:marBottom w:val="0"/>
      <w:divBdr>
        <w:top w:val="none" w:sz="0" w:space="0" w:color="auto"/>
        <w:left w:val="none" w:sz="0" w:space="0" w:color="auto"/>
        <w:bottom w:val="none" w:sz="0" w:space="0" w:color="auto"/>
        <w:right w:val="none" w:sz="0" w:space="0" w:color="auto"/>
      </w:divBdr>
    </w:div>
    <w:div w:id="1824734445">
      <w:bodyDiv w:val="1"/>
      <w:marLeft w:val="0"/>
      <w:marRight w:val="0"/>
      <w:marTop w:val="0"/>
      <w:marBottom w:val="0"/>
      <w:divBdr>
        <w:top w:val="none" w:sz="0" w:space="0" w:color="auto"/>
        <w:left w:val="none" w:sz="0" w:space="0" w:color="auto"/>
        <w:bottom w:val="none" w:sz="0" w:space="0" w:color="auto"/>
        <w:right w:val="none" w:sz="0" w:space="0" w:color="auto"/>
      </w:divBdr>
    </w:div>
    <w:div w:id="1829175332">
      <w:bodyDiv w:val="1"/>
      <w:marLeft w:val="0"/>
      <w:marRight w:val="0"/>
      <w:marTop w:val="0"/>
      <w:marBottom w:val="0"/>
      <w:divBdr>
        <w:top w:val="none" w:sz="0" w:space="0" w:color="auto"/>
        <w:left w:val="none" w:sz="0" w:space="0" w:color="auto"/>
        <w:bottom w:val="none" w:sz="0" w:space="0" w:color="auto"/>
        <w:right w:val="none" w:sz="0" w:space="0" w:color="auto"/>
      </w:divBdr>
    </w:div>
    <w:div w:id="1830243667">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33986480">
      <w:bodyDiv w:val="1"/>
      <w:marLeft w:val="0"/>
      <w:marRight w:val="0"/>
      <w:marTop w:val="0"/>
      <w:marBottom w:val="0"/>
      <w:divBdr>
        <w:top w:val="none" w:sz="0" w:space="0" w:color="auto"/>
        <w:left w:val="none" w:sz="0" w:space="0" w:color="auto"/>
        <w:bottom w:val="none" w:sz="0" w:space="0" w:color="auto"/>
        <w:right w:val="none" w:sz="0" w:space="0" w:color="auto"/>
      </w:divBdr>
    </w:div>
    <w:div w:id="1834442490">
      <w:bodyDiv w:val="1"/>
      <w:marLeft w:val="0"/>
      <w:marRight w:val="0"/>
      <w:marTop w:val="0"/>
      <w:marBottom w:val="0"/>
      <w:divBdr>
        <w:top w:val="none" w:sz="0" w:space="0" w:color="auto"/>
        <w:left w:val="none" w:sz="0" w:space="0" w:color="auto"/>
        <w:bottom w:val="none" w:sz="0" w:space="0" w:color="auto"/>
        <w:right w:val="none" w:sz="0" w:space="0" w:color="auto"/>
      </w:divBdr>
    </w:div>
    <w:div w:id="1854682927">
      <w:bodyDiv w:val="1"/>
      <w:marLeft w:val="0"/>
      <w:marRight w:val="0"/>
      <w:marTop w:val="0"/>
      <w:marBottom w:val="0"/>
      <w:divBdr>
        <w:top w:val="none" w:sz="0" w:space="0" w:color="auto"/>
        <w:left w:val="none" w:sz="0" w:space="0" w:color="auto"/>
        <w:bottom w:val="none" w:sz="0" w:space="0" w:color="auto"/>
        <w:right w:val="none" w:sz="0" w:space="0" w:color="auto"/>
      </w:divBdr>
    </w:div>
    <w:div w:id="1862622321">
      <w:bodyDiv w:val="1"/>
      <w:marLeft w:val="0"/>
      <w:marRight w:val="0"/>
      <w:marTop w:val="0"/>
      <w:marBottom w:val="0"/>
      <w:divBdr>
        <w:top w:val="none" w:sz="0" w:space="0" w:color="auto"/>
        <w:left w:val="none" w:sz="0" w:space="0" w:color="auto"/>
        <w:bottom w:val="none" w:sz="0" w:space="0" w:color="auto"/>
        <w:right w:val="none" w:sz="0" w:space="0" w:color="auto"/>
      </w:divBdr>
    </w:div>
    <w:div w:id="1866209181">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2396155">
      <w:bodyDiv w:val="1"/>
      <w:marLeft w:val="0"/>
      <w:marRight w:val="0"/>
      <w:marTop w:val="0"/>
      <w:marBottom w:val="0"/>
      <w:divBdr>
        <w:top w:val="none" w:sz="0" w:space="0" w:color="auto"/>
        <w:left w:val="none" w:sz="0" w:space="0" w:color="auto"/>
        <w:bottom w:val="none" w:sz="0" w:space="0" w:color="auto"/>
        <w:right w:val="none" w:sz="0" w:space="0" w:color="auto"/>
      </w:divBdr>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89534689">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899438483">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24534694">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44725190">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76597346">
      <w:bodyDiv w:val="1"/>
      <w:marLeft w:val="0"/>
      <w:marRight w:val="0"/>
      <w:marTop w:val="0"/>
      <w:marBottom w:val="0"/>
      <w:divBdr>
        <w:top w:val="none" w:sz="0" w:space="0" w:color="auto"/>
        <w:left w:val="none" w:sz="0" w:space="0" w:color="auto"/>
        <w:bottom w:val="none" w:sz="0" w:space="0" w:color="auto"/>
        <w:right w:val="none" w:sz="0" w:space="0" w:color="auto"/>
      </w:divBdr>
    </w:div>
    <w:div w:id="1980108800">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1997760735">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3336478">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36685163">
      <w:bodyDiv w:val="1"/>
      <w:marLeft w:val="0"/>
      <w:marRight w:val="0"/>
      <w:marTop w:val="0"/>
      <w:marBottom w:val="0"/>
      <w:divBdr>
        <w:top w:val="none" w:sz="0" w:space="0" w:color="auto"/>
        <w:left w:val="none" w:sz="0" w:space="0" w:color="auto"/>
        <w:bottom w:val="none" w:sz="0" w:space="0" w:color="auto"/>
        <w:right w:val="none" w:sz="0" w:space="0" w:color="auto"/>
      </w:divBdr>
    </w:div>
    <w:div w:id="2037847982">
      <w:bodyDiv w:val="1"/>
      <w:marLeft w:val="0"/>
      <w:marRight w:val="0"/>
      <w:marTop w:val="0"/>
      <w:marBottom w:val="0"/>
      <w:divBdr>
        <w:top w:val="none" w:sz="0" w:space="0" w:color="auto"/>
        <w:left w:val="none" w:sz="0" w:space="0" w:color="auto"/>
        <w:bottom w:val="none" w:sz="0" w:space="0" w:color="auto"/>
        <w:right w:val="none" w:sz="0" w:space="0" w:color="auto"/>
      </w:divBdr>
    </w:div>
    <w:div w:id="2040936971">
      <w:bodyDiv w:val="1"/>
      <w:marLeft w:val="0"/>
      <w:marRight w:val="0"/>
      <w:marTop w:val="0"/>
      <w:marBottom w:val="0"/>
      <w:divBdr>
        <w:top w:val="none" w:sz="0" w:space="0" w:color="auto"/>
        <w:left w:val="none" w:sz="0" w:space="0" w:color="auto"/>
        <w:bottom w:val="none" w:sz="0" w:space="0" w:color="auto"/>
        <w:right w:val="none" w:sz="0" w:space="0" w:color="auto"/>
      </w:divBdr>
    </w:div>
    <w:div w:id="2072262594">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31625868">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 w:id="214303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a.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psa.ie/codes-of-practice/what-are-the-codes/CPSA-Code-of-Practice-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y%20documents\templates\NDA%20Style%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A248-6F28-4D40-A9A1-72FA05A2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2011</Template>
  <TotalTime>1</TotalTime>
  <Pages>76</Pages>
  <Words>16342</Words>
  <Characters>93154</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109278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2022-11-30T14:45:00Z</cp:lastPrinted>
  <dcterms:created xsi:type="dcterms:W3CDTF">2026-01-26T17:16:00Z</dcterms:created>
  <dcterms:modified xsi:type="dcterms:W3CDTF">2026-01-26T17:16:00Z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-2094557482</vt:i4>
  </property>
</Properties>
</file>